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1BB52" w14:textId="18CA4E65" w:rsidR="00F5212F" w:rsidRDefault="00F5212F" w:rsidP="00F5212F">
      <w:pPr>
        <w:pStyle w:val="NoSpacing"/>
        <w:ind w:left="-284"/>
        <w:rPr>
          <w:rFonts w:ascii="Times New Roman" w:hAnsi="Times New Roman"/>
          <w:b/>
          <w:sz w:val="26"/>
          <w:szCs w:val="26"/>
        </w:rPr>
      </w:pPr>
      <w:r w:rsidRPr="00BA2B03">
        <w:rPr>
          <w:rFonts w:ascii="Times New Roman" w:hAnsi="Times New Roman"/>
          <w:b/>
          <w:sz w:val="26"/>
          <w:szCs w:val="26"/>
        </w:rPr>
        <w:t>R</w:t>
      </w:r>
      <w:r w:rsidR="002B3EA0" w:rsidRPr="002B3EA0">
        <w:rPr>
          <w:rFonts w:ascii="Times New Roman" w:hAnsi="Times New Roman"/>
          <w:b/>
          <w:sz w:val="26"/>
          <w:szCs w:val="26"/>
        </w:rPr>
        <w:t>YANAIR REPORTS H1 LOSS OF €197M AS TRAFFIC FALLS 80% TO 17M</w:t>
      </w:r>
    </w:p>
    <w:p w14:paraId="57DC2702" w14:textId="77777777" w:rsidR="00F5212F" w:rsidRPr="00296196" w:rsidRDefault="00F5212F" w:rsidP="00F5212F">
      <w:pPr>
        <w:pStyle w:val="NoSpacing"/>
        <w:ind w:left="-284"/>
        <w:jc w:val="center"/>
        <w:rPr>
          <w:rFonts w:ascii="Times New Roman" w:hAnsi="Times New Roman"/>
          <w:b/>
          <w:sz w:val="26"/>
          <w:szCs w:val="26"/>
        </w:rPr>
      </w:pPr>
    </w:p>
    <w:p w14:paraId="33D1590F" w14:textId="77777777" w:rsidR="00F5212F" w:rsidRDefault="00F5212F" w:rsidP="00F5212F">
      <w:pPr>
        <w:pStyle w:val="NoSpacing"/>
        <w:jc w:val="both"/>
        <w:rPr>
          <w:rFonts w:ascii="Times New Roman" w:hAnsi="Times New Roman"/>
        </w:rPr>
      </w:pPr>
      <w:r w:rsidRPr="003F42A2">
        <w:rPr>
          <w:rFonts w:ascii="Times New Roman" w:hAnsi="Times New Roman"/>
        </w:rPr>
        <w:t>Ryanair Holdings plc today (</w:t>
      </w:r>
      <w:r>
        <w:rPr>
          <w:rFonts w:ascii="Times New Roman" w:hAnsi="Times New Roman"/>
        </w:rPr>
        <w:t>2 Nov.</w:t>
      </w:r>
      <w:r w:rsidRPr="003F42A2">
        <w:rPr>
          <w:rFonts w:ascii="Times New Roman" w:hAnsi="Times New Roman"/>
        </w:rPr>
        <w:t>) reported a</w:t>
      </w:r>
      <w:r>
        <w:rPr>
          <w:rFonts w:ascii="Times New Roman" w:hAnsi="Times New Roman"/>
        </w:rPr>
        <w:t xml:space="preserve"> H1 loss of €197m, compared to a PY H1 profit of €1.15bn. Highlights of this 6-month period include:</w:t>
      </w:r>
    </w:p>
    <w:p w14:paraId="01526C6B" w14:textId="77777777" w:rsidR="00F5212F" w:rsidRPr="003F42A2" w:rsidRDefault="00F5212F" w:rsidP="00F5212F">
      <w:pPr>
        <w:pStyle w:val="NoSpacing"/>
        <w:jc w:val="both"/>
        <w:rPr>
          <w:rFonts w:ascii="Times New Roman" w:hAnsi="Times New Roman"/>
        </w:rPr>
      </w:pPr>
    </w:p>
    <w:p w14:paraId="521601C9" w14:textId="77777777" w:rsidR="00F5212F" w:rsidRDefault="00F5212F" w:rsidP="00F5212F">
      <w:pPr>
        <w:pStyle w:val="NoSpacing"/>
        <w:numPr>
          <w:ilvl w:val="0"/>
          <w:numId w:val="25"/>
        </w:numPr>
        <w:jc w:val="both"/>
        <w:textAlignment w:val="baseline"/>
        <w:rPr>
          <w:rFonts w:ascii="Times New Roman" w:hAnsi="Times New Roman"/>
        </w:rPr>
      </w:pPr>
      <w:r>
        <w:rPr>
          <w:rFonts w:ascii="Times New Roman" w:hAnsi="Times New Roman"/>
        </w:rPr>
        <w:t>99% of the fleet grounded from mid-March to end June.</w:t>
      </w:r>
    </w:p>
    <w:p w14:paraId="314F6FB6" w14:textId="77777777" w:rsidR="00F5212F" w:rsidRDefault="00F5212F" w:rsidP="00F5212F">
      <w:pPr>
        <w:pStyle w:val="NoSpacing"/>
        <w:numPr>
          <w:ilvl w:val="0"/>
          <w:numId w:val="25"/>
        </w:numPr>
        <w:jc w:val="both"/>
        <w:textAlignment w:val="baseline"/>
        <w:rPr>
          <w:rFonts w:ascii="Times New Roman" w:hAnsi="Times New Roman"/>
        </w:rPr>
      </w:pPr>
      <w:r>
        <w:rPr>
          <w:rFonts w:ascii="Times New Roman" w:hAnsi="Times New Roman"/>
        </w:rPr>
        <w:t>Successful return to service implemented 1 July.</w:t>
      </w:r>
    </w:p>
    <w:p w14:paraId="4F7D6971" w14:textId="77777777" w:rsidR="00F5212F" w:rsidRDefault="00F5212F" w:rsidP="00F5212F">
      <w:pPr>
        <w:pStyle w:val="NoSpacing"/>
        <w:numPr>
          <w:ilvl w:val="0"/>
          <w:numId w:val="25"/>
        </w:numPr>
        <w:jc w:val="both"/>
        <w:textAlignment w:val="baseline"/>
        <w:rPr>
          <w:rFonts w:ascii="Times New Roman" w:hAnsi="Times New Roman"/>
        </w:rPr>
      </w:pPr>
      <w:r>
        <w:rPr>
          <w:rFonts w:ascii="Times New Roman" w:hAnsi="Times New Roman"/>
        </w:rPr>
        <w:t>H1 traffic fell from 86m to 17m</w:t>
      </w:r>
      <w:r w:rsidRPr="00673BF9">
        <w:rPr>
          <w:rFonts w:ascii="Times New Roman" w:hAnsi="Times New Roman"/>
        </w:rPr>
        <w:t>.</w:t>
      </w:r>
    </w:p>
    <w:p w14:paraId="1942E31A" w14:textId="77777777" w:rsidR="00F5212F" w:rsidRDefault="00F5212F" w:rsidP="00F5212F">
      <w:pPr>
        <w:pStyle w:val="NoSpacing"/>
        <w:numPr>
          <w:ilvl w:val="0"/>
          <w:numId w:val="25"/>
        </w:numPr>
        <w:jc w:val="both"/>
        <w:textAlignment w:val="baseline"/>
        <w:rPr>
          <w:rFonts w:ascii="Times New Roman" w:hAnsi="Times New Roman"/>
        </w:rPr>
      </w:pPr>
      <w:r>
        <w:rPr>
          <w:rFonts w:ascii="Times New Roman" w:hAnsi="Times New Roman"/>
        </w:rPr>
        <w:t xml:space="preserve">Cost reduction measures implemented across business. </w:t>
      </w:r>
    </w:p>
    <w:p w14:paraId="360F2820" w14:textId="77777777" w:rsidR="00F5212F" w:rsidRDefault="00F5212F" w:rsidP="00F5212F">
      <w:pPr>
        <w:pStyle w:val="NoSpacing"/>
        <w:numPr>
          <w:ilvl w:val="0"/>
          <w:numId w:val="25"/>
        </w:numPr>
        <w:jc w:val="both"/>
        <w:textAlignment w:val="baseline"/>
        <w:rPr>
          <w:rFonts w:ascii="Times New Roman" w:hAnsi="Times New Roman"/>
        </w:rPr>
      </w:pPr>
      <w:r>
        <w:rPr>
          <w:rFonts w:ascii="Times New Roman" w:hAnsi="Times New Roman"/>
        </w:rPr>
        <w:t>Successful €1.25bn financing raised in Sep. (equity placing &amp; eurobond).</w:t>
      </w:r>
    </w:p>
    <w:p w14:paraId="7E8318A1" w14:textId="77777777" w:rsidR="00F5212F" w:rsidRDefault="00F5212F" w:rsidP="00F5212F">
      <w:pPr>
        <w:pStyle w:val="NoSpacing"/>
        <w:numPr>
          <w:ilvl w:val="0"/>
          <w:numId w:val="25"/>
        </w:numPr>
        <w:jc w:val="both"/>
        <w:textAlignment w:val="baseline"/>
        <w:rPr>
          <w:rFonts w:ascii="Times New Roman" w:hAnsi="Times New Roman"/>
        </w:rPr>
      </w:pPr>
      <w:r>
        <w:rPr>
          <w:rFonts w:ascii="Times New Roman" w:hAnsi="Times New Roman"/>
        </w:rPr>
        <w:t>Cash prioritised. Closing cash €4.5bn.</w:t>
      </w:r>
    </w:p>
    <w:p w14:paraId="0654E3DC" w14:textId="77777777" w:rsidR="00F5212F" w:rsidRDefault="00F5212F" w:rsidP="00F5212F">
      <w:pPr>
        <w:pStyle w:val="NoSpacing"/>
        <w:numPr>
          <w:ilvl w:val="0"/>
          <w:numId w:val="25"/>
        </w:numPr>
        <w:jc w:val="both"/>
        <w:textAlignment w:val="baseline"/>
        <w:rPr>
          <w:rFonts w:ascii="Times New Roman" w:hAnsi="Times New Roman"/>
        </w:rPr>
      </w:pPr>
      <w:r>
        <w:rPr>
          <w:rFonts w:ascii="Times New Roman" w:hAnsi="Times New Roman"/>
        </w:rPr>
        <w:t>Over €1.5bn debt due in 2021 (incl. £600m UK CCFF &amp; €850m Jun’14 bond).</w:t>
      </w:r>
    </w:p>
    <w:p w14:paraId="01B61CB5" w14:textId="77777777" w:rsidR="00F5212F" w:rsidRDefault="00F5212F" w:rsidP="00F5212F">
      <w:pPr>
        <w:pStyle w:val="NoSpacing"/>
        <w:ind w:left="720"/>
        <w:jc w:val="both"/>
        <w:rPr>
          <w:rFonts w:ascii="Times New Roman" w:hAnsi="Times New Roman"/>
        </w:rPr>
      </w:pPr>
    </w:p>
    <w:tbl>
      <w:tblPr>
        <w:tblStyle w:val="TableGrid"/>
        <w:tblW w:w="0" w:type="auto"/>
        <w:tblLook w:val="04A0" w:firstRow="1" w:lastRow="0" w:firstColumn="1" w:lastColumn="0" w:noHBand="0" w:noVBand="1"/>
      </w:tblPr>
      <w:tblGrid>
        <w:gridCol w:w="2496"/>
        <w:gridCol w:w="2254"/>
        <w:gridCol w:w="2254"/>
        <w:gridCol w:w="2254"/>
      </w:tblGrid>
      <w:tr w:rsidR="00F5212F" w:rsidRPr="003F42A2" w14:paraId="3BA5D4FB" w14:textId="77777777" w:rsidTr="00C0207A">
        <w:tc>
          <w:tcPr>
            <w:tcW w:w="2496" w:type="dxa"/>
          </w:tcPr>
          <w:p w14:paraId="4277FE8E" w14:textId="77777777" w:rsidR="00F5212F" w:rsidRPr="003F42A2" w:rsidRDefault="00F5212F" w:rsidP="00C0207A">
            <w:pPr>
              <w:pStyle w:val="NoSpacing"/>
              <w:rPr>
                <w:b/>
              </w:rPr>
            </w:pPr>
            <w:r>
              <w:rPr>
                <w:b/>
              </w:rPr>
              <w:t>H1</w:t>
            </w:r>
            <w:r w:rsidRPr="003F42A2">
              <w:rPr>
                <w:b/>
              </w:rPr>
              <w:t xml:space="preserve"> (IFRS)</w:t>
            </w:r>
            <w:r>
              <w:rPr>
                <w:b/>
              </w:rPr>
              <w:t xml:space="preserve"> – Group*</w:t>
            </w:r>
          </w:p>
        </w:tc>
        <w:tc>
          <w:tcPr>
            <w:tcW w:w="2254" w:type="dxa"/>
          </w:tcPr>
          <w:p w14:paraId="106D6D46" w14:textId="77777777" w:rsidR="00F5212F" w:rsidRPr="003F42A2" w:rsidRDefault="00F5212F" w:rsidP="00C0207A">
            <w:pPr>
              <w:pStyle w:val="NoSpacing"/>
              <w:jc w:val="center"/>
              <w:rPr>
                <w:b/>
              </w:rPr>
            </w:pPr>
            <w:r>
              <w:rPr>
                <w:b/>
              </w:rPr>
              <w:t xml:space="preserve">30 Sep. </w:t>
            </w:r>
            <w:r w:rsidRPr="003F42A2">
              <w:rPr>
                <w:b/>
              </w:rPr>
              <w:t>201</w:t>
            </w:r>
            <w:r>
              <w:rPr>
                <w:b/>
              </w:rPr>
              <w:t>9</w:t>
            </w:r>
          </w:p>
        </w:tc>
        <w:tc>
          <w:tcPr>
            <w:tcW w:w="2254" w:type="dxa"/>
          </w:tcPr>
          <w:p w14:paraId="5105DF2F" w14:textId="77777777" w:rsidR="00F5212F" w:rsidRPr="003F42A2" w:rsidRDefault="00F5212F" w:rsidP="00C0207A">
            <w:pPr>
              <w:pStyle w:val="NoSpacing"/>
              <w:jc w:val="center"/>
              <w:rPr>
                <w:b/>
              </w:rPr>
            </w:pPr>
            <w:r>
              <w:rPr>
                <w:b/>
              </w:rPr>
              <w:t xml:space="preserve">30 Sep. </w:t>
            </w:r>
            <w:r w:rsidRPr="003F42A2">
              <w:rPr>
                <w:b/>
              </w:rPr>
              <w:t>20</w:t>
            </w:r>
            <w:r>
              <w:rPr>
                <w:b/>
              </w:rPr>
              <w:t>20</w:t>
            </w:r>
          </w:p>
        </w:tc>
        <w:tc>
          <w:tcPr>
            <w:tcW w:w="2254" w:type="dxa"/>
          </w:tcPr>
          <w:p w14:paraId="694FF639" w14:textId="77777777" w:rsidR="00F5212F" w:rsidRPr="003F42A2" w:rsidRDefault="00F5212F" w:rsidP="00C0207A">
            <w:pPr>
              <w:pStyle w:val="NoSpacing"/>
              <w:jc w:val="center"/>
              <w:rPr>
                <w:b/>
              </w:rPr>
            </w:pPr>
            <w:r w:rsidRPr="003F42A2">
              <w:rPr>
                <w:b/>
              </w:rPr>
              <w:t>Change</w:t>
            </w:r>
          </w:p>
        </w:tc>
      </w:tr>
      <w:tr w:rsidR="00F5212F" w:rsidRPr="003F42A2" w14:paraId="2A1C2B9A" w14:textId="77777777" w:rsidTr="00C0207A">
        <w:tc>
          <w:tcPr>
            <w:tcW w:w="2496" w:type="dxa"/>
          </w:tcPr>
          <w:p w14:paraId="63E866B7" w14:textId="77777777" w:rsidR="00F5212F" w:rsidRPr="003F42A2" w:rsidRDefault="00F5212F" w:rsidP="00C0207A">
            <w:pPr>
              <w:pStyle w:val="NoSpacing"/>
              <w:jc w:val="both"/>
            </w:pPr>
            <w:r>
              <w:t>Customers</w:t>
            </w:r>
          </w:p>
        </w:tc>
        <w:tc>
          <w:tcPr>
            <w:tcW w:w="2254" w:type="dxa"/>
          </w:tcPr>
          <w:p w14:paraId="65B969E6" w14:textId="77777777" w:rsidR="00F5212F" w:rsidRPr="003F42A2" w:rsidRDefault="00F5212F" w:rsidP="00C0207A">
            <w:pPr>
              <w:pStyle w:val="NoSpacing"/>
              <w:jc w:val="center"/>
            </w:pPr>
            <w:r>
              <w:t>85.7m</w:t>
            </w:r>
          </w:p>
        </w:tc>
        <w:tc>
          <w:tcPr>
            <w:tcW w:w="2254" w:type="dxa"/>
          </w:tcPr>
          <w:p w14:paraId="15207A38" w14:textId="77777777" w:rsidR="00F5212F" w:rsidRPr="003F42A2" w:rsidRDefault="00F5212F" w:rsidP="00C0207A">
            <w:pPr>
              <w:pStyle w:val="NoSpacing"/>
              <w:jc w:val="center"/>
            </w:pPr>
            <w:r>
              <w:t>17.1m</w:t>
            </w:r>
          </w:p>
        </w:tc>
        <w:tc>
          <w:tcPr>
            <w:tcW w:w="2254" w:type="dxa"/>
          </w:tcPr>
          <w:p w14:paraId="19FD6BC5" w14:textId="77777777" w:rsidR="00F5212F" w:rsidRPr="003F42A2" w:rsidRDefault="00F5212F" w:rsidP="00C0207A">
            <w:pPr>
              <w:pStyle w:val="NoSpacing"/>
              <w:jc w:val="center"/>
            </w:pPr>
            <w:r>
              <w:t>-80%</w:t>
            </w:r>
          </w:p>
        </w:tc>
      </w:tr>
      <w:tr w:rsidR="00F5212F" w:rsidRPr="003F42A2" w14:paraId="6DC281C4" w14:textId="77777777" w:rsidTr="00C0207A">
        <w:tc>
          <w:tcPr>
            <w:tcW w:w="2496" w:type="dxa"/>
          </w:tcPr>
          <w:p w14:paraId="15C16DEB" w14:textId="77777777" w:rsidR="00F5212F" w:rsidRPr="003F42A2" w:rsidRDefault="00F5212F" w:rsidP="00C0207A">
            <w:pPr>
              <w:pStyle w:val="NoSpacing"/>
              <w:jc w:val="both"/>
            </w:pPr>
            <w:r w:rsidRPr="003F42A2">
              <w:t>Load Factor</w:t>
            </w:r>
          </w:p>
        </w:tc>
        <w:tc>
          <w:tcPr>
            <w:tcW w:w="2254" w:type="dxa"/>
          </w:tcPr>
          <w:p w14:paraId="38A281F9" w14:textId="77777777" w:rsidR="00F5212F" w:rsidRPr="003F42A2" w:rsidRDefault="00F5212F" w:rsidP="00C0207A">
            <w:pPr>
              <w:pStyle w:val="NoSpacing"/>
              <w:jc w:val="center"/>
            </w:pPr>
            <w:r>
              <w:t>96%</w:t>
            </w:r>
          </w:p>
        </w:tc>
        <w:tc>
          <w:tcPr>
            <w:tcW w:w="2254" w:type="dxa"/>
          </w:tcPr>
          <w:p w14:paraId="4D6110BD" w14:textId="77777777" w:rsidR="00F5212F" w:rsidRPr="003F42A2" w:rsidRDefault="00F5212F" w:rsidP="00C0207A">
            <w:pPr>
              <w:pStyle w:val="NoSpacing"/>
              <w:jc w:val="center"/>
            </w:pPr>
            <w:r>
              <w:t>72%</w:t>
            </w:r>
          </w:p>
        </w:tc>
        <w:tc>
          <w:tcPr>
            <w:tcW w:w="2254" w:type="dxa"/>
          </w:tcPr>
          <w:p w14:paraId="1FCBEFFD" w14:textId="77777777" w:rsidR="00F5212F" w:rsidRPr="003F42A2" w:rsidRDefault="00F5212F" w:rsidP="00C0207A">
            <w:pPr>
              <w:pStyle w:val="NoSpacing"/>
              <w:jc w:val="center"/>
            </w:pPr>
            <w:r>
              <w:t>-24pts</w:t>
            </w:r>
          </w:p>
        </w:tc>
      </w:tr>
      <w:tr w:rsidR="00F5212F" w:rsidRPr="003F42A2" w14:paraId="6E75F75B" w14:textId="77777777" w:rsidTr="00C0207A">
        <w:tc>
          <w:tcPr>
            <w:tcW w:w="2496" w:type="dxa"/>
          </w:tcPr>
          <w:p w14:paraId="59F939A2" w14:textId="77777777" w:rsidR="00F5212F" w:rsidRPr="003F42A2" w:rsidRDefault="00F5212F" w:rsidP="00C0207A">
            <w:pPr>
              <w:pStyle w:val="NoSpacing"/>
              <w:jc w:val="both"/>
            </w:pPr>
            <w:r w:rsidRPr="003F42A2">
              <w:t>Revenue</w:t>
            </w:r>
          </w:p>
        </w:tc>
        <w:tc>
          <w:tcPr>
            <w:tcW w:w="2254" w:type="dxa"/>
          </w:tcPr>
          <w:p w14:paraId="4924D863" w14:textId="77777777" w:rsidR="00F5212F" w:rsidRPr="003F42A2" w:rsidRDefault="00F5212F" w:rsidP="00C0207A">
            <w:pPr>
              <w:pStyle w:val="NoSpacing"/>
              <w:jc w:val="center"/>
            </w:pPr>
            <w:r w:rsidRPr="003F42A2">
              <w:t>€</w:t>
            </w:r>
            <w:r>
              <w:t>5.39bn</w:t>
            </w:r>
          </w:p>
        </w:tc>
        <w:tc>
          <w:tcPr>
            <w:tcW w:w="2254" w:type="dxa"/>
          </w:tcPr>
          <w:p w14:paraId="258E3452" w14:textId="77777777" w:rsidR="00F5212F" w:rsidRPr="003F42A2" w:rsidRDefault="00F5212F" w:rsidP="00C0207A">
            <w:pPr>
              <w:pStyle w:val="NoSpacing"/>
              <w:jc w:val="center"/>
            </w:pPr>
            <w:r>
              <w:t>€1.18bn</w:t>
            </w:r>
          </w:p>
        </w:tc>
        <w:tc>
          <w:tcPr>
            <w:tcW w:w="2254" w:type="dxa"/>
          </w:tcPr>
          <w:p w14:paraId="5B79E5E9" w14:textId="77777777" w:rsidR="00F5212F" w:rsidRPr="003F42A2" w:rsidRDefault="00F5212F" w:rsidP="00C0207A">
            <w:pPr>
              <w:pStyle w:val="NoSpacing"/>
              <w:jc w:val="center"/>
            </w:pPr>
            <w:r>
              <w:t>-78</w:t>
            </w:r>
            <w:r w:rsidRPr="003F42A2">
              <w:t>%</w:t>
            </w:r>
          </w:p>
        </w:tc>
      </w:tr>
      <w:tr w:rsidR="00F5212F" w:rsidRPr="003F42A2" w14:paraId="2C6DE168" w14:textId="77777777" w:rsidTr="00C0207A">
        <w:tc>
          <w:tcPr>
            <w:tcW w:w="2496" w:type="dxa"/>
          </w:tcPr>
          <w:p w14:paraId="3E9F447C" w14:textId="77777777" w:rsidR="00F5212F" w:rsidRPr="003F42A2" w:rsidRDefault="00F5212F" w:rsidP="00C0207A">
            <w:pPr>
              <w:pStyle w:val="NoSpacing"/>
              <w:jc w:val="both"/>
            </w:pPr>
            <w:r>
              <w:t>Op. Costs</w:t>
            </w:r>
          </w:p>
        </w:tc>
        <w:tc>
          <w:tcPr>
            <w:tcW w:w="2254" w:type="dxa"/>
          </w:tcPr>
          <w:p w14:paraId="7F132E92" w14:textId="77777777" w:rsidR="00F5212F" w:rsidRPr="003F42A2" w:rsidRDefault="00F5212F" w:rsidP="00C0207A">
            <w:pPr>
              <w:pStyle w:val="NoSpacing"/>
              <w:jc w:val="center"/>
            </w:pPr>
            <w:r>
              <w:t>€4.10bn</w:t>
            </w:r>
          </w:p>
        </w:tc>
        <w:tc>
          <w:tcPr>
            <w:tcW w:w="2254" w:type="dxa"/>
          </w:tcPr>
          <w:p w14:paraId="1DEE9BF7" w14:textId="77777777" w:rsidR="00F5212F" w:rsidRDefault="00F5212F" w:rsidP="00C0207A">
            <w:pPr>
              <w:pStyle w:val="NoSpacing"/>
              <w:jc w:val="center"/>
            </w:pPr>
            <w:r>
              <w:t>€1.35bn</w:t>
            </w:r>
          </w:p>
        </w:tc>
        <w:tc>
          <w:tcPr>
            <w:tcW w:w="2254" w:type="dxa"/>
          </w:tcPr>
          <w:p w14:paraId="65E20F32" w14:textId="77777777" w:rsidR="00F5212F" w:rsidRDefault="00F5212F" w:rsidP="00C0207A">
            <w:pPr>
              <w:pStyle w:val="NoSpacing"/>
              <w:jc w:val="center"/>
            </w:pPr>
            <w:r>
              <w:t>-67%</w:t>
            </w:r>
          </w:p>
        </w:tc>
      </w:tr>
      <w:tr w:rsidR="00F5212F" w:rsidRPr="003F42A2" w14:paraId="6B33C5F4" w14:textId="77777777" w:rsidTr="00C0207A">
        <w:tc>
          <w:tcPr>
            <w:tcW w:w="2496" w:type="dxa"/>
          </w:tcPr>
          <w:p w14:paraId="0E6D305F" w14:textId="77777777" w:rsidR="00F5212F" w:rsidRPr="003F42A2" w:rsidRDefault="00F5212F" w:rsidP="00C0207A">
            <w:pPr>
              <w:pStyle w:val="NoSpacing"/>
              <w:jc w:val="both"/>
            </w:pPr>
            <w:r w:rsidRPr="003F42A2">
              <w:t>PAT</w:t>
            </w:r>
            <w:r>
              <w:t>/(Net Loss)</w:t>
            </w:r>
          </w:p>
        </w:tc>
        <w:tc>
          <w:tcPr>
            <w:tcW w:w="2254" w:type="dxa"/>
          </w:tcPr>
          <w:p w14:paraId="0DE55AF8" w14:textId="77777777" w:rsidR="00F5212F" w:rsidRPr="003F42A2" w:rsidRDefault="00F5212F" w:rsidP="00C0207A">
            <w:pPr>
              <w:pStyle w:val="NoSpacing"/>
              <w:jc w:val="center"/>
            </w:pPr>
            <w:r>
              <w:t>€1.15bn</w:t>
            </w:r>
          </w:p>
        </w:tc>
        <w:tc>
          <w:tcPr>
            <w:tcW w:w="2254" w:type="dxa"/>
          </w:tcPr>
          <w:p w14:paraId="32DFA73F" w14:textId="77777777" w:rsidR="00F5212F" w:rsidRPr="003F42A2" w:rsidRDefault="00F5212F" w:rsidP="00C0207A">
            <w:pPr>
              <w:pStyle w:val="NoSpacing"/>
              <w:jc w:val="center"/>
            </w:pPr>
            <w:r>
              <w:t>(€197m)</w:t>
            </w:r>
          </w:p>
        </w:tc>
        <w:tc>
          <w:tcPr>
            <w:tcW w:w="2254" w:type="dxa"/>
          </w:tcPr>
          <w:p w14:paraId="491FFCD8" w14:textId="77777777" w:rsidR="00F5212F" w:rsidRPr="003F42A2" w:rsidRDefault="00F5212F" w:rsidP="00C0207A">
            <w:pPr>
              <w:pStyle w:val="NoSpacing"/>
              <w:jc w:val="center"/>
            </w:pPr>
            <w:r>
              <w:t>n/m</w:t>
            </w:r>
          </w:p>
        </w:tc>
      </w:tr>
    </w:tbl>
    <w:p w14:paraId="3C3E1987" w14:textId="77777777" w:rsidR="00F5212F" w:rsidRPr="004712DA" w:rsidRDefault="00F5212F" w:rsidP="00F5212F">
      <w:pPr>
        <w:pStyle w:val="NoSpacing"/>
        <w:jc w:val="both"/>
        <w:rPr>
          <w:rFonts w:ascii="Times New Roman" w:hAnsi="Times New Roman"/>
          <w:i/>
          <w:sz w:val="16"/>
          <w:szCs w:val="16"/>
        </w:rPr>
      </w:pPr>
      <w:r w:rsidRPr="004712DA">
        <w:rPr>
          <w:rFonts w:ascii="Times New Roman" w:hAnsi="Times New Roman"/>
          <w:i/>
          <w:sz w:val="16"/>
          <w:szCs w:val="16"/>
        </w:rPr>
        <w:t>* excl. €214m except. hedge ineffectiveness charge.</w:t>
      </w:r>
    </w:p>
    <w:p w14:paraId="35661B7F" w14:textId="77777777" w:rsidR="00F5212F" w:rsidRDefault="00F5212F" w:rsidP="00F5212F">
      <w:pPr>
        <w:pStyle w:val="NoSpacing"/>
        <w:jc w:val="both"/>
        <w:rPr>
          <w:rFonts w:ascii="Times New Roman" w:hAnsi="Times New Roman"/>
          <w:sz w:val="16"/>
          <w:szCs w:val="16"/>
        </w:rPr>
      </w:pPr>
    </w:p>
    <w:p w14:paraId="2939AD9B" w14:textId="77777777" w:rsidR="00F5212F" w:rsidRDefault="00F5212F" w:rsidP="00F5212F">
      <w:pPr>
        <w:pStyle w:val="NoSpacing"/>
        <w:jc w:val="both"/>
        <w:rPr>
          <w:rFonts w:ascii="Times New Roman" w:hAnsi="Times New Roman"/>
          <w:b/>
          <w:u w:val="single"/>
        </w:rPr>
      </w:pPr>
      <w:r w:rsidRPr="008A75EC">
        <w:rPr>
          <w:rFonts w:ascii="Times New Roman" w:hAnsi="Times New Roman"/>
          <w:b/>
          <w:u w:val="single"/>
        </w:rPr>
        <w:t>COVID-19:</w:t>
      </w:r>
    </w:p>
    <w:p w14:paraId="24C5DE50" w14:textId="77777777" w:rsidR="00F5212F" w:rsidRDefault="00F5212F" w:rsidP="00F5212F">
      <w:pPr>
        <w:pStyle w:val="NoSpacing"/>
        <w:jc w:val="both"/>
        <w:rPr>
          <w:rFonts w:ascii="Times New Roman" w:hAnsi="Times New Roman"/>
        </w:rPr>
      </w:pPr>
      <w:r>
        <w:rPr>
          <w:rFonts w:ascii="Times New Roman" w:hAnsi="Times New Roman"/>
        </w:rPr>
        <w:t>Covid-19 grounded the Group’s entire fleet from mid-March to the end of June as EU Govts imposed flight or travel bans and widespread population lockdowns.  During this crisis, Group airlines repatriated customers and operated rescue flights for many EU Govts.  The Group implemented extensive health measures, especially onboard aircraft, to comply with EU guidelines (ECDC &amp; EASA) and on 1 July successfully resumed flights across most of our route network operating up to 60% of prior year capacity in Q2 achieving over 70% load factors.  Passenger confidence and forward bookings into W.20 were</w:t>
      </w:r>
      <w:r w:rsidRPr="005700E3">
        <w:rPr>
          <w:rFonts w:ascii="Times New Roman" w:hAnsi="Times New Roman"/>
        </w:rPr>
        <w:t xml:space="preserve"> </w:t>
      </w:r>
      <w:r>
        <w:rPr>
          <w:rFonts w:ascii="Times New Roman" w:hAnsi="Times New Roman"/>
        </w:rPr>
        <w:t>negatively impacted</w:t>
      </w:r>
      <w:r w:rsidRPr="005700E3">
        <w:rPr>
          <w:rFonts w:ascii="Times New Roman" w:hAnsi="Times New Roman"/>
        </w:rPr>
        <w:t xml:space="preserve"> by the return of </w:t>
      </w:r>
      <w:r>
        <w:rPr>
          <w:rFonts w:ascii="Times New Roman" w:hAnsi="Times New Roman"/>
        </w:rPr>
        <w:t xml:space="preserve">uncoordinated </w:t>
      </w:r>
      <w:r w:rsidRPr="005700E3">
        <w:rPr>
          <w:rFonts w:ascii="Times New Roman" w:hAnsi="Times New Roman"/>
        </w:rPr>
        <w:t xml:space="preserve">EU </w:t>
      </w:r>
      <w:r>
        <w:rPr>
          <w:rFonts w:ascii="Times New Roman" w:hAnsi="Times New Roman"/>
        </w:rPr>
        <w:t>G</w:t>
      </w:r>
      <w:r w:rsidRPr="005700E3">
        <w:rPr>
          <w:rFonts w:ascii="Times New Roman" w:hAnsi="Times New Roman"/>
        </w:rPr>
        <w:t xml:space="preserve">ovt </w:t>
      </w:r>
      <w:r>
        <w:rPr>
          <w:rFonts w:ascii="Times New Roman" w:hAnsi="Times New Roman"/>
        </w:rPr>
        <w:t xml:space="preserve">flight </w:t>
      </w:r>
      <w:r w:rsidRPr="005700E3">
        <w:rPr>
          <w:rFonts w:ascii="Times New Roman" w:hAnsi="Times New Roman"/>
        </w:rPr>
        <w:t>restrictions in Sep</w:t>
      </w:r>
      <w:r>
        <w:rPr>
          <w:rFonts w:ascii="Times New Roman" w:hAnsi="Times New Roman"/>
        </w:rPr>
        <w:t>.</w:t>
      </w:r>
      <w:r w:rsidRPr="005700E3">
        <w:rPr>
          <w:rFonts w:ascii="Times New Roman" w:hAnsi="Times New Roman"/>
        </w:rPr>
        <w:t xml:space="preserve"> </w:t>
      </w:r>
      <w:r>
        <w:rPr>
          <w:rFonts w:ascii="Times New Roman" w:hAnsi="Times New Roman"/>
        </w:rPr>
        <w:t xml:space="preserve">and </w:t>
      </w:r>
      <w:r w:rsidRPr="005700E3">
        <w:rPr>
          <w:rFonts w:ascii="Times New Roman" w:hAnsi="Times New Roman"/>
        </w:rPr>
        <w:t>Oct.</w:t>
      </w:r>
      <w:r>
        <w:rPr>
          <w:rFonts w:ascii="Times New Roman" w:hAnsi="Times New Roman"/>
        </w:rPr>
        <w:t xml:space="preserve"> which heavily curtailed travel to/from much of Central Europe, the UK, Ireland, Austria, Belgium and Portugal.  As a result, Ryanair recently cut its FY21 traffic guidance to approx. 38m guests. This takes the Group’s W.20 (Nov-Mar) capacity down from the previously guided 60% to at most 40% of prior year traffic. </w:t>
      </w:r>
    </w:p>
    <w:p w14:paraId="55EE7615" w14:textId="77777777" w:rsidR="00F5212F" w:rsidRDefault="00F5212F" w:rsidP="00F5212F">
      <w:pPr>
        <w:pStyle w:val="NoSpacing"/>
        <w:jc w:val="both"/>
        <w:rPr>
          <w:rFonts w:ascii="Times New Roman" w:hAnsi="Times New Roman"/>
        </w:rPr>
      </w:pPr>
    </w:p>
    <w:p w14:paraId="3834E75C" w14:textId="77777777" w:rsidR="00F5212F" w:rsidRDefault="00F5212F" w:rsidP="00F5212F">
      <w:pPr>
        <w:pStyle w:val="NoSpacing"/>
        <w:jc w:val="both"/>
        <w:rPr>
          <w:rFonts w:ascii="Times New Roman" w:hAnsi="Times New Roman"/>
        </w:rPr>
      </w:pPr>
      <w:r>
        <w:rPr>
          <w:rFonts w:ascii="Times New Roman" w:hAnsi="Times New Roman"/>
        </w:rPr>
        <w:t>Ryanair’s Customer Service teams (supported by Ryanair Labs) have cleared an unprecedented volume of customer flight changes and Covid-19 cancellations, while processing a record backlog of refunds caused by almost 4 months of EU Govt imposed flight cancellations.  This process was frustrated by unlicensed OTAs, many of who provided false customer contact and fake payment details at the time of booking.  Despite the enormity of the task, almost all non-OTA refund requests have now been dealt with either via cash refunds or vouchers.</w:t>
      </w:r>
    </w:p>
    <w:p w14:paraId="609C8531" w14:textId="77777777" w:rsidR="00F5212F" w:rsidRDefault="00F5212F" w:rsidP="00F5212F">
      <w:pPr>
        <w:pStyle w:val="NoSpacing"/>
        <w:jc w:val="both"/>
        <w:rPr>
          <w:rFonts w:ascii="Times New Roman" w:hAnsi="Times New Roman"/>
        </w:rPr>
      </w:pPr>
    </w:p>
    <w:p w14:paraId="6FAEA1A8" w14:textId="77777777" w:rsidR="00F5212F" w:rsidRDefault="00F5212F" w:rsidP="00F5212F">
      <w:pPr>
        <w:pStyle w:val="NoSpacing"/>
        <w:jc w:val="both"/>
        <w:rPr>
          <w:rFonts w:ascii="Times New Roman" w:hAnsi="Times New Roman"/>
        </w:rPr>
      </w:pPr>
      <w:r>
        <w:rPr>
          <w:rFonts w:ascii="Times New Roman" w:hAnsi="Times New Roman"/>
        </w:rPr>
        <w:lastRenderedPageBreak/>
        <w:t>The Covid-19 crisis has already caused the closure of a number of EU airlines including Flybe, Germanwings and Level as well as deep long-term capacity reductions at many others.  It has sparked a flood of illegal State Aid from EU Governments to their flag carriers including Alitalia, Air France/KLM, LOT, Lufthansa, SAS, TAP and others.  This illegal State Aid will distort competition and allow failed flag carriers to engage in below cost selling for many years.  We expect intra-European air travel capacity to remain subdued for the next few years.  This will create opportunities for Ryanair (Europe’s lowest cost airline) to grow its network, and expand its fleet, to take advantage of lower cost airport and aircraft opportunities that will inevitably arise.</w:t>
      </w:r>
    </w:p>
    <w:p w14:paraId="197CA9B6" w14:textId="77777777" w:rsidR="00F5212F" w:rsidRDefault="00F5212F" w:rsidP="00F5212F">
      <w:pPr>
        <w:pStyle w:val="NoSpacing"/>
        <w:jc w:val="both"/>
        <w:rPr>
          <w:rFonts w:ascii="Times New Roman" w:hAnsi="Times New Roman"/>
        </w:rPr>
      </w:pPr>
    </w:p>
    <w:p w14:paraId="66FE1F8B" w14:textId="77777777" w:rsidR="00226D8E" w:rsidRDefault="00226D8E" w:rsidP="00F5212F">
      <w:pPr>
        <w:pStyle w:val="NoSpacing"/>
        <w:jc w:val="both"/>
        <w:rPr>
          <w:rFonts w:ascii="Times New Roman" w:hAnsi="Times New Roman"/>
          <w:b/>
          <w:u w:val="single"/>
        </w:rPr>
      </w:pPr>
    </w:p>
    <w:p w14:paraId="156D358F" w14:textId="77777777" w:rsidR="00226D8E" w:rsidRDefault="00226D8E" w:rsidP="00F5212F">
      <w:pPr>
        <w:pStyle w:val="NoSpacing"/>
        <w:jc w:val="both"/>
        <w:rPr>
          <w:rFonts w:ascii="Times New Roman" w:hAnsi="Times New Roman"/>
          <w:b/>
          <w:u w:val="single"/>
        </w:rPr>
      </w:pPr>
    </w:p>
    <w:p w14:paraId="061A97D5" w14:textId="77777777" w:rsidR="00226D8E" w:rsidRDefault="00226D8E" w:rsidP="00F5212F">
      <w:pPr>
        <w:pStyle w:val="NoSpacing"/>
        <w:jc w:val="both"/>
        <w:rPr>
          <w:rFonts w:ascii="Times New Roman" w:hAnsi="Times New Roman"/>
          <w:b/>
          <w:u w:val="single"/>
        </w:rPr>
      </w:pPr>
    </w:p>
    <w:p w14:paraId="5E87725F" w14:textId="19AC67E6" w:rsidR="00F5212F" w:rsidRPr="008A75EC" w:rsidRDefault="00F5212F" w:rsidP="00F5212F">
      <w:pPr>
        <w:pStyle w:val="NoSpacing"/>
        <w:jc w:val="both"/>
        <w:rPr>
          <w:rFonts w:ascii="Times New Roman" w:hAnsi="Times New Roman"/>
          <w:b/>
          <w:u w:val="single"/>
        </w:rPr>
      </w:pPr>
      <w:r>
        <w:rPr>
          <w:rFonts w:ascii="Times New Roman" w:hAnsi="Times New Roman"/>
          <w:b/>
          <w:u w:val="single"/>
        </w:rPr>
        <w:t xml:space="preserve">H1 </w:t>
      </w:r>
      <w:r w:rsidRPr="008A75EC">
        <w:rPr>
          <w:rFonts w:ascii="Times New Roman" w:hAnsi="Times New Roman"/>
          <w:b/>
          <w:u w:val="single"/>
        </w:rPr>
        <w:t>BUSINESS REVIEW:</w:t>
      </w:r>
    </w:p>
    <w:p w14:paraId="0D3B9CC1" w14:textId="77777777" w:rsidR="00F5212F" w:rsidRDefault="00F5212F" w:rsidP="00F5212F">
      <w:pPr>
        <w:pStyle w:val="NoSpacing"/>
        <w:jc w:val="both"/>
        <w:rPr>
          <w:rFonts w:ascii="Times New Roman" w:hAnsi="Times New Roman"/>
          <w:b/>
        </w:rPr>
      </w:pPr>
    </w:p>
    <w:p w14:paraId="42F93D5A" w14:textId="77777777" w:rsidR="00F5212F" w:rsidRPr="00B11F74" w:rsidRDefault="00F5212F" w:rsidP="00F5212F">
      <w:pPr>
        <w:pStyle w:val="NoSpacing"/>
        <w:jc w:val="both"/>
        <w:rPr>
          <w:rFonts w:ascii="Times New Roman" w:hAnsi="Times New Roman"/>
          <w:b/>
          <w:u w:val="single"/>
        </w:rPr>
      </w:pPr>
      <w:r w:rsidRPr="00B11F74">
        <w:rPr>
          <w:rFonts w:ascii="Times New Roman" w:hAnsi="Times New Roman"/>
          <w:b/>
          <w:u w:val="single"/>
        </w:rPr>
        <w:t>Revenue</w:t>
      </w:r>
      <w:r>
        <w:rPr>
          <w:rFonts w:ascii="Times New Roman" w:hAnsi="Times New Roman"/>
          <w:b/>
          <w:u w:val="single"/>
        </w:rPr>
        <w:t xml:space="preserve"> &amp; Costs</w:t>
      </w:r>
    </w:p>
    <w:p w14:paraId="6EB38A19" w14:textId="77777777" w:rsidR="00F5212F" w:rsidRDefault="00F5212F" w:rsidP="00F5212F">
      <w:pPr>
        <w:pStyle w:val="NoSpacing"/>
        <w:jc w:val="both"/>
        <w:rPr>
          <w:rFonts w:ascii="Times New Roman" w:hAnsi="Times New Roman"/>
        </w:rPr>
      </w:pPr>
      <w:r>
        <w:rPr>
          <w:rFonts w:ascii="Times New Roman" w:hAnsi="Times New Roman"/>
        </w:rPr>
        <w:t xml:space="preserve">Revenue fell by 78% to €1.18bn as traffic fell 80% to 17.1m.  With almost zero Q1 traffic, the vast majority of H1 revenue was earned in Q2.  Ancillary revenue performed strongly as more guests chose priority boarding and reserved seating.   </w:t>
      </w:r>
    </w:p>
    <w:p w14:paraId="78C5CA34" w14:textId="77777777" w:rsidR="00F5212F" w:rsidRDefault="00F5212F" w:rsidP="00F5212F">
      <w:pPr>
        <w:pStyle w:val="NoSpacing"/>
        <w:jc w:val="both"/>
        <w:rPr>
          <w:rFonts w:ascii="Times New Roman" w:hAnsi="Times New Roman"/>
        </w:rPr>
      </w:pPr>
    </w:p>
    <w:p w14:paraId="56EB2719" w14:textId="77777777" w:rsidR="00F5212F" w:rsidRDefault="00F5212F" w:rsidP="00F5212F">
      <w:pPr>
        <w:pStyle w:val="NoSpacing"/>
        <w:jc w:val="both"/>
        <w:rPr>
          <w:rFonts w:ascii="Times New Roman" w:hAnsi="Times New Roman"/>
        </w:rPr>
      </w:pPr>
      <w:r>
        <w:rPr>
          <w:rFonts w:ascii="Times New Roman" w:hAnsi="Times New Roman"/>
        </w:rPr>
        <w:t xml:space="preserve">During the half-year substantial work has been undertaken to successfully improve Ryanair’s long term cost leadership.  The Group has agreed modest pay cuts with our people and their unions which helped minimise job losses. Lauda has been completely restructured, better terms were agreed with our maintenance providers, lessors, marketing &amp; other suppliers and many airport deals were renegotiated.  Our Route Development teams are working with airports partners across Europe who have suffered steep traffic declines and discussions are ongoing with aircraft suppliers to amend pricing to reflect the new Covid-19 reality.  Due to significantly reduced W.20 traffic forecasts and ongoing aircraft delivery delays, the Group recorded a €214m ineffectiveness charge on fuel and currency hedges in H1.  </w:t>
      </w:r>
    </w:p>
    <w:p w14:paraId="1647CDD1" w14:textId="77777777" w:rsidR="00F5212F" w:rsidRDefault="00F5212F" w:rsidP="00F5212F">
      <w:pPr>
        <w:pStyle w:val="NoSpacing"/>
        <w:jc w:val="both"/>
        <w:rPr>
          <w:rFonts w:ascii="Times New Roman" w:hAnsi="Times New Roman"/>
          <w:b/>
        </w:rPr>
      </w:pPr>
    </w:p>
    <w:p w14:paraId="5BAF7555" w14:textId="77777777" w:rsidR="00F5212F" w:rsidRPr="00D325C0" w:rsidRDefault="00F5212F" w:rsidP="00F5212F">
      <w:pPr>
        <w:pStyle w:val="NoSpacing"/>
        <w:jc w:val="both"/>
        <w:rPr>
          <w:rFonts w:ascii="Times New Roman" w:hAnsi="Times New Roman"/>
          <w:b/>
          <w:u w:val="single"/>
        </w:rPr>
      </w:pPr>
      <w:r w:rsidRPr="00D325C0">
        <w:rPr>
          <w:rFonts w:ascii="Times New Roman" w:hAnsi="Times New Roman"/>
          <w:b/>
          <w:u w:val="single"/>
        </w:rPr>
        <w:t xml:space="preserve">Balance Sheet &amp; </w:t>
      </w:r>
      <w:r>
        <w:rPr>
          <w:rFonts w:ascii="Times New Roman" w:hAnsi="Times New Roman"/>
          <w:b/>
          <w:u w:val="single"/>
        </w:rPr>
        <w:t>Liquidity</w:t>
      </w:r>
    </w:p>
    <w:p w14:paraId="753536BC" w14:textId="77777777" w:rsidR="00F5212F" w:rsidRDefault="00F5212F" w:rsidP="00F5212F">
      <w:pPr>
        <w:pStyle w:val="NoSpacing"/>
        <w:jc w:val="both"/>
        <w:rPr>
          <w:rFonts w:ascii="Times New Roman" w:hAnsi="Times New Roman"/>
          <w:b/>
          <w:u w:val="single"/>
        </w:rPr>
      </w:pPr>
      <w:r>
        <w:rPr>
          <w:rFonts w:ascii="Times New Roman" w:hAnsi="Times New Roman"/>
        </w:rPr>
        <w:t>Ryanair’s balance sheet is</w:t>
      </w:r>
      <w:r w:rsidRPr="003F42A2">
        <w:rPr>
          <w:rFonts w:ascii="Times New Roman" w:hAnsi="Times New Roman"/>
        </w:rPr>
        <w:t xml:space="preserve"> one of the </w:t>
      </w:r>
      <w:r>
        <w:rPr>
          <w:rFonts w:ascii="Times New Roman" w:hAnsi="Times New Roman"/>
        </w:rPr>
        <w:t>strongest in the industry with a BBB credit rating (S&amp;P and Fitch) and over €4.5bn cash at 30 Sep. Almost 80% of the Group’s fleet is unencumbered (with a book value of over €7bn). Since March, the Group lowered cash burn by cutting costs, participating in EU Govt payroll support schemes, cancelling share buybacks and deferring non-essential capex.  In Sep., the Group raised €400m of equity and a 5-year (unsecured) €850m eurobond with a 2.875% coupon (both transactions were multiple times oversubscribed and keenly priced).  Cash was also boosted by €250m supplier reimbursements received in Q2.  This ensures that the Group is well financed to deal with the Covid-19 crisis and removes refinancing risk as it prepares to repay maturing debt over the coming year (CCFF £600m in Mar. &amp; €850m bond in Jun. 2021).  This financial strength enables the Group to capitalise on the many growth opportunities that are available post Covid-19.</w:t>
      </w:r>
    </w:p>
    <w:p w14:paraId="1581C9FA" w14:textId="77777777" w:rsidR="00F5212F" w:rsidRDefault="00F5212F" w:rsidP="00F5212F">
      <w:pPr>
        <w:pStyle w:val="NoSpacing"/>
        <w:jc w:val="both"/>
        <w:rPr>
          <w:rFonts w:ascii="Times New Roman" w:hAnsi="Times New Roman"/>
          <w:b/>
        </w:rPr>
      </w:pPr>
    </w:p>
    <w:p w14:paraId="2F2E4314" w14:textId="77777777" w:rsidR="00F5212F" w:rsidRPr="00D325C0" w:rsidRDefault="00F5212F" w:rsidP="00F5212F">
      <w:pPr>
        <w:pStyle w:val="NoSpacing"/>
        <w:jc w:val="both"/>
        <w:rPr>
          <w:rFonts w:ascii="Times New Roman" w:hAnsi="Times New Roman"/>
          <w:b/>
          <w:u w:val="single"/>
        </w:rPr>
      </w:pPr>
      <w:r w:rsidRPr="00D325C0">
        <w:rPr>
          <w:rFonts w:ascii="Times New Roman" w:hAnsi="Times New Roman"/>
          <w:b/>
          <w:u w:val="single"/>
        </w:rPr>
        <w:t>Boeing MAX update</w:t>
      </w:r>
    </w:p>
    <w:p w14:paraId="1CD02624" w14:textId="77777777" w:rsidR="00F5212F" w:rsidRDefault="00F5212F" w:rsidP="00F5212F">
      <w:pPr>
        <w:pStyle w:val="NoSpacing"/>
        <w:jc w:val="both"/>
        <w:rPr>
          <w:rFonts w:ascii="Times New Roman" w:hAnsi="Times New Roman"/>
        </w:rPr>
      </w:pPr>
      <w:r>
        <w:rPr>
          <w:rFonts w:ascii="Times New Roman" w:hAnsi="Times New Roman"/>
        </w:rPr>
        <w:t xml:space="preserve">It is over 18-months since the Group was due to take delivery of its first Boeing 737-MAX-200 aircraft.  Boeing expect a calendar Q4 return to service for the MAX-8, allowing Ryanair to, hopefully, accept delivery of its first MAX-200 in early 2021.  We expect to take delivery of approx. 30 MAXs before peak S.2021. While the Group received supplier reimbursements in Q2, compensation discussions will not be finalised or concluded with Boeing until the MAX </w:t>
      </w:r>
      <w:r>
        <w:rPr>
          <w:rFonts w:ascii="Times New Roman" w:hAnsi="Times New Roman"/>
        </w:rPr>
        <w:lastRenderedPageBreak/>
        <w:t xml:space="preserve">returns to service and revised delivery schedules can be finalised and agreed.  We remain committed to the Boeing 737, particularly the new 200 series “gamechanger” aircraft which have 4% more seats, 16% lower fuel burn and 40% lower noise emissions.  These new aircraft will enable Ryanair to grow to 200m passengers p.a. over the next 5 or 6 years while lowering the cost base and significantly reducing its environmental footprint.  </w:t>
      </w:r>
    </w:p>
    <w:p w14:paraId="7853FEAD" w14:textId="77777777" w:rsidR="00F5212F" w:rsidRPr="003F42A2" w:rsidRDefault="00F5212F" w:rsidP="00F5212F">
      <w:pPr>
        <w:pStyle w:val="NoSpacing"/>
        <w:jc w:val="both"/>
        <w:rPr>
          <w:rFonts w:ascii="Times New Roman" w:hAnsi="Times New Roman"/>
        </w:rPr>
      </w:pPr>
    </w:p>
    <w:p w14:paraId="495E3D9D" w14:textId="77777777" w:rsidR="00F5212F" w:rsidRDefault="00F5212F" w:rsidP="00F5212F">
      <w:pPr>
        <w:pStyle w:val="NoSpacing"/>
        <w:jc w:val="both"/>
        <w:rPr>
          <w:rFonts w:ascii="Times New Roman" w:hAnsi="Times New Roman"/>
          <w:b/>
          <w:u w:val="single"/>
        </w:rPr>
      </w:pPr>
      <w:r>
        <w:rPr>
          <w:rFonts w:ascii="Times New Roman" w:hAnsi="Times New Roman"/>
          <w:b/>
          <w:u w:val="single"/>
        </w:rPr>
        <w:t>BREXIT:</w:t>
      </w:r>
    </w:p>
    <w:p w14:paraId="3F6E9929" w14:textId="710A969F" w:rsidR="00F5212F" w:rsidRPr="00C2674F" w:rsidRDefault="00F5212F" w:rsidP="00F5212F">
      <w:pPr>
        <w:pStyle w:val="NoSpacing"/>
        <w:jc w:val="both"/>
        <w:rPr>
          <w:rFonts w:ascii="Times New Roman" w:hAnsi="Times New Roman"/>
        </w:rPr>
      </w:pPr>
      <w:r>
        <w:rPr>
          <w:rFonts w:ascii="Times New Roman" w:hAnsi="Times New Roman"/>
        </w:rPr>
        <w:t xml:space="preserve">The risk of a no-deal Brexit remains high.  We hope, before the end of the Transition Period in Dec., that the UK and Europe will agree a trade deal to cover air travel which will allow the free movement of people and the deregulated airline market between the UK and Europe to continue.  As an EU airline group, Ryanair should be less </w:t>
      </w:r>
      <w:r w:rsidR="00824E8F">
        <w:rPr>
          <w:rFonts w:ascii="Times New Roman" w:hAnsi="Times New Roman"/>
        </w:rPr>
        <w:t>a</w:t>
      </w:r>
      <w:r>
        <w:rPr>
          <w:rFonts w:ascii="Times New Roman" w:hAnsi="Times New Roman"/>
        </w:rPr>
        <w:t>ffected by a no-deal Brexit than our UK registered competitors. However, we still expect Brexit to cause adverse trading consequences. Ryanair has put the necessary measures in place to ensure that the Group remains majority EU owned, including restricting voting rights of non-EU shareholders, in the event of a “hard-Brexit”. We therefore expect the Group’s AOCs in Austria, Ireland, Malta and Poland to continue to operate freely.  In addition, Ryanair’s UK AOC (Ryanair UK) will be able to benefit from any bilateral agreements negotiated between the UK and non-EU countries while facilitating the operation of domestic UK flights.</w:t>
      </w:r>
    </w:p>
    <w:p w14:paraId="10F68DAB" w14:textId="77777777" w:rsidR="00F5212F" w:rsidRDefault="00F5212F" w:rsidP="00F5212F">
      <w:pPr>
        <w:pStyle w:val="NoSpacing"/>
        <w:jc w:val="both"/>
        <w:rPr>
          <w:rFonts w:ascii="Times New Roman" w:hAnsi="Times New Roman"/>
          <w:b/>
          <w:u w:val="single"/>
        </w:rPr>
      </w:pPr>
    </w:p>
    <w:p w14:paraId="5DA58F71" w14:textId="77777777" w:rsidR="00F5212F" w:rsidRPr="00D8383F" w:rsidRDefault="00F5212F" w:rsidP="00F5212F">
      <w:pPr>
        <w:pStyle w:val="NoSpacing"/>
        <w:jc w:val="both"/>
        <w:rPr>
          <w:rFonts w:ascii="Times New Roman" w:hAnsi="Times New Roman"/>
          <w:b/>
          <w:u w:val="single"/>
        </w:rPr>
      </w:pPr>
      <w:r>
        <w:rPr>
          <w:rFonts w:ascii="Times New Roman" w:hAnsi="Times New Roman"/>
          <w:b/>
          <w:u w:val="single"/>
        </w:rPr>
        <w:t>OUTLOOK:</w:t>
      </w:r>
    </w:p>
    <w:p w14:paraId="337CD657" w14:textId="77777777" w:rsidR="00F5212F" w:rsidRDefault="00F5212F" w:rsidP="00F5212F">
      <w:pPr>
        <w:pStyle w:val="NoSpacing"/>
        <w:jc w:val="both"/>
        <w:rPr>
          <w:rFonts w:ascii="Times New Roman" w:hAnsi="Times New Roman"/>
        </w:rPr>
      </w:pPr>
      <w:r>
        <w:rPr>
          <w:rFonts w:ascii="Times New Roman" w:hAnsi="Times New Roman"/>
        </w:rPr>
        <w:t>FY21 will continue to be a hugely challenging year for Ryanair.  Given the current Covid-19 uncertainty, Ryanair cannot provide FY21 PAT guidance at this time.  The Group expects to carry approx. 38m passengers in FY21, although this guidance could be further revised downwards if EU Govts continue to mismanage air travel and impose more uncoordinated travel restrictions or lock downs this winter.  The Group expects to record higher losses in H2 than in H1.</w:t>
      </w:r>
    </w:p>
    <w:p w14:paraId="57379DD9" w14:textId="77777777" w:rsidR="00F5212F" w:rsidRDefault="00F5212F" w:rsidP="00F5212F">
      <w:pPr>
        <w:pStyle w:val="NoSpacing"/>
        <w:jc w:val="both"/>
        <w:rPr>
          <w:rFonts w:ascii="Times New Roman" w:hAnsi="Times New Roman"/>
        </w:rPr>
      </w:pPr>
    </w:p>
    <w:p w14:paraId="0BAF6A4C" w14:textId="77777777" w:rsidR="00F5212F" w:rsidRDefault="00F5212F" w:rsidP="00F5212F">
      <w:pPr>
        <w:pStyle w:val="NoSpacing"/>
        <w:jc w:val="both"/>
        <w:rPr>
          <w:rFonts w:ascii="Times New Roman" w:hAnsi="Times New Roman"/>
        </w:rPr>
      </w:pPr>
      <w:r>
        <w:rPr>
          <w:rFonts w:ascii="Times New Roman" w:hAnsi="Times New Roman"/>
        </w:rPr>
        <w:t xml:space="preserve">As we look beyond the Covid-19 crisis, and the emergence of effective vaccines in early 2021, the Ryanair Group expects to have a lower cost base, a stronger balance sheet, which will enable it to fund lower fares, and add new lower cost aircraft to capitalise on the many growth opportunities that will be available in all markets across Europe, especially where competitor airlines have substantially cut capacity or failed.  </w:t>
      </w:r>
    </w:p>
    <w:p w14:paraId="638D9EA1" w14:textId="77777777" w:rsidR="00F5212F" w:rsidRPr="00D501F6" w:rsidRDefault="00F5212F" w:rsidP="00F5212F">
      <w:pPr>
        <w:jc w:val="both"/>
        <w:rPr>
          <w:rFonts w:eastAsia="Calibri"/>
          <w:lang w:val="en-GB"/>
        </w:rPr>
      </w:pPr>
    </w:p>
    <w:p w14:paraId="4B0B6918" w14:textId="77777777" w:rsidR="00F5212F" w:rsidRDefault="00F5212F" w:rsidP="00F5212F">
      <w:pPr>
        <w:pStyle w:val="NoSpacing"/>
        <w:jc w:val="both"/>
        <w:rPr>
          <w:rFonts w:ascii="Times New Roman" w:hAnsi="Times New Roman"/>
          <w:b/>
        </w:rPr>
      </w:pPr>
      <w:r w:rsidRPr="003F42A2">
        <w:rPr>
          <w:rFonts w:ascii="Times New Roman" w:hAnsi="Times New Roman"/>
          <w:b/>
        </w:rPr>
        <w:t>ENDS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5"/>
        <w:gridCol w:w="3005"/>
      </w:tblGrid>
      <w:tr w:rsidR="00F5212F" w:rsidRPr="003F42A2" w14:paraId="075E80C6" w14:textId="77777777" w:rsidTr="00C0207A">
        <w:tc>
          <w:tcPr>
            <w:tcW w:w="3006" w:type="dxa"/>
          </w:tcPr>
          <w:p w14:paraId="0FCB990F" w14:textId="77777777" w:rsidR="00F5212F" w:rsidRPr="003F42A2" w:rsidRDefault="00F5212F" w:rsidP="00C0207A">
            <w:pPr>
              <w:pStyle w:val="NoSpacing"/>
              <w:jc w:val="both"/>
            </w:pPr>
            <w:r w:rsidRPr="003F42A2">
              <w:t>For further information</w:t>
            </w:r>
          </w:p>
          <w:p w14:paraId="10BB980A" w14:textId="77777777" w:rsidR="00F5212F" w:rsidRPr="003F42A2" w:rsidRDefault="00F5212F" w:rsidP="00C0207A">
            <w:pPr>
              <w:pStyle w:val="NoSpacing"/>
              <w:jc w:val="both"/>
            </w:pPr>
            <w:r w:rsidRPr="003F42A2">
              <w:t>please contact:</w:t>
            </w:r>
          </w:p>
          <w:p w14:paraId="07C464F8" w14:textId="77777777" w:rsidR="00F5212F" w:rsidRPr="003F42A2" w:rsidRDefault="002B3EA0" w:rsidP="00C0207A">
            <w:pPr>
              <w:pStyle w:val="NoSpacing"/>
              <w:jc w:val="both"/>
            </w:pPr>
            <w:hyperlink r:id="rId8" w:history="1">
              <w:r w:rsidR="00F5212F" w:rsidRPr="00DF1899">
                <w:rPr>
                  <w:rStyle w:val="Hyperlink"/>
                </w:rPr>
                <w:t>www.ryanair.com</w:t>
              </w:r>
            </w:hyperlink>
            <w:r w:rsidR="00F5212F">
              <w:t xml:space="preserve"> </w:t>
            </w:r>
          </w:p>
        </w:tc>
        <w:tc>
          <w:tcPr>
            <w:tcW w:w="3005" w:type="dxa"/>
          </w:tcPr>
          <w:p w14:paraId="14622D74" w14:textId="77777777" w:rsidR="00F5212F" w:rsidRDefault="00F5212F" w:rsidP="00C0207A">
            <w:pPr>
              <w:pStyle w:val="NoSpacing"/>
              <w:jc w:val="both"/>
            </w:pPr>
            <w:r>
              <w:t>Neil Sorahan</w:t>
            </w:r>
          </w:p>
          <w:p w14:paraId="157666D4" w14:textId="77777777" w:rsidR="00F5212F" w:rsidRDefault="00F5212F" w:rsidP="00C0207A">
            <w:pPr>
              <w:pStyle w:val="NoSpacing"/>
              <w:jc w:val="both"/>
            </w:pPr>
            <w:r>
              <w:t>Ryanair Holdings plc</w:t>
            </w:r>
          </w:p>
          <w:p w14:paraId="7A538284" w14:textId="77777777" w:rsidR="00F5212F" w:rsidRPr="003F42A2" w:rsidRDefault="00F5212F" w:rsidP="00C0207A">
            <w:pPr>
              <w:pStyle w:val="NoSpacing"/>
              <w:jc w:val="both"/>
              <w:rPr>
                <w:b/>
              </w:rPr>
            </w:pPr>
            <w:r w:rsidRPr="003F42A2">
              <w:rPr>
                <w:b/>
              </w:rPr>
              <w:t>Tel: +353-1-9451212</w:t>
            </w:r>
          </w:p>
        </w:tc>
        <w:tc>
          <w:tcPr>
            <w:tcW w:w="3005" w:type="dxa"/>
          </w:tcPr>
          <w:p w14:paraId="70C3084C" w14:textId="77777777" w:rsidR="00F5212F" w:rsidRDefault="00F5212F" w:rsidP="00C0207A">
            <w:pPr>
              <w:pStyle w:val="NoSpacing"/>
              <w:jc w:val="both"/>
            </w:pPr>
            <w:r>
              <w:t>Piaras Kelly</w:t>
            </w:r>
          </w:p>
          <w:p w14:paraId="05223FAD" w14:textId="77777777" w:rsidR="00F5212F" w:rsidRDefault="00F5212F" w:rsidP="00C0207A">
            <w:pPr>
              <w:pStyle w:val="NoSpacing"/>
              <w:jc w:val="both"/>
            </w:pPr>
            <w:r>
              <w:t>Edelman</w:t>
            </w:r>
          </w:p>
          <w:p w14:paraId="0DF19143" w14:textId="77777777" w:rsidR="00F5212F" w:rsidRPr="003F42A2" w:rsidRDefault="00F5212F" w:rsidP="00C0207A">
            <w:pPr>
              <w:pStyle w:val="NoSpacing"/>
              <w:jc w:val="both"/>
              <w:rPr>
                <w:b/>
              </w:rPr>
            </w:pPr>
            <w:r w:rsidRPr="003F42A2">
              <w:rPr>
                <w:b/>
              </w:rPr>
              <w:t>Tel: +353-1-6789333</w:t>
            </w:r>
          </w:p>
        </w:tc>
      </w:tr>
    </w:tbl>
    <w:p w14:paraId="4F7EDFB4" w14:textId="36C409F2" w:rsidR="00F5212F" w:rsidRPr="003F42A2" w:rsidRDefault="00F5212F" w:rsidP="00F5212F">
      <w:pPr>
        <w:pStyle w:val="NoSpacing"/>
        <w:jc w:val="both"/>
        <w:rPr>
          <w:rFonts w:ascii="Times New Roman" w:hAnsi="Times New Roman"/>
        </w:rPr>
      </w:pPr>
    </w:p>
    <w:p w14:paraId="19BE5C29" w14:textId="77777777" w:rsidR="002B3EA0" w:rsidRPr="00AA0B5C" w:rsidRDefault="002B3EA0" w:rsidP="002B3EA0">
      <w:pPr>
        <w:jc w:val="both"/>
        <w:rPr>
          <w:i/>
          <w:iCs/>
          <w:sz w:val="20"/>
          <w:szCs w:val="20"/>
        </w:rPr>
      </w:pPr>
      <w:r>
        <w:rPr>
          <w:i/>
          <w:iCs/>
          <w:sz w:val="20"/>
          <w:szCs w:val="20"/>
        </w:rPr>
        <w:t>Ryanair Holdings p</w:t>
      </w:r>
      <w:r w:rsidRPr="00EF72E0">
        <w:rPr>
          <w:i/>
          <w:iCs/>
          <w:sz w:val="20"/>
          <w:szCs w:val="20"/>
        </w:rPr>
        <w:t xml:space="preserve">lc, Europe’s largest airline group, is the parent company of </w:t>
      </w:r>
      <w:r>
        <w:rPr>
          <w:i/>
          <w:iCs/>
          <w:sz w:val="20"/>
          <w:szCs w:val="20"/>
        </w:rPr>
        <w:t>Buzz, Lauda, Malta Air &amp; Ryanair. Carrying 149</w:t>
      </w:r>
      <w:r w:rsidRPr="00EF72E0">
        <w:rPr>
          <w:i/>
          <w:iCs/>
          <w:sz w:val="20"/>
          <w:szCs w:val="20"/>
        </w:rPr>
        <w:t xml:space="preserve">m guests </w:t>
      </w:r>
      <w:r>
        <w:rPr>
          <w:i/>
          <w:iCs/>
          <w:sz w:val="20"/>
          <w:szCs w:val="20"/>
        </w:rPr>
        <w:t>p.a. (pre Covid-19)</w:t>
      </w:r>
      <w:r w:rsidRPr="00EF72E0">
        <w:rPr>
          <w:i/>
          <w:iCs/>
          <w:sz w:val="20"/>
          <w:szCs w:val="20"/>
        </w:rPr>
        <w:t xml:space="preserve"> on more </w:t>
      </w:r>
      <w:r>
        <w:rPr>
          <w:i/>
          <w:iCs/>
          <w:sz w:val="20"/>
          <w:szCs w:val="20"/>
        </w:rPr>
        <w:t>than 2,100 daily flights from 72</w:t>
      </w:r>
      <w:r w:rsidRPr="00EF72E0">
        <w:rPr>
          <w:i/>
          <w:iCs/>
          <w:sz w:val="20"/>
          <w:szCs w:val="20"/>
        </w:rPr>
        <w:t xml:space="preserve"> bases, the </w:t>
      </w:r>
      <w:r>
        <w:rPr>
          <w:i/>
          <w:iCs/>
          <w:sz w:val="20"/>
          <w:szCs w:val="20"/>
        </w:rPr>
        <w:t>G</w:t>
      </w:r>
      <w:r w:rsidRPr="00EF72E0">
        <w:rPr>
          <w:i/>
          <w:iCs/>
          <w:sz w:val="20"/>
          <w:szCs w:val="20"/>
        </w:rPr>
        <w:t>roup connects over 2</w:t>
      </w:r>
      <w:r>
        <w:rPr>
          <w:i/>
          <w:iCs/>
          <w:sz w:val="20"/>
          <w:szCs w:val="20"/>
        </w:rPr>
        <w:t>4</w:t>
      </w:r>
      <w:r w:rsidRPr="00EF72E0">
        <w:rPr>
          <w:i/>
          <w:iCs/>
          <w:sz w:val="20"/>
          <w:szCs w:val="20"/>
        </w:rPr>
        <w:t xml:space="preserve">0 destinations in </w:t>
      </w:r>
      <w:r>
        <w:rPr>
          <w:i/>
          <w:iCs/>
          <w:sz w:val="20"/>
          <w:szCs w:val="20"/>
        </w:rPr>
        <w:t>40</w:t>
      </w:r>
      <w:r w:rsidRPr="00EF72E0">
        <w:rPr>
          <w:i/>
          <w:iCs/>
          <w:sz w:val="20"/>
          <w:szCs w:val="20"/>
        </w:rPr>
        <w:t xml:space="preserve"> </w:t>
      </w:r>
      <w:r>
        <w:rPr>
          <w:i/>
          <w:iCs/>
          <w:sz w:val="20"/>
          <w:szCs w:val="20"/>
        </w:rPr>
        <w:t>countrie</w:t>
      </w:r>
      <w:r w:rsidRPr="00EF72E0">
        <w:rPr>
          <w:i/>
          <w:iCs/>
          <w:sz w:val="20"/>
          <w:szCs w:val="20"/>
        </w:rPr>
        <w:t>s on a fleet of</w:t>
      </w:r>
      <w:r>
        <w:rPr>
          <w:i/>
          <w:iCs/>
          <w:sz w:val="20"/>
          <w:szCs w:val="20"/>
        </w:rPr>
        <w:t xml:space="preserve"> </w:t>
      </w:r>
      <w:r w:rsidRPr="00EF72E0">
        <w:rPr>
          <w:i/>
          <w:iCs/>
          <w:sz w:val="20"/>
          <w:szCs w:val="20"/>
        </w:rPr>
        <w:t>4</w:t>
      </w:r>
      <w:r>
        <w:rPr>
          <w:i/>
          <w:iCs/>
          <w:sz w:val="20"/>
          <w:szCs w:val="20"/>
        </w:rPr>
        <w:t>70</w:t>
      </w:r>
      <w:r w:rsidRPr="00EF72E0">
        <w:rPr>
          <w:i/>
          <w:iCs/>
          <w:sz w:val="20"/>
          <w:szCs w:val="20"/>
        </w:rPr>
        <w:t xml:space="preserve"> aircraft, with a further 210 Boeing 737s on order, which will enable </w:t>
      </w:r>
      <w:r>
        <w:rPr>
          <w:i/>
          <w:iCs/>
          <w:sz w:val="20"/>
          <w:szCs w:val="20"/>
        </w:rPr>
        <w:t>the Ryanair Group</w:t>
      </w:r>
      <w:r w:rsidRPr="00EF72E0">
        <w:rPr>
          <w:i/>
          <w:iCs/>
          <w:sz w:val="20"/>
          <w:szCs w:val="20"/>
        </w:rPr>
        <w:t xml:space="preserve"> to lower fares and g</w:t>
      </w:r>
      <w:r>
        <w:rPr>
          <w:i/>
          <w:iCs/>
          <w:sz w:val="20"/>
          <w:szCs w:val="20"/>
        </w:rPr>
        <w:t>row traffic to 200m p.a. over the next 5 or 6 years</w:t>
      </w:r>
      <w:r w:rsidRPr="00EF72E0">
        <w:rPr>
          <w:i/>
          <w:iCs/>
          <w:sz w:val="20"/>
          <w:szCs w:val="20"/>
        </w:rPr>
        <w:t xml:space="preserve">. Ryanair has a team of </w:t>
      </w:r>
      <w:r>
        <w:rPr>
          <w:i/>
          <w:iCs/>
          <w:sz w:val="20"/>
          <w:szCs w:val="20"/>
        </w:rPr>
        <w:t>over</w:t>
      </w:r>
      <w:r w:rsidRPr="00EF72E0">
        <w:rPr>
          <w:i/>
          <w:iCs/>
          <w:sz w:val="20"/>
          <w:szCs w:val="20"/>
        </w:rPr>
        <w:t xml:space="preserve"> 1</w:t>
      </w:r>
      <w:r>
        <w:rPr>
          <w:i/>
          <w:iCs/>
          <w:sz w:val="20"/>
          <w:szCs w:val="20"/>
        </w:rPr>
        <w:t>6</w:t>
      </w:r>
      <w:r w:rsidRPr="00EF72E0">
        <w:rPr>
          <w:i/>
          <w:iCs/>
          <w:sz w:val="20"/>
          <w:szCs w:val="20"/>
        </w:rPr>
        <w:t>,000 highly skilled aviation professionals delivering Europe’s No.1 on-time performance, and an industry leading 3</w:t>
      </w:r>
      <w:r>
        <w:rPr>
          <w:i/>
          <w:iCs/>
          <w:sz w:val="20"/>
          <w:szCs w:val="20"/>
        </w:rPr>
        <w:t>5</w:t>
      </w:r>
      <w:r w:rsidRPr="00EF72E0">
        <w:rPr>
          <w:i/>
          <w:iCs/>
          <w:sz w:val="20"/>
          <w:szCs w:val="20"/>
        </w:rPr>
        <w:t>-year safety record.</w:t>
      </w:r>
      <w:r>
        <w:rPr>
          <w:i/>
          <w:iCs/>
          <w:sz w:val="20"/>
          <w:szCs w:val="20"/>
        </w:rPr>
        <w:t xml:space="preserve"> Ryanair is Europe’s greenest cleanest airline group and customers switching to fly Ryanair can reduce their </w:t>
      </w:r>
      <w:r w:rsidRPr="00CF64CF">
        <w:rPr>
          <w:i/>
          <w:iCs/>
          <w:sz w:val="20"/>
          <w:szCs w:val="20"/>
        </w:rPr>
        <w:t>CO₂</w:t>
      </w:r>
      <w:r>
        <w:rPr>
          <w:i/>
          <w:iCs/>
          <w:sz w:val="20"/>
          <w:szCs w:val="20"/>
        </w:rPr>
        <w:t xml:space="preserve"> emissions by up to 50% compared to the other Big 4 EU major airlines.</w:t>
      </w:r>
    </w:p>
    <w:p w14:paraId="5158E9EF" w14:textId="5E23A7D5" w:rsidR="00F5212F" w:rsidRPr="003F42A2" w:rsidRDefault="00F5212F" w:rsidP="00F5212F">
      <w:pPr>
        <w:pStyle w:val="NoSpacing"/>
        <w:jc w:val="both"/>
        <w:rPr>
          <w:rFonts w:ascii="Times New Roman" w:hAnsi="Times New Roman"/>
        </w:rPr>
      </w:pPr>
      <w:r w:rsidRPr="003F42A2">
        <w:rPr>
          <w:rFonts w:ascii="Times New Roman" w:hAnsi="Times New Roman"/>
        </w:rPr>
        <w:br/>
      </w:r>
      <w:r w:rsidRPr="003F42A2">
        <w:rPr>
          <w:rFonts w:ascii="Times New Roman" w:hAnsi="Times New Roman"/>
        </w:rPr>
        <w:br/>
      </w:r>
      <w:r w:rsidRPr="003F42A2">
        <w:rPr>
          <w:rFonts w:ascii="Times New Roman" w:hAnsi="Times New Roman"/>
        </w:rPr>
        <w:lastRenderedPageBreak/>
        <w:br/>
      </w:r>
    </w:p>
    <w:p w14:paraId="5B136517" w14:textId="77777777" w:rsidR="00F5212F" w:rsidRDefault="00F5212F" w:rsidP="00F5212F">
      <w:pPr>
        <w:pStyle w:val="NoSpacing"/>
        <w:jc w:val="both"/>
        <w:rPr>
          <w:rFonts w:ascii="Times New Roman" w:eastAsia="Times New Roman" w:hAnsi="Times New Roman"/>
          <w:b/>
          <w:bCs/>
          <w:i/>
          <w:sz w:val="16"/>
          <w:szCs w:val="16"/>
        </w:rPr>
      </w:pPr>
    </w:p>
    <w:p w14:paraId="121A1972" w14:textId="77777777" w:rsidR="00F5212F" w:rsidRDefault="00F5212F" w:rsidP="00F5212F">
      <w:pPr>
        <w:pStyle w:val="NoSpacing"/>
        <w:jc w:val="both"/>
        <w:rPr>
          <w:rFonts w:ascii="Times New Roman" w:eastAsia="Times New Roman" w:hAnsi="Times New Roman"/>
          <w:b/>
          <w:bCs/>
          <w:i/>
          <w:sz w:val="16"/>
          <w:szCs w:val="16"/>
        </w:rPr>
      </w:pPr>
    </w:p>
    <w:p w14:paraId="0E4EE815" w14:textId="77777777" w:rsidR="00F5212F" w:rsidRDefault="00F5212F" w:rsidP="00F5212F">
      <w:pPr>
        <w:pStyle w:val="NoSpacing"/>
        <w:jc w:val="both"/>
        <w:rPr>
          <w:rFonts w:ascii="Times New Roman" w:eastAsia="Times New Roman" w:hAnsi="Times New Roman"/>
          <w:b/>
          <w:bCs/>
          <w:i/>
          <w:sz w:val="16"/>
          <w:szCs w:val="16"/>
        </w:rPr>
      </w:pPr>
    </w:p>
    <w:p w14:paraId="042A33EA" w14:textId="77777777" w:rsidR="00F5212F" w:rsidRDefault="00F5212F" w:rsidP="00F5212F">
      <w:pPr>
        <w:pStyle w:val="NoSpacing"/>
        <w:jc w:val="both"/>
        <w:rPr>
          <w:rFonts w:ascii="Times New Roman" w:eastAsia="Times New Roman" w:hAnsi="Times New Roman"/>
          <w:b/>
          <w:bCs/>
          <w:i/>
          <w:sz w:val="16"/>
          <w:szCs w:val="16"/>
        </w:rPr>
      </w:pPr>
    </w:p>
    <w:p w14:paraId="62165A05" w14:textId="77777777" w:rsidR="00F5212F" w:rsidRDefault="00F5212F" w:rsidP="00F5212F">
      <w:pPr>
        <w:pStyle w:val="NoSpacing"/>
        <w:jc w:val="both"/>
        <w:rPr>
          <w:rFonts w:ascii="Times New Roman" w:eastAsia="Times New Roman" w:hAnsi="Times New Roman"/>
          <w:b/>
          <w:bCs/>
          <w:i/>
          <w:sz w:val="16"/>
          <w:szCs w:val="16"/>
        </w:rPr>
      </w:pPr>
    </w:p>
    <w:p w14:paraId="0E884CA2" w14:textId="77777777" w:rsidR="00F5212F" w:rsidRDefault="00F5212F" w:rsidP="00F5212F">
      <w:pPr>
        <w:pStyle w:val="NoSpacing"/>
        <w:jc w:val="both"/>
        <w:rPr>
          <w:rFonts w:ascii="Times New Roman" w:eastAsia="Times New Roman" w:hAnsi="Times New Roman"/>
          <w:b/>
          <w:bCs/>
          <w:i/>
          <w:sz w:val="16"/>
          <w:szCs w:val="16"/>
        </w:rPr>
      </w:pPr>
    </w:p>
    <w:p w14:paraId="1DF09C06" w14:textId="77777777" w:rsidR="00F5212F" w:rsidRDefault="00F5212F" w:rsidP="00F5212F">
      <w:pPr>
        <w:pStyle w:val="NoSpacing"/>
        <w:jc w:val="both"/>
        <w:rPr>
          <w:rFonts w:ascii="Times New Roman" w:eastAsia="Times New Roman" w:hAnsi="Times New Roman"/>
          <w:b/>
          <w:bCs/>
          <w:i/>
          <w:sz w:val="16"/>
          <w:szCs w:val="16"/>
        </w:rPr>
      </w:pPr>
    </w:p>
    <w:p w14:paraId="329E5C5C" w14:textId="77777777" w:rsidR="00F5212F" w:rsidRPr="003F42A2" w:rsidRDefault="00F5212F" w:rsidP="00F5212F">
      <w:pPr>
        <w:pStyle w:val="NoSpacing"/>
        <w:jc w:val="both"/>
        <w:rPr>
          <w:rFonts w:ascii="Times New Roman" w:eastAsia="Times New Roman" w:hAnsi="Times New Roman"/>
          <w:b/>
          <w:i/>
          <w:sz w:val="16"/>
          <w:szCs w:val="16"/>
        </w:rPr>
      </w:pPr>
      <w:r w:rsidRPr="003F42A2">
        <w:rPr>
          <w:rFonts w:ascii="Times New Roman" w:eastAsia="Times New Roman" w:hAnsi="Times New Roman"/>
          <w:b/>
          <w:bCs/>
          <w:i/>
          <w:sz w:val="16"/>
          <w:szCs w:val="16"/>
        </w:rPr>
        <w:t>Certain of the information included in this release is forward looking and is subject to important risks and uncertainties that could cause actual results to differ materially.  It is not reasonably possible to itemise all of the many factors and specific events that could affect the outlook and results of an airline operating in the European economy.  Among the factors that are subject to change and could significantly impact Ryanair’s expected results are the airline pricing environment, fuel costs, competition from new and existing carriers, market prices for the replacement of aircraft, costs associated with environmental, safety and security measures, actions of the Irish, U.K., European Union (“EU”) and other governments and their respective regulatory agencies, uncertainties surrounding Brexit, weather related disruptions, ATC strikes and staffing related disruptions, delays in the delivery of contracted aircraft, fluctuations in currency exchange rates and interest rates, airport access and charges, labour relations, the economic environment of the airline industry, the general economic environment in Ireland, the UK and Continental Europe, the general willingness of passengers to travel and other economics, social and political factors</w:t>
      </w:r>
      <w:r>
        <w:rPr>
          <w:rFonts w:ascii="Times New Roman" w:eastAsia="Times New Roman" w:hAnsi="Times New Roman"/>
          <w:b/>
          <w:bCs/>
          <w:i/>
          <w:sz w:val="16"/>
          <w:szCs w:val="16"/>
        </w:rPr>
        <w:t>, global pandemics</w:t>
      </w:r>
      <w:r w:rsidRPr="003F42A2">
        <w:rPr>
          <w:rFonts w:ascii="Times New Roman" w:eastAsia="Times New Roman" w:hAnsi="Times New Roman"/>
          <w:b/>
          <w:bCs/>
          <w:i/>
          <w:sz w:val="16"/>
          <w:szCs w:val="16"/>
        </w:rPr>
        <w:t xml:space="preserve"> </w:t>
      </w:r>
      <w:r>
        <w:rPr>
          <w:rFonts w:ascii="Times New Roman" w:eastAsia="Times New Roman" w:hAnsi="Times New Roman"/>
          <w:b/>
          <w:bCs/>
          <w:i/>
          <w:sz w:val="16"/>
          <w:szCs w:val="16"/>
        </w:rPr>
        <w:t xml:space="preserve">such as Covid-19 </w:t>
      </w:r>
      <w:r w:rsidRPr="003F42A2">
        <w:rPr>
          <w:rFonts w:ascii="Times New Roman" w:eastAsia="Times New Roman" w:hAnsi="Times New Roman"/>
          <w:b/>
          <w:bCs/>
          <w:i/>
          <w:sz w:val="16"/>
          <w:szCs w:val="16"/>
        </w:rPr>
        <w:t>and unforeseen security events.</w:t>
      </w:r>
    </w:p>
    <w:p w14:paraId="004A0886" w14:textId="77777777" w:rsidR="00F5212F" w:rsidRPr="003F42A2" w:rsidRDefault="00F5212F" w:rsidP="00F5212F">
      <w:pPr>
        <w:pStyle w:val="NoSpacing"/>
        <w:jc w:val="both"/>
        <w:rPr>
          <w:rFonts w:ascii="Times New Roman" w:hAnsi="Times New Roman"/>
          <w:b/>
          <w:i/>
          <w:sz w:val="16"/>
          <w:szCs w:val="16"/>
        </w:rPr>
      </w:pPr>
    </w:p>
    <w:p w14:paraId="2E80E50B" w14:textId="3FFC8D00" w:rsidR="009129CB" w:rsidRDefault="009129CB" w:rsidP="009129CB">
      <w:pPr>
        <w:pStyle w:val="NoSpacing"/>
        <w:jc w:val="both"/>
        <w:rPr>
          <w:rFonts w:ascii="Times New Roman" w:hAnsi="Times New Roman"/>
          <w:b/>
          <w:i/>
          <w:sz w:val="16"/>
          <w:szCs w:val="16"/>
        </w:rPr>
      </w:pPr>
    </w:p>
    <w:p w14:paraId="56BA13AA" w14:textId="77777777" w:rsidR="00F5212F" w:rsidRPr="003F42A2" w:rsidRDefault="00F5212F" w:rsidP="009129CB">
      <w:pPr>
        <w:pStyle w:val="NoSpacing"/>
        <w:jc w:val="both"/>
        <w:rPr>
          <w:rFonts w:ascii="Times New Roman" w:hAnsi="Times New Roman"/>
          <w:b/>
          <w:i/>
          <w:sz w:val="16"/>
          <w:szCs w:val="16"/>
        </w:rPr>
      </w:pPr>
    </w:p>
    <w:p w14:paraId="65A0813C" w14:textId="6DA0C408" w:rsidR="00CB5813" w:rsidRPr="00677316" w:rsidRDefault="00CB5813" w:rsidP="00CB5813">
      <w:pPr>
        <w:tabs>
          <w:tab w:val="left" w:pos="7433"/>
        </w:tabs>
        <w:autoSpaceDE w:val="0"/>
        <w:autoSpaceDN w:val="0"/>
        <w:adjustRightInd w:val="0"/>
        <w:ind w:left="38"/>
        <w:rPr>
          <w:rFonts w:asciiTheme="minorHAnsi" w:hAnsiTheme="minorHAnsi" w:cstheme="minorHAnsi"/>
          <w:b/>
          <w:bCs/>
          <w:i/>
          <w:iCs/>
          <w:color w:val="000000"/>
        </w:rPr>
      </w:pPr>
      <w:r w:rsidRPr="00677316">
        <w:rPr>
          <w:rFonts w:asciiTheme="minorHAnsi" w:hAnsiTheme="minorHAnsi" w:cstheme="minorHAnsi"/>
          <w:b/>
          <w:bCs/>
          <w:color w:val="000000"/>
        </w:rPr>
        <w:t>Ryanair Holdings plc and Subsidiaries</w:t>
      </w:r>
    </w:p>
    <w:p w14:paraId="2F89D2BC" w14:textId="2986B560" w:rsidR="00207806" w:rsidRDefault="00F37704" w:rsidP="00207806">
      <w:pPr>
        <w:autoSpaceDE w:val="0"/>
        <w:autoSpaceDN w:val="0"/>
        <w:adjustRightInd w:val="0"/>
        <w:ind w:left="38"/>
        <w:rPr>
          <w:rFonts w:ascii="Calibri" w:hAnsi="Calibri" w:cs="Calibri"/>
          <w:b/>
          <w:bCs/>
          <w:i/>
          <w:iCs/>
          <w:color w:val="000000"/>
        </w:rPr>
      </w:pPr>
      <w:r w:rsidRPr="00C22F7C">
        <w:rPr>
          <w:rFonts w:ascii="Calibri" w:hAnsi="Calibri" w:cs="Calibri"/>
          <w:b/>
          <w:bCs/>
          <w:i/>
          <w:iCs/>
          <w:color w:val="000000"/>
        </w:rPr>
        <w:t>Condensed Consolidated Interim Balance Sheet as at September 30, 2020 (unaudited)</w:t>
      </w:r>
    </w:p>
    <w:tbl>
      <w:tblPr>
        <w:tblpPr w:leftFromText="180" w:rightFromText="180" w:vertAnchor="text" w:tblpY="1"/>
        <w:tblOverlap w:val="never"/>
        <w:tblW w:w="10393" w:type="dxa"/>
        <w:tblLayout w:type="fixed"/>
        <w:tblLook w:val="0000" w:firstRow="0" w:lastRow="0" w:firstColumn="0" w:lastColumn="0" w:noHBand="0" w:noVBand="0"/>
      </w:tblPr>
      <w:tblGrid>
        <w:gridCol w:w="5193"/>
        <w:gridCol w:w="2070"/>
        <w:gridCol w:w="684"/>
        <w:gridCol w:w="1274"/>
        <w:gridCol w:w="1172"/>
      </w:tblGrid>
      <w:tr w:rsidR="00125554" w:rsidRPr="00677316" w14:paraId="6787A962" w14:textId="77777777" w:rsidTr="007A2AC9">
        <w:trPr>
          <w:trHeight w:val="245"/>
        </w:trPr>
        <w:tc>
          <w:tcPr>
            <w:tcW w:w="3494" w:type="pct"/>
            <w:gridSpan w:val="2"/>
            <w:shd w:val="solid" w:color="FFFFFF" w:fill="auto"/>
          </w:tcPr>
          <w:p w14:paraId="3B010EB6" w14:textId="77777777" w:rsidR="00125554" w:rsidRPr="00677316" w:rsidRDefault="00125554" w:rsidP="00125554">
            <w:pPr>
              <w:autoSpaceDE w:val="0"/>
              <w:autoSpaceDN w:val="0"/>
              <w:adjustRightInd w:val="0"/>
              <w:ind w:left="38"/>
              <w:rPr>
                <w:rFonts w:asciiTheme="minorHAnsi" w:hAnsiTheme="minorHAnsi" w:cstheme="minorHAnsi"/>
                <w:b/>
                <w:bCs/>
                <w:i/>
                <w:iCs/>
                <w:color w:val="000000"/>
                <w:sz w:val="22"/>
                <w:szCs w:val="22"/>
              </w:rPr>
            </w:pPr>
          </w:p>
        </w:tc>
        <w:tc>
          <w:tcPr>
            <w:tcW w:w="329" w:type="pct"/>
          </w:tcPr>
          <w:p w14:paraId="329E3ECD" w14:textId="77777777"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7BDBFA69" w14:textId="6510945B" w:rsidR="00125554" w:rsidRPr="007711AB" w:rsidRDefault="00125554" w:rsidP="00125554">
            <w:pPr>
              <w:autoSpaceDE w:val="0"/>
              <w:autoSpaceDN w:val="0"/>
              <w:adjustRightInd w:val="0"/>
              <w:jc w:val="right"/>
              <w:rPr>
                <w:rFonts w:asciiTheme="minorHAnsi" w:hAnsiTheme="minorHAnsi" w:cstheme="minorHAnsi"/>
                <w:b/>
                <w:bCs/>
                <w:color w:val="000000"/>
                <w:sz w:val="22"/>
                <w:szCs w:val="22"/>
              </w:rPr>
            </w:pPr>
            <w:r w:rsidRPr="007711AB">
              <w:rPr>
                <w:rFonts w:asciiTheme="minorHAnsi" w:hAnsiTheme="minorHAnsi" w:cstheme="minorHAnsi"/>
                <w:b/>
                <w:bCs/>
                <w:color w:val="000000"/>
                <w:sz w:val="22"/>
                <w:szCs w:val="22"/>
              </w:rPr>
              <w:t>At</w:t>
            </w:r>
            <w:r>
              <w:rPr>
                <w:rFonts w:asciiTheme="minorHAnsi" w:hAnsiTheme="minorHAnsi" w:cstheme="minorHAnsi"/>
                <w:b/>
                <w:bCs/>
                <w:color w:val="000000"/>
                <w:sz w:val="22"/>
                <w:szCs w:val="22"/>
              </w:rPr>
              <w:t xml:space="preserve"> </w:t>
            </w:r>
            <w:r w:rsidR="00FC32D7">
              <w:rPr>
                <w:rFonts w:asciiTheme="minorHAnsi" w:hAnsiTheme="minorHAnsi" w:cstheme="minorHAnsi"/>
                <w:b/>
                <w:bCs/>
                <w:color w:val="000000"/>
                <w:sz w:val="22"/>
                <w:szCs w:val="22"/>
              </w:rPr>
              <w:t>Sep</w:t>
            </w:r>
            <w:r>
              <w:rPr>
                <w:rFonts w:asciiTheme="minorHAnsi" w:hAnsiTheme="minorHAnsi" w:cstheme="minorHAnsi"/>
                <w:b/>
                <w:bCs/>
                <w:color w:val="000000"/>
                <w:sz w:val="22"/>
                <w:szCs w:val="22"/>
              </w:rPr>
              <w:t xml:space="preserve"> 30</w:t>
            </w:r>
            <w:r w:rsidRPr="007711AB">
              <w:rPr>
                <w:rFonts w:asciiTheme="minorHAnsi" w:hAnsiTheme="minorHAnsi" w:cstheme="minorHAnsi"/>
                <w:b/>
                <w:bCs/>
                <w:color w:val="000000"/>
                <w:sz w:val="22"/>
                <w:szCs w:val="22"/>
              </w:rPr>
              <w:t>,</w:t>
            </w:r>
          </w:p>
        </w:tc>
        <w:tc>
          <w:tcPr>
            <w:tcW w:w="564" w:type="pct"/>
          </w:tcPr>
          <w:p w14:paraId="41229A56" w14:textId="6615B5BB" w:rsidR="00125554" w:rsidRPr="00677316" w:rsidRDefault="00125554" w:rsidP="00125554">
            <w:pPr>
              <w:autoSpaceDE w:val="0"/>
              <w:autoSpaceDN w:val="0"/>
              <w:adjustRightInd w:val="0"/>
              <w:jc w:val="right"/>
              <w:rPr>
                <w:rFonts w:asciiTheme="minorHAnsi" w:hAnsiTheme="minorHAnsi" w:cstheme="minorHAnsi"/>
                <w:bCs/>
                <w:color w:val="000000"/>
                <w:sz w:val="22"/>
                <w:szCs w:val="22"/>
              </w:rPr>
            </w:pPr>
            <w:r w:rsidRPr="007711AB">
              <w:rPr>
                <w:rFonts w:asciiTheme="minorHAnsi" w:hAnsiTheme="minorHAnsi" w:cstheme="minorHAnsi"/>
                <w:b/>
                <w:bCs/>
                <w:color w:val="000000"/>
                <w:sz w:val="22"/>
                <w:szCs w:val="22"/>
              </w:rPr>
              <w:t>At</w:t>
            </w:r>
            <w:r>
              <w:rPr>
                <w:rFonts w:asciiTheme="minorHAnsi" w:hAnsiTheme="minorHAnsi" w:cstheme="minorHAnsi"/>
                <w:b/>
                <w:bCs/>
                <w:color w:val="000000"/>
                <w:sz w:val="22"/>
                <w:szCs w:val="22"/>
              </w:rPr>
              <w:t xml:space="preserve"> Mar 31</w:t>
            </w:r>
            <w:r w:rsidRPr="007711AB">
              <w:rPr>
                <w:rFonts w:asciiTheme="minorHAnsi" w:hAnsiTheme="minorHAnsi" w:cstheme="minorHAnsi"/>
                <w:b/>
                <w:bCs/>
                <w:color w:val="000000"/>
                <w:sz w:val="22"/>
                <w:szCs w:val="22"/>
              </w:rPr>
              <w:t>,</w:t>
            </w:r>
          </w:p>
        </w:tc>
      </w:tr>
      <w:tr w:rsidR="00125554" w:rsidRPr="00677316" w14:paraId="31769A8F" w14:textId="77777777" w:rsidTr="007A2AC9">
        <w:trPr>
          <w:trHeight w:val="245"/>
        </w:trPr>
        <w:tc>
          <w:tcPr>
            <w:tcW w:w="3494" w:type="pct"/>
            <w:gridSpan w:val="2"/>
            <w:shd w:val="solid" w:color="FFFFFF" w:fill="auto"/>
          </w:tcPr>
          <w:p w14:paraId="5A7A1421" w14:textId="77777777" w:rsidR="00125554" w:rsidRPr="00677316" w:rsidRDefault="00125554" w:rsidP="00125554">
            <w:pPr>
              <w:autoSpaceDE w:val="0"/>
              <w:autoSpaceDN w:val="0"/>
              <w:adjustRightInd w:val="0"/>
              <w:ind w:left="38"/>
              <w:rPr>
                <w:rFonts w:asciiTheme="minorHAnsi" w:hAnsiTheme="minorHAnsi" w:cstheme="minorHAnsi"/>
                <w:b/>
                <w:bCs/>
                <w:i/>
                <w:iCs/>
                <w:color w:val="000000"/>
                <w:sz w:val="22"/>
                <w:szCs w:val="22"/>
              </w:rPr>
            </w:pPr>
          </w:p>
        </w:tc>
        <w:tc>
          <w:tcPr>
            <w:tcW w:w="329" w:type="pct"/>
          </w:tcPr>
          <w:p w14:paraId="186315AD" w14:textId="77777777"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2C433F9A" w14:textId="1777F52D" w:rsidR="00125554" w:rsidRPr="007711AB" w:rsidRDefault="00125554" w:rsidP="00125554">
            <w:pPr>
              <w:autoSpaceDE w:val="0"/>
              <w:autoSpaceDN w:val="0"/>
              <w:adjustRightInd w:val="0"/>
              <w:jc w:val="right"/>
              <w:rPr>
                <w:rFonts w:asciiTheme="minorHAnsi" w:hAnsiTheme="minorHAnsi" w:cstheme="minorHAnsi"/>
                <w:b/>
                <w:bCs/>
                <w:color w:val="000000"/>
                <w:sz w:val="22"/>
                <w:szCs w:val="22"/>
              </w:rPr>
            </w:pPr>
            <w:r w:rsidRPr="007711AB">
              <w:rPr>
                <w:rFonts w:asciiTheme="minorHAnsi" w:hAnsiTheme="minorHAnsi" w:cstheme="minorHAnsi"/>
                <w:b/>
                <w:bCs/>
                <w:color w:val="000000"/>
                <w:sz w:val="22"/>
                <w:szCs w:val="22"/>
              </w:rPr>
              <w:t>20</w:t>
            </w:r>
            <w:r>
              <w:rPr>
                <w:rFonts w:asciiTheme="minorHAnsi" w:hAnsiTheme="minorHAnsi" w:cstheme="minorHAnsi"/>
                <w:b/>
                <w:bCs/>
                <w:color w:val="000000"/>
                <w:sz w:val="22"/>
                <w:szCs w:val="22"/>
              </w:rPr>
              <w:t>20</w:t>
            </w:r>
          </w:p>
        </w:tc>
        <w:tc>
          <w:tcPr>
            <w:tcW w:w="564" w:type="pct"/>
            <w:shd w:val="solid" w:color="FFFFFF" w:fill="auto"/>
          </w:tcPr>
          <w:p w14:paraId="2AEBC1CD" w14:textId="4686D289" w:rsidR="00125554" w:rsidRPr="00677316" w:rsidRDefault="00125554" w:rsidP="00125554">
            <w:pPr>
              <w:autoSpaceDE w:val="0"/>
              <w:autoSpaceDN w:val="0"/>
              <w:adjustRightInd w:val="0"/>
              <w:jc w:val="right"/>
              <w:rPr>
                <w:rFonts w:asciiTheme="minorHAnsi" w:hAnsiTheme="minorHAnsi" w:cstheme="minorHAnsi"/>
                <w:color w:val="000000"/>
                <w:sz w:val="22"/>
                <w:szCs w:val="22"/>
              </w:rPr>
            </w:pPr>
            <w:r w:rsidRPr="007711AB">
              <w:rPr>
                <w:rFonts w:asciiTheme="minorHAnsi" w:hAnsiTheme="minorHAnsi" w:cstheme="minorHAnsi"/>
                <w:b/>
                <w:bCs/>
                <w:color w:val="000000"/>
                <w:sz w:val="22"/>
                <w:szCs w:val="22"/>
              </w:rPr>
              <w:t>20</w:t>
            </w:r>
            <w:r>
              <w:rPr>
                <w:rFonts w:asciiTheme="minorHAnsi" w:hAnsiTheme="minorHAnsi" w:cstheme="minorHAnsi"/>
                <w:b/>
                <w:bCs/>
                <w:color w:val="000000"/>
                <w:sz w:val="22"/>
                <w:szCs w:val="22"/>
              </w:rPr>
              <w:t>20</w:t>
            </w:r>
          </w:p>
        </w:tc>
      </w:tr>
      <w:tr w:rsidR="00125554" w:rsidRPr="00677316" w14:paraId="72B49CFB" w14:textId="77777777" w:rsidTr="007A2AC9">
        <w:trPr>
          <w:trHeight w:val="199"/>
        </w:trPr>
        <w:tc>
          <w:tcPr>
            <w:tcW w:w="3494" w:type="pct"/>
            <w:gridSpan w:val="2"/>
          </w:tcPr>
          <w:p w14:paraId="2E14258F" w14:textId="77777777" w:rsidR="00125554" w:rsidRPr="00677316" w:rsidRDefault="00125554" w:rsidP="00125554">
            <w:pPr>
              <w:autoSpaceDE w:val="0"/>
              <w:autoSpaceDN w:val="0"/>
              <w:adjustRightInd w:val="0"/>
              <w:ind w:left="38"/>
              <w:rPr>
                <w:rFonts w:asciiTheme="minorHAnsi" w:hAnsiTheme="minorHAnsi" w:cstheme="minorHAnsi"/>
                <w:b/>
                <w:color w:val="000000"/>
                <w:sz w:val="22"/>
                <w:szCs w:val="22"/>
              </w:rPr>
            </w:pPr>
          </w:p>
        </w:tc>
        <w:tc>
          <w:tcPr>
            <w:tcW w:w="329" w:type="pct"/>
          </w:tcPr>
          <w:p w14:paraId="55F1AEF9" w14:textId="77777777" w:rsidR="00125554" w:rsidRPr="00677316" w:rsidRDefault="00125554" w:rsidP="00125554">
            <w:pPr>
              <w:autoSpaceDE w:val="0"/>
              <w:autoSpaceDN w:val="0"/>
              <w:adjustRightInd w:val="0"/>
              <w:jc w:val="right"/>
              <w:rPr>
                <w:rFonts w:asciiTheme="minorHAnsi" w:hAnsiTheme="minorHAnsi" w:cstheme="minorHAnsi"/>
                <w:b/>
                <w:bCs/>
                <w:color w:val="000000"/>
                <w:sz w:val="22"/>
                <w:szCs w:val="22"/>
                <w:u w:val="single"/>
              </w:rPr>
            </w:pPr>
            <w:r w:rsidRPr="00677316">
              <w:rPr>
                <w:rFonts w:asciiTheme="minorHAnsi" w:hAnsiTheme="minorHAnsi" w:cstheme="minorHAnsi"/>
                <w:b/>
                <w:bCs/>
                <w:color w:val="000000"/>
                <w:sz w:val="22"/>
                <w:szCs w:val="22"/>
                <w:u w:val="single"/>
              </w:rPr>
              <w:t>Note</w:t>
            </w:r>
          </w:p>
        </w:tc>
        <w:tc>
          <w:tcPr>
            <w:tcW w:w="613" w:type="pct"/>
            <w:shd w:val="clear" w:color="auto" w:fill="FFFF00"/>
          </w:tcPr>
          <w:p w14:paraId="33D25FFF" w14:textId="77777777" w:rsidR="00125554" w:rsidRPr="007711AB" w:rsidRDefault="00125554" w:rsidP="00125554">
            <w:pPr>
              <w:autoSpaceDE w:val="0"/>
              <w:autoSpaceDN w:val="0"/>
              <w:adjustRightInd w:val="0"/>
              <w:jc w:val="right"/>
              <w:rPr>
                <w:rFonts w:asciiTheme="minorHAnsi" w:hAnsiTheme="minorHAnsi" w:cstheme="minorHAnsi"/>
                <w:b/>
                <w:bCs/>
                <w:color w:val="000000"/>
                <w:sz w:val="22"/>
                <w:szCs w:val="22"/>
                <w:u w:val="single"/>
              </w:rPr>
            </w:pPr>
            <w:r w:rsidRPr="007711AB">
              <w:rPr>
                <w:rFonts w:asciiTheme="minorHAnsi" w:hAnsiTheme="minorHAnsi" w:cstheme="minorHAnsi"/>
                <w:b/>
                <w:bCs/>
                <w:color w:val="000000"/>
                <w:sz w:val="22"/>
                <w:szCs w:val="22"/>
                <w:u w:val="single"/>
              </w:rPr>
              <w:t>€M</w:t>
            </w:r>
          </w:p>
        </w:tc>
        <w:tc>
          <w:tcPr>
            <w:tcW w:w="564" w:type="pct"/>
            <w:shd w:val="solid" w:color="FFFFFF" w:fill="auto"/>
          </w:tcPr>
          <w:p w14:paraId="28B995CD" w14:textId="02CE62FE" w:rsidR="00125554" w:rsidRPr="00677316" w:rsidRDefault="00125554" w:rsidP="00125554">
            <w:pPr>
              <w:autoSpaceDE w:val="0"/>
              <w:autoSpaceDN w:val="0"/>
              <w:adjustRightInd w:val="0"/>
              <w:jc w:val="right"/>
              <w:rPr>
                <w:rFonts w:asciiTheme="minorHAnsi" w:hAnsiTheme="minorHAnsi" w:cstheme="minorHAnsi"/>
                <w:color w:val="000000"/>
                <w:sz w:val="22"/>
                <w:szCs w:val="22"/>
                <w:u w:val="single"/>
              </w:rPr>
            </w:pPr>
            <w:r w:rsidRPr="007711AB">
              <w:rPr>
                <w:rFonts w:asciiTheme="minorHAnsi" w:hAnsiTheme="minorHAnsi" w:cstheme="minorHAnsi"/>
                <w:b/>
                <w:bCs/>
                <w:color w:val="000000"/>
                <w:sz w:val="22"/>
                <w:szCs w:val="22"/>
                <w:u w:val="single"/>
              </w:rPr>
              <w:t>€M</w:t>
            </w:r>
          </w:p>
        </w:tc>
      </w:tr>
      <w:tr w:rsidR="00125554" w:rsidRPr="00677316" w14:paraId="2BAAD406" w14:textId="77777777" w:rsidTr="007A2AC9">
        <w:trPr>
          <w:trHeight w:val="75"/>
        </w:trPr>
        <w:tc>
          <w:tcPr>
            <w:tcW w:w="3494" w:type="pct"/>
            <w:gridSpan w:val="2"/>
          </w:tcPr>
          <w:p w14:paraId="15F73C47" w14:textId="123AAF90" w:rsidR="00125554" w:rsidRPr="00677316" w:rsidRDefault="00125554" w:rsidP="00125554">
            <w:pPr>
              <w:autoSpaceDE w:val="0"/>
              <w:autoSpaceDN w:val="0"/>
              <w:adjustRightInd w:val="0"/>
              <w:ind w:left="38"/>
              <w:rPr>
                <w:rFonts w:asciiTheme="minorHAnsi" w:hAnsiTheme="minorHAnsi" w:cstheme="minorHAnsi"/>
                <w:b/>
                <w:color w:val="000000"/>
                <w:sz w:val="22"/>
                <w:szCs w:val="22"/>
              </w:rPr>
            </w:pPr>
            <w:r>
              <w:rPr>
                <w:rFonts w:ascii="Calibri" w:hAnsi="Calibri" w:cs="Calibri"/>
                <w:b/>
                <w:color w:val="000000"/>
                <w:sz w:val="22"/>
                <w:szCs w:val="22"/>
              </w:rPr>
              <w:t>Non-current assets</w:t>
            </w:r>
          </w:p>
        </w:tc>
        <w:tc>
          <w:tcPr>
            <w:tcW w:w="329" w:type="pct"/>
          </w:tcPr>
          <w:p w14:paraId="48D02345" w14:textId="77777777" w:rsidR="00125554" w:rsidRPr="00677316" w:rsidRDefault="00125554" w:rsidP="00125554">
            <w:pPr>
              <w:autoSpaceDE w:val="0"/>
              <w:autoSpaceDN w:val="0"/>
              <w:adjustRightInd w:val="0"/>
              <w:jc w:val="right"/>
              <w:rPr>
                <w:rFonts w:asciiTheme="minorHAnsi" w:hAnsiTheme="minorHAnsi" w:cstheme="minorHAnsi"/>
                <w:b/>
                <w:bCs/>
                <w:color w:val="000000"/>
                <w:sz w:val="22"/>
                <w:szCs w:val="22"/>
                <w:u w:val="single"/>
              </w:rPr>
            </w:pPr>
          </w:p>
        </w:tc>
        <w:tc>
          <w:tcPr>
            <w:tcW w:w="613" w:type="pct"/>
            <w:shd w:val="clear" w:color="auto" w:fill="FFFF00"/>
          </w:tcPr>
          <w:p w14:paraId="73E5DFBC" w14:textId="77777777" w:rsidR="00125554" w:rsidRPr="007711AB" w:rsidRDefault="00125554" w:rsidP="00125554">
            <w:pPr>
              <w:autoSpaceDE w:val="0"/>
              <w:autoSpaceDN w:val="0"/>
              <w:adjustRightInd w:val="0"/>
              <w:jc w:val="right"/>
              <w:rPr>
                <w:rFonts w:asciiTheme="minorHAnsi" w:hAnsiTheme="minorHAnsi" w:cstheme="minorHAnsi"/>
                <w:b/>
                <w:bCs/>
                <w:color w:val="000000"/>
                <w:sz w:val="22"/>
                <w:szCs w:val="22"/>
                <w:u w:val="single"/>
              </w:rPr>
            </w:pPr>
          </w:p>
        </w:tc>
        <w:tc>
          <w:tcPr>
            <w:tcW w:w="564" w:type="pct"/>
            <w:shd w:val="solid" w:color="FFFFFF" w:fill="auto"/>
          </w:tcPr>
          <w:p w14:paraId="54C52F0C" w14:textId="77777777" w:rsidR="00125554" w:rsidRPr="00677316" w:rsidRDefault="00125554" w:rsidP="00125554">
            <w:pPr>
              <w:autoSpaceDE w:val="0"/>
              <w:autoSpaceDN w:val="0"/>
              <w:adjustRightInd w:val="0"/>
              <w:jc w:val="right"/>
              <w:rPr>
                <w:rFonts w:asciiTheme="minorHAnsi" w:hAnsiTheme="minorHAnsi" w:cstheme="minorHAnsi"/>
                <w:color w:val="000000"/>
                <w:sz w:val="22"/>
                <w:szCs w:val="22"/>
                <w:u w:val="single"/>
              </w:rPr>
            </w:pPr>
          </w:p>
        </w:tc>
      </w:tr>
      <w:tr w:rsidR="00125554" w:rsidRPr="00677316" w14:paraId="3D166DBA" w14:textId="77777777" w:rsidTr="007A2AC9">
        <w:trPr>
          <w:trHeight w:val="199"/>
        </w:trPr>
        <w:tc>
          <w:tcPr>
            <w:tcW w:w="3494" w:type="pct"/>
            <w:gridSpan w:val="2"/>
            <w:shd w:val="solid" w:color="FFFFFF" w:fill="auto"/>
          </w:tcPr>
          <w:p w14:paraId="5394BCE6" w14:textId="45185EE5" w:rsidR="00125554" w:rsidRPr="00677316" w:rsidRDefault="00125554" w:rsidP="00125554">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Property, plant and equipment</w:t>
            </w:r>
          </w:p>
        </w:tc>
        <w:tc>
          <w:tcPr>
            <w:tcW w:w="329" w:type="pct"/>
          </w:tcPr>
          <w:p w14:paraId="0C1FB1C7" w14:textId="4E36EE27"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10</w:t>
            </w:r>
          </w:p>
        </w:tc>
        <w:tc>
          <w:tcPr>
            <w:tcW w:w="613" w:type="pct"/>
            <w:shd w:val="clear" w:color="auto" w:fill="FFFF00"/>
          </w:tcPr>
          <w:p w14:paraId="36F3DA30" w14:textId="2E778BFB" w:rsidR="00125554" w:rsidRPr="007711AB" w:rsidRDefault="002D3AD4" w:rsidP="0012555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w:t>
            </w:r>
            <w:r w:rsidR="00136095">
              <w:rPr>
                <w:rFonts w:asciiTheme="minorHAnsi" w:hAnsiTheme="minorHAnsi" w:cstheme="minorHAnsi"/>
                <w:b/>
                <w:bCs/>
                <w:color w:val="000000"/>
                <w:sz w:val="22"/>
                <w:szCs w:val="22"/>
              </w:rPr>
              <w:t>,</w:t>
            </w:r>
            <w:r w:rsidR="009D31A2">
              <w:rPr>
                <w:rFonts w:asciiTheme="minorHAnsi" w:hAnsiTheme="minorHAnsi" w:cstheme="minorHAnsi"/>
                <w:b/>
                <w:bCs/>
                <w:color w:val="000000"/>
                <w:sz w:val="22"/>
                <w:szCs w:val="22"/>
              </w:rPr>
              <w:t>26</w:t>
            </w:r>
            <w:r>
              <w:rPr>
                <w:rFonts w:asciiTheme="minorHAnsi" w:hAnsiTheme="minorHAnsi" w:cstheme="minorHAnsi"/>
                <w:b/>
                <w:bCs/>
                <w:color w:val="000000"/>
                <w:sz w:val="22"/>
                <w:szCs w:val="22"/>
              </w:rPr>
              <w:t>6.</w:t>
            </w:r>
            <w:r w:rsidR="009D31A2">
              <w:rPr>
                <w:rFonts w:asciiTheme="minorHAnsi" w:hAnsiTheme="minorHAnsi" w:cstheme="minorHAnsi"/>
                <w:b/>
                <w:bCs/>
                <w:color w:val="000000"/>
                <w:sz w:val="22"/>
                <w:szCs w:val="22"/>
              </w:rPr>
              <w:t>2</w:t>
            </w:r>
          </w:p>
        </w:tc>
        <w:tc>
          <w:tcPr>
            <w:tcW w:w="564" w:type="pct"/>
            <w:shd w:val="solid" w:color="FFFFFF" w:fill="auto"/>
          </w:tcPr>
          <w:p w14:paraId="4406346F" w14:textId="36503C28" w:rsidR="00125554" w:rsidRPr="00125554" w:rsidRDefault="00125554" w:rsidP="00125554">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9,438.0</w:t>
            </w:r>
          </w:p>
        </w:tc>
      </w:tr>
      <w:tr w:rsidR="00125554" w:rsidRPr="00677316" w14:paraId="108B21F5" w14:textId="77777777" w:rsidTr="007A2AC9">
        <w:trPr>
          <w:trHeight w:val="199"/>
        </w:trPr>
        <w:tc>
          <w:tcPr>
            <w:tcW w:w="3494" w:type="pct"/>
            <w:gridSpan w:val="2"/>
            <w:shd w:val="solid" w:color="FFFFFF" w:fill="auto"/>
          </w:tcPr>
          <w:p w14:paraId="207C4586" w14:textId="5AEC73A5" w:rsidR="00125554" w:rsidRPr="00677316" w:rsidRDefault="00125554" w:rsidP="00125554">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Right-of-use asset</w:t>
            </w:r>
          </w:p>
        </w:tc>
        <w:tc>
          <w:tcPr>
            <w:tcW w:w="329" w:type="pct"/>
          </w:tcPr>
          <w:p w14:paraId="5A83EE0F" w14:textId="176E1052" w:rsidR="00125554"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1250A120" w14:textId="31EA9B51" w:rsidR="00125554" w:rsidRDefault="002D3AD4" w:rsidP="0012555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217.7</w:t>
            </w:r>
          </w:p>
        </w:tc>
        <w:tc>
          <w:tcPr>
            <w:tcW w:w="564" w:type="pct"/>
            <w:shd w:val="solid" w:color="FFFFFF" w:fill="auto"/>
          </w:tcPr>
          <w:p w14:paraId="3A41FCC7" w14:textId="628DDF56" w:rsidR="00125554" w:rsidRPr="00125554" w:rsidRDefault="00125554" w:rsidP="00125554">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236.8</w:t>
            </w:r>
          </w:p>
        </w:tc>
      </w:tr>
      <w:tr w:rsidR="00125554" w:rsidRPr="00677316" w14:paraId="7E56883F" w14:textId="77777777" w:rsidTr="007A2AC9">
        <w:trPr>
          <w:trHeight w:val="199"/>
        </w:trPr>
        <w:tc>
          <w:tcPr>
            <w:tcW w:w="3494" w:type="pct"/>
            <w:gridSpan w:val="2"/>
            <w:shd w:val="solid" w:color="FFFFFF" w:fill="auto"/>
          </w:tcPr>
          <w:p w14:paraId="44A2684E" w14:textId="51410D83" w:rsidR="00125554" w:rsidRPr="00677316" w:rsidRDefault="00125554" w:rsidP="00125554">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 xml:space="preserve">Intangible assets </w:t>
            </w:r>
          </w:p>
        </w:tc>
        <w:tc>
          <w:tcPr>
            <w:tcW w:w="329" w:type="pct"/>
          </w:tcPr>
          <w:p w14:paraId="258849EF" w14:textId="5BE59F44" w:rsidR="00125554" w:rsidRPr="00677316" w:rsidRDefault="00125554" w:rsidP="00125554">
            <w:pPr>
              <w:autoSpaceDE w:val="0"/>
              <w:autoSpaceDN w:val="0"/>
              <w:adjustRightInd w:val="0"/>
              <w:jc w:val="center"/>
              <w:rPr>
                <w:rFonts w:asciiTheme="minorHAnsi" w:hAnsiTheme="minorHAnsi" w:cstheme="minorHAnsi"/>
                <w:b/>
                <w:bCs/>
                <w:color w:val="000000"/>
                <w:sz w:val="22"/>
                <w:szCs w:val="22"/>
              </w:rPr>
            </w:pPr>
          </w:p>
        </w:tc>
        <w:tc>
          <w:tcPr>
            <w:tcW w:w="613" w:type="pct"/>
            <w:shd w:val="clear" w:color="auto" w:fill="FFFF00"/>
          </w:tcPr>
          <w:p w14:paraId="7889283E" w14:textId="778E46EA" w:rsidR="00125554" w:rsidRPr="007711AB" w:rsidRDefault="002D3AD4" w:rsidP="0012555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146.4</w:t>
            </w:r>
          </w:p>
        </w:tc>
        <w:tc>
          <w:tcPr>
            <w:tcW w:w="564" w:type="pct"/>
            <w:shd w:val="solid" w:color="FFFFFF" w:fill="auto"/>
          </w:tcPr>
          <w:p w14:paraId="40D9CB3C" w14:textId="49168DEB" w:rsidR="00125554" w:rsidRPr="00125554" w:rsidRDefault="00125554" w:rsidP="00125554">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146.4</w:t>
            </w:r>
          </w:p>
        </w:tc>
      </w:tr>
      <w:tr w:rsidR="00125554" w:rsidRPr="00677316" w14:paraId="69D59046" w14:textId="77777777" w:rsidTr="007A2AC9">
        <w:trPr>
          <w:trHeight w:val="199"/>
        </w:trPr>
        <w:tc>
          <w:tcPr>
            <w:tcW w:w="3494" w:type="pct"/>
            <w:gridSpan w:val="2"/>
            <w:shd w:val="solid" w:color="FFFFFF" w:fill="auto"/>
          </w:tcPr>
          <w:p w14:paraId="58B5D5B7" w14:textId="4E6DAAE8" w:rsidR="00125554" w:rsidRPr="00677316" w:rsidRDefault="00125554" w:rsidP="00125554">
            <w:pPr>
              <w:autoSpaceDE w:val="0"/>
              <w:autoSpaceDN w:val="0"/>
              <w:adjustRightInd w:val="0"/>
              <w:ind w:left="38"/>
              <w:rPr>
                <w:rFonts w:asciiTheme="minorHAnsi" w:hAnsiTheme="minorHAnsi" w:cstheme="minorHAnsi"/>
                <w:color w:val="000000"/>
                <w:sz w:val="22"/>
                <w:szCs w:val="22"/>
              </w:rPr>
            </w:pPr>
            <w:r>
              <w:rPr>
                <w:rFonts w:ascii="Calibri" w:hAnsi="Calibri" w:cs="Calibri"/>
                <w:bCs/>
                <w:color w:val="000000"/>
                <w:sz w:val="22"/>
                <w:szCs w:val="22"/>
              </w:rPr>
              <w:t>Derivative financial instruments</w:t>
            </w:r>
          </w:p>
        </w:tc>
        <w:tc>
          <w:tcPr>
            <w:tcW w:w="329" w:type="pct"/>
          </w:tcPr>
          <w:p w14:paraId="52D4BEFF" w14:textId="48CB89FE" w:rsidR="00125554" w:rsidRDefault="00125554" w:rsidP="00125554">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w:t>
            </w:r>
            <w:r w:rsidR="0065513F">
              <w:rPr>
                <w:rFonts w:ascii="Calibri" w:hAnsi="Calibri" w:cs="Calibri"/>
                <w:b/>
                <w:bCs/>
                <w:color w:val="000000"/>
                <w:sz w:val="22"/>
                <w:szCs w:val="22"/>
              </w:rPr>
              <w:t>3</w:t>
            </w:r>
          </w:p>
        </w:tc>
        <w:tc>
          <w:tcPr>
            <w:tcW w:w="613" w:type="pct"/>
            <w:shd w:val="clear" w:color="auto" w:fill="FFFF00"/>
          </w:tcPr>
          <w:p w14:paraId="46B01D98" w14:textId="2F33EDB2" w:rsidR="00125554" w:rsidRDefault="002D3AD4" w:rsidP="0012555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146.5</w:t>
            </w:r>
          </w:p>
        </w:tc>
        <w:tc>
          <w:tcPr>
            <w:tcW w:w="564" w:type="pct"/>
            <w:shd w:val="solid" w:color="FFFFFF" w:fill="auto"/>
          </w:tcPr>
          <w:p w14:paraId="6D6C2BB4" w14:textId="57AB64A3" w:rsidR="00125554" w:rsidRPr="00125554" w:rsidRDefault="00125554" w:rsidP="00125554">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378.5</w:t>
            </w:r>
          </w:p>
        </w:tc>
      </w:tr>
      <w:tr w:rsidR="00125554" w:rsidRPr="00677316" w14:paraId="1F22D71C" w14:textId="77777777" w:rsidTr="007A2AC9">
        <w:trPr>
          <w:trHeight w:val="211"/>
        </w:trPr>
        <w:tc>
          <w:tcPr>
            <w:tcW w:w="3494" w:type="pct"/>
            <w:gridSpan w:val="2"/>
            <w:shd w:val="solid" w:color="FFFFFF" w:fill="auto"/>
          </w:tcPr>
          <w:p w14:paraId="410CBF3F" w14:textId="6FBE7C4A" w:rsidR="00125554" w:rsidRPr="00677316" w:rsidRDefault="00125554" w:rsidP="00125554">
            <w:pPr>
              <w:autoSpaceDE w:val="0"/>
              <w:autoSpaceDN w:val="0"/>
              <w:adjustRightInd w:val="0"/>
              <w:ind w:left="38"/>
              <w:rPr>
                <w:rFonts w:asciiTheme="minorHAnsi" w:hAnsiTheme="minorHAnsi" w:cstheme="minorHAnsi"/>
                <w:bCs/>
                <w:color w:val="000000"/>
                <w:sz w:val="22"/>
                <w:szCs w:val="22"/>
              </w:rPr>
            </w:pPr>
            <w:r>
              <w:rPr>
                <w:rFonts w:ascii="Calibri" w:hAnsi="Calibri" w:cs="Calibri"/>
                <w:bCs/>
                <w:color w:val="000000"/>
                <w:sz w:val="22"/>
                <w:szCs w:val="22"/>
              </w:rPr>
              <w:t>Deferred tax</w:t>
            </w:r>
          </w:p>
        </w:tc>
        <w:tc>
          <w:tcPr>
            <w:tcW w:w="329" w:type="pct"/>
          </w:tcPr>
          <w:p w14:paraId="2111AA5B" w14:textId="65498D1A"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tcBorders>
              <w:bottom w:val="single" w:sz="4" w:space="0" w:color="auto"/>
            </w:tcBorders>
            <w:shd w:val="clear" w:color="auto" w:fill="FFFF00"/>
          </w:tcPr>
          <w:p w14:paraId="3DC13010" w14:textId="01599055" w:rsidR="00125554" w:rsidRPr="007711AB" w:rsidRDefault="002D3AD4" w:rsidP="0012555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12.7</w:t>
            </w:r>
          </w:p>
        </w:tc>
        <w:tc>
          <w:tcPr>
            <w:tcW w:w="564" w:type="pct"/>
            <w:tcBorders>
              <w:bottom w:val="single" w:sz="4" w:space="0" w:color="auto"/>
            </w:tcBorders>
            <w:shd w:val="solid" w:color="FFFFFF" w:fill="auto"/>
          </w:tcPr>
          <w:p w14:paraId="375DA8D5" w14:textId="7AC88260" w:rsidR="00125554" w:rsidRPr="00125554" w:rsidRDefault="00125554" w:rsidP="00125554">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53.6</w:t>
            </w:r>
          </w:p>
        </w:tc>
      </w:tr>
      <w:tr w:rsidR="00125554" w:rsidRPr="00677316" w14:paraId="48139180" w14:textId="77777777" w:rsidTr="007A2AC9">
        <w:trPr>
          <w:trHeight w:val="211"/>
        </w:trPr>
        <w:tc>
          <w:tcPr>
            <w:tcW w:w="3494" w:type="pct"/>
            <w:gridSpan w:val="2"/>
            <w:shd w:val="solid" w:color="FFFFFF" w:fill="auto"/>
          </w:tcPr>
          <w:p w14:paraId="16A31DF3" w14:textId="6786DE0C" w:rsidR="00125554" w:rsidRPr="00677316" w:rsidRDefault="00125554" w:rsidP="00125554">
            <w:pPr>
              <w:autoSpaceDE w:val="0"/>
              <w:autoSpaceDN w:val="0"/>
              <w:adjustRightInd w:val="0"/>
              <w:ind w:left="38"/>
              <w:rPr>
                <w:rFonts w:asciiTheme="minorHAnsi" w:hAnsiTheme="minorHAnsi" w:cstheme="minorHAnsi"/>
                <w:b/>
                <w:bCs/>
                <w:color w:val="000000"/>
                <w:sz w:val="22"/>
                <w:szCs w:val="22"/>
              </w:rPr>
            </w:pPr>
            <w:r>
              <w:rPr>
                <w:rFonts w:ascii="Calibri" w:hAnsi="Calibri" w:cs="Calibri"/>
                <w:b/>
                <w:bCs/>
                <w:color w:val="000000"/>
                <w:sz w:val="22"/>
                <w:szCs w:val="22"/>
              </w:rPr>
              <w:t>Total non-current assets</w:t>
            </w:r>
          </w:p>
        </w:tc>
        <w:tc>
          <w:tcPr>
            <w:tcW w:w="329" w:type="pct"/>
          </w:tcPr>
          <w:p w14:paraId="0AC09F6A" w14:textId="77777777"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bottom w:val="single" w:sz="4" w:space="0" w:color="auto"/>
            </w:tcBorders>
            <w:shd w:val="clear" w:color="auto" w:fill="FFFF00"/>
          </w:tcPr>
          <w:p w14:paraId="1AB05876" w14:textId="40D05AF0" w:rsidR="00125554" w:rsidRPr="007711AB" w:rsidRDefault="009D31A2" w:rsidP="0012555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w:t>
            </w:r>
            <w:r w:rsidR="002D3AD4">
              <w:rPr>
                <w:rFonts w:asciiTheme="minorHAnsi" w:hAnsiTheme="minorHAnsi" w:cstheme="minorHAnsi"/>
                <w:b/>
                <w:bCs/>
                <w:color w:val="000000"/>
                <w:sz w:val="22"/>
                <w:szCs w:val="22"/>
              </w:rPr>
              <w:t>,</w:t>
            </w:r>
            <w:r>
              <w:rPr>
                <w:rFonts w:asciiTheme="minorHAnsi" w:hAnsiTheme="minorHAnsi" w:cstheme="minorHAnsi"/>
                <w:b/>
                <w:bCs/>
                <w:color w:val="000000"/>
                <w:sz w:val="22"/>
                <w:szCs w:val="22"/>
              </w:rPr>
              <w:t>78</w:t>
            </w:r>
            <w:r w:rsidR="002D3AD4">
              <w:rPr>
                <w:rFonts w:asciiTheme="minorHAnsi" w:hAnsiTheme="minorHAnsi" w:cstheme="minorHAnsi"/>
                <w:b/>
                <w:bCs/>
                <w:color w:val="000000"/>
                <w:sz w:val="22"/>
                <w:szCs w:val="22"/>
              </w:rPr>
              <w:t>9.</w:t>
            </w:r>
            <w:r>
              <w:rPr>
                <w:rFonts w:asciiTheme="minorHAnsi" w:hAnsiTheme="minorHAnsi" w:cstheme="minorHAnsi"/>
                <w:b/>
                <w:bCs/>
                <w:color w:val="000000"/>
                <w:sz w:val="22"/>
                <w:szCs w:val="22"/>
              </w:rPr>
              <w:t>5</w:t>
            </w:r>
          </w:p>
        </w:tc>
        <w:tc>
          <w:tcPr>
            <w:tcW w:w="564" w:type="pct"/>
            <w:tcBorders>
              <w:top w:val="single" w:sz="4" w:space="0" w:color="auto"/>
              <w:bottom w:val="single" w:sz="4" w:space="0" w:color="auto"/>
            </w:tcBorders>
            <w:shd w:val="solid" w:color="FFFFFF" w:fill="auto"/>
          </w:tcPr>
          <w:p w14:paraId="7A3E6E1F" w14:textId="6EC1609A" w:rsidR="00125554" w:rsidRPr="00125554" w:rsidRDefault="00125554" w:rsidP="00125554">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10,253.3</w:t>
            </w:r>
          </w:p>
        </w:tc>
      </w:tr>
      <w:tr w:rsidR="00125554" w:rsidRPr="00677316" w14:paraId="4A2EE1E6" w14:textId="77777777" w:rsidTr="007A2AC9">
        <w:trPr>
          <w:trHeight w:val="199"/>
        </w:trPr>
        <w:tc>
          <w:tcPr>
            <w:tcW w:w="2498" w:type="pct"/>
            <w:shd w:val="solid" w:color="FFFFFF" w:fill="auto"/>
          </w:tcPr>
          <w:p w14:paraId="31C1A741" w14:textId="77777777" w:rsidR="00125554" w:rsidRPr="00677316" w:rsidRDefault="00125554" w:rsidP="00125554">
            <w:pPr>
              <w:autoSpaceDE w:val="0"/>
              <w:autoSpaceDN w:val="0"/>
              <w:adjustRightInd w:val="0"/>
              <w:ind w:left="38"/>
              <w:jc w:val="right"/>
              <w:rPr>
                <w:rFonts w:asciiTheme="minorHAnsi" w:hAnsiTheme="minorHAnsi" w:cstheme="minorHAnsi"/>
                <w:b/>
                <w:bCs/>
                <w:color w:val="000000"/>
                <w:sz w:val="22"/>
                <w:szCs w:val="22"/>
              </w:rPr>
            </w:pPr>
          </w:p>
        </w:tc>
        <w:tc>
          <w:tcPr>
            <w:tcW w:w="996" w:type="pct"/>
            <w:shd w:val="solid" w:color="FFFFFF" w:fill="auto"/>
          </w:tcPr>
          <w:p w14:paraId="6D3A3497" w14:textId="77777777" w:rsidR="00125554" w:rsidRPr="00677316" w:rsidRDefault="00125554" w:rsidP="00125554">
            <w:pPr>
              <w:autoSpaceDE w:val="0"/>
              <w:autoSpaceDN w:val="0"/>
              <w:adjustRightInd w:val="0"/>
              <w:ind w:left="38"/>
              <w:jc w:val="right"/>
              <w:rPr>
                <w:rFonts w:asciiTheme="minorHAnsi" w:hAnsiTheme="minorHAnsi" w:cstheme="minorHAnsi"/>
                <w:color w:val="000000"/>
                <w:sz w:val="22"/>
                <w:szCs w:val="22"/>
              </w:rPr>
            </w:pPr>
          </w:p>
        </w:tc>
        <w:tc>
          <w:tcPr>
            <w:tcW w:w="329" w:type="pct"/>
          </w:tcPr>
          <w:p w14:paraId="6D0065BC" w14:textId="77777777"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tcBorders>
            <w:shd w:val="clear" w:color="auto" w:fill="FFFF00"/>
          </w:tcPr>
          <w:p w14:paraId="434BD841" w14:textId="77777777"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564" w:type="pct"/>
            <w:tcBorders>
              <w:top w:val="single" w:sz="4" w:space="0" w:color="auto"/>
            </w:tcBorders>
            <w:shd w:val="solid" w:color="FFFFFF" w:fill="auto"/>
          </w:tcPr>
          <w:p w14:paraId="4FB4124D" w14:textId="77777777" w:rsidR="00125554" w:rsidRPr="00125554" w:rsidRDefault="00125554" w:rsidP="00125554">
            <w:pPr>
              <w:autoSpaceDE w:val="0"/>
              <w:autoSpaceDN w:val="0"/>
              <w:adjustRightInd w:val="0"/>
              <w:jc w:val="right"/>
              <w:rPr>
                <w:rFonts w:asciiTheme="minorHAnsi" w:hAnsiTheme="minorHAnsi" w:cstheme="minorHAnsi"/>
                <w:color w:val="000000"/>
                <w:sz w:val="22"/>
                <w:szCs w:val="22"/>
              </w:rPr>
            </w:pPr>
          </w:p>
        </w:tc>
      </w:tr>
      <w:tr w:rsidR="00125554" w:rsidRPr="00677316" w14:paraId="7D4F5071" w14:textId="77777777" w:rsidTr="007A2AC9">
        <w:trPr>
          <w:trHeight w:val="199"/>
        </w:trPr>
        <w:tc>
          <w:tcPr>
            <w:tcW w:w="3494" w:type="pct"/>
            <w:gridSpan w:val="2"/>
            <w:shd w:val="solid" w:color="FFFFFF" w:fill="auto"/>
          </w:tcPr>
          <w:p w14:paraId="039D0ACD" w14:textId="1E0AD632" w:rsidR="00125554" w:rsidRPr="00677316" w:rsidRDefault="00125554" w:rsidP="00125554">
            <w:pPr>
              <w:autoSpaceDE w:val="0"/>
              <w:autoSpaceDN w:val="0"/>
              <w:adjustRightInd w:val="0"/>
              <w:ind w:left="38"/>
              <w:rPr>
                <w:rFonts w:asciiTheme="minorHAnsi" w:hAnsiTheme="minorHAnsi" w:cstheme="minorHAnsi"/>
                <w:b/>
                <w:bCs/>
                <w:color w:val="000000"/>
                <w:sz w:val="22"/>
                <w:szCs w:val="22"/>
              </w:rPr>
            </w:pPr>
            <w:r>
              <w:rPr>
                <w:rFonts w:ascii="Calibri" w:hAnsi="Calibri" w:cs="Calibri"/>
                <w:b/>
                <w:bCs/>
                <w:color w:val="000000"/>
                <w:sz w:val="22"/>
                <w:szCs w:val="22"/>
              </w:rPr>
              <w:t>Current assets</w:t>
            </w:r>
          </w:p>
        </w:tc>
        <w:tc>
          <w:tcPr>
            <w:tcW w:w="329" w:type="pct"/>
          </w:tcPr>
          <w:p w14:paraId="3AB41092" w14:textId="77777777"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28EC906D" w14:textId="77777777" w:rsidR="00125554" w:rsidRPr="00DF0D83" w:rsidRDefault="00125554" w:rsidP="00125554">
            <w:pPr>
              <w:autoSpaceDE w:val="0"/>
              <w:autoSpaceDN w:val="0"/>
              <w:adjustRightInd w:val="0"/>
              <w:jc w:val="right"/>
              <w:rPr>
                <w:rFonts w:asciiTheme="minorHAnsi" w:hAnsiTheme="minorHAnsi" w:cstheme="minorHAnsi"/>
                <w:b/>
                <w:bCs/>
                <w:color w:val="000000"/>
                <w:sz w:val="22"/>
                <w:szCs w:val="22"/>
              </w:rPr>
            </w:pPr>
          </w:p>
        </w:tc>
        <w:tc>
          <w:tcPr>
            <w:tcW w:w="564" w:type="pct"/>
            <w:shd w:val="solid" w:color="FFFFFF" w:fill="auto"/>
          </w:tcPr>
          <w:p w14:paraId="166D61D8" w14:textId="77777777" w:rsidR="00125554" w:rsidRPr="00125554" w:rsidRDefault="00125554" w:rsidP="00125554">
            <w:pPr>
              <w:autoSpaceDE w:val="0"/>
              <w:autoSpaceDN w:val="0"/>
              <w:adjustRightInd w:val="0"/>
              <w:jc w:val="right"/>
              <w:rPr>
                <w:rFonts w:asciiTheme="minorHAnsi" w:hAnsiTheme="minorHAnsi" w:cstheme="minorHAnsi"/>
                <w:color w:val="000000"/>
                <w:sz w:val="22"/>
                <w:szCs w:val="22"/>
              </w:rPr>
            </w:pPr>
          </w:p>
        </w:tc>
      </w:tr>
      <w:tr w:rsidR="00125554" w:rsidRPr="00677316" w14:paraId="66D39D93" w14:textId="77777777" w:rsidTr="007A2AC9">
        <w:trPr>
          <w:trHeight w:val="211"/>
        </w:trPr>
        <w:tc>
          <w:tcPr>
            <w:tcW w:w="3494" w:type="pct"/>
            <w:gridSpan w:val="2"/>
            <w:shd w:val="solid" w:color="FFFFFF" w:fill="auto"/>
          </w:tcPr>
          <w:p w14:paraId="66CDE8FF" w14:textId="3215EEAE" w:rsidR="00125554" w:rsidRPr="00677316" w:rsidRDefault="00125554" w:rsidP="00125554">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Inventories</w:t>
            </w:r>
          </w:p>
        </w:tc>
        <w:tc>
          <w:tcPr>
            <w:tcW w:w="329" w:type="pct"/>
          </w:tcPr>
          <w:p w14:paraId="047078D9" w14:textId="77777777"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69D8DA1F" w14:textId="4B4B521F" w:rsidR="00125554" w:rsidRPr="00DF0D83" w:rsidRDefault="002D3AD4" w:rsidP="0012555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3.7</w:t>
            </w:r>
          </w:p>
        </w:tc>
        <w:tc>
          <w:tcPr>
            <w:tcW w:w="564" w:type="pct"/>
            <w:shd w:val="solid" w:color="FFFFFF" w:fill="auto"/>
          </w:tcPr>
          <w:p w14:paraId="3F34C76E" w14:textId="2C7B2050" w:rsidR="00125554" w:rsidRPr="00125554" w:rsidRDefault="00125554" w:rsidP="00125554">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3.3</w:t>
            </w:r>
          </w:p>
        </w:tc>
      </w:tr>
      <w:tr w:rsidR="00125554" w:rsidRPr="00677316" w14:paraId="288721D1" w14:textId="77777777" w:rsidTr="007A2AC9">
        <w:trPr>
          <w:trHeight w:val="262"/>
        </w:trPr>
        <w:tc>
          <w:tcPr>
            <w:tcW w:w="3494" w:type="pct"/>
            <w:gridSpan w:val="2"/>
            <w:shd w:val="solid" w:color="FFFFFF" w:fill="auto"/>
          </w:tcPr>
          <w:p w14:paraId="5F510FB4" w14:textId="558838CF" w:rsidR="00125554" w:rsidRPr="00677316" w:rsidRDefault="00125554" w:rsidP="00125554">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Other assets</w:t>
            </w:r>
          </w:p>
        </w:tc>
        <w:tc>
          <w:tcPr>
            <w:tcW w:w="329" w:type="pct"/>
          </w:tcPr>
          <w:p w14:paraId="43D45D88" w14:textId="77777777"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45150EE3" w14:textId="10EC4967" w:rsidR="00125554" w:rsidRPr="00DF0D83" w:rsidRDefault="002D3AD4" w:rsidP="0012555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152.3</w:t>
            </w:r>
          </w:p>
        </w:tc>
        <w:tc>
          <w:tcPr>
            <w:tcW w:w="564" w:type="pct"/>
            <w:shd w:val="solid" w:color="FFFFFF" w:fill="auto"/>
          </w:tcPr>
          <w:p w14:paraId="53E8E432" w14:textId="17609C13" w:rsidR="00125554" w:rsidRPr="00125554" w:rsidRDefault="00EE64C7" w:rsidP="00125554">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178.7</w:t>
            </w:r>
          </w:p>
        </w:tc>
      </w:tr>
      <w:tr w:rsidR="00125554" w:rsidRPr="00677316" w14:paraId="5A2AE2A7" w14:textId="77777777" w:rsidTr="007A2AC9">
        <w:trPr>
          <w:trHeight w:val="262"/>
        </w:trPr>
        <w:tc>
          <w:tcPr>
            <w:tcW w:w="3494" w:type="pct"/>
            <w:gridSpan w:val="2"/>
            <w:shd w:val="solid" w:color="FFFFFF" w:fill="auto"/>
          </w:tcPr>
          <w:p w14:paraId="6329059F" w14:textId="7D7896E8" w:rsidR="00125554" w:rsidRDefault="00125554" w:rsidP="00125554">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Current tax</w:t>
            </w:r>
          </w:p>
        </w:tc>
        <w:tc>
          <w:tcPr>
            <w:tcW w:w="329" w:type="pct"/>
          </w:tcPr>
          <w:p w14:paraId="37C99588" w14:textId="3D589A45"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4B7A440B" w14:textId="43F30F6D" w:rsidR="00125554" w:rsidRDefault="002D3AD4" w:rsidP="0012555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36.0</w:t>
            </w:r>
          </w:p>
        </w:tc>
        <w:tc>
          <w:tcPr>
            <w:tcW w:w="564" w:type="pct"/>
            <w:shd w:val="solid" w:color="FFFFFF" w:fill="auto"/>
          </w:tcPr>
          <w:p w14:paraId="2C913855" w14:textId="31370286" w:rsidR="00125554" w:rsidRPr="00125554" w:rsidRDefault="00EE64C7" w:rsidP="00125554">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44.5</w:t>
            </w:r>
          </w:p>
        </w:tc>
      </w:tr>
      <w:tr w:rsidR="00125554" w:rsidRPr="00677316" w14:paraId="4F2A0190" w14:textId="77777777" w:rsidTr="007A2AC9">
        <w:trPr>
          <w:trHeight w:val="186"/>
        </w:trPr>
        <w:tc>
          <w:tcPr>
            <w:tcW w:w="3494" w:type="pct"/>
            <w:gridSpan w:val="2"/>
            <w:shd w:val="solid" w:color="FFFFFF" w:fill="auto"/>
          </w:tcPr>
          <w:p w14:paraId="3A460F56" w14:textId="05D26E3F" w:rsidR="00125554" w:rsidRPr="00677316" w:rsidRDefault="00125554" w:rsidP="00125554">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Assets held for sale</w:t>
            </w:r>
          </w:p>
        </w:tc>
        <w:tc>
          <w:tcPr>
            <w:tcW w:w="329" w:type="pct"/>
          </w:tcPr>
          <w:p w14:paraId="2CC73AF3" w14:textId="0B230B9B"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11</w:t>
            </w:r>
          </w:p>
        </w:tc>
        <w:tc>
          <w:tcPr>
            <w:tcW w:w="613" w:type="pct"/>
            <w:shd w:val="clear" w:color="auto" w:fill="FFFF00"/>
          </w:tcPr>
          <w:p w14:paraId="722D348C" w14:textId="3F1B67FD" w:rsidR="00125554" w:rsidRPr="00DF0D83" w:rsidRDefault="002D3AD4" w:rsidP="0012555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72.5</w:t>
            </w:r>
          </w:p>
        </w:tc>
        <w:tc>
          <w:tcPr>
            <w:tcW w:w="564" w:type="pct"/>
            <w:shd w:val="solid" w:color="FFFFFF" w:fill="auto"/>
          </w:tcPr>
          <w:p w14:paraId="4B45C882" w14:textId="60C32677" w:rsidR="00125554" w:rsidRPr="00125554" w:rsidRDefault="00EE64C7" w:rsidP="00125554">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98.7</w:t>
            </w:r>
          </w:p>
        </w:tc>
      </w:tr>
      <w:tr w:rsidR="00125554" w:rsidRPr="00677316" w14:paraId="47996821" w14:textId="77777777" w:rsidTr="007A2AC9">
        <w:trPr>
          <w:trHeight w:val="211"/>
        </w:trPr>
        <w:tc>
          <w:tcPr>
            <w:tcW w:w="3494" w:type="pct"/>
            <w:gridSpan w:val="2"/>
            <w:shd w:val="solid" w:color="FFFFFF" w:fill="auto"/>
          </w:tcPr>
          <w:p w14:paraId="198ABF17" w14:textId="3CE33CD3" w:rsidR="00125554" w:rsidRPr="00677316" w:rsidRDefault="00125554" w:rsidP="00125554">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lastRenderedPageBreak/>
              <w:t>Trade receivables</w:t>
            </w:r>
          </w:p>
        </w:tc>
        <w:tc>
          <w:tcPr>
            <w:tcW w:w="329" w:type="pct"/>
          </w:tcPr>
          <w:p w14:paraId="7AD19DA8" w14:textId="5A80F82C"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569A4119" w14:textId="772A2511" w:rsidR="00125554" w:rsidRPr="00DF0D83" w:rsidRDefault="002D3AD4" w:rsidP="0012555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32.7</w:t>
            </w:r>
          </w:p>
        </w:tc>
        <w:tc>
          <w:tcPr>
            <w:tcW w:w="564" w:type="pct"/>
            <w:shd w:val="solid" w:color="FFFFFF" w:fill="auto"/>
          </w:tcPr>
          <w:p w14:paraId="76C03AB7" w14:textId="77B7A862" w:rsidR="00125554" w:rsidRPr="00125554" w:rsidRDefault="00EE64C7" w:rsidP="00125554">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67.5</w:t>
            </w:r>
          </w:p>
        </w:tc>
      </w:tr>
      <w:tr w:rsidR="00125554" w:rsidRPr="00677316" w14:paraId="5675C4EA" w14:textId="77777777" w:rsidTr="007A2AC9">
        <w:trPr>
          <w:trHeight w:val="199"/>
        </w:trPr>
        <w:tc>
          <w:tcPr>
            <w:tcW w:w="3494" w:type="pct"/>
            <w:gridSpan w:val="2"/>
            <w:shd w:val="solid" w:color="FFFFFF" w:fill="auto"/>
          </w:tcPr>
          <w:p w14:paraId="633C9852" w14:textId="6AE71AC5" w:rsidR="00125554" w:rsidRPr="00677316" w:rsidRDefault="00125554" w:rsidP="00125554">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Derivative financial instruments</w:t>
            </w:r>
          </w:p>
        </w:tc>
        <w:tc>
          <w:tcPr>
            <w:tcW w:w="329" w:type="pct"/>
          </w:tcPr>
          <w:p w14:paraId="26AC75EE" w14:textId="2F175382"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w:t>
            </w:r>
            <w:r w:rsidR="0065513F">
              <w:rPr>
                <w:rFonts w:ascii="Calibri" w:hAnsi="Calibri" w:cs="Calibri"/>
                <w:b/>
                <w:bCs/>
                <w:color w:val="000000"/>
                <w:sz w:val="22"/>
                <w:szCs w:val="22"/>
              </w:rPr>
              <w:t>3</w:t>
            </w:r>
          </w:p>
        </w:tc>
        <w:tc>
          <w:tcPr>
            <w:tcW w:w="613" w:type="pct"/>
            <w:tcBorders>
              <w:bottom w:val="single" w:sz="4" w:space="0" w:color="auto"/>
            </w:tcBorders>
            <w:shd w:val="clear" w:color="auto" w:fill="FFFF00"/>
          </w:tcPr>
          <w:p w14:paraId="4134F3C4" w14:textId="28D5FE2F" w:rsidR="00125554" w:rsidRPr="00DF0D83" w:rsidRDefault="002D3AD4" w:rsidP="0012555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95.4</w:t>
            </w:r>
          </w:p>
        </w:tc>
        <w:tc>
          <w:tcPr>
            <w:tcW w:w="564" w:type="pct"/>
            <w:tcBorders>
              <w:bottom w:val="single" w:sz="4" w:space="0" w:color="auto"/>
            </w:tcBorders>
            <w:shd w:val="solid" w:color="FFFFFF" w:fill="auto"/>
          </w:tcPr>
          <w:p w14:paraId="27788AE9" w14:textId="60B2B987" w:rsidR="00125554" w:rsidRPr="00125554" w:rsidRDefault="00EE64C7" w:rsidP="00125554">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293.2</w:t>
            </w:r>
          </w:p>
        </w:tc>
      </w:tr>
      <w:tr w:rsidR="00125554" w:rsidRPr="00677316" w14:paraId="5D5EB99B" w14:textId="77777777" w:rsidTr="007A2AC9">
        <w:trPr>
          <w:trHeight w:val="211"/>
        </w:trPr>
        <w:tc>
          <w:tcPr>
            <w:tcW w:w="3494" w:type="pct"/>
            <w:gridSpan w:val="2"/>
            <w:shd w:val="solid" w:color="FFFFFF" w:fill="auto"/>
          </w:tcPr>
          <w:p w14:paraId="7F102EA7" w14:textId="39E6B602" w:rsidR="00125554" w:rsidRPr="00677316" w:rsidRDefault="00125554" w:rsidP="00125554">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Restricted cash</w:t>
            </w:r>
          </w:p>
        </w:tc>
        <w:tc>
          <w:tcPr>
            <w:tcW w:w="329" w:type="pct"/>
            <w:tcBorders>
              <w:right w:val="single" w:sz="4" w:space="0" w:color="auto"/>
            </w:tcBorders>
          </w:tcPr>
          <w:p w14:paraId="2ADAC138" w14:textId="77777777"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left w:val="single" w:sz="4" w:space="0" w:color="auto"/>
            </w:tcBorders>
            <w:shd w:val="clear" w:color="auto" w:fill="FFFF00"/>
          </w:tcPr>
          <w:p w14:paraId="25334142" w14:textId="33B5F759" w:rsidR="00125554" w:rsidRPr="00DF0D83" w:rsidRDefault="002D3AD4" w:rsidP="0012555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34.1</w:t>
            </w:r>
          </w:p>
        </w:tc>
        <w:tc>
          <w:tcPr>
            <w:tcW w:w="564" w:type="pct"/>
            <w:tcBorders>
              <w:top w:val="single" w:sz="4" w:space="0" w:color="auto"/>
              <w:right w:val="single" w:sz="4" w:space="0" w:color="auto"/>
            </w:tcBorders>
            <w:shd w:val="solid" w:color="FFFFFF" w:fill="auto"/>
          </w:tcPr>
          <w:p w14:paraId="3A5B587E" w14:textId="5FADA97B" w:rsidR="00125554" w:rsidRPr="00125554" w:rsidRDefault="00EE64C7" w:rsidP="00125554">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34.4</w:t>
            </w:r>
          </w:p>
        </w:tc>
      </w:tr>
      <w:tr w:rsidR="00125554" w:rsidRPr="00677316" w14:paraId="6B9A71DD" w14:textId="77777777" w:rsidTr="007A2AC9">
        <w:trPr>
          <w:trHeight w:val="211"/>
        </w:trPr>
        <w:tc>
          <w:tcPr>
            <w:tcW w:w="3494" w:type="pct"/>
            <w:gridSpan w:val="2"/>
            <w:shd w:val="solid" w:color="FFFFFF" w:fill="auto"/>
          </w:tcPr>
          <w:p w14:paraId="1603555D" w14:textId="7604EC5F" w:rsidR="00125554" w:rsidRPr="00677316" w:rsidRDefault="00125554" w:rsidP="00125554">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Financial assets: cash &gt; 3 months</w:t>
            </w:r>
          </w:p>
        </w:tc>
        <w:tc>
          <w:tcPr>
            <w:tcW w:w="329" w:type="pct"/>
            <w:tcBorders>
              <w:right w:val="single" w:sz="4" w:space="0" w:color="auto"/>
            </w:tcBorders>
          </w:tcPr>
          <w:p w14:paraId="18EE9366" w14:textId="77777777"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tcBorders>
              <w:left w:val="single" w:sz="4" w:space="0" w:color="auto"/>
            </w:tcBorders>
            <w:shd w:val="clear" w:color="auto" w:fill="FFFF00"/>
          </w:tcPr>
          <w:p w14:paraId="139975E4" w14:textId="2F9A8BEB" w:rsidR="00125554" w:rsidRPr="00DF0D83" w:rsidRDefault="002D3AD4" w:rsidP="0012555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1,516.1</w:t>
            </w:r>
          </w:p>
        </w:tc>
        <w:tc>
          <w:tcPr>
            <w:tcW w:w="564" w:type="pct"/>
            <w:tcBorders>
              <w:right w:val="single" w:sz="4" w:space="0" w:color="auto"/>
            </w:tcBorders>
            <w:shd w:val="solid" w:color="FFFFFF" w:fill="auto"/>
          </w:tcPr>
          <w:p w14:paraId="014C6A66" w14:textId="0EB6BD38" w:rsidR="00125554" w:rsidRPr="00125554" w:rsidRDefault="00EE64C7" w:rsidP="00125554">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1,207.2</w:t>
            </w:r>
          </w:p>
        </w:tc>
      </w:tr>
      <w:tr w:rsidR="00125554" w:rsidRPr="00677316" w14:paraId="2C715D27" w14:textId="77777777" w:rsidTr="007A2AC9">
        <w:trPr>
          <w:trHeight w:val="211"/>
        </w:trPr>
        <w:tc>
          <w:tcPr>
            <w:tcW w:w="3494" w:type="pct"/>
            <w:gridSpan w:val="2"/>
            <w:shd w:val="solid" w:color="FFFFFF" w:fill="auto"/>
          </w:tcPr>
          <w:p w14:paraId="1F0F2EF0" w14:textId="5EEEB793" w:rsidR="00125554" w:rsidRPr="00677316" w:rsidRDefault="00125554" w:rsidP="00125554">
            <w:pPr>
              <w:autoSpaceDE w:val="0"/>
              <w:autoSpaceDN w:val="0"/>
              <w:adjustRightInd w:val="0"/>
              <w:ind w:left="38"/>
              <w:rPr>
                <w:rFonts w:asciiTheme="minorHAnsi" w:hAnsiTheme="minorHAnsi" w:cstheme="minorHAnsi"/>
                <w:b/>
                <w:bCs/>
                <w:color w:val="000000"/>
                <w:sz w:val="22"/>
                <w:szCs w:val="22"/>
              </w:rPr>
            </w:pPr>
            <w:r>
              <w:rPr>
                <w:rFonts w:ascii="Calibri" w:hAnsi="Calibri" w:cs="Calibri"/>
                <w:color w:val="000000"/>
                <w:sz w:val="22"/>
                <w:szCs w:val="22"/>
              </w:rPr>
              <w:t>Cash and cash equivalents</w:t>
            </w:r>
          </w:p>
        </w:tc>
        <w:tc>
          <w:tcPr>
            <w:tcW w:w="329" w:type="pct"/>
            <w:tcBorders>
              <w:right w:val="single" w:sz="4" w:space="0" w:color="auto"/>
            </w:tcBorders>
          </w:tcPr>
          <w:p w14:paraId="248871C0" w14:textId="77777777"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tcBorders>
              <w:left w:val="single" w:sz="4" w:space="0" w:color="auto"/>
              <w:bottom w:val="single" w:sz="4" w:space="0" w:color="auto"/>
            </w:tcBorders>
            <w:shd w:val="clear" w:color="auto" w:fill="FFFF00"/>
          </w:tcPr>
          <w:p w14:paraId="21808DF2" w14:textId="69850951" w:rsidR="00125554" w:rsidRPr="00DF0D83" w:rsidRDefault="002D3AD4" w:rsidP="0012555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2,952.1</w:t>
            </w:r>
          </w:p>
        </w:tc>
        <w:tc>
          <w:tcPr>
            <w:tcW w:w="564" w:type="pct"/>
            <w:tcBorders>
              <w:bottom w:val="single" w:sz="4" w:space="0" w:color="auto"/>
              <w:right w:val="single" w:sz="4" w:space="0" w:color="auto"/>
            </w:tcBorders>
            <w:shd w:val="solid" w:color="FFFFFF" w:fill="auto"/>
          </w:tcPr>
          <w:p w14:paraId="5BD2436C" w14:textId="46C058D8" w:rsidR="00125554" w:rsidRPr="00125554" w:rsidRDefault="00EE64C7" w:rsidP="00125554">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2,566.4</w:t>
            </w:r>
          </w:p>
        </w:tc>
      </w:tr>
      <w:tr w:rsidR="00125554" w:rsidRPr="00677316" w14:paraId="6EAA9413" w14:textId="77777777" w:rsidTr="007A2AC9">
        <w:trPr>
          <w:trHeight w:val="211"/>
        </w:trPr>
        <w:tc>
          <w:tcPr>
            <w:tcW w:w="2498" w:type="pct"/>
          </w:tcPr>
          <w:p w14:paraId="140F6F9F" w14:textId="070562C4" w:rsidR="00125554" w:rsidRPr="00677316" w:rsidRDefault="00125554" w:rsidP="00125554">
            <w:pPr>
              <w:autoSpaceDE w:val="0"/>
              <w:autoSpaceDN w:val="0"/>
              <w:adjustRightInd w:val="0"/>
              <w:ind w:left="38"/>
              <w:rPr>
                <w:rFonts w:asciiTheme="minorHAnsi" w:hAnsiTheme="minorHAnsi" w:cstheme="minorHAnsi"/>
                <w:color w:val="000000"/>
                <w:sz w:val="22"/>
                <w:szCs w:val="22"/>
              </w:rPr>
            </w:pPr>
            <w:r>
              <w:rPr>
                <w:rFonts w:ascii="Calibri" w:hAnsi="Calibri" w:cs="Calibri"/>
                <w:b/>
                <w:bCs/>
                <w:color w:val="000000"/>
                <w:sz w:val="22"/>
                <w:szCs w:val="22"/>
              </w:rPr>
              <w:t>Total current assets</w:t>
            </w:r>
          </w:p>
        </w:tc>
        <w:tc>
          <w:tcPr>
            <w:tcW w:w="996" w:type="pct"/>
            <w:shd w:val="solid" w:color="FFFFFF" w:fill="auto"/>
          </w:tcPr>
          <w:p w14:paraId="2F39E10F" w14:textId="77777777" w:rsidR="00125554" w:rsidRPr="00677316" w:rsidRDefault="00125554" w:rsidP="00125554">
            <w:pPr>
              <w:autoSpaceDE w:val="0"/>
              <w:autoSpaceDN w:val="0"/>
              <w:adjustRightInd w:val="0"/>
              <w:ind w:left="38"/>
              <w:jc w:val="right"/>
              <w:rPr>
                <w:rFonts w:asciiTheme="minorHAnsi" w:hAnsiTheme="minorHAnsi" w:cstheme="minorHAnsi"/>
                <w:color w:val="000000"/>
                <w:sz w:val="22"/>
                <w:szCs w:val="22"/>
              </w:rPr>
            </w:pPr>
          </w:p>
        </w:tc>
        <w:tc>
          <w:tcPr>
            <w:tcW w:w="329" w:type="pct"/>
          </w:tcPr>
          <w:p w14:paraId="5A7BBC10" w14:textId="59A96320" w:rsidR="00125554" w:rsidRPr="00677316" w:rsidRDefault="00125554" w:rsidP="00125554">
            <w:pPr>
              <w:autoSpaceDE w:val="0"/>
              <w:autoSpaceDN w:val="0"/>
              <w:adjustRightInd w:val="0"/>
              <w:jc w:val="center"/>
              <w:rPr>
                <w:rFonts w:asciiTheme="minorHAnsi" w:hAnsiTheme="minorHAnsi" w:cstheme="minorHAnsi"/>
                <w:b/>
                <w:bCs/>
                <w:i/>
                <w:iCs/>
                <w:color w:val="000000"/>
                <w:sz w:val="22"/>
                <w:szCs w:val="22"/>
              </w:rPr>
            </w:pPr>
          </w:p>
        </w:tc>
        <w:tc>
          <w:tcPr>
            <w:tcW w:w="613" w:type="pct"/>
            <w:tcBorders>
              <w:top w:val="single" w:sz="4" w:space="0" w:color="auto"/>
            </w:tcBorders>
            <w:shd w:val="clear" w:color="auto" w:fill="FFFF00"/>
          </w:tcPr>
          <w:p w14:paraId="57EA93D1" w14:textId="7C21134B" w:rsidR="00125554" w:rsidRPr="00EE64C7" w:rsidRDefault="002D3AD4" w:rsidP="00125554">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4,894.9</w:t>
            </w:r>
          </w:p>
        </w:tc>
        <w:tc>
          <w:tcPr>
            <w:tcW w:w="564" w:type="pct"/>
            <w:tcBorders>
              <w:top w:val="single" w:sz="4" w:space="0" w:color="auto"/>
              <w:bottom w:val="single" w:sz="4" w:space="0" w:color="auto"/>
            </w:tcBorders>
          </w:tcPr>
          <w:p w14:paraId="5D35A93E" w14:textId="7B091689" w:rsidR="00125554" w:rsidRPr="00EE64C7" w:rsidRDefault="00EE64C7" w:rsidP="00125554">
            <w:pPr>
              <w:autoSpaceDE w:val="0"/>
              <w:autoSpaceDN w:val="0"/>
              <w:adjustRightInd w:val="0"/>
              <w:jc w:val="right"/>
              <w:rPr>
                <w:rFonts w:ascii="Calibri" w:hAnsi="Calibri" w:cs="Calibri"/>
                <w:bCs/>
                <w:color w:val="000000"/>
                <w:sz w:val="22"/>
                <w:szCs w:val="22"/>
              </w:rPr>
            </w:pPr>
            <w:r w:rsidRPr="00EE64C7">
              <w:rPr>
                <w:rFonts w:ascii="Calibri" w:hAnsi="Calibri" w:cs="Calibri"/>
                <w:bCs/>
                <w:color w:val="000000"/>
                <w:sz w:val="22"/>
                <w:szCs w:val="22"/>
              </w:rPr>
              <w:t>4,493.9</w:t>
            </w:r>
          </w:p>
        </w:tc>
      </w:tr>
      <w:tr w:rsidR="00125554" w:rsidRPr="00677316" w14:paraId="7CBF1BEC" w14:textId="77777777" w:rsidTr="007A2AC9">
        <w:trPr>
          <w:trHeight w:val="211"/>
        </w:trPr>
        <w:tc>
          <w:tcPr>
            <w:tcW w:w="3494" w:type="pct"/>
            <w:gridSpan w:val="2"/>
            <w:shd w:val="solid" w:color="FFFFFF" w:fill="auto"/>
          </w:tcPr>
          <w:p w14:paraId="465647F5" w14:textId="77777777" w:rsidR="00264571" w:rsidRDefault="00264571" w:rsidP="00125554">
            <w:pPr>
              <w:autoSpaceDE w:val="0"/>
              <w:autoSpaceDN w:val="0"/>
              <w:adjustRightInd w:val="0"/>
              <w:ind w:left="38"/>
              <w:rPr>
                <w:rFonts w:ascii="Calibri" w:hAnsi="Calibri" w:cs="Calibri"/>
                <w:b/>
                <w:bCs/>
                <w:color w:val="000000"/>
                <w:sz w:val="22"/>
                <w:szCs w:val="22"/>
              </w:rPr>
            </w:pPr>
          </w:p>
          <w:p w14:paraId="3B08128A" w14:textId="77777777" w:rsidR="00264571" w:rsidRDefault="00264571" w:rsidP="00125554">
            <w:pPr>
              <w:autoSpaceDE w:val="0"/>
              <w:autoSpaceDN w:val="0"/>
              <w:adjustRightInd w:val="0"/>
              <w:ind w:left="38"/>
              <w:rPr>
                <w:rFonts w:ascii="Calibri" w:hAnsi="Calibri" w:cs="Calibri"/>
                <w:b/>
                <w:bCs/>
                <w:color w:val="000000"/>
                <w:sz w:val="22"/>
                <w:szCs w:val="22"/>
              </w:rPr>
            </w:pPr>
          </w:p>
          <w:p w14:paraId="20FF93F7" w14:textId="7713509A" w:rsidR="00EE64C7" w:rsidRPr="00EE64C7" w:rsidRDefault="008B70FA" w:rsidP="00125554">
            <w:pPr>
              <w:autoSpaceDE w:val="0"/>
              <w:autoSpaceDN w:val="0"/>
              <w:adjustRightInd w:val="0"/>
              <w:ind w:left="38"/>
              <w:rPr>
                <w:rFonts w:ascii="Calibri" w:hAnsi="Calibri" w:cs="Calibri"/>
                <w:b/>
                <w:bCs/>
                <w:color w:val="000000"/>
                <w:sz w:val="22"/>
                <w:szCs w:val="22"/>
              </w:rPr>
            </w:pPr>
            <w:r>
              <w:rPr>
                <w:rFonts w:ascii="Calibri" w:hAnsi="Calibri" w:cs="Calibri"/>
                <w:b/>
                <w:bCs/>
                <w:color w:val="000000"/>
                <w:sz w:val="22"/>
                <w:szCs w:val="22"/>
              </w:rPr>
              <w:t>Total assets</w:t>
            </w:r>
          </w:p>
        </w:tc>
        <w:tc>
          <w:tcPr>
            <w:tcW w:w="329" w:type="pct"/>
          </w:tcPr>
          <w:p w14:paraId="07DC3656" w14:textId="77777777" w:rsidR="00125554" w:rsidRPr="00EE64C7" w:rsidRDefault="00125554" w:rsidP="00125554">
            <w:pPr>
              <w:autoSpaceDE w:val="0"/>
              <w:autoSpaceDN w:val="0"/>
              <w:adjustRightInd w:val="0"/>
              <w:jc w:val="right"/>
              <w:rPr>
                <w:rFonts w:ascii="Calibri" w:hAnsi="Calibri" w:cs="Calibri"/>
                <w:b/>
                <w:bCs/>
                <w:color w:val="000000"/>
                <w:sz w:val="22"/>
                <w:szCs w:val="22"/>
              </w:rPr>
            </w:pPr>
          </w:p>
        </w:tc>
        <w:tc>
          <w:tcPr>
            <w:tcW w:w="613" w:type="pct"/>
            <w:tcBorders>
              <w:top w:val="single" w:sz="4" w:space="0" w:color="auto"/>
              <w:bottom w:val="single" w:sz="4" w:space="0" w:color="auto"/>
            </w:tcBorders>
            <w:shd w:val="clear" w:color="auto" w:fill="FFFF00"/>
          </w:tcPr>
          <w:p w14:paraId="37CCCC65" w14:textId="77777777" w:rsidR="00EE64C7" w:rsidRPr="00EE64C7" w:rsidRDefault="00EE64C7" w:rsidP="008B70FA">
            <w:pPr>
              <w:autoSpaceDE w:val="0"/>
              <w:autoSpaceDN w:val="0"/>
              <w:adjustRightInd w:val="0"/>
              <w:rPr>
                <w:rFonts w:ascii="Calibri" w:hAnsi="Calibri" w:cs="Calibri"/>
                <w:b/>
                <w:bCs/>
                <w:color w:val="000000"/>
                <w:sz w:val="22"/>
                <w:szCs w:val="22"/>
              </w:rPr>
            </w:pPr>
          </w:p>
          <w:p w14:paraId="6DAE5F03" w14:textId="77777777" w:rsidR="008B70FA" w:rsidRDefault="008B70FA" w:rsidP="00125554">
            <w:pPr>
              <w:autoSpaceDE w:val="0"/>
              <w:autoSpaceDN w:val="0"/>
              <w:adjustRightInd w:val="0"/>
              <w:jc w:val="right"/>
              <w:rPr>
                <w:rFonts w:ascii="Calibri" w:hAnsi="Calibri" w:cs="Calibri"/>
                <w:b/>
                <w:bCs/>
                <w:color w:val="000000"/>
                <w:sz w:val="22"/>
                <w:szCs w:val="22"/>
              </w:rPr>
            </w:pPr>
          </w:p>
          <w:p w14:paraId="261D3F49" w14:textId="34E8A0A4" w:rsidR="00125554" w:rsidRPr="00EE64C7" w:rsidRDefault="002D3AD4" w:rsidP="00125554">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14,</w:t>
            </w:r>
            <w:r w:rsidR="009D31A2">
              <w:rPr>
                <w:rFonts w:ascii="Calibri" w:hAnsi="Calibri" w:cs="Calibri"/>
                <w:b/>
                <w:bCs/>
                <w:color w:val="000000"/>
                <w:sz w:val="22"/>
                <w:szCs w:val="22"/>
              </w:rPr>
              <w:t>684</w:t>
            </w:r>
            <w:r>
              <w:rPr>
                <w:rFonts w:ascii="Calibri" w:hAnsi="Calibri" w:cs="Calibri"/>
                <w:b/>
                <w:bCs/>
                <w:color w:val="000000"/>
                <w:sz w:val="22"/>
                <w:szCs w:val="22"/>
              </w:rPr>
              <w:t>.</w:t>
            </w:r>
            <w:r w:rsidR="009D31A2">
              <w:rPr>
                <w:rFonts w:ascii="Calibri" w:hAnsi="Calibri" w:cs="Calibri"/>
                <w:b/>
                <w:bCs/>
                <w:color w:val="000000"/>
                <w:sz w:val="22"/>
                <w:szCs w:val="22"/>
              </w:rPr>
              <w:t>4</w:t>
            </w:r>
          </w:p>
        </w:tc>
        <w:tc>
          <w:tcPr>
            <w:tcW w:w="564" w:type="pct"/>
            <w:tcBorders>
              <w:top w:val="single" w:sz="4" w:space="0" w:color="auto"/>
              <w:bottom w:val="single" w:sz="4" w:space="0" w:color="auto"/>
            </w:tcBorders>
            <w:shd w:val="solid" w:color="FFFFFF" w:fill="auto"/>
          </w:tcPr>
          <w:p w14:paraId="2A93AA27" w14:textId="77777777" w:rsidR="00EE64C7" w:rsidRPr="00EE64C7" w:rsidRDefault="00EE64C7" w:rsidP="00125554">
            <w:pPr>
              <w:autoSpaceDE w:val="0"/>
              <w:autoSpaceDN w:val="0"/>
              <w:adjustRightInd w:val="0"/>
              <w:jc w:val="right"/>
              <w:rPr>
                <w:rFonts w:ascii="Calibri" w:hAnsi="Calibri" w:cs="Calibri"/>
                <w:b/>
                <w:bCs/>
                <w:color w:val="000000"/>
                <w:sz w:val="22"/>
                <w:szCs w:val="22"/>
              </w:rPr>
            </w:pPr>
          </w:p>
          <w:p w14:paraId="29D34483" w14:textId="77777777" w:rsidR="008B70FA" w:rsidRDefault="008B70FA" w:rsidP="00125554">
            <w:pPr>
              <w:autoSpaceDE w:val="0"/>
              <w:autoSpaceDN w:val="0"/>
              <w:adjustRightInd w:val="0"/>
              <w:jc w:val="right"/>
              <w:rPr>
                <w:rFonts w:ascii="Calibri" w:hAnsi="Calibri" w:cs="Calibri"/>
                <w:b/>
                <w:bCs/>
                <w:color w:val="000000"/>
                <w:sz w:val="22"/>
                <w:szCs w:val="22"/>
              </w:rPr>
            </w:pPr>
          </w:p>
          <w:p w14:paraId="4B119648" w14:textId="557FFB29" w:rsidR="00125554" w:rsidRPr="00EE64C7" w:rsidRDefault="00125554" w:rsidP="00125554">
            <w:pPr>
              <w:autoSpaceDE w:val="0"/>
              <w:autoSpaceDN w:val="0"/>
              <w:adjustRightInd w:val="0"/>
              <w:jc w:val="right"/>
              <w:rPr>
                <w:rFonts w:ascii="Calibri" w:hAnsi="Calibri" w:cs="Calibri"/>
                <w:b/>
                <w:bCs/>
                <w:color w:val="000000"/>
                <w:sz w:val="22"/>
                <w:szCs w:val="22"/>
              </w:rPr>
            </w:pPr>
            <w:r w:rsidRPr="00EE64C7">
              <w:rPr>
                <w:rFonts w:ascii="Calibri" w:hAnsi="Calibri" w:cs="Calibri"/>
                <w:b/>
                <w:bCs/>
                <w:color w:val="000000"/>
                <w:sz w:val="22"/>
                <w:szCs w:val="22"/>
              </w:rPr>
              <w:t>14,747.2</w:t>
            </w:r>
          </w:p>
        </w:tc>
      </w:tr>
      <w:tr w:rsidR="00125554" w:rsidRPr="00677316" w14:paraId="18A79502" w14:textId="77777777" w:rsidTr="007A2AC9">
        <w:trPr>
          <w:trHeight w:val="211"/>
        </w:trPr>
        <w:tc>
          <w:tcPr>
            <w:tcW w:w="2498" w:type="pct"/>
            <w:shd w:val="solid" w:color="FFFFFF" w:fill="auto"/>
          </w:tcPr>
          <w:p w14:paraId="4A9F2FC9" w14:textId="73449E24" w:rsidR="00125554" w:rsidRPr="00677316" w:rsidRDefault="00125554" w:rsidP="00EE64C7">
            <w:pPr>
              <w:autoSpaceDE w:val="0"/>
              <w:autoSpaceDN w:val="0"/>
              <w:adjustRightInd w:val="0"/>
              <w:rPr>
                <w:rFonts w:asciiTheme="minorHAnsi" w:hAnsiTheme="minorHAnsi" w:cstheme="minorHAnsi"/>
                <w:color w:val="000000"/>
                <w:sz w:val="22"/>
                <w:szCs w:val="22"/>
              </w:rPr>
            </w:pPr>
          </w:p>
        </w:tc>
        <w:tc>
          <w:tcPr>
            <w:tcW w:w="996" w:type="pct"/>
            <w:shd w:val="solid" w:color="FFFFFF" w:fill="auto"/>
          </w:tcPr>
          <w:p w14:paraId="57F90005" w14:textId="77777777" w:rsidR="00125554" w:rsidRPr="00677316" w:rsidRDefault="00125554" w:rsidP="00EE64C7">
            <w:pPr>
              <w:autoSpaceDE w:val="0"/>
              <w:autoSpaceDN w:val="0"/>
              <w:adjustRightInd w:val="0"/>
              <w:rPr>
                <w:rFonts w:asciiTheme="minorHAnsi" w:hAnsiTheme="minorHAnsi" w:cstheme="minorHAnsi"/>
                <w:color w:val="000000"/>
                <w:sz w:val="22"/>
                <w:szCs w:val="22"/>
              </w:rPr>
            </w:pPr>
          </w:p>
        </w:tc>
        <w:tc>
          <w:tcPr>
            <w:tcW w:w="329" w:type="pct"/>
          </w:tcPr>
          <w:p w14:paraId="06829D08" w14:textId="61E4762B"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5BCEEDE2" w14:textId="77777777" w:rsidR="00125554" w:rsidRPr="00DF0D83" w:rsidRDefault="00125554" w:rsidP="00125554">
            <w:pPr>
              <w:autoSpaceDE w:val="0"/>
              <w:autoSpaceDN w:val="0"/>
              <w:adjustRightInd w:val="0"/>
              <w:jc w:val="right"/>
              <w:rPr>
                <w:rFonts w:asciiTheme="minorHAnsi" w:hAnsiTheme="minorHAnsi" w:cstheme="minorHAnsi"/>
                <w:b/>
                <w:bCs/>
                <w:color w:val="000000"/>
                <w:sz w:val="22"/>
                <w:szCs w:val="22"/>
              </w:rPr>
            </w:pPr>
          </w:p>
        </w:tc>
        <w:tc>
          <w:tcPr>
            <w:tcW w:w="564" w:type="pct"/>
            <w:tcBorders>
              <w:top w:val="single" w:sz="4" w:space="0" w:color="auto"/>
            </w:tcBorders>
            <w:shd w:val="solid" w:color="FFFFFF" w:fill="auto"/>
          </w:tcPr>
          <w:p w14:paraId="2C88D6DD" w14:textId="77777777" w:rsidR="00125554" w:rsidRPr="00125554" w:rsidRDefault="00125554" w:rsidP="00125554">
            <w:pPr>
              <w:autoSpaceDE w:val="0"/>
              <w:autoSpaceDN w:val="0"/>
              <w:adjustRightInd w:val="0"/>
              <w:jc w:val="right"/>
              <w:rPr>
                <w:rFonts w:asciiTheme="minorHAnsi" w:hAnsiTheme="minorHAnsi" w:cstheme="minorHAnsi"/>
                <w:color w:val="000000"/>
                <w:sz w:val="22"/>
                <w:szCs w:val="22"/>
              </w:rPr>
            </w:pPr>
          </w:p>
        </w:tc>
      </w:tr>
      <w:tr w:rsidR="00125554" w:rsidRPr="00677316" w14:paraId="31D5F5E0" w14:textId="77777777" w:rsidTr="007A2AC9">
        <w:trPr>
          <w:trHeight w:val="199"/>
        </w:trPr>
        <w:tc>
          <w:tcPr>
            <w:tcW w:w="3494" w:type="pct"/>
            <w:gridSpan w:val="2"/>
            <w:shd w:val="solid" w:color="FFFFFF" w:fill="auto"/>
          </w:tcPr>
          <w:p w14:paraId="700C3475" w14:textId="3761BA74" w:rsidR="00125554" w:rsidRPr="00677316" w:rsidRDefault="00125554" w:rsidP="00125554">
            <w:pPr>
              <w:autoSpaceDE w:val="0"/>
              <w:autoSpaceDN w:val="0"/>
              <w:adjustRightInd w:val="0"/>
              <w:ind w:left="38"/>
              <w:rPr>
                <w:rFonts w:asciiTheme="minorHAnsi" w:hAnsiTheme="minorHAnsi" w:cstheme="minorHAnsi"/>
                <w:b/>
                <w:bCs/>
                <w:color w:val="000000"/>
                <w:sz w:val="22"/>
                <w:szCs w:val="22"/>
              </w:rPr>
            </w:pPr>
          </w:p>
        </w:tc>
        <w:tc>
          <w:tcPr>
            <w:tcW w:w="329" w:type="pct"/>
          </w:tcPr>
          <w:p w14:paraId="1F455854" w14:textId="77777777"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425A50AD" w14:textId="77777777" w:rsidR="00125554" w:rsidRPr="00DF0D83" w:rsidRDefault="00125554" w:rsidP="00125554">
            <w:pPr>
              <w:autoSpaceDE w:val="0"/>
              <w:autoSpaceDN w:val="0"/>
              <w:adjustRightInd w:val="0"/>
              <w:jc w:val="right"/>
              <w:rPr>
                <w:rFonts w:asciiTheme="minorHAnsi" w:hAnsiTheme="minorHAnsi" w:cstheme="minorHAnsi"/>
                <w:b/>
                <w:bCs/>
                <w:color w:val="000000"/>
                <w:sz w:val="22"/>
                <w:szCs w:val="22"/>
              </w:rPr>
            </w:pPr>
          </w:p>
        </w:tc>
        <w:tc>
          <w:tcPr>
            <w:tcW w:w="564" w:type="pct"/>
            <w:shd w:val="solid" w:color="FFFFFF" w:fill="auto"/>
          </w:tcPr>
          <w:p w14:paraId="1DD5E59A" w14:textId="77777777" w:rsidR="00125554" w:rsidRPr="00125554" w:rsidRDefault="00125554" w:rsidP="00125554">
            <w:pPr>
              <w:autoSpaceDE w:val="0"/>
              <w:autoSpaceDN w:val="0"/>
              <w:adjustRightInd w:val="0"/>
              <w:jc w:val="right"/>
              <w:rPr>
                <w:rFonts w:asciiTheme="minorHAnsi" w:hAnsiTheme="minorHAnsi" w:cstheme="minorHAnsi"/>
                <w:color w:val="000000"/>
                <w:sz w:val="22"/>
                <w:szCs w:val="22"/>
              </w:rPr>
            </w:pPr>
          </w:p>
        </w:tc>
      </w:tr>
      <w:tr w:rsidR="00125554" w:rsidRPr="00677316" w14:paraId="5386C8A8" w14:textId="77777777" w:rsidTr="007A2AC9">
        <w:trPr>
          <w:trHeight w:val="199"/>
        </w:trPr>
        <w:tc>
          <w:tcPr>
            <w:tcW w:w="3494" w:type="pct"/>
            <w:gridSpan w:val="2"/>
            <w:shd w:val="solid" w:color="FFFFFF" w:fill="auto"/>
          </w:tcPr>
          <w:p w14:paraId="13B6AADA" w14:textId="57F49F43" w:rsidR="00125554" w:rsidRPr="00564BEF" w:rsidRDefault="00125554" w:rsidP="00125554">
            <w:pPr>
              <w:autoSpaceDE w:val="0"/>
              <w:autoSpaceDN w:val="0"/>
              <w:adjustRightInd w:val="0"/>
              <w:ind w:left="38"/>
              <w:rPr>
                <w:rFonts w:asciiTheme="minorHAnsi" w:hAnsiTheme="minorHAnsi" w:cstheme="minorHAnsi"/>
                <w:color w:val="000000"/>
                <w:sz w:val="22"/>
                <w:szCs w:val="22"/>
              </w:rPr>
            </w:pPr>
            <w:r>
              <w:rPr>
                <w:rFonts w:ascii="Calibri" w:hAnsi="Calibri" w:cs="Calibri"/>
                <w:b/>
                <w:bCs/>
                <w:color w:val="000000"/>
                <w:sz w:val="22"/>
                <w:szCs w:val="22"/>
              </w:rPr>
              <w:t>Current liabilities</w:t>
            </w:r>
          </w:p>
        </w:tc>
        <w:tc>
          <w:tcPr>
            <w:tcW w:w="329" w:type="pct"/>
          </w:tcPr>
          <w:p w14:paraId="61C5186D" w14:textId="77777777" w:rsidR="00125554" w:rsidRPr="00677316" w:rsidRDefault="00125554" w:rsidP="00125554">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61470661" w14:textId="5D6C67A8" w:rsidR="00125554" w:rsidRPr="00DF0D83" w:rsidRDefault="00125554" w:rsidP="00125554">
            <w:pPr>
              <w:autoSpaceDE w:val="0"/>
              <w:autoSpaceDN w:val="0"/>
              <w:adjustRightInd w:val="0"/>
              <w:jc w:val="right"/>
              <w:rPr>
                <w:rFonts w:asciiTheme="minorHAnsi" w:hAnsiTheme="minorHAnsi" w:cstheme="minorHAnsi"/>
                <w:b/>
                <w:bCs/>
                <w:color w:val="000000"/>
                <w:sz w:val="22"/>
                <w:szCs w:val="22"/>
              </w:rPr>
            </w:pPr>
          </w:p>
        </w:tc>
        <w:tc>
          <w:tcPr>
            <w:tcW w:w="564" w:type="pct"/>
            <w:shd w:val="solid" w:color="FFFFFF" w:fill="auto"/>
          </w:tcPr>
          <w:p w14:paraId="7CCCAFF2" w14:textId="48F49752" w:rsidR="00125554" w:rsidRPr="00125554" w:rsidRDefault="00125554" w:rsidP="00125554">
            <w:pPr>
              <w:autoSpaceDE w:val="0"/>
              <w:autoSpaceDN w:val="0"/>
              <w:adjustRightInd w:val="0"/>
              <w:jc w:val="right"/>
              <w:rPr>
                <w:rFonts w:asciiTheme="minorHAnsi" w:hAnsiTheme="minorHAnsi" w:cstheme="minorHAnsi"/>
                <w:color w:val="000000"/>
                <w:sz w:val="22"/>
                <w:szCs w:val="22"/>
              </w:rPr>
            </w:pPr>
          </w:p>
        </w:tc>
      </w:tr>
      <w:tr w:rsidR="00EE64C7" w:rsidRPr="00677316" w14:paraId="38FBC810" w14:textId="77777777" w:rsidTr="007A2AC9">
        <w:trPr>
          <w:trHeight w:val="199"/>
        </w:trPr>
        <w:tc>
          <w:tcPr>
            <w:tcW w:w="3494" w:type="pct"/>
            <w:gridSpan w:val="2"/>
            <w:shd w:val="solid" w:color="FFFFFF" w:fill="auto"/>
          </w:tcPr>
          <w:p w14:paraId="78465D4D" w14:textId="242BA4CE" w:rsidR="00EE64C7" w:rsidRPr="00677316" w:rsidRDefault="00EE64C7" w:rsidP="00EE64C7">
            <w:pPr>
              <w:autoSpaceDE w:val="0"/>
              <w:autoSpaceDN w:val="0"/>
              <w:adjustRightInd w:val="0"/>
              <w:ind w:left="38"/>
              <w:rPr>
                <w:rFonts w:asciiTheme="minorHAnsi" w:hAnsiTheme="minorHAnsi" w:cstheme="minorHAnsi"/>
                <w:color w:val="000000"/>
                <w:sz w:val="22"/>
                <w:szCs w:val="22"/>
              </w:rPr>
            </w:pPr>
            <w:r>
              <w:rPr>
                <w:rFonts w:ascii="Calibri" w:hAnsi="Calibri" w:cs="Calibri"/>
                <w:bCs/>
                <w:color w:val="000000"/>
                <w:sz w:val="22"/>
                <w:szCs w:val="22"/>
              </w:rPr>
              <w:t>Provisions</w:t>
            </w:r>
          </w:p>
        </w:tc>
        <w:tc>
          <w:tcPr>
            <w:tcW w:w="329" w:type="pct"/>
          </w:tcPr>
          <w:p w14:paraId="3E764563" w14:textId="77777777"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5A50CEE4" w14:textId="61D6D45A" w:rsidR="00EE64C7" w:rsidRPr="00677316" w:rsidRDefault="002D3AD4"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60.1</w:t>
            </w:r>
          </w:p>
        </w:tc>
        <w:tc>
          <w:tcPr>
            <w:tcW w:w="564" w:type="pct"/>
            <w:shd w:val="solid" w:color="FFFFFF" w:fill="auto"/>
          </w:tcPr>
          <w:p w14:paraId="691DD831" w14:textId="1099CC0A"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43.3</w:t>
            </w:r>
          </w:p>
        </w:tc>
      </w:tr>
      <w:tr w:rsidR="00EE64C7" w:rsidRPr="00677316" w14:paraId="32928DD9" w14:textId="77777777" w:rsidTr="007A2AC9">
        <w:trPr>
          <w:trHeight w:val="199"/>
        </w:trPr>
        <w:tc>
          <w:tcPr>
            <w:tcW w:w="3494" w:type="pct"/>
            <w:gridSpan w:val="2"/>
            <w:shd w:val="solid" w:color="FFFFFF" w:fill="auto"/>
          </w:tcPr>
          <w:p w14:paraId="2E36D5BF" w14:textId="6D5DAC4F" w:rsidR="00EE64C7" w:rsidRPr="00677316" w:rsidRDefault="00EE64C7" w:rsidP="00EE64C7">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Trade payables</w:t>
            </w:r>
          </w:p>
        </w:tc>
        <w:tc>
          <w:tcPr>
            <w:tcW w:w="329" w:type="pct"/>
          </w:tcPr>
          <w:p w14:paraId="08B2C241" w14:textId="77777777"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4CD2DE20" w14:textId="181F9604" w:rsidR="00EE64C7" w:rsidRPr="00677316" w:rsidRDefault="002D3AD4"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r w:rsidR="009D31A2">
              <w:rPr>
                <w:rFonts w:asciiTheme="minorHAnsi" w:hAnsiTheme="minorHAnsi" w:cstheme="minorHAnsi"/>
                <w:b/>
                <w:bCs/>
                <w:color w:val="000000"/>
                <w:sz w:val="22"/>
                <w:szCs w:val="22"/>
              </w:rPr>
              <w:t>390</w:t>
            </w:r>
            <w:r>
              <w:rPr>
                <w:rFonts w:asciiTheme="minorHAnsi" w:hAnsiTheme="minorHAnsi" w:cstheme="minorHAnsi"/>
                <w:b/>
                <w:bCs/>
                <w:color w:val="000000"/>
                <w:sz w:val="22"/>
                <w:szCs w:val="22"/>
              </w:rPr>
              <w:t>.</w:t>
            </w:r>
            <w:r w:rsidR="009D31A2">
              <w:rPr>
                <w:rFonts w:asciiTheme="minorHAnsi" w:hAnsiTheme="minorHAnsi" w:cstheme="minorHAnsi"/>
                <w:b/>
                <w:bCs/>
                <w:color w:val="000000"/>
                <w:sz w:val="22"/>
                <w:szCs w:val="22"/>
              </w:rPr>
              <w:t>7</w:t>
            </w:r>
          </w:p>
        </w:tc>
        <w:tc>
          <w:tcPr>
            <w:tcW w:w="564" w:type="pct"/>
            <w:shd w:val="solid" w:color="FFFFFF" w:fill="auto"/>
          </w:tcPr>
          <w:p w14:paraId="50A05966" w14:textId="773568A8"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1,368.2</w:t>
            </w:r>
          </w:p>
        </w:tc>
      </w:tr>
      <w:tr w:rsidR="00EE64C7" w:rsidRPr="00677316" w14:paraId="3EB1B399" w14:textId="77777777" w:rsidTr="007A2AC9">
        <w:trPr>
          <w:trHeight w:val="199"/>
        </w:trPr>
        <w:tc>
          <w:tcPr>
            <w:tcW w:w="3494" w:type="pct"/>
            <w:gridSpan w:val="2"/>
            <w:shd w:val="solid" w:color="FFFFFF" w:fill="auto"/>
          </w:tcPr>
          <w:p w14:paraId="3B5897F9" w14:textId="79BE44E9" w:rsidR="00EE64C7" w:rsidRPr="00677316" w:rsidRDefault="00EE64C7" w:rsidP="00EE64C7">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Accrued expenses and other liabilities</w:t>
            </w:r>
          </w:p>
        </w:tc>
        <w:tc>
          <w:tcPr>
            <w:tcW w:w="329" w:type="pct"/>
          </w:tcPr>
          <w:p w14:paraId="50CAF2A3" w14:textId="0AA640B4" w:rsidR="00EE64C7" w:rsidRPr="00677316" w:rsidRDefault="00EE64C7" w:rsidP="00EE64C7">
            <w:pPr>
              <w:autoSpaceDE w:val="0"/>
              <w:autoSpaceDN w:val="0"/>
              <w:adjustRightInd w:val="0"/>
              <w:jc w:val="center"/>
              <w:rPr>
                <w:rFonts w:asciiTheme="minorHAnsi" w:hAnsiTheme="minorHAnsi" w:cstheme="minorHAnsi"/>
                <w:b/>
                <w:bCs/>
                <w:color w:val="000000"/>
                <w:sz w:val="22"/>
                <w:szCs w:val="22"/>
              </w:rPr>
            </w:pPr>
          </w:p>
        </w:tc>
        <w:tc>
          <w:tcPr>
            <w:tcW w:w="613" w:type="pct"/>
            <w:shd w:val="clear" w:color="auto" w:fill="FFFF00"/>
          </w:tcPr>
          <w:p w14:paraId="14CB467C" w14:textId="23996396" w:rsidR="00EE64C7" w:rsidRDefault="002D3AD4"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1,708.1</w:t>
            </w:r>
          </w:p>
        </w:tc>
        <w:tc>
          <w:tcPr>
            <w:tcW w:w="564" w:type="pct"/>
            <w:shd w:val="solid" w:color="FFFFFF" w:fill="auto"/>
          </w:tcPr>
          <w:p w14:paraId="555BD2C5" w14:textId="56FCEABE"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2,589.4</w:t>
            </w:r>
          </w:p>
        </w:tc>
      </w:tr>
      <w:tr w:rsidR="00EE64C7" w:rsidRPr="00677316" w14:paraId="6341B58F" w14:textId="77777777" w:rsidTr="007A2AC9">
        <w:trPr>
          <w:trHeight w:val="199"/>
        </w:trPr>
        <w:tc>
          <w:tcPr>
            <w:tcW w:w="3494" w:type="pct"/>
            <w:gridSpan w:val="2"/>
            <w:shd w:val="solid" w:color="FFFFFF" w:fill="auto"/>
          </w:tcPr>
          <w:p w14:paraId="4243BADD" w14:textId="62C35E55" w:rsidR="00EE64C7" w:rsidRPr="00677316" w:rsidRDefault="00EE64C7" w:rsidP="00EE64C7">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Current lease liability</w:t>
            </w:r>
          </w:p>
        </w:tc>
        <w:tc>
          <w:tcPr>
            <w:tcW w:w="329" w:type="pct"/>
          </w:tcPr>
          <w:p w14:paraId="3B6498A9" w14:textId="24A4BB13"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1D416636" w14:textId="322DF6B9" w:rsidR="00EE64C7" w:rsidRPr="00677316" w:rsidRDefault="002D3AD4"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62.6</w:t>
            </w:r>
          </w:p>
        </w:tc>
        <w:tc>
          <w:tcPr>
            <w:tcW w:w="564" w:type="pct"/>
            <w:shd w:val="solid" w:color="FFFFFF" w:fill="auto"/>
          </w:tcPr>
          <w:p w14:paraId="70FADEC9" w14:textId="3FC662A6"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75.0</w:t>
            </w:r>
          </w:p>
        </w:tc>
      </w:tr>
      <w:tr w:rsidR="00EE64C7" w:rsidRPr="00677316" w14:paraId="622549D8" w14:textId="77777777" w:rsidTr="007A2AC9">
        <w:trPr>
          <w:trHeight w:val="199"/>
        </w:trPr>
        <w:tc>
          <w:tcPr>
            <w:tcW w:w="3494" w:type="pct"/>
            <w:gridSpan w:val="2"/>
            <w:shd w:val="solid" w:color="FFFFFF" w:fill="auto"/>
          </w:tcPr>
          <w:p w14:paraId="6ADF288E" w14:textId="2DCF9EFC" w:rsidR="00EE64C7" w:rsidRPr="00677316" w:rsidRDefault="00EE64C7" w:rsidP="00EE64C7">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Current maturities of debt</w:t>
            </w:r>
          </w:p>
        </w:tc>
        <w:tc>
          <w:tcPr>
            <w:tcW w:w="329" w:type="pct"/>
          </w:tcPr>
          <w:p w14:paraId="0E23C839" w14:textId="1F4FE007"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0DC4F745" w14:textId="738FD936" w:rsidR="00EE64C7" w:rsidRPr="00677316" w:rsidRDefault="002D3AD4"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r w:rsidR="00EB583C">
              <w:rPr>
                <w:rFonts w:asciiTheme="minorHAnsi" w:hAnsiTheme="minorHAnsi" w:cstheme="minorHAnsi"/>
                <w:b/>
                <w:bCs/>
                <w:color w:val="000000"/>
                <w:sz w:val="22"/>
                <w:szCs w:val="22"/>
              </w:rPr>
              <w:t>86</w:t>
            </w:r>
            <w:r>
              <w:rPr>
                <w:rFonts w:asciiTheme="minorHAnsi" w:hAnsiTheme="minorHAnsi" w:cstheme="minorHAnsi"/>
                <w:b/>
                <w:bCs/>
                <w:color w:val="000000"/>
                <w:sz w:val="22"/>
                <w:szCs w:val="22"/>
              </w:rPr>
              <w:t>9.</w:t>
            </w:r>
            <w:r w:rsidR="00EB583C">
              <w:rPr>
                <w:rFonts w:asciiTheme="minorHAnsi" w:hAnsiTheme="minorHAnsi" w:cstheme="minorHAnsi"/>
                <w:b/>
                <w:bCs/>
                <w:color w:val="000000"/>
                <w:sz w:val="22"/>
                <w:szCs w:val="22"/>
              </w:rPr>
              <w:t>5</w:t>
            </w:r>
          </w:p>
        </w:tc>
        <w:tc>
          <w:tcPr>
            <w:tcW w:w="564" w:type="pct"/>
            <w:shd w:val="solid" w:color="FFFFFF" w:fill="auto"/>
          </w:tcPr>
          <w:p w14:paraId="584ECD42" w14:textId="38C35C29"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382.3</w:t>
            </w:r>
          </w:p>
        </w:tc>
      </w:tr>
      <w:tr w:rsidR="00EE64C7" w:rsidRPr="00677316" w14:paraId="369592BB" w14:textId="77777777" w:rsidTr="007A2AC9">
        <w:trPr>
          <w:trHeight w:val="199"/>
        </w:trPr>
        <w:tc>
          <w:tcPr>
            <w:tcW w:w="3494" w:type="pct"/>
            <w:gridSpan w:val="2"/>
            <w:shd w:val="solid" w:color="FFFFFF" w:fill="auto"/>
          </w:tcPr>
          <w:p w14:paraId="4B8EE0C0" w14:textId="209588BA" w:rsidR="00EE64C7" w:rsidRPr="00677316" w:rsidRDefault="00EE64C7" w:rsidP="00EE64C7">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Derivative financial instruments</w:t>
            </w:r>
          </w:p>
        </w:tc>
        <w:tc>
          <w:tcPr>
            <w:tcW w:w="329" w:type="pct"/>
          </w:tcPr>
          <w:p w14:paraId="4350F433" w14:textId="543DD836"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w:t>
            </w:r>
            <w:r w:rsidR="004B6548">
              <w:rPr>
                <w:rFonts w:ascii="Calibri" w:hAnsi="Calibri" w:cs="Calibri"/>
                <w:b/>
                <w:bCs/>
                <w:color w:val="000000"/>
                <w:sz w:val="22"/>
                <w:szCs w:val="22"/>
              </w:rPr>
              <w:t>3</w:t>
            </w:r>
          </w:p>
        </w:tc>
        <w:tc>
          <w:tcPr>
            <w:tcW w:w="613" w:type="pct"/>
            <w:shd w:val="clear" w:color="auto" w:fill="FFFF00"/>
          </w:tcPr>
          <w:p w14:paraId="13B52930" w14:textId="67785A7B" w:rsidR="00EE64C7" w:rsidRPr="00677316" w:rsidRDefault="002D3AD4"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568.1</w:t>
            </w:r>
          </w:p>
        </w:tc>
        <w:tc>
          <w:tcPr>
            <w:tcW w:w="564" w:type="pct"/>
            <w:shd w:val="solid" w:color="FFFFFF" w:fill="auto"/>
          </w:tcPr>
          <w:p w14:paraId="27F9D60E" w14:textId="39B37347"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1,050.0</w:t>
            </w:r>
          </w:p>
        </w:tc>
      </w:tr>
      <w:tr w:rsidR="00EE64C7" w:rsidRPr="00677316" w14:paraId="48F9791E" w14:textId="77777777" w:rsidTr="007A2AC9">
        <w:trPr>
          <w:trHeight w:val="211"/>
        </w:trPr>
        <w:tc>
          <w:tcPr>
            <w:tcW w:w="3494" w:type="pct"/>
            <w:gridSpan w:val="2"/>
            <w:shd w:val="solid" w:color="FFFFFF" w:fill="auto"/>
          </w:tcPr>
          <w:p w14:paraId="232AD9E4" w14:textId="738A34B7" w:rsidR="00EE64C7" w:rsidRPr="00677316" w:rsidRDefault="00EE64C7" w:rsidP="00EE64C7">
            <w:pPr>
              <w:autoSpaceDE w:val="0"/>
              <w:autoSpaceDN w:val="0"/>
              <w:adjustRightInd w:val="0"/>
              <w:ind w:left="38"/>
              <w:rPr>
                <w:rFonts w:asciiTheme="minorHAnsi" w:hAnsiTheme="minorHAnsi" w:cstheme="minorHAnsi"/>
                <w:b/>
                <w:bCs/>
                <w:color w:val="000000"/>
                <w:sz w:val="22"/>
                <w:szCs w:val="22"/>
              </w:rPr>
            </w:pPr>
            <w:r>
              <w:rPr>
                <w:rFonts w:ascii="Calibri" w:hAnsi="Calibri" w:cs="Calibri"/>
                <w:b/>
                <w:bCs/>
                <w:color w:val="000000"/>
                <w:sz w:val="22"/>
                <w:szCs w:val="22"/>
              </w:rPr>
              <w:t>Total current liabilities</w:t>
            </w:r>
          </w:p>
        </w:tc>
        <w:tc>
          <w:tcPr>
            <w:tcW w:w="329" w:type="pct"/>
          </w:tcPr>
          <w:p w14:paraId="3DF5BE05" w14:textId="77777777"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bottom w:val="single" w:sz="4" w:space="0" w:color="auto"/>
            </w:tcBorders>
            <w:shd w:val="clear" w:color="auto" w:fill="FFFF00"/>
          </w:tcPr>
          <w:p w14:paraId="17879684" w14:textId="6C88F77C" w:rsidR="00EE64C7" w:rsidRPr="00677316" w:rsidRDefault="002D3AD4"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5,</w:t>
            </w:r>
            <w:r w:rsidR="009D31A2">
              <w:rPr>
                <w:rFonts w:asciiTheme="minorHAnsi" w:hAnsiTheme="minorHAnsi" w:cstheme="minorHAnsi"/>
                <w:b/>
                <w:bCs/>
                <w:color w:val="000000"/>
                <w:sz w:val="22"/>
                <w:szCs w:val="22"/>
              </w:rPr>
              <w:t>65</w:t>
            </w:r>
            <w:r>
              <w:rPr>
                <w:rFonts w:asciiTheme="minorHAnsi" w:hAnsiTheme="minorHAnsi" w:cstheme="minorHAnsi"/>
                <w:b/>
                <w:bCs/>
                <w:color w:val="000000"/>
                <w:sz w:val="22"/>
                <w:szCs w:val="22"/>
              </w:rPr>
              <w:t>9.</w:t>
            </w:r>
            <w:r w:rsidR="009D31A2">
              <w:rPr>
                <w:rFonts w:asciiTheme="minorHAnsi" w:hAnsiTheme="minorHAnsi" w:cstheme="minorHAnsi"/>
                <w:b/>
                <w:bCs/>
                <w:color w:val="000000"/>
                <w:sz w:val="22"/>
                <w:szCs w:val="22"/>
              </w:rPr>
              <w:t>1</w:t>
            </w:r>
          </w:p>
        </w:tc>
        <w:tc>
          <w:tcPr>
            <w:tcW w:w="564" w:type="pct"/>
            <w:tcBorders>
              <w:top w:val="single" w:sz="4" w:space="0" w:color="auto"/>
              <w:bottom w:val="single" w:sz="4" w:space="0" w:color="auto"/>
            </w:tcBorders>
            <w:shd w:val="solid" w:color="FFFFFF" w:fill="auto"/>
          </w:tcPr>
          <w:p w14:paraId="47A6117B" w14:textId="7DD3F143"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5,508.2</w:t>
            </w:r>
          </w:p>
        </w:tc>
      </w:tr>
      <w:tr w:rsidR="00EE64C7" w:rsidRPr="00677316" w14:paraId="18DCB592" w14:textId="77777777" w:rsidTr="007A2AC9">
        <w:trPr>
          <w:trHeight w:val="211"/>
        </w:trPr>
        <w:tc>
          <w:tcPr>
            <w:tcW w:w="3494" w:type="pct"/>
            <w:gridSpan w:val="2"/>
            <w:shd w:val="solid" w:color="FFFFFF" w:fill="auto"/>
          </w:tcPr>
          <w:p w14:paraId="25A86125" w14:textId="77777777" w:rsidR="00EE64C7" w:rsidRPr="00677316" w:rsidRDefault="00EE64C7" w:rsidP="00EE64C7">
            <w:pPr>
              <w:autoSpaceDE w:val="0"/>
              <w:autoSpaceDN w:val="0"/>
              <w:adjustRightInd w:val="0"/>
              <w:ind w:left="38"/>
              <w:rPr>
                <w:rFonts w:asciiTheme="minorHAnsi" w:hAnsiTheme="minorHAnsi" w:cstheme="minorHAnsi"/>
                <w:b/>
                <w:bCs/>
                <w:color w:val="000000"/>
                <w:sz w:val="22"/>
                <w:szCs w:val="22"/>
              </w:rPr>
            </w:pPr>
          </w:p>
        </w:tc>
        <w:tc>
          <w:tcPr>
            <w:tcW w:w="329" w:type="pct"/>
          </w:tcPr>
          <w:p w14:paraId="47A39BD6" w14:textId="77777777"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tcBorders>
            <w:shd w:val="clear" w:color="auto" w:fill="FFFF00"/>
          </w:tcPr>
          <w:p w14:paraId="6A9E40F3" w14:textId="77777777"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564" w:type="pct"/>
            <w:tcBorders>
              <w:top w:val="single" w:sz="4" w:space="0" w:color="auto"/>
            </w:tcBorders>
            <w:shd w:val="solid" w:color="FFFFFF" w:fill="auto"/>
          </w:tcPr>
          <w:p w14:paraId="542E8CCF" w14:textId="77777777" w:rsidR="00EE64C7" w:rsidRPr="00125554" w:rsidRDefault="00EE64C7" w:rsidP="00EE64C7">
            <w:pPr>
              <w:autoSpaceDE w:val="0"/>
              <w:autoSpaceDN w:val="0"/>
              <w:adjustRightInd w:val="0"/>
              <w:jc w:val="right"/>
              <w:rPr>
                <w:rFonts w:asciiTheme="minorHAnsi" w:hAnsiTheme="minorHAnsi" w:cstheme="minorHAnsi"/>
                <w:color w:val="000000"/>
                <w:sz w:val="22"/>
                <w:szCs w:val="22"/>
              </w:rPr>
            </w:pPr>
          </w:p>
        </w:tc>
      </w:tr>
      <w:tr w:rsidR="00EE64C7" w:rsidRPr="00677316" w14:paraId="00B3613F" w14:textId="77777777" w:rsidTr="007A2AC9">
        <w:trPr>
          <w:trHeight w:val="199"/>
        </w:trPr>
        <w:tc>
          <w:tcPr>
            <w:tcW w:w="3494" w:type="pct"/>
            <w:gridSpan w:val="2"/>
            <w:shd w:val="solid" w:color="FFFFFF" w:fill="auto"/>
          </w:tcPr>
          <w:p w14:paraId="662E69BE" w14:textId="03946909" w:rsidR="00EE64C7" w:rsidRPr="00677316" w:rsidRDefault="00EE64C7" w:rsidP="00EE64C7">
            <w:pPr>
              <w:autoSpaceDE w:val="0"/>
              <w:autoSpaceDN w:val="0"/>
              <w:adjustRightInd w:val="0"/>
              <w:ind w:left="38"/>
              <w:rPr>
                <w:rFonts w:asciiTheme="minorHAnsi" w:hAnsiTheme="minorHAnsi" w:cstheme="minorHAnsi"/>
                <w:b/>
                <w:bCs/>
                <w:color w:val="000000"/>
                <w:sz w:val="22"/>
                <w:szCs w:val="22"/>
              </w:rPr>
            </w:pPr>
            <w:r>
              <w:rPr>
                <w:rFonts w:ascii="Calibri" w:hAnsi="Calibri" w:cs="Calibri"/>
                <w:b/>
                <w:bCs/>
                <w:color w:val="000000"/>
                <w:sz w:val="22"/>
                <w:szCs w:val="22"/>
              </w:rPr>
              <w:t>Non-current liabilities</w:t>
            </w:r>
          </w:p>
        </w:tc>
        <w:tc>
          <w:tcPr>
            <w:tcW w:w="329" w:type="pct"/>
          </w:tcPr>
          <w:p w14:paraId="1D9B97B6" w14:textId="77777777"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7517D3FE" w14:textId="77777777" w:rsidR="00EE64C7" w:rsidRPr="00DE40D4" w:rsidRDefault="00EE64C7" w:rsidP="00EE64C7">
            <w:pPr>
              <w:autoSpaceDE w:val="0"/>
              <w:autoSpaceDN w:val="0"/>
              <w:adjustRightInd w:val="0"/>
              <w:jc w:val="right"/>
              <w:rPr>
                <w:rFonts w:asciiTheme="minorHAnsi" w:hAnsiTheme="minorHAnsi" w:cstheme="minorHAnsi"/>
                <w:b/>
                <w:bCs/>
                <w:color w:val="000000"/>
                <w:sz w:val="22"/>
                <w:szCs w:val="22"/>
              </w:rPr>
            </w:pPr>
          </w:p>
        </w:tc>
        <w:tc>
          <w:tcPr>
            <w:tcW w:w="564" w:type="pct"/>
            <w:shd w:val="solid" w:color="FFFFFF" w:fill="auto"/>
          </w:tcPr>
          <w:p w14:paraId="2E2C9DED" w14:textId="77777777" w:rsidR="00EE64C7" w:rsidRPr="00125554" w:rsidRDefault="00EE64C7" w:rsidP="00EE64C7">
            <w:pPr>
              <w:autoSpaceDE w:val="0"/>
              <w:autoSpaceDN w:val="0"/>
              <w:adjustRightInd w:val="0"/>
              <w:jc w:val="right"/>
              <w:rPr>
                <w:rFonts w:asciiTheme="minorHAnsi" w:hAnsiTheme="minorHAnsi" w:cstheme="minorHAnsi"/>
                <w:color w:val="000000"/>
                <w:sz w:val="22"/>
                <w:szCs w:val="22"/>
              </w:rPr>
            </w:pPr>
          </w:p>
        </w:tc>
      </w:tr>
      <w:tr w:rsidR="00EE64C7" w:rsidRPr="00677316" w14:paraId="7070C15A" w14:textId="77777777" w:rsidTr="007A2AC9">
        <w:trPr>
          <w:trHeight w:val="199"/>
        </w:trPr>
        <w:tc>
          <w:tcPr>
            <w:tcW w:w="3494" w:type="pct"/>
            <w:gridSpan w:val="2"/>
            <w:shd w:val="solid" w:color="FFFFFF" w:fill="auto"/>
          </w:tcPr>
          <w:p w14:paraId="7CA660AF" w14:textId="3A8ABB6B" w:rsidR="00EE64C7" w:rsidRPr="00677316" w:rsidRDefault="00EE64C7" w:rsidP="00EE64C7">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Provisions</w:t>
            </w:r>
          </w:p>
        </w:tc>
        <w:tc>
          <w:tcPr>
            <w:tcW w:w="329" w:type="pct"/>
          </w:tcPr>
          <w:p w14:paraId="15D81FA0" w14:textId="4746166A"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1F41FA7E" w14:textId="002E7920" w:rsidR="00EE64C7" w:rsidRPr="00DE40D4" w:rsidRDefault="002D3AD4"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30.9</w:t>
            </w:r>
          </w:p>
        </w:tc>
        <w:tc>
          <w:tcPr>
            <w:tcW w:w="564" w:type="pct"/>
            <w:shd w:val="solid" w:color="FFFFFF" w:fill="auto"/>
          </w:tcPr>
          <w:p w14:paraId="4133848C" w14:textId="72B2B565"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36.6</w:t>
            </w:r>
          </w:p>
        </w:tc>
      </w:tr>
      <w:tr w:rsidR="00EE64C7" w:rsidRPr="00677316" w14:paraId="6EAD99E3" w14:textId="77777777" w:rsidTr="007A2AC9">
        <w:trPr>
          <w:trHeight w:val="199"/>
        </w:trPr>
        <w:tc>
          <w:tcPr>
            <w:tcW w:w="3494" w:type="pct"/>
            <w:gridSpan w:val="2"/>
            <w:shd w:val="solid" w:color="FFFFFF" w:fill="auto"/>
          </w:tcPr>
          <w:p w14:paraId="30B69960" w14:textId="22962E2D" w:rsidR="00EE64C7" w:rsidRPr="00677316" w:rsidRDefault="00EE64C7" w:rsidP="00EE64C7">
            <w:pPr>
              <w:tabs>
                <w:tab w:val="left" w:pos="4080"/>
              </w:tabs>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Derivative financial instruments</w:t>
            </w:r>
            <w:r>
              <w:rPr>
                <w:rFonts w:ascii="Calibri" w:hAnsi="Calibri" w:cs="Calibri"/>
                <w:color w:val="000000"/>
                <w:sz w:val="22"/>
                <w:szCs w:val="22"/>
              </w:rPr>
              <w:tab/>
            </w:r>
          </w:p>
        </w:tc>
        <w:tc>
          <w:tcPr>
            <w:tcW w:w="329" w:type="pct"/>
          </w:tcPr>
          <w:p w14:paraId="6826BF21" w14:textId="02446228"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w:t>
            </w:r>
            <w:r w:rsidR="004B6548">
              <w:rPr>
                <w:rFonts w:ascii="Calibri" w:hAnsi="Calibri" w:cs="Calibri"/>
                <w:b/>
                <w:bCs/>
                <w:color w:val="000000"/>
                <w:sz w:val="22"/>
                <w:szCs w:val="22"/>
              </w:rPr>
              <w:t>3</w:t>
            </w:r>
          </w:p>
        </w:tc>
        <w:tc>
          <w:tcPr>
            <w:tcW w:w="613" w:type="pct"/>
            <w:shd w:val="clear" w:color="auto" w:fill="FFFF00"/>
          </w:tcPr>
          <w:p w14:paraId="317F4B3A" w14:textId="5E29A2B5" w:rsidR="00EE64C7" w:rsidRPr="00DE40D4" w:rsidRDefault="00A03B73"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63.3</w:t>
            </w:r>
          </w:p>
        </w:tc>
        <w:tc>
          <w:tcPr>
            <w:tcW w:w="564" w:type="pct"/>
            <w:shd w:val="solid" w:color="FFFFFF" w:fill="auto"/>
          </w:tcPr>
          <w:p w14:paraId="7B75BBAB" w14:textId="2AE03474"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180.5</w:t>
            </w:r>
          </w:p>
        </w:tc>
      </w:tr>
      <w:tr w:rsidR="00EE64C7" w:rsidRPr="00677316" w14:paraId="2A53C2EF" w14:textId="77777777" w:rsidTr="007A2AC9">
        <w:trPr>
          <w:trHeight w:val="199"/>
        </w:trPr>
        <w:tc>
          <w:tcPr>
            <w:tcW w:w="3494" w:type="pct"/>
            <w:gridSpan w:val="2"/>
            <w:shd w:val="solid" w:color="FFFFFF" w:fill="auto"/>
          </w:tcPr>
          <w:p w14:paraId="14F58298" w14:textId="2FFF0303" w:rsidR="00EE64C7" w:rsidRPr="00677316" w:rsidRDefault="00EE64C7" w:rsidP="00EE64C7">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Deferred tax</w:t>
            </w:r>
          </w:p>
        </w:tc>
        <w:tc>
          <w:tcPr>
            <w:tcW w:w="329" w:type="pct"/>
          </w:tcPr>
          <w:p w14:paraId="299FAEB4" w14:textId="7E09BACA"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6DFDECAE" w14:textId="0C725EC1" w:rsidR="00EE64C7" w:rsidRPr="00DE40D4" w:rsidRDefault="00A03B73"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299.3</w:t>
            </w:r>
          </w:p>
        </w:tc>
        <w:tc>
          <w:tcPr>
            <w:tcW w:w="564" w:type="pct"/>
            <w:shd w:val="solid" w:color="FFFFFF" w:fill="auto"/>
          </w:tcPr>
          <w:p w14:paraId="416DBF61" w14:textId="355E3450" w:rsidR="00EE64C7" w:rsidRPr="00125554" w:rsidRDefault="00A351E6" w:rsidP="00EE64C7">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353.5</w:t>
            </w:r>
          </w:p>
        </w:tc>
      </w:tr>
      <w:tr w:rsidR="00EE64C7" w:rsidRPr="00677316" w14:paraId="673219D5" w14:textId="77777777" w:rsidTr="007A2AC9">
        <w:trPr>
          <w:trHeight w:val="199"/>
        </w:trPr>
        <w:tc>
          <w:tcPr>
            <w:tcW w:w="3494" w:type="pct"/>
            <w:gridSpan w:val="2"/>
          </w:tcPr>
          <w:p w14:paraId="6A6A045E" w14:textId="18928096" w:rsidR="00EE64C7" w:rsidRPr="00677316" w:rsidRDefault="00EE64C7" w:rsidP="00EE64C7">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Non-current lease liability</w:t>
            </w:r>
          </w:p>
        </w:tc>
        <w:tc>
          <w:tcPr>
            <w:tcW w:w="329" w:type="pct"/>
          </w:tcPr>
          <w:p w14:paraId="0036772C" w14:textId="4E849908"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4486917A" w14:textId="3AE8D9C1" w:rsidR="00EE64C7" w:rsidRPr="00DE40D4" w:rsidRDefault="00A03B73"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151.4</w:t>
            </w:r>
          </w:p>
        </w:tc>
        <w:tc>
          <w:tcPr>
            <w:tcW w:w="564" w:type="pct"/>
            <w:shd w:val="solid" w:color="FFFFFF" w:fill="auto"/>
          </w:tcPr>
          <w:p w14:paraId="7987BB87" w14:textId="22A3E7AC"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170.9</w:t>
            </w:r>
          </w:p>
        </w:tc>
      </w:tr>
      <w:tr w:rsidR="00EE64C7" w:rsidRPr="00677316" w14:paraId="042A18D3" w14:textId="77777777" w:rsidTr="007A2AC9">
        <w:trPr>
          <w:trHeight w:val="211"/>
        </w:trPr>
        <w:tc>
          <w:tcPr>
            <w:tcW w:w="3494" w:type="pct"/>
            <w:gridSpan w:val="2"/>
            <w:shd w:val="solid" w:color="FFFFFF" w:fill="auto"/>
          </w:tcPr>
          <w:p w14:paraId="081600E2" w14:textId="24198A2A" w:rsidR="00EE64C7" w:rsidRPr="00677316" w:rsidRDefault="00EE64C7" w:rsidP="00EE64C7">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Non-current maturities of debt</w:t>
            </w:r>
          </w:p>
        </w:tc>
        <w:tc>
          <w:tcPr>
            <w:tcW w:w="329" w:type="pct"/>
          </w:tcPr>
          <w:p w14:paraId="4F2CA548" w14:textId="3A584D7E"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tcBorders>
              <w:bottom w:val="single" w:sz="4" w:space="0" w:color="auto"/>
            </w:tcBorders>
            <w:shd w:val="clear" w:color="auto" w:fill="FFFF00"/>
          </w:tcPr>
          <w:p w14:paraId="7ECDAA6C" w14:textId="602F001A" w:rsidR="00EE64C7" w:rsidRPr="00DE40D4" w:rsidRDefault="00A03B73"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w:t>
            </w:r>
            <w:r w:rsidR="00EB583C">
              <w:rPr>
                <w:rFonts w:asciiTheme="minorHAnsi" w:hAnsiTheme="minorHAnsi" w:cstheme="minorHAnsi"/>
                <w:b/>
                <w:bCs/>
                <w:color w:val="000000"/>
                <w:sz w:val="22"/>
                <w:szCs w:val="22"/>
              </w:rPr>
              <w:t>501.7</w:t>
            </w:r>
          </w:p>
        </w:tc>
        <w:tc>
          <w:tcPr>
            <w:tcW w:w="564" w:type="pct"/>
            <w:tcBorders>
              <w:bottom w:val="single" w:sz="4" w:space="0" w:color="auto"/>
            </w:tcBorders>
            <w:shd w:val="solid" w:color="FFFFFF" w:fill="auto"/>
          </w:tcPr>
          <w:p w14:paraId="330FE753" w14:textId="3D00B028"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3,583.0</w:t>
            </w:r>
          </w:p>
        </w:tc>
      </w:tr>
      <w:tr w:rsidR="00EE64C7" w:rsidRPr="00677316" w14:paraId="63CB4754" w14:textId="77777777" w:rsidTr="007A2AC9">
        <w:trPr>
          <w:trHeight w:val="211"/>
        </w:trPr>
        <w:tc>
          <w:tcPr>
            <w:tcW w:w="3494" w:type="pct"/>
            <w:gridSpan w:val="2"/>
            <w:shd w:val="solid" w:color="FFFFFF" w:fill="auto"/>
          </w:tcPr>
          <w:p w14:paraId="5E06F692" w14:textId="6CBB1211" w:rsidR="00EE64C7" w:rsidRPr="00677316" w:rsidRDefault="00EE64C7" w:rsidP="00EE64C7">
            <w:pPr>
              <w:autoSpaceDE w:val="0"/>
              <w:autoSpaceDN w:val="0"/>
              <w:adjustRightInd w:val="0"/>
              <w:ind w:left="38"/>
              <w:rPr>
                <w:rFonts w:asciiTheme="minorHAnsi" w:hAnsiTheme="minorHAnsi" w:cstheme="minorHAnsi"/>
                <w:b/>
                <w:bCs/>
                <w:color w:val="000000"/>
                <w:sz w:val="22"/>
                <w:szCs w:val="22"/>
              </w:rPr>
            </w:pPr>
            <w:r>
              <w:rPr>
                <w:rFonts w:ascii="Calibri" w:hAnsi="Calibri" w:cs="Calibri"/>
                <w:b/>
                <w:bCs/>
                <w:color w:val="000000"/>
                <w:sz w:val="22"/>
                <w:szCs w:val="22"/>
              </w:rPr>
              <w:t>Total non-current liabilities</w:t>
            </w:r>
          </w:p>
        </w:tc>
        <w:tc>
          <w:tcPr>
            <w:tcW w:w="329" w:type="pct"/>
          </w:tcPr>
          <w:p w14:paraId="4C2E276A" w14:textId="77777777"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bottom w:val="single" w:sz="4" w:space="0" w:color="auto"/>
            </w:tcBorders>
            <w:shd w:val="clear" w:color="auto" w:fill="FFFF00"/>
          </w:tcPr>
          <w:p w14:paraId="21AAE853" w14:textId="3B8AB4C8" w:rsidR="00EE64C7" w:rsidRPr="00DE40D4" w:rsidRDefault="00EB583C"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r w:rsidR="00A03B73">
              <w:rPr>
                <w:rFonts w:asciiTheme="minorHAnsi" w:hAnsiTheme="minorHAnsi" w:cstheme="minorHAnsi"/>
                <w:b/>
                <w:bCs/>
                <w:color w:val="000000"/>
                <w:sz w:val="22"/>
                <w:szCs w:val="22"/>
              </w:rPr>
              <w:t>,</w:t>
            </w:r>
            <w:r>
              <w:rPr>
                <w:rFonts w:asciiTheme="minorHAnsi" w:hAnsiTheme="minorHAnsi" w:cstheme="minorHAnsi"/>
                <w:b/>
                <w:bCs/>
                <w:color w:val="000000"/>
                <w:sz w:val="22"/>
                <w:szCs w:val="22"/>
              </w:rPr>
              <w:t>046</w:t>
            </w:r>
            <w:r w:rsidR="00A03B73">
              <w:rPr>
                <w:rFonts w:asciiTheme="minorHAnsi" w:hAnsiTheme="minorHAnsi" w:cstheme="minorHAnsi"/>
                <w:b/>
                <w:bCs/>
                <w:color w:val="000000"/>
                <w:sz w:val="22"/>
                <w:szCs w:val="22"/>
              </w:rPr>
              <w:t>.</w:t>
            </w:r>
            <w:r>
              <w:rPr>
                <w:rFonts w:asciiTheme="minorHAnsi" w:hAnsiTheme="minorHAnsi" w:cstheme="minorHAnsi"/>
                <w:b/>
                <w:bCs/>
                <w:color w:val="000000"/>
                <w:sz w:val="22"/>
                <w:szCs w:val="22"/>
              </w:rPr>
              <w:t>6</w:t>
            </w:r>
          </w:p>
        </w:tc>
        <w:tc>
          <w:tcPr>
            <w:tcW w:w="564" w:type="pct"/>
            <w:tcBorders>
              <w:top w:val="single" w:sz="4" w:space="0" w:color="auto"/>
              <w:bottom w:val="single" w:sz="4" w:space="0" w:color="auto"/>
            </w:tcBorders>
            <w:shd w:val="solid" w:color="FFFFFF" w:fill="auto"/>
          </w:tcPr>
          <w:p w14:paraId="349F7153" w14:textId="5380E0D5"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4,</w:t>
            </w:r>
            <w:r w:rsidR="00A351E6">
              <w:rPr>
                <w:rFonts w:asciiTheme="minorHAnsi" w:hAnsiTheme="minorHAnsi" w:cstheme="minorHAnsi"/>
                <w:bCs/>
                <w:color w:val="000000"/>
                <w:sz w:val="22"/>
                <w:szCs w:val="22"/>
              </w:rPr>
              <w:t>324.5</w:t>
            </w:r>
          </w:p>
        </w:tc>
      </w:tr>
      <w:tr w:rsidR="00EE64C7" w:rsidRPr="00677316" w14:paraId="3F6206C5" w14:textId="77777777" w:rsidTr="007A2AC9">
        <w:trPr>
          <w:trHeight w:val="199"/>
        </w:trPr>
        <w:tc>
          <w:tcPr>
            <w:tcW w:w="2498" w:type="pct"/>
            <w:shd w:val="solid" w:color="FFFFFF" w:fill="auto"/>
          </w:tcPr>
          <w:p w14:paraId="087C5AFA" w14:textId="77777777" w:rsidR="00EE64C7" w:rsidRPr="00677316" w:rsidRDefault="00EE64C7" w:rsidP="00EE64C7">
            <w:pPr>
              <w:autoSpaceDE w:val="0"/>
              <w:autoSpaceDN w:val="0"/>
              <w:adjustRightInd w:val="0"/>
              <w:ind w:left="38"/>
              <w:jc w:val="right"/>
              <w:rPr>
                <w:rFonts w:asciiTheme="minorHAnsi" w:hAnsiTheme="minorHAnsi" w:cstheme="minorHAnsi"/>
                <w:color w:val="000000"/>
                <w:sz w:val="22"/>
                <w:szCs w:val="22"/>
              </w:rPr>
            </w:pPr>
          </w:p>
        </w:tc>
        <w:tc>
          <w:tcPr>
            <w:tcW w:w="996" w:type="pct"/>
            <w:shd w:val="solid" w:color="FFFFFF" w:fill="auto"/>
          </w:tcPr>
          <w:p w14:paraId="25BAED28" w14:textId="77777777" w:rsidR="00EE64C7" w:rsidRPr="00677316" w:rsidRDefault="00EE64C7" w:rsidP="00EE64C7">
            <w:pPr>
              <w:autoSpaceDE w:val="0"/>
              <w:autoSpaceDN w:val="0"/>
              <w:adjustRightInd w:val="0"/>
              <w:ind w:left="38"/>
              <w:jc w:val="right"/>
              <w:rPr>
                <w:rFonts w:asciiTheme="minorHAnsi" w:hAnsiTheme="minorHAnsi" w:cstheme="minorHAnsi"/>
                <w:color w:val="000000"/>
                <w:sz w:val="22"/>
                <w:szCs w:val="22"/>
              </w:rPr>
            </w:pPr>
          </w:p>
        </w:tc>
        <w:tc>
          <w:tcPr>
            <w:tcW w:w="329" w:type="pct"/>
          </w:tcPr>
          <w:p w14:paraId="0F28E430" w14:textId="77777777" w:rsidR="00EE64C7" w:rsidRPr="00677316" w:rsidRDefault="00EE64C7" w:rsidP="00EE64C7">
            <w:pPr>
              <w:autoSpaceDE w:val="0"/>
              <w:autoSpaceDN w:val="0"/>
              <w:adjustRightInd w:val="0"/>
              <w:rPr>
                <w:rFonts w:asciiTheme="minorHAnsi" w:hAnsiTheme="minorHAnsi" w:cstheme="minorHAnsi"/>
                <w:b/>
                <w:bCs/>
                <w:color w:val="000000"/>
                <w:sz w:val="22"/>
                <w:szCs w:val="22"/>
              </w:rPr>
            </w:pPr>
          </w:p>
        </w:tc>
        <w:tc>
          <w:tcPr>
            <w:tcW w:w="613" w:type="pct"/>
            <w:tcBorders>
              <w:top w:val="single" w:sz="4" w:space="0" w:color="auto"/>
            </w:tcBorders>
            <w:shd w:val="clear" w:color="auto" w:fill="FFFF00"/>
          </w:tcPr>
          <w:p w14:paraId="2EC6B1F2" w14:textId="77777777" w:rsidR="00EE64C7" w:rsidRPr="00DE40D4" w:rsidRDefault="00EE64C7" w:rsidP="00EE64C7">
            <w:pPr>
              <w:autoSpaceDE w:val="0"/>
              <w:autoSpaceDN w:val="0"/>
              <w:adjustRightInd w:val="0"/>
              <w:rPr>
                <w:rFonts w:asciiTheme="minorHAnsi" w:hAnsiTheme="minorHAnsi" w:cstheme="minorHAnsi"/>
                <w:b/>
                <w:bCs/>
                <w:color w:val="000000"/>
                <w:sz w:val="22"/>
                <w:szCs w:val="22"/>
              </w:rPr>
            </w:pPr>
          </w:p>
        </w:tc>
        <w:tc>
          <w:tcPr>
            <w:tcW w:w="564" w:type="pct"/>
            <w:tcBorders>
              <w:top w:val="single" w:sz="4" w:space="0" w:color="auto"/>
            </w:tcBorders>
            <w:shd w:val="solid" w:color="FFFFFF" w:fill="auto"/>
          </w:tcPr>
          <w:p w14:paraId="17A566B6" w14:textId="77777777" w:rsidR="00EE64C7" w:rsidRPr="00125554" w:rsidRDefault="00EE64C7" w:rsidP="00EE64C7">
            <w:pPr>
              <w:autoSpaceDE w:val="0"/>
              <w:autoSpaceDN w:val="0"/>
              <w:adjustRightInd w:val="0"/>
              <w:rPr>
                <w:rFonts w:asciiTheme="minorHAnsi" w:hAnsiTheme="minorHAnsi" w:cstheme="minorHAnsi"/>
                <w:color w:val="000000"/>
                <w:sz w:val="22"/>
                <w:szCs w:val="22"/>
              </w:rPr>
            </w:pPr>
          </w:p>
        </w:tc>
      </w:tr>
      <w:tr w:rsidR="00EE64C7" w:rsidRPr="00677316" w14:paraId="2D9BBCC1" w14:textId="77777777" w:rsidTr="007A2AC9">
        <w:trPr>
          <w:trHeight w:val="75"/>
        </w:trPr>
        <w:tc>
          <w:tcPr>
            <w:tcW w:w="3494" w:type="pct"/>
            <w:gridSpan w:val="2"/>
            <w:shd w:val="solid" w:color="FFFFFF" w:fill="auto"/>
          </w:tcPr>
          <w:p w14:paraId="2EAA8551" w14:textId="284FA8EE" w:rsidR="00EE64C7" w:rsidRPr="00677316" w:rsidRDefault="00EE64C7" w:rsidP="00EE64C7">
            <w:pPr>
              <w:autoSpaceDE w:val="0"/>
              <w:autoSpaceDN w:val="0"/>
              <w:adjustRightInd w:val="0"/>
              <w:ind w:left="38"/>
              <w:rPr>
                <w:rFonts w:asciiTheme="minorHAnsi" w:hAnsiTheme="minorHAnsi" w:cstheme="minorHAnsi"/>
                <w:b/>
                <w:bCs/>
                <w:color w:val="000000"/>
                <w:sz w:val="22"/>
                <w:szCs w:val="22"/>
              </w:rPr>
            </w:pPr>
            <w:r>
              <w:rPr>
                <w:rFonts w:ascii="Calibri" w:hAnsi="Calibri" w:cs="Calibri"/>
                <w:b/>
                <w:bCs/>
                <w:color w:val="000000"/>
                <w:sz w:val="22"/>
                <w:szCs w:val="22"/>
              </w:rPr>
              <w:t>Shareholders' equity</w:t>
            </w:r>
          </w:p>
        </w:tc>
        <w:tc>
          <w:tcPr>
            <w:tcW w:w="329" w:type="pct"/>
          </w:tcPr>
          <w:p w14:paraId="5EC92E6B" w14:textId="77777777"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shd w:val="clear" w:color="auto" w:fill="FFFF00"/>
          </w:tcPr>
          <w:p w14:paraId="6706AF56" w14:textId="77777777" w:rsidR="00EE64C7" w:rsidRPr="00DE40D4" w:rsidRDefault="00EE64C7" w:rsidP="00EE64C7">
            <w:pPr>
              <w:autoSpaceDE w:val="0"/>
              <w:autoSpaceDN w:val="0"/>
              <w:adjustRightInd w:val="0"/>
              <w:jc w:val="right"/>
              <w:rPr>
                <w:rFonts w:asciiTheme="minorHAnsi" w:hAnsiTheme="minorHAnsi" w:cstheme="minorHAnsi"/>
                <w:b/>
                <w:bCs/>
                <w:color w:val="000000"/>
                <w:sz w:val="22"/>
                <w:szCs w:val="22"/>
              </w:rPr>
            </w:pPr>
          </w:p>
        </w:tc>
        <w:tc>
          <w:tcPr>
            <w:tcW w:w="564" w:type="pct"/>
            <w:shd w:val="solid" w:color="FFFFFF" w:fill="auto"/>
          </w:tcPr>
          <w:p w14:paraId="068168BD" w14:textId="77777777" w:rsidR="00EE64C7" w:rsidRPr="00125554" w:rsidRDefault="00EE64C7" w:rsidP="00EE64C7">
            <w:pPr>
              <w:autoSpaceDE w:val="0"/>
              <w:autoSpaceDN w:val="0"/>
              <w:adjustRightInd w:val="0"/>
              <w:jc w:val="right"/>
              <w:rPr>
                <w:rFonts w:asciiTheme="minorHAnsi" w:hAnsiTheme="minorHAnsi" w:cstheme="minorHAnsi"/>
                <w:color w:val="000000"/>
                <w:sz w:val="22"/>
                <w:szCs w:val="22"/>
              </w:rPr>
            </w:pPr>
          </w:p>
        </w:tc>
      </w:tr>
      <w:tr w:rsidR="00EE64C7" w:rsidRPr="00677316" w14:paraId="6418DD1D" w14:textId="77777777" w:rsidTr="007A2AC9">
        <w:trPr>
          <w:trHeight w:val="199"/>
        </w:trPr>
        <w:tc>
          <w:tcPr>
            <w:tcW w:w="3494" w:type="pct"/>
            <w:gridSpan w:val="2"/>
            <w:shd w:val="solid" w:color="FFFFFF" w:fill="auto"/>
          </w:tcPr>
          <w:p w14:paraId="4AA50464" w14:textId="7C9B5AE0" w:rsidR="00EE64C7" w:rsidRPr="00677316" w:rsidRDefault="00EE64C7" w:rsidP="00EE64C7">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Issued share capital</w:t>
            </w:r>
          </w:p>
        </w:tc>
        <w:tc>
          <w:tcPr>
            <w:tcW w:w="329" w:type="pct"/>
          </w:tcPr>
          <w:p w14:paraId="37A646B9" w14:textId="16327E3A"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w:t>
            </w:r>
            <w:r w:rsidR="004B6548">
              <w:rPr>
                <w:rFonts w:ascii="Calibri" w:hAnsi="Calibri" w:cs="Calibri"/>
                <w:b/>
                <w:bCs/>
                <w:color w:val="000000"/>
                <w:sz w:val="22"/>
                <w:szCs w:val="22"/>
              </w:rPr>
              <w:t>4</w:t>
            </w:r>
          </w:p>
        </w:tc>
        <w:tc>
          <w:tcPr>
            <w:tcW w:w="613" w:type="pct"/>
            <w:shd w:val="clear" w:color="auto" w:fill="FFFF00"/>
          </w:tcPr>
          <w:p w14:paraId="00F3EB3F" w14:textId="5A10B684" w:rsidR="00EE64C7" w:rsidRPr="00A871EC" w:rsidRDefault="00A03B73"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6.7</w:t>
            </w:r>
          </w:p>
        </w:tc>
        <w:tc>
          <w:tcPr>
            <w:tcW w:w="564" w:type="pct"/>
            <w:shd w:val="clear" w:color="auto" w:fill="auto"/>
          </w:tcPr>
          <w:p w14:paraId="289480AB" w14:textId="77C33D29"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6.5</w:t>
            </w:r>
          </w:p>
        </w:tc>
      </w:tr>
      <w:tr w:rsidR="00EE64C7" w:rsidRPr="00677316" w14:paraId="148CB203" w14:textId="77777777" w:rsidTr="007A2AC9">
        <w:trPr>
          <w:trHeight w:val="199"/>
        </w:trPr>
        <w:tc>
          <w:tcPr>
            <w:tcW w:w="3494" w:type="pct"/>
            <w:gridSpan w:val="2"/>
            <w:shd w:val="solid" w:color="FFFFFF" w:fill="auto"/>
          </w:tcPr>
          <w:p w14:paraId="28E78155" w14:textId="101F4C0A" w:rsidR="00EE64C7" w:rsidRPr="00677316" w:rsidRDefault="00EE64C7" w:rsidP="00EE64C7">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Share premium account</w:t>
            </w:r>
          </w:p>
        </w:tc>
        <w:tc>
          <w:tcPr>
            <w:tcW w:w="329" w:type="pct"/>
          </w:tcPr>
          <w:p w14:paraId="5459694D" w14:textId="5763F7C5" w:rsidR="00EE64C7" w:rsidRPr="00677316" w:rsidRDefault="004B6548"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14</w:t>
            </w:r>
          </w:p>
        </w:tc>
        <w:tc>
          <w:tcPr>
            <w:tcW w:w="613" w:type="pct"/>
            <w:shd w:val="clear" w:color="auto" w:fill="FFFF00"/>
          </w:tcPr>
          <w:p w14:paraId="05299D7F" w14:textId="6225DF7F" w:rsidR="00EE64C7" w:rsidRPr="00A871EC" w:rsidRDefault="00A03B73"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1,144.1</w:t>
            </w:r>
          </w:p>
        </w:tc>
        <w:tc>
          <w:tcPr>
            <w:tcW w:w="564" w:type="pct"/>
            <w:shd w:val="clear" w:color="auto" w:fill="auto"/>
          </w:tcPr>
          <w:p w14:paraId="288BC18B" w14:textId="74EE683F"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738.5</w:t>
            </w:r>
          </w:p>
        </w:tc>
      </w:tr>
      <w:tr w:rsidR="00EE64C7" w:rsidRPr="00677316" w14:paraId="2ABD6F23" w14:textId="77777777" w:rsidTr="007A2AC9">
        <w:trPr>
          <w:trHeight w:val="199"/>
        </w:trPr>
        <w:tc>
          <w:tcPr>
            <w:tcW w:w="3494" w:type="pct"/>
            <w:gridSpan w:val="2"/>
            <w:shd w:val="solid" w:color="FFFFFF" w:fill="auto"/>
          </w:tcPr>
          <w:p w14:paraId="7495DFA0" w14:textId="0212BB81" w:rsidR="00EE64C7" w:rsidRPr="00677316" w:rsidRDefault="00EE64C7" w:rsidP="00EE64C7">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Other undenominated capital</w:t>
            </w:r>
          </w:p>
        </w:tc>
        <w:tc>
          <w:tcPr>
            <w:tcW w:w="329" w:type="pct"/>
          </w:tcPr>
          <w:p w14:paraId="34B0E25B" w14:textId="77EB9405"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w:t>
            </w:r>
            <w:r w:rsidR="004B6548">
              <w:rPr>
                <w:rFonts w:ascii="Calibri" w:hAnsi="Calibri" w:cs="Calibri"/>
                <w:b/>
                <w:bCs/>
                <w:color w:val="000000"/>
                <w:sz w:val="22"/>
                <w:szCs w:val="22"/>
              </w:rPr>
              <w:t>4</w:t>
            </w:r>
          </w:p>
        </w:tc>
        <w:tc>
          <w:tcPr>
            <w:tcW w:w="613" w:type="pct"/>
            <w:shd w:val="clear" w:color="auto" w:fill="FFFF00"/>
          </w:tcPr>
          <w:p w14:paraId="00E87FD3" w14:textId="39D25B27" w:rsidR="00EE64C7" w:rsidRPr="00A871EC" w:rsidRDefault="00A03B73"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3.5</w:t>
            </w:r>
          </w:p>
        </w:tc>
        <w:tc>
          <w:tcPr>
            <w:tcW w:w="564" w:type="pct"/>
            <w:shd w:val="clear" w:color="auto" w:fill="auto"/>
          </w:tcPr>
          <w:p w14:paraId="727C6F0E" w14:textId="2FDE25B9"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3.5</w:t>
            </w:r>
          </w:p>
        </w:tc>
      </w:tr>
      <w:tr w:rsidR="00EE64C7" w:rsidRPr="00677316" w14:paraId="311BE227" w14:textId="77777777" w:rsidTr="007A2AC9">
        <w:trPr>
          <w:trHeight w:val="199"/>
        </w:trPr>
        <w:tc>
          <w:tcPr>
            <w:tcW w:w="3494" w:type="pct"/>
            <w:gridSpan w:val="2"/>
            <w:shd w:val="solid" w:color="FFFFFF" w:fill="auto"/>
          </w:tcPr>
          <w:p w14:paraId="405D6B41" w14:textId="2FDBDFDA" w:rsidR="00EE64C7" w:rsidRPr="00677316" w:rsidRDefault="00EE64C7" w:rsidP="00EE64C7">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lastRenderedPageBreak/>
              <w:t>Retained earnings</w:t>
            </w:r>
          </w:p>
        </w:tc>
        <w:tc>
          <w:tcPr>
            <w:tcW w:w="329" w:type="pct"/>
          </w:tcPr>
          <w:p w14:paraId="5AE878C6" w14:textId="76C52838"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r>
              <w:rPr>
                <w:rFonts w:ascii="Calibri" w:hAnsi="Calibri" w:cs="Calibri"/>
                <w:b/>
                <w:bCs/>
                <w:color w:val="000000"/>
                <w:sz w:val="22"/>
                <w:szCs w:val="22"/>
              </w:rPr>
              <w:t>1</w:t>
            </w:r>
            <w:r w:rsidR="004B6548">
              <w:rPr>
                <w:rFonts w:ascii="Calibri" w:hAnsi="Calibri" w:cs="Calibri"/>
                <w:b/>
                <w:bCs/>
                <w:color w:val="000000"/>
                <w:sz w:val="22"/>
                <w:szCs w:val="22"/>
              </w:rPr>
              <w:t>4</w:t>
            </w:r>
          </w:p>
        </w:tc>
        <w:tc>
          <w:tcPr>
            <w:tcW w:w="613" w:type="pct"/>
            <w:shd w:val="clear" w:color="auto" w:fill="FFFF00"/>
          </w:tcPr>
          <w:p w14:paraId="236E2DCE" w14:textId="1BADE2B3" w:rsidR="00EE64C7" w:rsidRPr="00A871EC" w:rsidRDefault="00A03B73"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3,833.1</w:t>
            </w:r>
          </w:p>
        </w:tc>
        <w:tc>
          <w:tcPr>
            <w:tcW w:w="564" w:type="pct"/>
            <w:shd w:val="clear" w:color="auto" w:fill="auto"/>
          </w:tcPr>
          <w:p w14:paraId="54E00490" w14:textId="2F0CA109"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4,245.0</w:t>
            </w:r>
          </w:p>
        </w:tc>
      </w:tr>
      <w:tr w:rsidR="00EE64C7" w:rsidRPr="00677316" w14:paraId="6BC2F71C" w14:textId="77777777" w:rsidTr="007A2AC9">
        <w:trPr>
          <w:trHeight w:val="211"/>
        </w:trPr>
        <w:tc>
          <w:tcPr>
            <w:tcW w:w="3494" w:type="pct"/>
            <w:gridSpan w:val="2"/>
            <w:shd w:val="solid" w:color="FFFFFF" w:fill="auto"/>
          </w:tcPr>
          <w:p w14:paraId="15BFC3D8" w14:textId="01F15199" w:rsidR="00EE64C7" w:rsidRPr="00677316" w:rsidRDefault="00EE64C7" w:rsidP="00EE64C7">
            <w:pPr>
              <w:autoSpaceDE w:val="0"/>
              <w:autoSpaceDN w:val="0"/>
              <w:adjustRightInd w:val="0"/>
              <w:ind w:left="38"/>
              <w:rPr>
                <w:rFonts w:asciiTheme="minorHAnsi" w:hAnsiTheme="minorHAnsi" w:cstheme="minorHAnsi"/>
                <w:color w:val="000000"/>
                <w:sz w:val="22"/>
                <w:szCs w:val="22"/>
              </w:rPr>
            </w:pPr>
            <w:r>
              <w:rPr>
                <w:rFonts w:ascii="Calibri" w:hAnsi="Calibri" w:cs="Calibri"/>
                <w:color w:val="000000"/>
                <w:sz w:val="22"/>
                <w:szCs w:val="22"/>
              </w:rPr>
              <w:t>Other reserves</w:t>
            </w:r>
          </w:p>
        </w:tc>
        <w:tc>
          <w:tcPr>
            <w:tcW w:w="329" w:type="pct"/>
          </w:tcPr>
          <w:p w14:paraId="78C8E87E" w14:textId="77777777"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tcBorders>
              <w:bottom w:val="single" w:sz="4" w:space="0" w:color="auto"/>
            </w:tcBorders>
            <w:shd w:val="clear" w:color="auto" w:fill="FFFF00"/>
          </w:tcPr>
          <w:p w14:paraId="4E8C1E5C" w14:textId="0E1A07B7" w:rsidR="00EE64C7" w:rsidRPr="00A871EC" w:rsidRDefault="00A03B73"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(8.7)</w:t>
            </w:r>
          </w:p>
        </w:tc>
        <w:tc>
          <w:tcPr>
            <w:tcW w:w="564" w:type="pct"/>
            <w:tcBorders>
              <w:bottom w:val="single" w:sz="4" w:space="0" w:color="auto"/>
            </w:tcBorders>
            <w:shd w:val="clear" w:color="auto" w:fill="auto"/>
          </w:tcPr>
          <w:p w14:paraId="7075A189" w14:textId="472E07DC"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w:t>
            </w:r>
            <w:r>
              <w:rPr>
                <w:rFonts w:asciiTheme="minorHAnsi" w:hAnsiTheme="minorHAnsi" w:cstheme="minorHAnsi"/>
                <w:bCs/>
                <w:color w:val="000000"/>
                <w:sz w:val="22"/>
                <w:szCs w:val="22"/>
              </w:rPr>
              <w:t>79.0</w:t>
            </w:r>
            <w:r w:rsidRPr="00125554">
              <w:rPr>
                <w:rFonts w:asciiTheme="minorHAnsi" w:hAnsiTheme="minorHAnsi" w:cstheme="minorHAnsi"/>
                <w:bCs/>
                <w:color w:val="000000"/>
                <w:sz w:val="22"/>
                <w:szCs w:val="22"/>
              </w:rPr>
              <w:t>)</w:t>
            </w:r>
          </w:p>
        </w:tc>
      </w:tr>
      <w:tr w:rsidR="00EE64C7" w:rsidRPr="00677316" w14:paraId="317410C6" w14:textId="77777777" w:rsidTr="007A2AC9">
        <w:trPr>
          <w:trHeight w:val="211"/>
        </w:trPr>
        <w:tc>
          <w:tcPr>
            <w:tcW w:w="3494" w:type="pct"/>
            <w:gridSpan w:val="2"/>
            <w:shd w:val="solid" w:color="FFFFFF" w:fill="auto"/>
          </w:tcPr>
          <w:p w14:paraId="318ECE35" w14:textId="5BFEABB9" w:rsidR="00EE64C7" w:rsidRPr="00677316" w:rsidRDefault="00EE64C7" w:rsidP="00EE64C7">
            <w:pPr>
              <w:autoSpaceDE w:val="0"/>
              <w:autoSpaceDN w:val="0"/>
              <w:adjustRightInd w:val="0"/>
              <w:ind w:left="38"/>
              <w:rPr>
                <w:rFonts w:asciiTheme="minorHAnsi" w:hAnsiTheme="minorHAnsi" w:cstheme="minorHAnsi"/>
                <w:b/>
                <w:bCs/>
                <w:color w:val="000000"/>
                <w:sz w:val="22"/>
                <w:szCs w:val="22"/>
              </w:rPr>
            </w:pPr>
            <w:r>
              <w:rPr>
                <w:rFonts w:ascii="Calibri" w:hAnsi="Calibri" w:cs="Calibri"/>
                <w:b/>
                <w:bCs/>
                <w:color w:val="000000"/>
                <w:sz w:val="22"/>
                <w:szCs w:val="22"/>
              </w:rPr>
              <w:t>Shareholders' equity</w:t>
            </w:r>
          </w:p>
        </w:tc>
        <w:tc>
          <w:tcPr>
            <w:tcW w:w="329" w:type="pct"/>
          </w:tcPr>
          <w:p w14:paraId="4E89836C" w14:textId="77777777"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bottom w:val="single" w:sz="4" w:space="0" w:color="auto"/>
            </w:tcBorders>
            <w:shd w:val="clear" w:color="auto" w:fill="FFFF00"/>
          </w:tcPr>
          <w:p w14:paraId="0C839A9B" w14:textId="45D72B66" w:rsidR="00EE64C7" w:rsidRPr="00A871EC" w:rsidRDefault="00A03B73"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4,9</w:t>
            </w:r>
            <w:r w:rsidR="004B6548">
              <w:rPr>
                <w:rFonts w:asciiTheme="minorHAnsi" w:hAnsiTheme="minorHAnsi" w:cstheme="minorHAnsi"/>
                <w:b/>
                <w:bCs/>
                <w:color w:val="000000"/>
                <w:sz w:val="22"/>
                <w:szCs w:val="22"/>
              </w:rPr>
              <w:t>7</w:t>
            </w:r>
            <w:r>
              <w:rPr>
                <w:rFonts w:asciiTheme="minorHAnsi" w:hAnsiTheme="minorHAnsi" w:cstheme="minorHAnsi"/>
                <w:b/>
                <w:bCs/>
                <w:color w:val="000000"/>
                <w:sz w:val="22"/>
                <w:szCs w:val="22"/>
              </w:rPr>
              <w:t>8.7</w:t>
            </w:r>
          </w:p>
        </w:tc>
        <w:tc>
          <w:tcPr>
            <w:tcW w:w="564" w:type="pct"/>
            <w:tcBorders>
              <w:top w:val="single" w:sz="4" w:space="0" w:color="auto"/>
              <w:bottom w:val="single" w:sz="4" w:space="0" w:color="auto"/>
            </w:tcBorders>
            <w:shd w:val="clear" w:color="auto" w:fill="auto"/>
          </w:tcPr>
          <w:p w14:paraId="2FCEF404" w14:textId="2C623DD6"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4,9</w:t>
            </w:r>
            <w:r>
              <w:rPr>
                <w:rFonts w:asciiTheme="minorHAnsi" w:hAnsiTheme="minorHAnsi" w:cstheme="minorHAnsi"/>
                <w:bCs/>
                <w:color w:val="000000"/>
                <w:sz w:val="22"/>
                <w:szCs w:val="22"/>
              </w:rPr>
              <w:t>14.5</w:t>
            </w:r>
          </w:p>
        </w:tc>
      </w:tr>
      <w:tr w:rsidR="00EE64C7" w:rsidRPr="00677316" w14:paraId="5CFFF121" w14:textId="77777777" w:rsidTr="007A2AC9">
        <w:trPr>
          <w:trHeight w:val="199"/>
        </w:trPr>
        <w:tc>
          <w:tcPr>
            <w:tcW w:w="2498" w:type="pct"/>
            <w:shd w:val="solid" w:color="FFFFFF" w:fill="auto"/>
          </w:tcPr>
          <w:p w14:paraId="4CB4552B" w14:textId="77777777" w:rsidR="00EE64C7" w:rsidRPr="00677316" w:rsidRDefault="00EE64C7" w:rsidP="00EE64C7">
            <w:pPr>
              <w:autoSpaceDE w:val="0"/>
              <w:autoSpaceDN w:val="0"/>
              <w:adjustRightInd w:val="0"/>
              <w:ind w:left="38"/>
              <w:jc w:val="right"/>
              <w:rPr>
                <w:rFonts w:asciiTheme="minorHAnsi" w:hAnsiTheme="minorHAnsi" w:cstheme="minorHAnsi"/>
                <w:color w:val="000000"/>
                <w:sz w:val="22"/>
                <w:szCs w:val="22"/>
              </w:rPr>
            </w:pPr>
          </w:p>
        </w:tc>
        <w:tc>
          <w:tcPr>
            <w:tcW w:w="996" w:type="pct"/>
            <w:shd w:val="solid" w:color="FFFFFF" w:fill="auto"/>
          </w:tcPr>
          <w:p w14:paraId="3D343946" w14:textId="77777777" w:rsidR="00EE64C7" w:rsidRPr="00677316" w:rsidRDefault="00EE64C7" w:rsidP="00EE64C7">
            <w:pPr>
              <w:autoSpaceDE w:val="0"/>
              <w:autoSpaceDN w:val="0"/>
              <w:adjustRightInd w:val="0"/>
              <w:ind w:left="38"/>
              <w:jc w:val="right"/>
              <w:rPr>
                <w:rFonts w:asciiTheme="minorHAnsi" w:hAnsiTheme="minorHAnsi" w:cstheme="minorHAnsi"/>
                <w:color w:val="000000"/>
                <w:sz w:val="22"/>
                <w:szCs w:val="22"/>
              </w:rPr>
            </w:pPr>
          </w:p>
        </w:tc>
        <w:tc>
          <w:tcPr>
            <w:tcW w:w="329" w:type="pct"/>
          </w:tcPr>
          <w:p w14:paraId="1786066D" w14:textId="77777777"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tcBorders>
              <w:top w:val="single" w:sz="4" w:space="0" w:color="auto"/>
            </w:tcBorders>
            <w:shd w:val="clear" w:color="auto" w:fill="FFFF00"/>
          </w:tcPr>
          <w:p w14:paraId="0BB14ED4" w14:textId="77777777" w:rsidR="00EE64C7" w:rsidRPr="00A871EC" w:rsidRDefault="00EE64C7" w:rsidP="00EE64C7">
            <w:pPr>
              <w:autoSpaceDE w:val="0"/>
              <w:autoSpaceDN w:val="0"/>
              <w:adjustRightInd w:val="0"/>
              <w:jc w:val="right"/>
              <w:rPr>
                <w:rFonts w:asciiTheme="minorHAnsi" w:hAnsiTheme="minorHAnsi" w:cstheme="minorHAnsi"/>
                <w:b/>
                <w:bCs/>
                <w:color w:val="000000"/>
                <w:sz w:val="22"/>
                <w:szCs w:val="22"/>
              </w:rPr>
            </w:pPr>
          </w:p>
        </w:tc>
        <w:tc>
          <w:tcPr>
            <w:tcW w:w="564" w:type="pct"/>
            <w:tcBorders>
              <w:top w:val="single" w:sz="4" w:space="0" w:color="auto"/>
            </w:tcBorders>
            <w:shd w:val="clear" w:color="auto" w:fill="auto"/>
          </w:tcPr>
          <w:p w14:paraId="2C29DC94" w14:textId="77777777" w:rsidR="00EE64C7" w:rsidRPr="00677316" w:rsidRDefault="00EE64C7" w:rsidP="00EE64C7">
            <w:pPr>
              <w:autoSpaceDE w:val="0"/>
              <w:autoSpaceDN w:val="0"/>
              <w:adjustRightInd w:val="0"/>
              <w:jc w:val="right"/>
              <w:rPr>
                <w:rFonts w:asciiTheme="minorHAnsi" w:hAnsiTheme="minorHAnsi" w:cstheme="minorHAnsi"/>
                <w:color w:val="000000"/>
                <w:sz w:val="22"/>
                <w:szCs w:val="22"/>
              </w:rPr>
            </w:pPr>
          </w:p>
        </w:tc>
      </w:tr>
      <w:tr w:rsidR="00EE64C7" w:rsidRPr="00677316" w14:paraId="6C99FD5C" w14:textId="77777777" w:rsidTr="007A2AC9">
        <w:trPr>
          <w:trHeight w:val="199"/>
        </w:trPr>
        <w:tc>
          <w:tcPr>
            <w:tcW w:w="2498" w:type="pct"/>
            <w:shd w:val="solid" w:color="FFFFFF" w:fill="auto"/>
          </w:tcPr>
          <w:p w14:paraId="61D2773F" w14:textId="52C008CE" w:rsidR="00EE64C7" w:rsidRPr="00677316" w:rsidRDefault="00EE64C7" w:rsidP="00EE64C7">
            <w:pPr>
              <w:autoSpaceDE w:val="0"/>
              <w:autoSpaceDN w:val="0"/>
              <w:adjustRightInd w:val="0"/>
              <w:rPr>
                <w:rFonts w:asciiTheme="minorHAnsi" w:hAnsiTheme="minorHAnsi" w:cstheme="minorHAnsi"/>
                <w:color w:val="000000"/>
                <w:sz w:val="22"/>
                <w:szCs w:val="22"/>
              </w:rPr>
            </w:pPr>
            <w:r>
              <w:rPr>
                <w:rFonts w:ascii="Calibri" w:hAnsi="Calibri" w:cs="Calibri"/>
                <w:b/>
                <w:bCs/>
                <w:color w:val="000000"/>
                <w:sz w:val="22"/>
                <w:szCs w:val="22"/>
              </w:rPr>
              <w:t>Total liabilities and shareholders' equity</w:t>
            </w:r>
          </w:p>
        </w:tc>
        <w:tc>
          <w:tcPr>
            <w:tcW w:w="996" w:type="pct"/>
            <w:shd w:val="solid" w:color="FFFFFF" w:fill="auto"/>
          </w:tcPr>
          <w:p w14:paraId="62359A2E" w14:textId="77777777" w:rsidR="00EE64C7" w:rsidRPr="00677316" w:rsidRDefault="00EE64C7" w:rsidP="00EE64C7">
            <w:pPr>
              <w:autoSpaceDE w:val="0"/>
              <w:autoSpaceDN w:val="0"/>
              <w:adjustRightInd w:val="0"/>
              <w:ind w:left="38"/>
              <w:jc w:val="right"/>
              <w:rPr>
                <w:rFonts w:asciiTheme="minorHAnsi" w:hAnsiTheme="minorHAnsi" w:cstheme="minorHAnsi"/>
                <w:color w:val="000000"/>
                <w:sz w:val="22"/>
                <w:szCs w:val="22"/>
              </w:rPr>
            </w:pPr>
          </w:p>
        </w:tc>
        <w:tc>
          <w:tcPr>
            <w:tcW w:w="329" w:type="pct"/>
          </w:tcPr>
          <w:p w14:paraId="3D68BEF0" w14:textId="755CC9F3" w:rsidR="00EE64C7" w:rsidRPr="00677316" w:rsidRDefault="00EE64C7" w:rsidP="00EE64C7">
            <w:pPr>
              <w:autoSpaceDE w:val="0"/>
              <w:autoSpaceDN w:val="0"/>
              <w:adjustRightInd w:val="0"/>
              <w:jc w:val="right"/>
              <w:rPr>
                <w:rFonts w:asciiTheme="minorHAnsi" w:hAnsiTheme="minorHAnsi" w:cstheme="minorHAnsi"/>
                <w:b/>
                <w:bCs/>
                <w:color w:val="000000"/>
                <w:sz w:val="22"/>
                <w:szCs w:val="22"/>
              </w:rPr>
            </w:pPr>
          </w:p>
        </w:tc>
        <w:tc>
          <w:tcPr>
            <w:tcW w:w="613" w:type="pct"/>
            <w:tcBorders>
              <w:bottom w:val="single" w:sz="4" w:space="0" w:color="auto"/>
            </w:tcBorders>
            <w:shd w:val="clear" w:color="auto" w:fill="FFFF00"/>
          </w:tcPr>
          <w:p w14:paraId="7671CA10" w14:textId="62D28BE4" w:rsidR="00EE64C7" w:rsidRPr="00A871EC" w:rsidRDefault="00A03B73" w:rsidP="00EE64C7">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14,</w:t>
            </w:r>
            <w:r w:rsidR="005D479E">
              <w:rPr>
                <w:rFonts w:asciiTheme="minorHAnsi" w:hAnsiTheme="minorHAnsi" w:cstheme="minorHAnsi"/>
                <w:b/>
                <w:bCs/>
                <w:color w:val="000000"/>
                <w:sz w:val="22"/>
                <w:szCs w:val="22"/>
              </w:rPr>
              <w:t>684</w:t>
            </w:r>
            <w:r>
              <w:rPr>
                <w:rFonts w:asciiTheme="minorHAnsi" w:hAnsiTheme="minorHAnsi" w:cstheme="minorHAnsi"/>
                <w:b/>
                <w:bCs/>
                <w:color w:val="000000"/>
                <w:sz w:val="22"/>
                <w:szCs w:val="22"/>
              </w:rPr>
              <w:t>.</w:t>
            </w:r>
            <w:r w:rsidR="005D479E">
              <w:rPr>
                <w:rFonts w:asciiTheme="minorHAnsi" w:hAnsiTheme="minorHAnsi" w:cstheme="minorHAnsi"/>
                <w:b/>
                <w:bCs/>
                <w:color w:val="000000"/>
                <w:sz w:val="22"/>
                <w:szCs w:val="22"/>
              </w:rPr>
              <w:t>4</w:t>
            </w:r>
          </w:p>
        </w:tc>
        <w:tc>
          <w:tcPr>
            <w:tcW w:w="564" w:type="pct"/>
            <w:tcBorders>
              <w:bottom w:val="single" w:sz="4" w:space="0" w:color="auto"/>
            </w:tcBorders>
            <w:shd w:val="clear" w:color="auto" w:fill="auto"/>
          </w:tcPr>
          <w:p w14:paraId="0661AF98" w14:textId="5A4ECFBC" w:rsidR="00EE64C7" w:rsidRPr="00125554" w:rsidRDefault="00EE64C7" w:rsidP="00EE64C7">
            <w:pPr>
              <w:autoSpaceDE w:val="0"/>
              <w:autoSpaceDN w:val="0"/>
              <w:adjustRightInd w:val="0"/>
              <w:jc w:val="right"/>
              <w:rPr>
                <w:rFonts w:asciiTheme="minorHAnsi" w:hAnsiTheme="minorHAnsi" w:cstheme="minorHAnsi"/>
                <w:color w:val="000000"/>
                <w:sz w:val="22"/>
                <w:szCs w:val="22"/>
              </w:rPr>
            </w:pPr>
            <w:r w:rsidRPr="00125554">
              <w:rPr>
                <w:rFonts w:asciiTheme="minorHAnsi" w:hAnsiTheme="minorHAnsi" w:cstheme="minorHAnsi"/>
                <w:bCs/>
                <w:color w:val="000000"/>
                <w:sz w:val="22"/>
                <w:szCs w:val="22"/>
              </w:rPr>
              <w:t>14,747.2</w:t>
            </w:r>
          </w:p>
        </w:tc>
      </w:tr>
    </w:tbl>
    <w:p w14:paraId="6A999387" w14:textId="77777777" w:rsidR="00CD73B1" w:rsidRDefault="00CD73B1"/>
    <w:p w14:paraId="20BD8B78" w14:textId="77777777" w:rsidR="00CD73B1" w:rsidRPr="00CD73B1" w:rsidRDefault="00CD73B1" w:rsidP="00CD73B1"/>
    <w:p w14:paraId="229C43E0" w14:textId="77777777" w:rsidR="00CD73B1" w:rsidRPr="00CD73B1" w:rsidRDefault="00CD73B1" w:rsidP="00CD73B1"/>
    <w:p w14:paraId="5FE4B493" w14:textId="77777777" w:rsidR="00CD73B1" w:rsidRPr="00CD73B1" w:rsidRDefault="00CD73B1" w:rsidP="00CD73B1"/>
    <w:p w14:paraId="63F06130" w14:textId="77777777" w:rsidR="00CD73B1" w:rsidRDefault="00CD73B1"/>
    <w:p w14:paraId="4767DDD9" w14:textId="6BD78AE4" w:rsidR="00005CC8" w:rsidRDefault="00CD73B1" w:rsidP="00005CC8">
      <w:pPr>
        <w:tabs>
          <w:tab w:val="left" w:pos="2010"/>
        </w:tabs>
      </w:pPr>
      <w:r>
        <w:tab/>
      </w:r>
    </w:p>
    <w:p w14:paraId="46F82BFD" w14:textId="39BC56C3" w:rsidR="00005CC8" w:rsidRDefault="00005CC8" w:rsidP="00005CC8">
      <w:pPr>
        <w:tabs>
          <w:tab w:val="left" w:pos="2010"/>
        </w:tabs>
      </w:pPr>
    </w:p>
    <w:p w14:paraId="0959461E" w14:textId="40E3A71E" w:rsidR="00005CC8" w:rsidRDefault="00005CC8" w:rsidP="00005CC8">
      <w:pPr>
        <w:tabs>
          <w:tab w:val="left" w:pos="2010"/>
        </w:tabs>
      </w:pPr>
    </w:p>
    <w:p w14:paraId="788F08E8" w14:textId="22559269" w:rsidR="00005CC8" w:rsidRDefault="00005CC8" w:rsidP="00005CC8">
      <w:pPr>
        <w:tabs>
          <w:tab w:val="left" w:pos="2010"/>
        </w:tabs>
      </w:pPr>
    </w:p>
    <w:p w14:paraId="47DE8FCD" w14:textId="403F7427" w:rsidR="00005CC8" w:rsidRDefault="00005CC8" w:rsidP="00005CC8">
      <w:pPr>
        <w:tabs>
          <w:tab w:val="left" w:pos="2010"/>
        </w:tabs>
      </w:pPr>
    </w:p>
    <w:p w14:paraId="5D57DD59" w14:textId="0ED38FBA" w:rsidR="00005CC8" w:rsidRDefault="00005CC8" w:rsidP="00005CC8">
      <w:pPr>
        <w:tabs>
          <w:tab w:val="left" w:pos="2010"/>
        </w:tabs>
      </w:pPr>
    </w:p>
    <w:p w14:paraId="653D97BA" w14:textId="06F2AD84" w:rsidR="00005CC8" w:rsidRDefault="00005CC8" w:rsidP="00005CC8">
      <w:pPr>
        <w:tabs>
          <w:tab w:val="left" w:pos="2010"/>
        </w:tabs>
      </w:pPr>
    </w:p>
    <w:p w14:paraId="26F7467E" w14:textId="775829AF" w:rsidR="00005CC8" w:rsidRDefault="00005CC8" w:rsidP="00005CC8">
      <w:pPr>
        <w:tabs>
          <w:tab w:val="left" w:pos="2010"/>
        </w:tabs>
      </w:pPr>
    </w:p>
    <w:p w14:paraId="0C441D95" w14:textId="2C2F8C1C" w:rsidR="00005CC8" w:rsidRDefault="00005CC8" w:rsidP="00005CC8">
      <w:pPr>
        <w:tabs>
          <w:tab w:val="left" w:pos="2010"/>
        </w:tabs>
      </w:pPr>
    </w:p>
    <w:p w14:paraId="371EE3BE" w14:textId="3713B422" w:rsidR="00005CC8" w:rsidRDefault="00005CC8" w:rsidP="00005CC8">
      <w:pPr>
        <w:tabs>
          <w:tab w:val="left" w:pos="2010"/>
        </w:tabs>
      </w:pPr>
    </w:p>
    <w:p w14:paraId="09F25A77" w14:textId="3185401A" w:rsidR="00005CC8" w:rsidRDefault="00005CC8" w:rsidP="00005CC8">
      <w:pPr>
        <w:tabs>
          <w:tab w:val="left" w:pos="2010"/>
        </w:tabs>
      </w:pPr>
    </w:p>
    <w:p w14:paraId="5FF8FA1D" w14:textId="6DA00E1D" w:rsidR="00005CC8" w:rsidRDefault="00005CC8" w:rsidP="00005CC8">
      <w:pPr>
        <w:tabs>
          <w:tab w:val="left" w:pos="2010"/>
        </w:tabs>
      </w:pPr>
    </w:p>
    <w:p w14:paraId="304A57BC" w14:textId="2F14A209" w:rsidR="00005CC8" w:rsidRDefault="00005CC8" w:rsidP="00005CC8">
      <w:pPr>
        <w:tabs>
          <w:tab w:val="left" w:pos="2010"/>
        </w:tabs>
      </w:pPr>
    </w:p>
    <w:p w14:paraId="45990BD6" w14:textId="1B67DF0B" w:rsidR="00005CC8" w:rsidRDefault="00005CC8" w:rsidP="00005CC8">
      <w:pPr>
        <w:tabs>
          <w:tab w:val="left" w:pos="2010"/>
        </w:tabs>
      </w:pPr>
    </w:p>
    <w:p w14:paraId="7AE47BB7" w14:textId="2A6B09B4" w:rsidR="00005CC8" w:rsidRDefault="00005CC8" w:rsidP="00005CC8">
      <w:pPr>
        <w:tabs>
          <w:tab w:val="left" w:pos="2010"/>
        </w:tabs>
      </w:pPr>
    </w:p>
    <w:p w14:paraId="675FF95B" w14:textId="67EE1663" w:rsidR="00005CC8" w:rsidRDefault="00005CC8" w:rsidP="00005CC8">
      <w:pPr>
        <w:tabs>
          <w:tab w:val="left" w:pos="2010"/>
        </w:tabs>
      </w:pPr>
    </w:p>
    <w:p w14:paraId="33DDB73F" w14:textId="77777777" w:rsidR="00005CC8" w:rsidRPr="00005CC8" w:rsidRDefault="00005CC8" w:rsidP="00005CC8">
      <w:pPr>
        <w:tabs>
          <w:tab w:val="left" w:pos="2010"/>
        </w:tabs>
      </w:pPr>
    </w:p>
    <w:p w14:paraId="61491D5A" w14:textId="77777777" w:rsidR="00005CC8" w:rsidRDefault="00005CC8" w:rsidP="00600F83">
      <w:pPr>
        <w:rPr>
          <w:rFonts w:asciiTheme="minorHAnsi" w:hAnsiTheme="minorHAnsi" w:cstheme="minorHAnsi"/>
          <w:b/>
          <w:bCs/>
          <w:color w:val="000000"/>
        </w:rPr>
      </w:pPr>
    </w:p>
    <w:p w14:paraId="5C3EBCD4" w14:textId="77777777" w:rsidR="00005CC8" w:rsidRDefault="00005CC8" w:rsidP="00600F83">
      <w:pPr>
        <w:rPr>
          <w:rFonts w:asciiTheme="minorHAnsi" w:hAnsiTheme="minorHAnsi" w:cstheme="minorHAnsi"/>
          <w:b/>
          <w:bCs/>
          <w:color w:val="000000"/>
        </w:rPr>
      </w:pPr>
    </w:p>
    <w:p w14:paraId="1DADB0AC" w14:textId="77777777" w:rsidR="00005CC8" w:rsidRDefault="00005CC8" w:rsidP="00600F83">
      <w:pPr>
        <w:rPr>
          <w:rFonts w:asciiTheme="minorHAnsi" w:hAnsiTheme="minorHAnsi" w:cstheme="minorHAnsi"/>
          <w:b/>
          <w:bCs/>
          <w:color w:val="000000"/>
        </w:rPr>
      </w:pPr>
    </w:p>
    <w:p w14:paraId="565EADAE" w14:textId="77777777" w:rsidR="00005CC8" w:rsidRDefault="00005CC8" w:rsidP="00600F83">
      <w:pPr>
        <w:rPr>
          <w:rFonts w:asciiTheme="minorHAnsi" w:hAnsiTheme="minorHAnsi" w:cstheme="minorHAnsi"/>
          <w:b/>
          <w:bCs/>
          <w:color w:val="000000"/>
        </w:rPr>
      </w:pPr>
    </w:p>
    <w:p w14:paraId="0852F3B1" w14:textId="47B86986" w:rsidR="00005CC8" w:rsidRDefault="00005CC8" w:rsidP="00600F83">
      <w:pPr>
        <w:rPr>
          <w:rFonts w:asciiTheme="minorHAnsi" w:hAnsiTheme="minorHAnsi" w:cstheme="minorHAnsi"/>
          <w:b/>
          <w:bCs/>
          <w:color w:val="000000"/>
        </w:rPr>
      </w:pPr>
    </w:p>
    <w:p w14:paraId="08B508BC" w14:textId="50BF3775" w:rsidR="00E740F5" w:rsidRDefault="00E740F5" w:rsidP="00E740F5">
      <w:pPr>
        <w:rPr>
          <w:rFonts w:asciiTheme="minorHAnsi" w:hAnsiTheme="minorHAnsi" w:cstheme="minorHAnsi"/>
        </w:rPr>
      </w:pPr>
    </w:p>
    <w:p w14:paraId="52BF52ED" w14:textId="77777777" w:rsidR="00D52320" w:rsidRPr="00E740F5" w:rsidRDefault="00D52320" w:rsidP="00E740F5">
      <w:pPr>
        <w:rPr>
          <w:rFonts w:asciiTheme="minorHAnsi" w:hAnsiTheme="minorHAnsi" w:cstheme="minorHAnsi"/>
        </w:rPr>
      </w:pPr>
    </w:p>
    <w:p w14:paraId="7D09810A" w14:textId="70A867FF" w:rsidR="00E740F5" w:rsidRPr="00E740F5" w:rsidRDefault="00E740F5" w:rsidP="00E740F5">
      <w:pPr>
        <w:rPr>
          <w:rFonts w:asciiTheme="minorHAnsi" w:hAnsiTheme="minorHAnsi" w:cstheme="minorHAnsi"/>
        </w:rPr>
      </w:pPr>
    </w:p>
    <w:p w14:paraId="07AA9C26" w14:textId="373510AF" w:rsidR="00E740F5" w:rsidRDefault="00E740F5" w:rsidP="00E740F5">
      <w:pPr>
        <w:rPr>
          <w:rFonts w:asciiTheme="minorHAnsi" w:hAnsiTheme="minorHAnsi" w:cstheme="minorHAnsi"/>
          <w:b/>
          <w:bCs/>
          <w:color w:val="000000"/>
        </w:rPr>
      </w:pPr>
    </w:p>
    <w:p w14:paraId="09CDC9DE" w14:textId="5DB70C72" w:rsidR="00E740F5" w:rsidRDefault="00E740F5" w:rsidP="00E740F5">
      <w:pPr>
        <w:rPr>
          <w:rFonts w:asciiTheme="minorHAnsi" w:hAnsiTheme="minorHAnsi" w:cstheme="minorHAnsi"/>
        </w:rPr>
      </w:pPr>
    </w:p>
    <w:tbl>
      <w:tblPr>
        <w:tblW w:w="4891" w:type="pct"/>
        <w:tblLayout w:type="fixed"/>
        <w:tblLook w:val="0000" w:firstRow="0" w:lastRow="0" w:firstColumn="0" w:lastColumn="0" w:noHBand="0" w:noVBand="0"/>
      </w:tblPr>
      <w:tblGrid>
        <w:gridCol w:w="5246"/>
        <w:gridCol w:w="8408"/>
      </w:tblGrid>
      <w:tr w:rsidR="002812BC" w:rsidRPr="00C22F7C" w14:paraId="6B5C67A5" w14:textId="77777777" w:rsidTr="001D093E">
        <w:trPr>
          <w:gridAfter w:val="1"/>
          <w:wAfter w:w="3079" w:type="pct"/>
          <w:trHeight w:val="556"/>
        </w:trPr>
        <w:tc>
          <w:tcPr>
            <w:tcW w:w="1921" w:type="pct"/>
            <w:tcBorders>
              <w:top w:val="nil"/>
              <w:left w:val="nil"/>
              <w:bottom w:val="nil"/>
              <w:right w:val="nil"/>
            </w:tcBorders>
          </w:tcPr>
          <w:p w14:paraId="1D933D1F" w14:textId="27A604FD" w:rsidR="00F14775" w:rsidRDefault="00F14775" w:rsidP="00B83D66">
            <w:pPr>
              <w:keepNext/>
              <w:pageBreakBefore/>
              <w:autoSpaceDE w:val="0"/>
              <w:autoSpaceDN w:val="0"/>
              <w:adjustRightInd w:val="0"/>
              <w:rPr>
                <w:rFonts w:ascii="Calibri" w:hAnsi="Calibri" w:cs="Calibri"/>
                <w:b/>
                <w:bCs/>
                <w:color w:val="000000"/>
              </w:rPr>
            </w:pPr>
          </w:p>
          <w:p w14:paraId="0803A79F" w14:textId="77777777" w:rsidR="00226493" w:rsidRDefault="00226493" w:rsidP="00B83D66">
            <w:pPr>
              <w:keepNext/>
              <w:pageBreakBefore/>
              <w:autoSpaceDE w:val="0"/>
              <w:autoSpaceDN w:val="0"/>
              <w:adjustRightInd w:val="0"/>
              <w:rPr>
                <w:rFonts w:ascii="Calibri" w:hAnsi="Calibri" w:cs="Calibri"/>
                <w:b/>
                <w:bCs/>
                <w:color w:val="000000"/>
              </w:rPr>
            </w:pPr>
          </w:p>
          <w:p w14:paraId="148E9C92" w14:textId="1DC15980" w:rsidR="002812BC" w:rsidRPr="00C22F7C" w:rsidRDefault="002812BC" w:rsidP="00B83D66">
            <w:pPr>
              <w:keepNext/>
              <w:pageBreakBefore/>
              <w:autoSpaceDE w:val="0"/>
              <w:autoSpaceDN w:val="0"/>
              <w:adjustRightInd w:val="0"/>
              <w:rPr>
                <w:rFonts w:ascii="Calibri" w:hAnsi="Calibri" w:cs="Calibri"/>
                <w:b/>
                <w:bCs/>
                <w:color w:val="000000"/>
              </w:rPr>
            </w:pPr>
            <w:r w:rsidRPr="00C22F7C">
              <w:rPr>
                <w:rFonts w:ascii="Calibri" w:hAnsi="Calibri" w:cs="Calibri"/>
                <w:b/>
                <w:bCs/>
                <w:color w:val="000000"/>
              </w:rPr>
              <w:t xml:space="preserve">Ryanair Holdings plc and Subsidiaries </w:t>
            </w:r>
          </w:p>
          <w:p w14:paraId="3E194AEE" w14:textId="77777777" w:rsidR="002812BC" w:rsidRPr="00C22F7C" w:rsidRDefault="002812BC" w:rsidP="00B83D66">
            <w:pPr>
              <w:keepNext/>
              <w:pageBreakBefore/>
              <w:autoSpaceDE w:val="0"/>
              <w:autoSpaceDN w:val="0"/>
              <w:adjustRightInd w:val="0"/>
              <w:ind w:left="34"/>
              <w:rPr>
                <w:rFonts w:ascii="Calibri" w:hAnsi="Calibri" w:cs="Calibri"/>
                <w:b/>
                <w:bCs/>
                <w:i/>
                <w:color w:val="000000"/>
              </w:rPr>
            </w:pPr>
            <w:r w:rsidRPr="00C22F7C">
              <w:rPr>
                <w:rFonts w:ascii="Calibri" w:hAnsi="Calibri" w:cs="Calibri"/>
                <w:b/>
                <w:bCs/>
                <w:i/>
                <w:color w:val="000000"/>
              </w:rPr>
              <w:t>Condensed Consolidated Interim Income Statement for the Half-Year ended September 30, 2020 (unaudited)</w:t>
            </w:r>
          </w:p>
        </w:tc>
      </w:tr>
      <w:tr w:rsidR="002812BC" w:rsidRPr="00C22F7C" w14:paraId="6A9F26CA" w14:textId="77777777" w:rsidTr="001D093E">
        <w:trPr>
          <w:trHeight w:val="223"/>
        </w:trPr>
        <w:tc>
          <w:tcPr>
            <w:tcW w:w="5000" w:type="pct"/>
            <w:gridSpan w:val="2"/>
            <w:tcBorders>
              <w:top w:val="nil"/>
              <w:left w:val="nil"/>
              <w:bottom w:val="nil"/>
              <w:right w:val="nil"/>
            </w:tcBorders>
          </w:tcPr>
          <w:p w14:paraId="53012751" w14:textId="77777777" w:rsidR="002812BC" w:rsidRPr="00C22F7C" w:rsidRDefault="002812BC" w:rsidP="00B83D66">
            <w:pPr>
              <w:rPr>
                <w:rFonts w:ascii="Calibri" w:hAnsi="Calibri" w:cs="Calibri"/>
                <w:b/>
                <w:bCs/>
                <w:i/>
                <w:iCs/>
                <w:color w:val="000000"/>
                <w:sz w:val="22"/>
                <w:szCs w:val="22"/>
              </w:rPr>
            </w:pPr>
          </w:p>
          <w:tbl>
            <w:tblPr>
              <w:tblW w:w="11056" w:type="dxa"/>
              <w:tblLayout w:type="fixed"/>
              <w:tblLook w:val="0000" w:firstRow="0" w:lastRow="0" w:firstColumn="0" w:lastColumn="0" w:noHBand="0" w:noVBand="0"/>
            </w:tblPr>
            <w:tblGrid>
              <w:gridCol w:w="272"/>
              <w:gridCol w:w="4847"/>
              <w:gridCol w:w="747"/>
              <w:gridCol w:w="907"/>
              <w:gridCol w:w="1044"/>
              <w:gridCol w:w="981"/>
              <w:gridCol w:w="1129"/>
              <w:gridCol w:w="1129"/>
            </w:tblGrid>
            <w:tr w:rsidR="002812BC" w:rsidRPr="00C22F7C" w14:paraId="0C0EB48A" w14:textId="77777777" w:rsidTr="00B83D66">
              <w:trPr>
                <w:trHeight w:val="214"/>
              </w:trPr>
              <w:tc>
                <w:tcPr>
                  <w:tcW w:w="272" w:type="dxa"/>
                  <w:tcBorders>
                    <w:top w:val="nil"/>
                    <w:left w:val="nil"/>
                    <w:bottom w:val="nil"/>
                    <w:right w:val="nil"/>
                  </w:tcBorders>
                </w:tcPr>
                <w:p w14:paraId="6E4E2A5C"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47BC06C1"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746" w:type="dxa"/>
                  <w:tcBorders>
                    <w:top w:val="nil"/>
                    <w:bottom w:val="nil"/>
                  </w:tcBorders>
                </w:tcPr>
                <w:p w14:paraId="135BF35B"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nil"/>
                    <w:bottom w:val="nil"/>
                    <w:right w:val="single" w:sz="4" w:space="0" w:color="auto"/>
                  </w:tcBorders>
                </w:tcPr>
                <w:p w14:paraId="4993AA59"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044" w:type="dxa"/>
                  <w:tcBorders>
                    <w:top w:val="single" w:sz="4" w:space="0" w:color="auto"/>
                    <w:bottom w:val="nil"/>
                    <w:right w:val="single" w:sz="4" w:space="0" w:color="auto"/>
                  </w:tcBorders>
                  <w:shd w:val="clear" w:color="auto" w:fill="FFFF00"/>
                </w:tcPr>
                <w:p w14:paraId="40FAEC54"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highlight w:val="yellow"/>
                    </w:rPr>
                  </w:pPr>
                  <w:r w:rsidRPr="00C22F7C">
                    <w:rPr>
                      <w:rFonts w:ascii="Calibri" w:hAnsi="Calibri" w:cs="Calibri"/>
                      <w:b/>
                      <w:bCs/>
                      <w:color w:val="000000"/>
                      <w:sz w:val="22"/>
                      <w:szCs w:val="22"/>
                      <w:highlight w:val="yellow"/>
                    </w:rPr>
                    <w:t>Pre-Except.</w:t>
                  </w:r>
                </w:p>
                <w:p w14:paraId="75491DBE"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highlight w:val="yellow"/>
                    </w:rPr>
                  </w:pPr>
                  <w:r w:rsidRPr="00C22F7C">
                    <w:rPr>
                      <w:rFonts w:ascii="Calibri" w:hAnsi="Calibri" w:cs="Calibri"/>
                      <w:b/>
                      <w:bCs/>
                      <w:color w:val="000000"/>
                      <w:sz w:val="22"/>
                      <w:szCs w:val="22"/>
                      <w:highlight w:val="yellow"/>
                    </w:rPr>
                    <w:t>H1-</w:t>
                  </w:r>
                </w:p>
                <w:p w14:paraId="1106E9F4"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highlight w:val="yellow"/>
                    </w:rPr>
                  </w:pPr>
                  <w:r w:rsidRPr="00C22F7C">
                    <w:rPr>
                      <w:rFonts w:ascii="Calibri" w:hAnsi="Calibri" w:cs="Calibri"/>
                      <w:b/>
                      <w:bCs/>
                      <w:color w:val="000000"/>
                      <w:sz w:val="22"/>
                      <w:szCs w:val="22"/>
                      <w:highlight w:val="yellow"/>
                    </w:rPr>
                    <w:t>Sep 30,</w:t>
                  </w:r>
                </w:p>
              </w:tc>
              <w:tc>
                <w:tcPr>
                  <w:tcW w:w="981" w:type="dxa"/>
                  <w:tcBorders>
                    <w:top w:val="single" w:sz="4" w:space="0" w:color="auto"/>
                    <w:bottom w:val="nil"/>
                    <w:right w:val="single" w:sz="4" w:space="0" w:color="auto"/>
                  </w:tcBorders>
                  <w:shd w:val="clear" w:color="auto" w:fill="FFFF00"/>
                </w:tcPr>
                <w:p w14:paraId="5149E6B8" w14:textId="77777777" w:rsidR="002812BC" w:rsidRPr="00C22F7C" w:rsidRDefault="002812BC" w:rsidP="00B83D66">
                  <w:pPr>
                    <w:widowControl w:val="0"/>
                    <w:autoSpaceDE w:val="0"/>
                    <w:autoSpaceDN w:val="0"/>
                    <w:adjustRightInd w:val="0"/>
                    <w:ind w:left="-113"/>
                    <w:jc w:val="right"/>
                    <w:rPr>
                      <w:rFonts w:ascii="Calibri" w:hAnsi="Calibri" w:cs="Calibri"/>
                      <w:b/>
                      <w:bCs/>
                      <w:color w:val="000000"/>
                      <w:sz w:val="22"/>
                      <w:szCs w:val="22"/>
                    </w:rPr>
                  </w:pPr>
                  <w:r w:rsidRPr="00C22F7C">
                    <w:rPr>
                      <w:rFonts w:ascii="Calibri" w:hAnsi="Calibri" w:cs="Calibri"/>
                      <w:b/>
                      <w:bCs/>
                      <w:color w:val="000000"/>
                      <w:sz w:val="22"/>
                      <w:szCs w:val="22"/>
                    </w:rPr>
                    <w:t xml:space="preserve">Except. Items </w:t>
                  </w:r>
                </w:p>
                <w:p w14:paraId="1B24F9B6"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H1-</w:t>
                  </w:r>
                </w:p>
                <w:p w14:paraId="748C7EED"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 xml:space="preserve">Sep 30, </w:t>
                  </w:r>
                </w:p>
              </w:tc>
              <w:tc>
                <w:tcPr>
                  <w:tcW w:w="1129" w:type="dxa"/>
                  <w:tcBorders>
                    <w:top w:val="single" w:sz="4" w:space="0" w:color="auto"/>
                    <w:left w:val="single" w:sz="4" w:space="0" w:color="auto"/>
                    <w:bottom w:val="nil"/>
                    <w:right w:val="single" w:sz="4" w:space="0" w:color="auto"/>
                  </w:tcBorders>
                  <w:shd w:val="clear" w:color="auto" w:fill="FFFF00"/>
                </w:tcPr>
                <w:p w14:paraId="4CEE32B2"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IFRS</w:t>
                  </w:r>
                </w:p>
                <w:p w14:paraId="691BC661"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p>
                <w:p w14:paraId="699670C5"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H1-</w:t>
                  </w:r>
                </w:p>
                <w:p w14:paraId="4B71273B"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Sep 30,</w:t>
                  </w:r>
                </w:p>
              </w:tc>
              <w:tc>
                <w:tcPr>
                  <w:tcW w:w="1129" w:type="dxa"/>
                  <w:tcBorders>
                    <w:top w:val="single" w:sz="4" w:space="0" w:color="auto"/>
                    <w:left w:val="single" w:sz="4" w:space="0" w:color="auto"/>
                    <w:bottom w:val="nil"/>
                    <w:right w:val="single" w:sz="4" w:space="0" w:color="auto"/>
                  </w:tcBorders>
                </w:tcPr>
                <w:p w14:paraId="4EFAF154"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IFRS</w:t>
                  </w:r>
                </w:p>
                <w:p w14:paraId="0C08F6C4"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p>
                <w:p w14:paraId="4EEF691C"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H1-</w:t>
                  </w:r>
                </w:p>
                <w:p w14:paraId="51A041F2"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Sep 30,</w:t>
                  </w:r>
                </w:p>
              </w:tc>
            </w:tr>
            <w:tr w:rsidR="002812BC" w:rsidRPr="00C22F7C" w14:paraId="3FF9D175" w14:textId="77777777" w:rsidTr="00B83D66">
              <w:trPr>
                <w:trHeight w:val="214"/>
              </w:trPr>
              <w:tc>
                <w:tcPr>
                  <w:tcW w:w="272" w:type="dxa"/>
                  <w:tcBorders>
                    <w:top w:val="nil"/>
                    <w:left w:val="nil"/>
                    <w:bottom w:val="nil"/>
                    <w:right w:val="nil"/>
                  </w:tcBorders>
                </w:tcPr>
                <w:p w14:paraId="2B30BA85"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0770567D"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746" w:type="dxa"/>
                  <w:tcBorders>
                    <w:top w:val="nil"/>
                    <w:bottom w:val="nil"/>
                  </w:tcBorders>
                </w:tcPr>
                <w:p w14:paraId="7BB2A889"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nil"/>
                    <w:bottom w:val="nil"/>
                    <w:right w:val="single" w:sz="4" w:space="0" w:color="auto"/>
                  </w:tcBorders>
                  <w:shd w:val="clear" w:color="auto" w:fill="auto"/>
                </w:tcPr>
                <w:p w14:paraId="0FF899A4" w14:textId="77777777" w:rsidR="002812BC" w:rsidRPr="00C22F7C" w:rsidRDefault="002812BC" w:rsidP="00B83D66">
                  <w:pPr>
                    <w:tabs>
                      <w:tab w:val="left" w:pos="-108"/>
                    </w:tabs>
                    <w:autoSpaceDE w:val="0"/>
                    <w:autoSpaceDN w:val="0"/>
                    <w:adjustRightInd w:val="0"/>
                    <w:ind w:left="-250"/>
                    <w:jc w:val="right"/>
                    <w:rPr>
                      <w:rFonts w:ascii="Calibri" w:hAnsi="Calibri" w:cs="Calibri"/>
                      <w:bCs/>
                      <w:color w:val="000000"/>
                      <w:sz w:val="20"/>
                      <w:szCs w:val="20"/>
                    </w:rPr>
                  </w:pPr>
                  <w:r w:rsidRPr="00C22F7C">
                    <w:rPr>
                      <w:rFonts w:ascii="Calibri" w:hAnsi="Calibri" w:cs="Calibri"/>
                      <w:bCs/>
                      <w:color w:val="000000"/>
                      <w:sz w:val="20"/>
                      <w:szCs w:val="20"/>
                    </w:rPr>
                    <w:t>Change</w:t>
                  </w:r>
                </w:p>
              </w:tc>
              <w:tc>
                <w:tcPr>
                  <w:tcW w:w="1044" w:type="dxa"/>
                  <w:tcBorders>
                    <w:top w:val="nil"/>
                    <w:bottom w:val="nil"/>
                    <w:right w:val="single" w:sz="4" w:space="0" w:color="auto"/>
                  </w:tcBorders>
                  <w:shd w:val="clear" w:color="auto" w:fill="FFFF00"/>
                </w:tcPr>
                <w:p w14:paraId="4F2AE472"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highlight w:val="yellow"/>
                    </w:rPr>
                  </w:pPr>
                  <w:r w:rsidRPr="00C22F7C">
                    <w:rPr>
                      <w:rFonts w:ascii="Calibri" w:hAnsi="Calibri" w:cs="Calibri"/>
                      <w:b/>
                      <w:bCs/>
                      <w:color w:val="000000"/>
                      <w:sz w:val="22"/>
                      <w:szCs w:val="22"/>
                      <w:highlight w:val="yellow"/>
                    </w:rPr>
                    <w:t>2020</w:t>
                  </w:r>
                </w:p>
              </w:tc>
              <w:tc>
                <w:tcPr>
                  <w:tcW w:w="981" w:type="dxa"/>
                  <w:tcBorders>
                    <w:top w:val="nil"/>
                    <w:bottom w:val="nil"/>
                    <w:right w:val="single" w:sz="4" w:space="0" w:color="auto"/>
                  </w:tcBorders>
                  <w:shd w:val="clear" w:color="auto" w:fill="FFFF00"/>
                </w:tcPr>
                <w:p w14:paraId="3B8AC846"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2020</w:t>
                  </w:r>
                </w:p>
              </w:tc>
              <w:tc>
                <w:tcPr>
                  <w:tcW w:w="1129" w:type="dxa"/>
                  <w:tcBorders>
                    <w:top w:val="nil"/>
                    <w:left w:val="single" w:sz="4" w:space="0" w:color="auto"/>
                    <w:bottom w:val="nil"/>
                    <w:right w:val="single" w:sz="4" w:space="0" w:color="auto"/>
                  </w:tcBorders>
                  <w:shd w:val="clear" w:color="auto" w:fill="FFFF00"/>
                </w:tcPr>
                <w:p w14:paraId="5631FD9F"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2020</w:t>
                  </w:r>
                </w:p>
              </w:tc>
              <w:tc>
                <w:tcPr>
                  <w:tcW w:w="1129" w:type="dxa"/>
                  <w:tcBorders>
                    <w:top w:val="nil"/>
                    <w:left w:val="single" w:sz="4" w:space="0" w:color="auto"/>
                    <w:bottom w:val="nil"/>
                    <w:right w:val="single" w:sz="4" w:space="0" w:color="auto"/>
                  </w:tcBorders>
                </w:tcPr>
                <w:p w14:paraId="56DB8E95"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2019</w:t>
                  </w:r>
                </w:p>
              </w:tc>
            </w:tr>
            <w:tr w:rsidR="002812BC" w:rsidRPr="00C22F7C" w14:paraId="06B6CA80" w14:textId="77777777" w:rsidTr="00B83D66">
              <w:trPr>
                <w:trHeight w:val="214"/>
              </w:trPr>
              <w:tc>
                <w:tcPr>
                  <w:tcW w:w="272" w:type="dxa"/>
                  <w:tcBorders>
                    <w:top w:val="nil"/>
                    <w:left w:val="nil"/>
                    <w:bottom w:val="nil"/>
                    <w:right w:val="nil"/>
                  </w:tcBorders>
                </w:tcPr>
                <w:p w14:paraId="6DE53B7C"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0E27F6EA"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746" w:type="dxa"/>
                  <w:tcBorders>
                    <w:top w:val="nil"/>
                    <w:bottom w:val="nil"/>
                  </w:tcBorders>
                </w:tcPr>
                <w:p w14:paraId="2E383405" w14:textId="77777777" w:rsidR="002812BC" w:rsidRPr="00C22F7C" w:rsidRDefault="002812BC" w:rsidP="00B83D66">
                  <w:pPr>
                    <w:autoSpaceDE w:val="0"/>
                    <w:autoSpaceDN w:val="0"/>
                    <w:adjustRightInd w:val="0"/>
                    <w:jc w:val="right"/>
                    <w:rPr>
                      <w:rFonts w:ascii="Calibri" w:hAnsi="Calibri" w:cs="Calibri"/>
                      <w:b/>
                      <w:bCs/>
                      <w:color w:val="000000"/>
                      <w:sz w:val="22"/>
                      <w:szCs w:val="22"/>
                      <w:u w:val="single"/>
                    </w:rPr>
                  </w:pPr>
                  <w:r w:rsidRPr="00C22F7C">
                    <w:rPr>
                      <w:rFonts w:ascii="Calibri" w:hAnsi="Calibri" w:cs="Calibri"/>
                      <w:b/>
                      <w:bCs/>
                      <w:color w:val="000000"/>
                      <w:sz w:val="22"/>
                      <w:szCs w:val="22"/>
                      <w:u w:val="single"/>
                    </w:rPr>
                    <w:t>Note</w:t>
                  </w:r>
                </w:p>
              </w:tc>
              <w:tc>
                <w:tcPr>
                  <w:tcW w:w="907" w:type="dxa"/>
                  <w:tcBorders>
                    <w:top w:val="nil"/>
                    <w:bottom w:val="nil"/>
                    <w:right w:val="single" w:sz="4" w:space="0" w:color="auto"/>
                  </w:tcBorders>
                  <w:shd w:val="clear" w:color="auto" w:fill="auto"/>
                </w:tcPr>
                <w:p w14:paraId="3D306275" w14:textId="77777777" w:rsidR="002812BC" w:rsidRPr="00C22F7C" w:rsidRDefault="002812BC" w:rsidP="00B83D66">
                  <w:pPr>
                    <w:autoSpaceDE w:val="0"/>
                    <w:autoSpaceDN w:val="0"/>
                    <w:adjustRightInd w:val="0"/>
                    <w:jc w:val="right"/>
                    <w:rPr>
                      <w:rFonts w:ascii="Calibri" w:hAnsi="Calibri" w:cs="Calibri"/>
                      <w:bCs/>
                      <w:color w:val="000000"/>
                      <w:sz w:val="22"/>
                      <w:szCs w:val="22"/>
                      <w:u w:val="single"/>
                    </w:rPr>
                  </w:pPr>
                  <w:r w:rsidRPr="00C22F7C">
                    <w:rPr>
                      <w:rFonts w:ascii="Calibri" w:hAnsi="Calibri" w:cs="Calibri"/>
                      <w:bCs/>
                      <w:color w:val="000000"/>
                      <w:sz w:val="22"/>
                      <w:szCs w:val="22"/>
                      <w:u w:val="single"/>
                    </w:rPr>
                    <w:t>%</w:t>
                  </w:r>
                </w:p>
              </w:tc>
              <w:tc>
                <w:tcPr>
                  <w:tcW w:w="1044" w:type="dxa"/>
                  <w:tcBorders>
                    <w:top w:val="nil"/>
                    <w:bottom w:val="nil"/>
                    <w:right w:val="single" w:sz="4" w:space="0" w:color="auto"/>
                  </w:tcBorders>
                  <w:shd w:val="clear" w:color="auto" w:fill="FFFF00"/>
                </w:tcPr>
                <w:p w14:paraId="043DF6A7"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highlight w:val="yellow"/>
                      <w:u w:val="single"/>
                    </w:rPr>
                  </w:pPr>
                  <w:r w:rsidRPr="00C22F7C">
                    <w:rPr>
                      <w:rFonts w:ascii="Calibri" w:hAnsi="Calibri" w:cs="Calibri"/>
                      <w:b/>
                      <w:bCs/>
                      <w:color w:val="000000"/>
                      <w:sz w:val="22"/>
                      <w:szCs w:val="22"/>
                      <w:highlight w:val="yellow"/>
                      <w:u w:val="single"/>
                    </w:rPr>
                    <w:t>€M</w:t>
                  </w:r>
                </w:p>
              </w:tc>
              <w:tc>
                <w:tcPr>
                  <w:tcW w:w="981" w:type="dxa"/>
                  <w:tcBorders>
                    <w:top w:val="nil"/>
                    <w:bottom w:val="nil"/>
                    <w:right w:val="single" w:sz="4" w:space="0" w:color="auto"/>
                  </w:tcBorders>
                  <w:shd w:val="clear" w:color="auto" w:fill="FFFF00"/>
                </w:tcPr>
                <w:p w14:paraId="582C1778"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u w:val="single"/>
                    </w:rPr>
                  </w:pPr>
                  <w:r w:rsidRPr="00C22F7C">
                    <w:rPr>
                      <w:rFonts w:ascii="Calibri" w:hAnsi="Calibri" w:cs="Calibri"/>
                      <w:b/>
                      <w:bCs/>
                      <w:color w:val="000000"/>
                      <w:sz w:val="22"/>
                      <w:szCs w:val="22"/>
                      <w:highlight w:val="yellow"/>
                      <w:u w:val="single"/>
                    </w:rPr>
                    <w:t>€M</w:t>
                  </w:r>
                </w:p>
              </w:tc>
              <w:tc>
                <w:tcPr>
                  <w:tcW w:w="1129" w:type="dxa"/>
                  <w:tcBorders>
                    <w:top w:val="nil"/>
                    <w:left w:val="single" w:sz="4" w:space="0" w:color="auto"/>
                    <w:bottom w:val="nil"/>
                    <w:right w:val="single" w:sz="4" w:space="0" w:color="auto"/>
                  </w:tcBorders>
                  <w:shd w:val="clear" w:color="auto" w:fill="FFFF00"/>
                </w:tcPr>
                <w:p w14:paraId="2E8D3647"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u w:val="single"/>
                    </w:rPr>
                  </w:pPr>
                  <w:r w:rsidRPr="00C22F7C">
                    <w:rPr>
                      <w:rFonts w:ascii="Calibri" w:hAnsi="Calibri" w:cs="Calibri"/>
                      <w:b/>
                      <w:bCs/>
                      <w:color w:val="000000"/>
                      <w:sz w:val="22"/>
                      <w:szCs w:val="22"/>
                      <w:highlight w:val="yellow"/>
                      <w:u w:val="single"/>
                    </w:rPr>
                    <w:t>€M</w:t>
                  </w:r>
                </w:p>
              </w:tc>
              <w:tc>
                <w:tcPr>
                  <w:tcW w:w="1129" w:type="dxa"/>
                  <w:tcBorders>
                    <w:top w:val="nil"/>
                    <w:left w:val="single" w:sz="4" w:space="0" w:color="auto"/>
                    <w:bottom w:val="nil"/>
                    <w:right w:val="single" w:sz="4" w:space="0" w:color="auto"/>
                  </w:tcBorders>
                </w:tcPr>
                <w:p w14:paraId="7A6819E8"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u w:val="single"/>
                    </w:rPr>
                  </w:pPr>
                  <w:r w:rsidRPr="00C22F7C">
                    <w:rPr>
                      <w:rFonts w:ascii="Calibri" w:hAnsi="Calibri" w:cs="Calibri"/>
                      <w:b/>
                      <w:bCs/>
                      <w:color w:val="000000"/>
                      <w:sz w:val="22"/>
                      <w:szCs w:val="22"/>
                      <w:u w:val="single"/>
                    </w:rPr>
                    <w:t>€M</w:t>
                  </w:r>
                </w:p>
              </w:tc>
            </w:tr>
            <w:tr w:rsidR="002812BC" w:rsidRPr="00C22F7C" w14:paraId="512250C4" w14:textId="77777777" w:rsidTr="00B83D66">
              <w:trPr>
                <w:trHeight w:val="214"/>
              </w:trPr>
              <w:tc>
                <w:tcPr>
                  <w:tcW w:w="5119" w:type="dxa"/>
                  <w:gridSpan w:val="2"/>
                  <w:tcBorders>
                    <w:top w:val="nil"/>
                    <w:left w:val="nil"/>
                    <w:bottom w:val="nil"/>
                  </w:tcBorders>
                </w:tcPr>
                <w:p w14:paraId="2D8355A9" w14:textId="77777777" w:rsidR="002812BC" w:rsidRPr="00C22F7C" w:rsidRDefault="002812BC" w:rsidP="00B83D66">
                  <w:pPr>
                    <w:autoSpaceDE w:val="0"/>
                    <w:autoSpaceDN w:val="0"/>
                    <w:adjustRightInd w:val="0"/>
                    <w:rPr>
                      <w:rFonts w:ascii="Calibri" w:hAnsi="Calibri" w:cs="Calibri"/>
                      <w:b/>
                      <w:bCs/>
                      <w:color w:val="000000"/>
                      <w:sz w:val="22"/>
                      <w:szCs w:val="22"/>
                    </w:rPr>
                  </w:pPr>
                  <w:r w:rsidRPr="00C22F7C">
                    <w:rPr>
                      <w:rFonts w:ascii="Calibri" w:hAnsi="Calibri" w:cs="Calibri"/>
                      <w:b/>
                      <w:bCs/>
                      <w:color w:val="000000"/>
                      <w:sz w:val="22"/>
                      <w:szCs w:val="22"/>
                    </w:rPr>
                    <w:t>Operating revenues</w:t>
                  </w:r>
                </w:p>
              </w:tc>
              <w:tc>
                <w:tcPr>
                  <w:tcW w:w="746" w:type="dxa"/>
                  <w:tcBorders>
                    <w:top w:val="nil"/>
                    <w:bottom w:val="nil"/>
                  </w:tcBorders>
                </w:tcPr>
                <w:p w14:paraId="227A00F9"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907" w:type="dxa"/>
                  <w:tcBorders>
                    <w:top w:val="nil"/>
                    <w:bottom w:val="nil"/>
                    <w:right w:val="single" w:sz="4" w:space="0" w:color="auto"/>
                  </w:tcBorders>
                </w:tcPr>
                <w:p w14:paraId="3D841C5C"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1044" w:type="dxa"/>
                  <w:tcBorders>
                    <w:top w:val="nil"/>
                    <w:bottom w:val="nil"/>
                    <w:right w:val="single" w:sz="4" w:space="0" w:color="auto"/>
                  </w:tcBorders>
                  <w:shd w:val="clear" w:color="auto" w:fill="FFFF00"/>
                </w:tcPr>
                <w:p w14:paraId="1040CF57" w14:textId="77777777" w:rsidR="002812BC" w:rsidRPr="00C22F7C" w:rsidRDefault="002812BC" w:rsidP="00B83D66">
                  <w:pPr>
                    <w:autoSpaceDE w:val="0"/>
                    <w:autoSpaceDN w:val="0"/>
                    <w:adjustRightInd w:val="0"/>
                    <w:jc w:val="right"/>
                    <w:rPr>
                      <w:rFonts w:ascii="Calibri" w:hAnsi="Calibri" w:cs="Calibri"/>
                      <w:b/>
                      <w:color w:val="000000"/>
                      <w:sz w:val="22"/>
                      <w:szCs w:val="22"/>
                      <w:highlight w:val="yellow"/>
                    </w:rPr>
                  </w:pPr>
                </w:p>
              </w:tc>
              <w:tc>
                <w:tcPr>
                  <w:tcW w:w="981" w:type="dxa"/>
                  <w:tcBorders>
                    <w:top w:val="nil"/>
                    <w:right w:val="single" w:sz="4" w:space="0" w:color="auto"/>
                  </w:tcBorders>
                  <w:shd w:val="clear" w:color="auto" w:fill="FFFF00"/>
                </w:tcPr>
                <w:p w14:paraId="215EEEE2"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c>
                <w:tcPr>
                  <w:tcW w:w="1129" w:type="dxa"/>
                  <w:tcBorders>
                    <w:top w:val="nil"/>
                    <w:left w:val="single" w:sz="4" w:space="0" w:color="auto"/>
                    <w:right w:val="single" w:sz="4" w:space="0" w:color="auto"/>
                  </w:tcBorders>
                  <w:shd w:val="clear" w:color="auto" w:fill="FFFF00"/>
                </w:tcPr>
                <w:p w14:paraId="51FF295F"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c>
                <w:tcPr>
                  <w:tcW w:w="1129" w:type="dxa"/>
                  <w:tcBorders>
                    <w:top w:val="nil"/>
                    <w:left w:val="single" w:sz="4" w:space="0" w:color="auto"/>
                    <w:right w:val="single" w:sz="4" w:space="0" w:color="auto"/>
                  </w:tcBorders>
                </w:tcPr>
                <w:p w14:paraId="44E2F01D"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r>
            <w:tr w:rsidR="002812BC" w:rsidRPr="00C22F7C" w14:paraId="79856508" w14:textId="77777777" w:rsidTr="00B83D66">
              <w:trPr>
                <w:trHeight w:val="214"/>
              </w:trPr>
              <w:tc>
                <w:tcPr>
                  <w:tcW w:w="272" w:type="dxa"/>
                  <w:tcBorders>
                    <w:top w:val="nil"/>
                    <w:left w:val="nil"/>
                    <w:bottom w:val="nil"/>
                    <w:right w:val="nil"/>
                  </w:tcBorders>
                </w:tcPr>
                <w:p w14:paraId="2C814CF1"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777175F1" w14:textId="77777777" w:rsidR="002812BC" w:rsidRPr="00C22F7C" w:rsidRDefault="002812BC" w:rsidP="00B83D66">
                  <w:pPr>
                    <w:autoSpaceDE w:val="0"/>
                    <w:autoSpaceDN w:val="0"/>
                    <w:adjustRightInd w:val="0"/>
                    <w:ind w:right="-818"/>
                    <w:rPr>
                      <w:rFonts w:ascii="Calibri" w:hAnsi="Calibri" w:cs="Calibri"/>
                      <w:color w:val="000000"/>
                      <w:sz w:val="22"/>
                      <w:szCs w:val="22"/>
                    </w:rPr>
                  </w:pPr>
                  <w:r w:rsidRPr="00C22F7C">
                    <w:rPr>
                      <w:rFonts w:ascii="Calibri" w:hAnsi="Calibri" w:cs="Calibri"/>
                      <w:color w:val="000000"/>
                      <w:sz w:val="22"/>
                      <w:szCs w:val="22"/>
                    </w:rPr>
                    <w:t xml:space="preserve">Scheduled revenues </w:t>
                  </w:r>
                </w:p>
              </w:tc>
              <w:tc>
                <w:tcPr>
                  <w:tcW w:w="746" w:type="dxa"/>
                  <w:tcBorders>
                    <w:top w:val="nil"/>
                  </w:tcBorders>
                </w:tcPr>
                <w:p w14:paraId="56C687D3"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nil"/>
                    <w:right w:val="single" w:sz="4" w:space="0" w:color="auto"/>
                  </w:tcBorders>
                </w:tcPr>
                <w:p w14:paraId="19558B70" w14:textId="77777777" w:rsidR="002812BC" w:rsidRPr="00C22F7C" w:rsidRDefault="002812BC" w:rsidP="00B83D66">
                  <w:pPr>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-79%</w:t>
                  </w:r>
                </w:p>
              </w:tc>
              <w:tc>
                <w:tcPr>
                  <w:tcW w:w="1044" w:type="dxa"/>
                  <w:tcBorders>
                    <w:top w:val="nil"/>
                    <w:right w:val="single" w:sz="4" w:space="0" w:color="auto"/>
                  </w:tcBorders>
                  <w:shd w:val="clear" w:color="auto" w:fill="FFFF00"/>
                </w:tcPr>
                <w:p w14:paraId="01D2FCBE"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highlight w:val="yellow"/>
                    </w:rPr>
                  </w:pPr>
                  <w:r w:rsidRPr="00C22F7C">
                    <w:rPr>
                      <w:rFonts w:ascii="Calibri" w:hAnsi="Calibri" w:cs="Calibri"/>
                      <w:b/>
                      <w:bCs/>
                      <w:color w:val="000000"/>
                      <w:sz w:val="22"/>
                      <w:szCs w:val="22"/>
                      <w:highlight w:val="yellow"/>
                    </w:rPr>
                    <w:t>790.8</w:t>
                  </w:r>
                </w:p>
              </w:tc>
              <w:tc>
                <w:tcPr>
                  <w:tcW w:w="981" w:type="dxa"/>
                  <w:tcBorders>
                    <w:top w:val="nil"/>
                    <w:right w:val="single" w:sz="4" w:space="0" w:color="auto"/>
                  </w:tcBorders>
                  <w:shd w:val="clear" w:color="auto" w:fill="FFFF00"/>
                </w:tcPr>
                <w:p w14:paraId="1636A937"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129" w:type="dxa"/>
                  <w:tcBorders>
                    <w:top w:val="nil"/>
                    <w:left w:val="single" w:sz="4" w:space="0" w:color="auto"/>
                    <w:right w:val="single" w:sz="4" w:space="0" w:color="auto"/>
                  </w:tcBorders>
                  <w:shd w:val="clear" w:color="auto" w:fill="FFFF00"/>
                </w:tcPr>
                <w:p w14:paraId="4A06728E"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color w:val="000000"/>
                      <w:sz w:val="22"/>
                      <w:szCs w:val="22"/>
                    </w:rPr>
                    <w:t>790.8</w:t>
                  </w:r>
                </w:p>
              </w:tc>
              <w:tc>
                <w:tcPr>
                  <w:tcW w:w="1129" w:type="dxa"/>
                  <w:tcBorders>
                    <w:top w:val="nil"/>
                    <w:left w:val="single" w:sz="4" w:space="0" w:color="auto"/>
                    <w:right w:val="single" w:sz="4" w:space="0" w:color="auto"/>
                  </w:tcBorders>
                  <w:shd w:val="clear" w:color="auto" w:fill="auto"/>
                </w:tcPr>
                <w:p w14:paraId="74659EAE"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3,735.0</w:t>
                  </w:r>
                </w:p>
              </w:tc>
            </w:tr>
            <w:tr w:rsidR="002812BC" w:rsidRPr="00C22F7C" w14:paraId="75F3B635" w14:textId="77777777" w:rsidTr="00B83D66">
              <w:trPr>
                <w:trHeight w:val="214"/>
              </w:trPr>
              <w:tc>
                <w:tcPr>
                  <w:tcW w:w="272" w:type="dxa"/>
                  <w:tcBorders>
                    <w:top w:val="nil"/>
                    <w:left w:val="nil"/>
                    <w:bottom w:val="nil"/>
                    <w:right w:val="nil"/>
                  </w:tcBorders>
                </w:tcPr>
                <w:p w14:paraId="0D81CC6F"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478C80C9" w14:textId="77777777" w:rsidR="002812BC" w:rsidRPr="00C22F7C" w:rsidRDefault="002812BC" w:rsidP="00B83D66">
                  <w:pPr>
                    <w:autoSpaceDE w:val="0"/>
                    <w:autoSpaceDN w:val="0"/>
                    <w:adjustRightInd w:val="0"/>
                    <w:ind w:right="-818"/>
                    <w:rPr>
                      <w:rFonts w:ascii="Calibri" w:hAnsi="Calibri" w:cs="Calibri"/>
                      <w:color w:val="000000"/>
                      <w:sz w:val="22"/>
                      <w:szCs w:val="22"/>
                    </w:rPr>
                  </w:pPr>
                  <w:r w:rsidRPr="00C22F7C">
                    <w:rPr>
                      <w:rFonts w:ascii="Calibri" w:hAnsi="Calibri" w:cs="Calibri"/>
                      <w:color w:val="000000"/>
                      <w:sz w:val="22"/>
                      <w:szCs w:val="22"/>
                    </w:rPr>
                    <w:t>Ancillary revenues</w:t>
                  </w:r>
                </w:p>
              </w:tc>
              <w:tc>
                <w:tcPr>
                  <w:tcW w:w="746" w:type="dxa"/>
                  <w:tcBorders>
                    <w:top w:val="nil"/>
                  </w:tcBorders>
                </w:tcPr>
                <w:p w14:paraId="74357D47"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nil"/>
                    <w:right w:val="single" w:sz="4" w:space="0" w:color="auto"/>
                  </w:tcBorders>
                </w:tcPr>
                <w:p w14:paraId="4313F9F7" w14:textId="77777777" w:rsidR="002812BC" w:rsidRPr="00C22F7C" w:rsidRDefault="002812BC" w:rsidP="00B83D66">
                  <w:pPr>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-77%</w:t>
                  </w:r>
                </w:p>
              </w:tc>
              <w:tc>
                <w:tcPr>
                  <w:tcW w:w="1044" w:type="dxa"/>
                  <w:tcBorders>
                    <w:top w:val="nil"/>
                    <w:right w:val="single" w:sz="4" w:space="0" w:color="auto"/>
                  </w:tcBorders>
                  <w:shd w:val="clear" w:color="auto" w:fill="FFFF00"/>
                </w:tcPr>
                <w:p w14:paraId="7069453B"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highlight w:val="yellow"/>
                    </w:rPr>
                  </w:pPr>
                  <w:r w:rsidRPr="00C22F7C">
                    <w:rPr>
                      <w:rFonts w:ascii="Calibri" w:hAnsi="Calibri" w:cs="Calibri"/>
                      <w:b/>
                      <w:bCs/>
                      <w:color w:val="000000"/>
                      <w:sz w:val="22"/>
                      <w:szCs w:val="22"/>
                      <w:highlight w:val="yellow"/>
                    </w:rPr>
                    <w:t>385.4</w:t>
                  </w:r>
                </w:p>
              </w:tc>
              <w:tc>
                <w:tcPr>
                  <w:tcW w:w="981" w:type="dxa"/>
                  <w:tcBorders>
                    <w:top w:val="nil"/>
                    <w:right w:val="single" w:sz="4" w:space="0" w:color="auto"/>
                  </w:tcBorders>
                  <w:shd w:val="clear" w:color="auto" w:fill="FFFF00"/>
                </w:tcPr>
                <w:p w14:paraId="1191D3BC"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129" w:type="dxa"/>
                  <w:tcBorders>
                    <w:top w:val="nil"/>
                    <w:left w:val="single" w:sz="4" w:space="0" w:color="auto"/>
                    <w:right w:val="single" w:sz="4" w:space="0" w:color="auto"/>
                  </w:tcBorders>
                  <w:shd w:val="clear" w:color="auto" w:fill="FFFF00"/>
                </w:tcPr>
                <w:p w14:paraId="22748AF9"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color w:val="000000"/>
                      <w:sz w:val="22"/>
                      <w:szCs w:val="22"/>
                    </w:rPr>
                    <w:t>385.4</w:t>
                  </w:r>
                </w:p>
              </w:tc>
              <w:tc>
                <w:tcPr>
                  <w:tcW w:w="1129" w:type="dxa"/>
                  <w:tcBorders>
                    <w:top w:val="nil"/>
                    <w:left w:val="single" w:sz="4" w:space="0" w:color="auto"/>
                    <w:right w:val="single" w:sz="4" w:space="0" w:color="auto"/>
                  </w:tcBorders>
                  <w:shd w:val="clear" w:color="auto" w:fill="auto"/>
                </w:tcPr>
                <w:p w14:paraId="6C04245B"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1,654.6</w:t>
                  </w:r>
                </w:p>
              </w:tc>
            </w:tr>
            <w:tr w:rsidR="002812BC" w:rsidRPr="00C22F7C" w14:paraId="0698B9AD" w14:textId="77777777" w:rsidTr="00B83D66">
              <w:trPr>
                <w:trHeight w:val="214"/>
              </w:trPr>
              <w:tc>
                <w:tcPr>
                  <w:tcW w:w="5119" w:type="dxa"/>
                  <w:gridSpan w:val="2"/>
                  <w:tcBorders>
                    <w:top w:val="nil"/>
                    <w:left w:val="nil"/>
                    <w:bottom w:val="nil"/>
                  </w:tcBorders>
                </w:tcPr>
                <w:p w14:paraId="21A218E6" w14:textId="77777777" w:rsidR="002812BC" w:rsidRPr="00C22F7C" w:rsidRDefault="002812BC" w:rsidP="00B83D66">
                  <w:pPr>
                    <w:autoSpaceDE w:val="0"/>
                    <w:autoSpaceDN w:val="0"/>
                    <w:adjustRightInd w:val="0"/>
                    <w:ind w:right="-818"/>
                    <w:rPr>
                      <w:rFonts w:ascii="Calibri" w:hAnsi="Calibri" w:cs="Calibri"/>
                      <w:b/>
                      <w:color w:val="000000"/>
                      <w:sz w:val="22"/>
                      <w:szCs w:val="22"/>
                    </w:rPr>
                  </w:pPr>
                  <w:r w:rsidRPr="00C22F7C">
                    <w:rPr>
                      <w:rFonts w:ascii="Calibri" w:hAnsi="Calibri" w:cs="Calibri"/>
                      <w:b/>
                      <w:bCs/>
                      <w:color w:val="000000"/>
                      <w:sz w:val="22"/>
                      <w:szCs w:val="22"/>
                    </w:rPr>
                    <w:t xml:space="preserve">Total operating revenues </w:t>
                  </w:r>
                </w:p>
              </w:tc>
              <w:tc>
                <w:tcPr>
                  <w:tcW w:w="746" w:type="dxa"/>
                  <w:tcBorders>
                    <w:top w:val="nil"/>
                  </w:tcBorders>
                </w:tcPr>
                <w:p w14:paraId="62A1FCF4"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single" w:sz="4" w:space="0" w:color="auto"/>
                    <w:bottom w:val="single" w:sz="4" w:space="0" w:color="auto"/>
                    <w:right w:val="single" w:sz="4" w:space="0" w:color="auto"/>
                  </w:tcBorders>
                </w:tcPr>
                <w:p w14:paraId="7B720ED4" w14:textId="77777777" w:rsidR="002812BC" w:rsidRPr="00C22F7C" w:rsidRDefault="002812BC" w:rsidP="00B83D66">
                  <w:pPr>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-78%</w:t>
                  </w:r>
                </w:p>
              </w:tc>
              <w:tc>
                <w:tcPr>
                  <w:tcW w:w="1044" w:type="dxa"/>
                  <w:tcBorders>
                    <w:top w:val="single" w:sz="4" w:space="0" w:color="auto"/>
                    <w:bottom w:val="single" w:sz="4" w:space="0" w:color="auto"/>
                    <w:right w:val="single" w:sz="4" w:space="0" w:color="auto"/>
                  </w:tcBorders>
                  <w:shd w:val="clear" w:color="auto" w:fill="FFFF00"/>
                </w:tcPr>
                <w:p w14:paraId="61AFD453" w14:textId="77777777" w:rsidR="002812BC" w:rsidRPr="00C22F7C" w:rsidRDefault="002812BC" w:rsidP="00B83D66">
                  <w:pPr>
                    <w:autoSpaceDE w:val="0"/>
                    <w:autoSpaceDN w:val="0"/>
                    <w:adjustRightInd w:val="0"/>
                    <w:jc w:val="right"/>
                    <w:rPr>
                      <w:rFonts w:ascii="Calibri" w:hAnsi="Calibri" w:cs="Calibri"/>
                      <w:b/>
                      <w:bCs/>
                      <w:color w:val="000000"/>
                      <w:sz w:val="22"/>
                      <w:szCs w:val="22"/>
                      <w:highlight w:val="yellow"/>
                    </w:rPr>
                  </w:pPr>
                  <w:r w:rsidRPr="00C22F7C">
                    <w:rPr>
                      <w:rFonts w:ascii="Calibri" w:hAnsi="Calibri" w:cs="Calibri"/>
                      <w:b/>
                      <w:bCs/>
                      <w:color w:val="000000"/>
                      <w:sz w:val="22"/>
                      <w:szCs w:val="22"/>
                      <w:highlight w:val="yellow"/>
                    </w:rPr>
                    <w:t>1,176.2</w:t>
                  </w:r>
                </w:p>
              </w:tc>
              <w:tc>
                <w:tcPr>
                  <w:tcW w:w="981" w:type="dxa"/>
                  <w:tcBorders>
                    <w:top w:val="single" w:sz="4" w:space="0" w:color="auto"/>
                    <w:bottom w:val="single" w:sz="4" w:space="0" w:color="auto"/>
                    <w:right w:val="single" w:sz="4" w:space="0" w:color="auto"/>
                  </w:tcBorders>
                  <w:shd w:val="clear" w:color="auto" w:fill="FFFF00"/>
                </w:tcPr>
                <w:p w14:paraId="317150FD"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129" w:type="dxa"/>
                  <w:tcBorders>
                    <w:top w:val="single" w:sz="4" w:space="0" w:color="auto"/>
                    <w:left w:val="single" w:sz="4" w:space="0" w:color="auto"/>
                    <w:bottom w:val="single" w:sz="4" w:space="0" w:color="auto"/>
                    <w:right w:val="single" w:sz="4" w:space="0" w:color="auto"/>
                  </w:tcBorders>
                  <w:shd w:val="clear" w:color="auto" w:fill="FFFF00"/>
                </w:tcPr>
                <w:p w14:paraId="633CD5C5" w14:textId="77777777" w:rsidR="002812BC" w:rsidRPr="00C22F7C" w:rsidRDefault="002812BC" w:rsidP="00B83D66">
                  <w:pPr>
                    <w:widowControl w:val="0"/>
                    <w:autoSpaceDE w:val="0"/>
                    <w:autoSpaceDN w:val="0"/>
                    <w:adjustRightInd w:val="0"/>
                    <w:ind w:left="-226"/>
                    <w:jc w:val="right"/>
                    <w:rPr>
                      <w:rFonts w:ascii="Calibri" w:hAnsi="Calibri" w:cs="Calibri"/>
                      <w:b/>
                      <w:color w:val="000000"/>
                      <w:sz w:val="22"/>
                      <w:szCs w:val="22"/>
                    </w:rPr>
                  </w:pPr>
                  <w:r w:rsidRPr="00C22F7C">
                    <w:rPr>
                      <w:rFonts w:ascii="Calibri" w:hAnsi="Calibri" w:cs="Calibri"/>
                      <w:b/>
                      <w:color w:val="000000"/>
                      <w:sz w:val="22"/>
                      <w:szCs w:val="22"/>
                    </w:rPr>
                    <w:t>1,176.2</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2FE1DAEE"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 xml:space="preserve">     5,389.6</w:t>
                  </w:r>
                </w:p>
              </w:tc>
            </w:tr>
            <w:tr w:rsidR="002812BC" w:rsidRPr="00C22F7C" w14:paraId="69FFC7C0" w14:textId="77777777" w:rsidTr="00B83D66">
              <w:trPr>
                <w:trHeight w:val="214"/>
              </w:trPr>
              <w:tc>
                <w:tcPr>
                  <w:tcW w:w="5119" w:type="dxa"/>
                  <w:gridSpan w:val="2"/>
                  <w:tcBorders>
                    <w:top w:val="nil"/>
                    <w:left w:val="nil"/>
                    <w:bottom w:val="nil"/>
                  </w:tcBorders>
                </w:tcPr>
                <w:p w14:paraId="2C17D3D4"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b/>
                      <w:color w:val="000000"/>
                      <w:sz w:val="22"/>
                      <w:szCs w:val="22"/>
                    </w:rPr>
                    <w:t>Operating expenses</w:t>
                  </w:r>
                </w:p>
              </w:tc>
              <w:tc>
                <w:tcPr>
                  <w:tcW w:w="746" w:type="dxa"/>
                  <w:tcBorders>
                    <w:top w:val="nil"/>
                    <w:bottom w:val="nil"/>
                  </w:tcBorders>
                </w:tcPr>
                <w:p w14:paraId="2926256A"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nil"/>
                    <w:bottom w:val="nil"/>
                    <w:right w:val="single" w:sz="4" w:space="0" w:color="auto"/>
                  </w:tcBorders>
                </w:tcPr>
                <w:p w14:paraId="37760C3B"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044" w:type="dxa"/>
                  <w:tcBorders>
                    <w:top w:val="nil"/>
                    <w:bottom w:val="nil"/>
                    <w:right w:val="single" w:sz="4" w:space="0" w:color="auto"/>
                  </w:tcBorders>
                  <w:shd w:val="clear" w:color="auto" w:fill="FFFF00"/>
                </w:tcPr>
                <w:p w14:paraId="46BFFA2A" w14:textId="77777777" w:rsidR="002812BC" w:rsidRPr="00C22F7C" w:rsidRDefault="002812BC" w:rsidP="00B83D66">
                  <w:pPr>
                    <w:autoSpaceDE w:val="0"/>
                    <w:autoSpaceDN w:val="0"/>
                    <w:adjustRightInd w:val="0"/>
                    <w:jc w:val="right"/>
                    <w:rPr>
                      <w:rFonts w:ascii="Calibri" w:hAnsi="Calibri" w:cs="Calibri"/>
                      <w:b/>
                      <w:bCs/>
                      <w:color w:val="000000"/>
                      <w:sz w:val="22"/>
                      <w:szCs w:val="22"/>
                      <w:highlight w:val="yellow"/>
                    </w:rPr>
                  </w:pPr>
                </w:p>
              </w:tc>
              <w:tc>
                <w:tcPr>
                  <w:tcW w:w="981" w:type="dxa"/>
                  <w:tcBorders>
                    <w:top w:val="nil"/>
                    <w:bottom w:val="nil"/>
                    <w:right w:val="single" w:sz="4" w:space="0" w:color="auto"/>
                  </w:tcBorders>
                  <w:shd w:val="clear" w:color="auto" w:fill="FFFF00"/>
                </w:tcPr>
                <w:p w14:paraId="4DED0914"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c>
                <w:tcPr>
                  <w:tcW w:w="1129" w:type="dxa"/>
                  <w:tcBorders>
                    <w:top w:val="nil"/>
                    <w:left w:val="single" w:sz="4" w:space="0" w:color="auto"/>
                    <w:bottom w:val="nil"/>
                    <w:right w:val="single" w:sz="4" w:space="0" w:color="auto"/>
                  </w:tcBorders>
                  <w:shd w:val="clear" w:color="auto" w:fill="FFFF00"/>
                </w:tcPr>
                <w:p w14:paraId="19822CB8"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c>
                <w:tcPr>
                  <w:tcW w:w="1129" w:type="dxa"/>
                  <w:tcBorders>
                    <w:top w:val="nil"/>
                    <w:left w:val="single" w:sz="4" w:space="0" w:color="auto"/>
                    <w:bottom w:val="nil"/>
                    <w:right w:val="single" w:sz="4" w:space="0" w:color="auto"/>
                  </w:tcBorders>
                  <w:shd w:val="clear" w:color="auto" w:fill="auto"/>
                </w:tcPr>
                <w:p w14:paraId="31FA4A43"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r>
            <w:tr w:rsidR="002812BC" w:rsidRPr="00C22F7C" w14:paraId="1C6B560E" w14:textId="77777777" w:rsidTr="00B83D66">
              <w:trPr>
                <w:trHeight w:val="214"/>
              </w:trPr>
              <w:tc>
                <w:tcPr>
                  <w:tcW w:w="272" w:type="dxa"/>
                  <w:tcBorders>
                    <w:top w:val="nil"/>
                    <w:left w:val="nil"/>
                    <w:bottom w:val="nil"/>
                    <w:right w:val="nil"/>
                  </w:tcBorders>
                </w:tcPr>
                <w:p w14:paraId="149F01AB"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330FCCB2"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Fuel and oil</w:t>
                  </w:r>
                </w:p>
              </w:tc>
              <w:tc>
                <w:tcPr>
                  <w:tcW w:w="746" w:type="dxa"/>
                  <w:tcBorders>
                    <w:top w:val="nil"/>
                    <w:bottom w:val="nil"/>
                  </w:tcBorders>
                </w:tcPr>
                <w:p w14:paraId="002C9EC3"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nil"/>
                    <w:bottom w:val="nil"/>
                    <w:right w:val="single" w:sz="4" w:space="0" w:color="auto"/>
                  </w:tcBorders>
                </w:tcPr>
                <w:p w14:paraId="4AD34700"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+78%</w:t>
                  </w:r>
                </w:p>
              </w:tc>
              <w:tc>
                <w:tcPr>
                  <w:tcW w:w="1044" w:type="dxa"/>
                  <w:tcBorders>
                    <w:top w:val="nil"/>
                    <w:bottom w:val="nil"/>
                    <w:right w:val="single" w:sz="4" w:space="0" w:color="auto"/>
                  </w:tcBorders>
                  <w:shd w:val="clear" w:color="auto" w:fill="FFFF00"/>
                </w:tcPr>
                <w:p w14:paraId="2657B2A1"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highlight w:val="yellow"/>
                    </w:rPr>
                  </w:pPr>
                  <w:r w:rsidRPr="00C22F7C">
                    <w:rPr>
                      <w:rFonts w:ascii="Calibri" w:hAnsi="Calibri" w:cs="Calibri"/>
                      <w:b/>
                      <w:bCs/>
                      <w:color w:val="000000"/>
                      <w:sz w:val="22"/>
                      <w:szCs w:val="22"/>
                      <w:highlight w:val="yellow"/>
                    </w:rPr>
                    <w:t>343.0</w:t>
                  </w:r>
                </w:p>
              </w:tc>
              <w:tc>
                <w:tcPr>
                  <w:tcW w:w="981" w:type="dxa"/>
                  <w:tcBorders>
                    <w:top w:val="nil"/>
                    <w:bottom w:val="nil"/>
                    <w:right w:val="single" w:sz="4" w:space="0" w:color="auto"/>
                  </w:tcBorders>
                  <w:shd w:val="clear" w:color="auto" w:fill="FFFF00"/>
                </w:tcPr>
                <w:p w14:paraId="0D6C945F"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color w:val="000000"/>
                      <w:sz w:val="22"/>
                      <w:szCs w:val="22"/>
                    </w:rPr>
                    <w:t>-</w:t>
                  </w:r>
                </w:p>
              </w:tc>
              <w:tc>
                <w:tcPr>
                  <w:tcW w:w="1129" w:type="dxa"/>
                  <w:tcBorders>
                    <w:top w:val="nil"/>
                    <w:left w:val="single" w:sz="4" w:space="0" w:color="auto"/>
                    <w:bottom w:val="nil"/>
                    <w:right w:val="single" w:sz="4" w:space="0" w:color="auto"/>
                  </w:tcBorders>
                  <w:shd w:val="clear" w:color="auto" w:fill="FFFF00"/>
                </w:tcPr>
                <w:p w14:paraId="1984B7BD"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b/>
                      <w:bCs/>
                      <w:color w:val="000000"/>
                      <w:sz w:val="22"/>
                      <w:szCs w:val="22"/>
                      <w:highlight w:val="yellow"/>
                    </w:rPr>
                    <w:t>343.0</w:t>
                  </w:r>
                </w:p>
              </w:tc>
              <w:tc>
                <w:tcPr>
                  <w:tcW w:w="1129" w:type="dxa"/>
                  <w:tcBorders>
                    <w:top w:val="nil"/>
                    <w:left w:val="single" w:sz="4" w:space="0" w:color="auto"/>
                    <w:bottom w:val="nil"/>
                    <w:right w:val="single" w:sz="4" w:space="0" w:color="auto"/>
                  </w:tcBorders>
                  <w:shd w:val="clear" w:color="auto" w:fill="auto"/>
                </w:tcPr>
                <w:p w14:paraId="13897C1E"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1,586.9</w:t>
                  </w:r>
                </w:p>
              </w:tc>
            </w:tr>
            <w:tr w:rsidR="002812BC" w:rsidRPr="00C22F7C" w14:paraId="54F52FDB" w14:textId="77777777" w:rsidTr="00B83D66">
              <w:trPr>
                <w:trHeight w:val="214"/>
              </w:trPr>
              <w:tc>
                <w:tcPr>
                  <w:tcW w:w="272" w:type="dxa"/>
                  <w:tcBorders>
                    <w:top w:val="nil"/>
                    <w:left w:val="nil"/>
                    <w:bottom w:val="nil"/>
                    <w:right w:val="nil"/>
                  </w:tcBorders>
                </w:tcPr>
                <w:p w14:paraId="5CD111AE"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5BA01BB2"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Depreciation</w:t>
                  </w:r>
                </w:p>
              </w:tc>
              <w:tc>
                <w:tcPr>
                  <w:tcW w:w="746" w:type="dxa"/>
                  <w:tcBorders>
                    <w:top w:val="nil"/>
                    <w:bottom w:val="nil"/>
                  </w:tcBorders>
                </w:tcPr>
                <w:p w14:paraId="2853738D"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nil"/>
                    <w:right w:val="single" w:sz="4" w:space="0" w:color="auto"/>
                  </w:tcBorders>
                </w:tcPr>
                <w:p w14:paraId="2484B3AD"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+22%</w:t>
                  </w:r>
                </w:p>
              </w:tc>
              <w:tc>
                <w:tcPr>
                  <w:tcW w:w="1044" w:type="dxa"/>
                  <w:tcBorders>
                    <w:top w:val="nil"/>
                    <w:right w:val="single" w:sz="4" w:space="0" w:color="auto"/>
                  </w:tcBorders>
                  <w:shd w:val="clear" w:color="auto" w:fill="FFFF00"/>
                </w:tcPr>
                <w:p w14:paraId="11EDCA51"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296.5</w:t>
                  </w:r>
                </w:p>
              </w:tc>
              <w:tc>
                <w:tcPr>
                  <w:tcW w:w="981" w:type="dxa"/>
                  <w:tcBorders>
                    <w:top w:val="nil"/>
                    <w:right w:val="single" w:sz="4" w:space="0" w:color="auto"/>
                  </w:tcBorders>
                  <w:shd w:val="clear" w:color="auto" w:fill="FFFF00"/>
                </w:tcPr>
                <w:p w14:paraId="6A77506D"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color w:val="000000"/>
                      <w:sz w:val="22"/>
                      <w:szCs w:val="22"/>
                    </w:rPr>
                    <w:t>-</w:t>
                  </w:r>
                </w:p>
              </w:tc>
              <w:tc>
                <w:tcPr>
                  <w:tcW w:w="1129" w:type="dxa"/>
                  <w:tcBorders>
                    <w:top w:val="nil"/>
                    <w:left w:val="single" w:sz="4" w:space="0" w:color="auto"/>
                    <w:right w:val="single" w:sz="4" w:space="0" w:color="auto"/>
                  </w:tcBorders>
                  <w:shd w:val="clear" w:color="auto" w:fill="FFFF00"/>
                </w:tcPr>
                <w:p w14:paraId="7E555EFA"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bCs/>
                      <w:color w:val="000000"/>
                      <w:sz w:val="22"/>
                      <w:szCs w:val="22"/>
                    </w:rPr>
                    <w:t>296.5</w:t>
                  </w:r>
                </w:p>
              </w:tc>
              <w:tc>
                <w:tcPr>
                  <w:tcW w:w="1129" w:type="dxa"/>
                  <w:tcBorders>
                    <w:top w:val="nil"/>
                    <w:left w:val="single" w:sz="4" w:space="0" w:color="auto"/>
                    <w:right w:val="single" w:sz="4" w:space="0" w:color="auto"/>
                  </w:tcBorders>
                  <w:shd w:val="clear" w:color="auto" w:fill="auto"/>
                </w:tcPr>
                <w:p w14:paraId="2C29A6EA"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381.1</w:t>
                  </w:r>
                </w:p>
              </w:tc>
            </w:tr>
            <w:tr w:rsidR="002812BC" w:rsidRPr="00C22F7C" w14:paraId="59A715A8" w14:textId="77777777" w:rsidTr="00B83D66">
              <w:trPr>
                <w:trHeight w:val="214"/>
              </w:trPr>
              <w:tc>
                <w:tcPr>
                  <w:tcW w:w="272" w:type="dxa"/>
                  <w:tcBorders>
                    <w:top w:val="nil"/>
                    <w:left w:val="nil"/>
                    <w:bottom w:val="nil"/>
                    <w:right w:val="nil"/>
                  </w:tcBorders>
                </w:tcPr>
                <w:p w14:paraId="5D39BE06"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0B3BC160"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Staff costs</w:t>
                  </w:r>
                </w:p>
              </w:tc>
              <w:tc>
                <w:tcPr>
                  <w:tcW w:w="746" w:type="dxa"/>
                  <w:tcBorders>
                    <w:top w:val="nil"/>
                    <w:bottom w:val="nil"/>
                  </w:tcBorders>
                </w:tcPr>
                <w:p w14:paraId="0E764783"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nil"/>
                    <w:bottom w:val="nil"/>
                    <w:right w:val="single" w:sz="4" w:space="0" w:color="auto"/>
                  </w:tcBorders>
                </w:tcPr>
                <w:p w14:paraId="6AA21294"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+60%</w:t>
                  </w:r>
                </w:p>
              </w:tc>
              <w:tc>
                <w:tcPr>
                  <w:tcW w:w="1044" w:type="dxa"/>
                  <w:tcBorders>
                    <w:top w:val="nil"/>
                    <w:bottom w:val="nil"/>
                    <w:right w:val="single" w:sz="4" w:space="0" w:color="auto"/>
                  </w:tcBorders>
                  <w:shd w:val="clear" w:color="auto" w:fill="FFFF00"/>
                </w:tcPr>
                <w:p w14:paraId="66AF9520"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highlight w:val="yellow"/>
                    </w:rPr>
                  </w:pPr>
                  <w:r w:rsidRPr="00C22F7C">
                    <w:rPr>
                      <w:rFonts w:ascii="Calibri" w:hAnsi="Calibri" w:cs="Calibri"/>
                      <w:b/>
                      <w:bCs/>
                      <w:color w:val="000000"/>
                      <w:sz w:val="22"/>
                      <w:szCs w:val="22"/>
                      <w:highlight w:val="yellow"/>
                    </w:rPr>
                    <w:t>234.7</w:t>
                  </w:r>
                </w:p>
              </w:tc>
              <w:tc>
                <w:tcPr>
                  <w:tcW w:w="981" w:type="dxa"/>
                  <w:tcBorders>
                    <w:top w:val="nil"/>
                    <w:bottom w:val="nil"/>
                    <w:right w:val="single" w:sz="4" w:space="0" w:color="auto"/>
                  </w:tcBorders>
                  <w:shd w:val="clear" w:color="auto" w:fill="FFFF00"/>
                </w:tcPr>
                <w:p w14:paraId="78F8D2E6"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color w:val="000000"/>
                      <w:sz w:val="22"/>
                      <w:szCs w:val="22"/>
                    </w:rPr>
                    <w:t>-</w:t>
                  </w:r>
                </w:p>
              </w:tc>
              <w:tc>
                <w:tcPr>
                  <w:tcW w:w="1129" w:type="dxa"/>
                  <w:tcBorders>
                    <w:top w:val="nil"/>
                    <w:left w:val="single" w:sz="4" w:space="0" w:color="auto"/>
                    <w:bottom w:val="nil"/>
                    <w:right w:val="single" w:sz="4" w:space="0" w:color="auto"/>
                  </w:tcBorders>
                  <w:shd w:val="clear" w:color="auto" w:fill="FFFF00"/>
                </w:tcPr>
                <w:p w14:paraId="7CBFBF6E"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b/>
                      <w:bCs/>
                      <w:color w:val="000000"/>
                      <w:sz w:val="22"/>
                      <w:szCs w:val="22"/>
                      <w:highlight w:val="yellow"/>
                    </w:rPr>
                    <w:t>234.7</w:t>
                  </w:r>
                </w:p>
              </w:tc>
              <w:tc>
                <w:tcPr>
                  <w:tcW w:w="1129" w:type="dxa"/>
                  <w:tcBorders>
                    <w:top w:val="nil"/>
                    <w:left w:val="single" w:sz="4" w:space="0" w:color="auto"/>
                    <w:bottom w:val="nil"/>
                    <w:right w:val="single" w:sz="4" w:space="0" w:color="auto"/>
                  </w:tcBorders>
                  <w:shd w:val="clear" w:color="auto" w:fill="auto"/>
                </w:tcPr>
                <w:p w14:paraId="631FE528"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583.3</w:t>
                  </w:r>
                </w:p>
              </w:tc>
            </w:tr>
            <w:tr w:rsidR="002812BC" w:rsidRPr="00C22F7C" w14:paraId="2B770E30" w14:textId="77777777" w:rsidTr="00B83D66">
              <w:trPr>
                <w:trHeight w:val="214"/>
              </w:trPr>
              <w:tc>
                <w:tcPr>
                  <w:tcW w:w="272" w:type="dxa"/>
                  <w:tcBorders>
                    <w:top w:val="nil"/>
                    <w:left w:val="nil"/>
                    <w:bottom w:val="nil"/>
                    <w:right w:val="nil"/>
                  </w:tcBorders>
                </w:tcPr>
                <w:p w14:paraId="79F6BDF9"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09E2E189"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Airport and handling charges</w:t>
                  </w:r>
                </w:p>
              </w:tc>
              <w:tc>
                <w:tcPr>
                  <w:tcW w:w="746" w:type="dxa"/>
                  <w:tcBorders>
                    <w:top w:val="nil"/>
                  </w:tcBorders>
                </w:tcPr>
                <w:p w14:paraId="5FF303C8"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nil"/>
                    <w:right w:val="single" w:sz="4" w:space="0" w:color="auto"/>
                  </w:tcBorders>
                </w:tcPr>
                <w:p w14:paraId="08E506A5"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+74%</w:t>
                  </w:r>
                </w:p>
              </w:tc>
              <w:tc>
                <w:tcPr>
                  <w:tcW w:w="1044" w:type="dxa"/>
                  <w:tcBorders>
                    <w:top w:val="nil"/>
                    <w:right w:val="single" w:sz="4" w:space="0" w:color="auto"/>
                  </w:tcBorders>
                  <w:shd w:val="clear" w:color="auto" w:fill="FFFF00"/>
                </w:tcPr>
                <w:p w14:paraId="553CAC80"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highlight w:val="yellow"/>
                    </w:rPr>
                  </w:pPr>
                  <w:r w:rsidRPr="00C22F7C">
                    <w:rPr>
                      <w:rFonts w:ascii="Calibri" w:hAnsi="Calibri" w:cs="Calibri"/>
                      <w:b/>
                      <w:bCs/>
                      <w:color w:val="000000"/>
                      <w:sz w:val="22"/>
                      <w:szCs w:val="22"/>
                      <w:highlight w:val="yellow"/>
                    </w:rPr>
                    <w:t>169.7</w:t>
                  </w:r>
                </w:p>
              </w:tc>
              <w:tc>
                <w:tcPr>
                  <w:tcW w:w="981" w:type="dxa"/>
                  <w:tcBorders>
                    <w:top w:val="nil"/>
                    <w:right w:val="single" w:sz="4" w:space="0" w:color="auto"/>
                  </w:tcBorders>
                  <w:shd w:val="clear" w:color="auto" w:fill="FFFF00"/>
                </w:tcPr>
                <w:p w14:paraId="13B28C0F"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color w:val="000000"/>
                      <w:sz w:val="22"/>
                      <w:szCs w:val="22"/>
                    </w:rPr>
                    <w:t>-</w:t>
                  </w:r>
                </w:p>
              </w:tc>
              <w:tc>
                <w:tcPr>
                  <w:tcW w:w="1129" w:type="dxa"/>
                  <w:tcBorders>
                    <w:top w:val="nil"/>
                    <w:left w:val="single" w:sz="4" w:space="0" w:color="auto"/>
                    <w:right w:val="single" w:sz="4" w:space="0" w:color="auto"/>
                  </w:tcBorders>
                  <w:shd w:val="clear" w:color="auto" w:fill="FFFF00"/>
                </w:tcPr>
                <w:p w14:paraId="43B3E1F5"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b/>
                      <w:bCs/>
                      <w:color w:val="000000"/>
                      <w:sz w:val="22"/>
                      <w:szCs w:val="22"/>
                      <w:highlight w:val="yellow"/>
                    </w:rPr>
                    <w:t>169.7</w:t>
                  </w:r>
                </w:p>
              </w:tc>
              <w:tc>
                <w:tcPr>
                  <w:tcW w:w="1129" w:type="dxa"/>
                  <w:tcBorders>
                    <w:top w:val="nil"/>
                    <w:left w:val="single" w:sz="4" w:space="0" w:color="auto"/>
                    <w:right w:val="single" w:sz="4" w:space="0" w:color="auto"/>
                  </w:tcBorders>
                  <w:shd w:val="clear" w:color="auto" w:fill="auto"/>
                </w:tcPr>
                <w:p w14:paraId="66F04AEB"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660.2</w:t>
                  </w:r>
                </w:p>
              </w:tc>
            </w:tr>
            <w:tr w:rsidR="002812BC" w:rsidRPr="00C22F7C" w14:paraId="5684B144" w14:textId="77777777" w:rsidTr="00B83D66">
              <w:trPr>
                <w:trHeight w:val="214"/>
              </w:trPr>
              <w:tc>
                <w:tcPr>
                  <w:tcW w:w="272" w:type="dxa"/>
                  <w:tcBorders>
                    <w:top w:val="nil"/>
                    <w:left w:val="nil"/>
                    <w:bottom w:val="nil"/>
                    <w:right w:val="nil"/>
                  </w:tcBorders>
                </w:tcPr>
                <w:p w14:paraId="116801BC"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5E1748E9"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Route charges</w:t>
                  </w:r>
                </w:p>
              </w:tc>
              <w:tc>
                <w:tcPr>
                  <w:tcW w:w="746" w:type="dxa"/>
                  <w:tcBorders>
                    <w:top w:val="nil"/>
                    <w:bottom w:val="nil"/>
                  </w:tcBorders>
                </w:tcPr>
                <w:p w14:paraId="3E54F4A7"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nil"/>
                    <w:bottom w:val="nil"/>
                    <w:right w:val="single" w:sz="4" w:space="0" w:color="auto"/>
                  </w:tcBorders>
                </w:tcPr>
                <w:p w14:paraId="5C3A749F"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+73%</w:t>
                  </w:r>
                </w:p>
              </w:tc>
              <w:tc>
                <w:tcPr>
                  <w:tcW w:w="1044" w:type="dxa"/>
                  <w:tcBorders>
                    <w:top w:val="nil"/>
                    <w:bottom w:val="nil"/>
                    <w:right w:val="single" w:sz="4" w:space="0" w:color="auto"/>
                  </w:tcBorders>
                  <w:shd w:val="clear" w:color="auto" w:fill="FFFF00"/>
                </w:tcPr>
                <w:p w14:paraId="4998DC51"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115.3</w:t>
                  </w:r>
                </w:p>
              </w:tc>
              <w:tc>
                <w:tcPr>
                  <w:tcW w:w="981" w:type="dxa"/>
                  <w:tcBorders>
                    <w:top w:val="nil"/>
                    <w:bottom w:val="nil"/>
                    <w:right w:val="single" w:sz="4" w:space="0" w:color="auto"/>
                  </w:tcBorders>
                  <w:shd w:val="clear" w:color="auto" w:fill="FFFF00"/>
                </w:tcPr>
                <w:p w14:paraId="0848E021"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color w:val="000000"/>
                      <w:sz w:val="22"/>
                      <w:szCs w:val="22"/>
                    </w:rPr>
                    <w:t>-</w:t>
                  </w:r>
                </w:p>
              </w:tc>
              <w:tc>
                <w:tcPr>
                  <w:tcW w:w="1129" w:type="dxa"/>
                  <w:tcBorders>
                    <w:top w:val="nil"/>
                    <w:left w:val="single" w:sz="4" w:space="0" w:color="auto"/>
                    <w:bottom w:val="nil"/>
                    <w:right w:val="single" w:sz="4" w:space="0" w:color="auto"/>
                  </w:tcBorders>
                  <w:shd w:val="clear" w:color="auto" w:fill="FFFF00"/>
                </w:tcPr>
                <w:p w14:paraId="6ECAF726"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b/>
                      <w:bCs/>
                      <w:color w:val="000000"/>
                      <w:sz w:val="22"/>
                      <w:szCs w:val="22"/>
                    </w:rPr>
                    <w:t>115.3</w:t>
                  </w:r>
                </w:p>
              </w:tc>
              <w:tc>
                <w:tcPr>
                  <w:tcW w:w="1129" w:type="dxa"/>
                  <w:tcBorders>
                    <w:top w:val="nil"/>
                    <w:left w:val="single" w:sz="4" w:space="0" w:color="auto"/>
                    <w:bottom w:val="nil"/>
                    <w:right w:val="single" w:sz="4" w:space="0" w:color="auto"/>
                  </w:tcBorders>
                  <w:shd w:val="clear" w:color="auto" w:fill="auto"/>
                </w:tcPr>
                <w:p w14:paraId="7B78709A"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426.0</w:t>
                  </w:r>
                </w:p>
              </w:tc>
            </w:tr>
            <w:tr w:rsidR="002812BC" w:rsidRPr="00C22F7C" w14:paraId="0D8A493A" w14:textId="77777777" w:rsidTr="00B83D66">
              <w:trPr>
                <w:trHeight w:val="214"/>
              </w:trPr>
              <w:tc>
                <w:tcPr>
                  <w:tcW w:w="272" w:type="dxa"/>
                  <w:tcBorders>
                    <w:top w:val="nil"/>
                    <w:left w:val="nil"/>
                    <w:bottom w:val="nil"/>
                    <w:right w:val="nil"/>
                  </w:tcBorders>
                </w:tcPr>
                <w:p w14:paraId="3B915824"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51EF4022"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Marketing, distribution and other</w:t>
                  </w:r>
                </w:p>
              </w:tc>
              <w:tc>
                <w:tcPr>
                  <w:tcW w:w="746" w:type="dxa"/>
                  <w:tcBorders>
                    <w:top w:val="nil"/>
                  </w:tcBorders>
                </w:tcPr>
                <w:p w14:paraId="627C3722"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nil"/>
                    <w:right w:val="single" w:sz="4" w:space="0" w:color="auto"/>
                  </w:tcBorders>
                </w:tcPr>
                <w:p w14:paraId="525C0AF0"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+64%</w:t>
                  </w:r>
                </w:p>
              </w:tc>
              <w:tc>
                <w:tcPr>
                  <w:tcW w:w="1044" w:type="dxa"/>
                  <w:tcBorders>
                    <w:top w:val="nil"/>
                    <w:right w:val="single" w:sz="4" w:space="0" w:color="auto"/>
                  </w:tcBorders>
                  <w:shd w:val="clear" w:color="auto" w:fill="FFFF00"/>
                </w:tcPr>
                <w:p w14:paraId="301C6F22"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106.4</w:t>
                  </w:r>
                </w:p>
              </w:tc>
              <w:tc>
                <w:tcPr>
                  <w:tcW w:w="981" w:type="dxa"/>
                  <w:tcBorders>
                    <w:top w:val="nil"/>
                    <w:right w:val="single" w:sz="4" w:space="0" w:color="auto"/>
                  </w:tcBorders>
                  <w:shd w:val="clear" w:color="auto" w:fill="FFFF00"/>
                </w:tcPr>
                <w:p w14:paraId="4DE02BF0"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color w:val="000000"/>
                      <w:sz w:val="22"/>
                      <w:szCs w:val="22"/>
                    </w:rPr>
                    <w:t>-</w:t>
                  </w:r>
                </w:p>
              </w:tc>
              <w:tc>
                <w:tcPr>
                  <w:tcW w:w="1129" w:type="dxa"/>
                  <w:tcBorders>
                    <w:top w:val="nil"/>
                    <w:left w:val="single" w:sz="4" w:space="0" w:color="auto"/>
                    <w:right w:val="single" w:sz="4" w:space="0" w:color="auto"/>
                  </w:tcBorders>
                  <w:shd w:val="clear" w:color="auto" w:fill="FFFF00"/>
                </w:tcPr>
                <w:p w14:paraId="2C02860F"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b/>
                      <w:bCs/>
                      <w:color w:val="000000"/>
                      <w:sz w:val="22"/>
                      <w:szCs w:val="22"/>
                    </w:rPr>
                    <w:t>106.4</w:t>
                  </w:r>
                </w:p>
              </w:tc>
              <w:tc>
                <w:tcPr>
                  <w:tcW w:w="1129" w:type="dxa"/>
                  <w:tcBorders>
                    <w:top w:val="nil"/>
                    <w:left w:val="single" w:sz="4" w:space="0" w:color="auto"/>
                    <w:right w:val="single" w:sz="4" w:space="0" w:color="auto"/>
                  </w:tcBorders>
                  <w:shd w:val="clear" w:color="auto" w:fill="auto"/>
                </w:tcPr>
                <w:p w14:paraId="77DDA831"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299.1</w:t>
                  </w:r>
                </w:p>
              </w:tc>
            </w:tr>
            <w:tr w:rsidR="002812BC" w:rsidRPr="00C22F7C" w14:paraId="50D4E270" w14:textId="77777777" w:rsidTr="00B83D66">
              <w:trPr>
                <w:trHeight w:val="214"/>
              </w:trPr>
              <w:tc>
                <w:tcPr>
                  <w:tcW w:w="272" w:type="dxa"/>
                  <w:tcBorders>
                    <w:top w:val="nil"/>
                    <w:left w:val="nil"/>
                    <w:bottom w:val="nil"/>
                    <w:right w:val="nil"/>
                  </w:tcBorders>
                </w:tcPr>
                <w:p w14:paraId="0D27FF6E"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527ECBC4"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Maintenance, materials and repairs</w:t>
                  </w:r>
                </w:p>
              </w:tc>
              <w:tc>
                <w:tcPr>
                  <w:tcW w:w="746" w:type="dxa"/>
                  <w:tcBorders>
                    <w:top w:val="nil"/>
                    <w:bottom w:val="nil"/>
                  </w:tcBorders>
                </w:tcPr>
                <w:p w14:paraId="655C0FDE"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bottom w:val="nil"/>
                    <w:right w:val="single" w:sz="4" w:space="0" w:color="auto"/>
                  </w:tcBorders>
                </w:tcPr>
                <w:p w14:paraId="17D9A68C"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+40%</w:t>
                  </w:r>
                </w:p>
              </w:tc>
              <w:tc>
                <w:tcPr>
                  <w:tcW w:w="1044" w:type="dxa"/>
                  <w:tcBorders>
                    <w:bottom w:val="nil"/>
                    <w:right w:val="single" w:sz="4" w:space="0" w:color="auto"/>
                  </w:tcBorders>
                  <w:shd w:val="clear" w:color="auto" w:fill="FFFF00"/>
                </w:tcPr>
                <w:p w14:paraId="13D6F5BF"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82.6</w:t>
                  </w:r>
                </w:p>
              </w:tc>
              <w:tc>
                <w:tcPr>
                  <w:tcW w:w="981" w:type="dxa"/>
                  <w:tcBorders>
                    <w:bottom w:val="nil"/>
                    <w:right w:val="single" w:sz="4" w:space="0" w:color="auto"/>
                  </w:tcBorders>
                  <w:shd w:val="clear" w:color="auto" w:fill="FFFF00"/>
                </w:tcPr>
                <w:p w14:paraId="389E4C4C"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color w:val="000000"/>
                      <w:sz w:val="22"/>
                      <w:szCs w:val="22"/>
                    </w:rPr>
                    <w:t>-</w:t>
                  </w:r>
                </w:p>
              </w:tc>
              <w:tc>
                <w:tcPr>
                  <w:tcW w:w="1129" w:type="dxa"/>
                  <w:tcBorders>
                    <w:left w:val="single" w:sz="4" w:space="0" w:color="auto"/>
                    <w:bottom w:val="nil"/>
                    <w:right w:val="single" w:sz="4" w:space="0" w:color="auto"/>
                  </w:tcBorders>
                  <w:shd w:val="clear" w:color="auto" w:fill="FFFF00"/>
                </w:tcPr>
                <w:p w14:paraId="2BE1C405"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b/>
                      <w:bCs/>
                      <w:color w:val="000000"/>
                      <w:sz w:val="22"/>
                      <w:szCs w:val="22"/>
                    </w:rPr>
                    <w:t>82.6</w:t>
                  </w:r>
                </w:p>
              </w:tc>
              <w:tc>
                <w:tcPr>
                  <w:tcW w:w="1129" w:type="dxa"/>
                  <w:tcBorders>
                    <w:left w:val="single" w:sz="4" w:space="0" w:color="auto"/>
                    <w:bottom w:val="nil"/>
                    <w:right w:val="single" w:sz="4" w:space="0" w:color="auto"/>
                  </w:tcBorders>
                  <w:shd w:val="clear" w:color="auto" w:fill="auto"/>
                </w:tcPr>
                <w:p w14:paraId="0F29C771"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137.2</w:t>
                  </w:r>
                </w:p>
              </w:tc>
            </w:tr>
            <w:tr w:rsidR="002812BC" w:rsidRPr="00C22F7C" w14:paraId="2446EC63" w14:textId="77777777" w:rsidTr="00B83D66">
              <w:trPr>
                <w:trHeight w:val="214"/>
              </w:trPr>
              <w:tc>
                <w:tcPr>
                  <w:tcW w:w="272" w:type="dxa"/>
                  <w:tcBorders>
                    <w:top w:val="nil"/>
                    <w:left w:val="nil"/>
                    <w:bottom w:val="nil"/>
                    <w:right w:val="nil"/>
                  </w:tcBorders>
                </w:tcPr>
                <w:p w14:paraId="11FFB8DC"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1A637F0E"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Aircraft rentals</w:t>
                  </w:r>
                </w:p>
              </w:tc>
              <w:tc>
                <w:tcPr>
                  <w:tcW w:w="746" w:type="dxa"/>
                  <w:tcBorders>
                    <w:top w:val="nil"/>
                    <w:bottom w:val="nil"/>
                  </w:tcBorders>
                </w:tcPr>
                <w:p w14:paraId="760DF939"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nil"/>
                    <w:bottom w:val="nil"/>
                    <w:right w:val="single" w:sz="4" w:space="0" w:color="auto"/>
                  </w:tcBorders>
                </w:tcPr>
                <w:p w14:paraId="111F084E"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+83%</w:t>
                  </w:r>
                </w:p>
              </w:tc>
              <w:tc>
                <w:tcPr>
                  <w:tcW w:w="1044" w:type="dxa"/>
                  <w:tcBorders>
                    <w:top w:val="nil"/>
                    <w:bottom w:val="nil"/>
                    <w:right w:val="single" w:sz="4" w:space="0" w:color="auto"/>
                  </w:tcBorders>
                  <w:shd w:val="clear" w:color="auto" w:fill="FFFF00"/>
                </w:tcPr>
                <w:p w14:paraId="6E8E50E7"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4.8</w:t>
                  </w:r>
                </w:p>
              </w:tc>
              <w:tc>
                <w:tcPr>
                  <w:tcW w:w="981" w:type="dxa"/>
                  <w:tcBorders>
                    <w:top w:val="nil"/>
                    <w:bottom w:val="nil"/>
                    <w:right w:val="single" w:sz="4" w:space="0" w:color="auto"/>
                  </w:tcBorders>
                  <w:shd w:val="clear" w:color="auto" w:fill="FFFF00"/>
                </w:tcPr>
                <w:p w14:paraId="64C2B370"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color w:val="000000"/>
                      <w:sz w:val="22"/>
                      <w:szCs w:val="22"/>
                    </w:rPr>
                    <w:t>-</w:t>
                  </w:r>
                </w:p>
              </w:tc>
              <w:tc>
                <w:tcPr>
                  <w:tcW w:w="1129" w:type="dxa"/>
                  <w:tcBorders>
                    <w:top w:val="nil"/>
                    <w:left w:val="single" w:sz="4" w:space="0" w:color="auto"/>
                    <w:bottom w:val="nil"/>
                    <w:right w:val="single" w:sz="4" w:space="0" w:color="auto"/>
                  </w:tcBorders>
                  <w:shd w:val="clear" w:color="auto" w:fill="FFFF00"/>
                </w:tcPr>
                <w:p w14:paraId="1C6AC3E7"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bCs/>
                      <w:color w:val="000000"/>
                      <w:sz w:val="22"/>
                      <w:szCs w:val="22"/>
                    </w:rPr>
                    <w:t>4.8</w:t>
                  </w:r>
                </w:p>
              </w:tc>
              <w:tc>
                <w:tcPr>
                  <w:tcW w:w="1129" w:type="dxa"/>
                  <w:tcBorders>
                    <w:top w:val="nil"/>
                    <w:left w:val="single" w:sz="4" w:space="0" w:color="auto"/>
                    <w:bottom w:val="nil"/>
                    <w:right w:val="single" w:sz="4" w:space="0" w:color="auto"/>
                  </w:tcBorders>
                  <w:shd w:val="clear" w:color="auto" w:fill="auto"/>
                </w:tcPr>
                <w:p w14:paraId="46EA4431"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27.5</w:t>
                  </w:r>
                </w:p>
              </w:tc>
            </w:tr>
            <w:tr w:rsidR="002812BC" w:rsidRPr="00C22F7C" w14:paraId="3CDEDD0A" w14:textId="77777777" w:rsidTr="00B83D66">
              <w:trPr>
                <w:trHeight w:val="214"/>
              </w:trPr>
              <w:tc>
                <w:tcPr>
                  <w:tcW w:w="5119" w:type="dxa"/>
                  <w:gridSpan w:val="2"/>
                  <w:tcBorders>
                    <w:top w:val="nil"/>
                    <w:left w:val="nil"/>
                    <w:bottom w:val="nil"/>
                  </w:tcBorders>
                </w:tcPr>
                <w:p w14:paraId="4FE74A9C" w14:textId="77777777" w:rsidR="002812BC" w:rsidRPr="00C22F7C" w:rsidRDefault="002812BC" w:rsidP="00B83D66">
                  <w:pPr>
                    <w:autoSpaceDE w:val="0"/>
                    <w:autoSpaceDN w:val="0"/>
                    <w:adjustRightInd w:val="0"/>
                    <w:rPr>
                      <w:rFonts w:ascii="Calibri" w:hAnsi="Calibri" w:cs="Calibri"/>
                      <w:b/>
                      <w:color w:val="000000"/>
                      <w:sz w:val="22"/>
                      <w:szCs w:val="22"/>
                    </w:rPr>
                  </w:pPr>
                  <w:r w:rsidRPr="00C22F7C">
                    <w:rPr>
                      <w:rFonts w:ascii="Calibri" w:hAnsi="Calibri" w:cs="Calibri"/>
                      <w:b/>
                      <w:bCs/>
                      <w:color w:val="000000"/>
                      <w:sz w:val="22"/>
                      <w:szCs w:val="22"/>
                    </w:rPr>
                    <w:t>Total operating expenses</w:t>
                  </w:r>
                </w:p>
              </w:tc>
              <w:tc>
                <w:tcPr>
                  <w:tcW w:w="746" w:type="dxa"/>
                  <w:tcBorders>
                    <w:top w:val="nil"/>
                  </w:tcBorders>
                </w:tcPr>
                <w:p w14:paraId="772628CC"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single" w:sz="4" w:space="0" w:color="auto"/>
                    <w:right w:val="single" w:sz="4" w:space="0" w:color="auto"/>
                  </w:tcBorders>
                </w:tcPr>
                <w:p w14:paraId="0DF80A0E" w14:textId="77777777" w:rsidR="002812BC" w:rsidRPr="00C22F7C" w:rsidRDefault="002812BC" w:rsidP="00B83D66">
                  <w:pPr>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+67%</w:t>
                  </w:r>
                </w:p>
              </w:tc>
              <w:tc>
                <w:tcPr>
                  <w:tcW w:w="1044" w:type="dxa"/>
                  <w:tcBorders>
                    <w:top w:val="single" w:sz="4" w:space="0" w:color="auto"/>
                    <w:bottom w:val="single" w:sz="4" w:space="0" w:color="auto"/>
                    <w:right w:val="single" w:sz="4" w:space="0" w:color="auto"/>
                  </w:tcBorders>
                  <w:shd w:val="clear" w:color="auto" w:fill="FFFF00"/>
                </w:tcPr>
                <w:p w14:paraId="7FA67CF2"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1,353.0</w:t>
                  </w:r>
                </w:p>
              </w:tc>
              <w:tc>
                <w:tcPr>
                  <w:tcW w:w="981" w:type="dxa"/>
                  <w:tcBorders>
                    <w:top w:val="single" w:sz="4" w:space="0" w:color="auto"/>
                    <w:bottom w:val="single" w:sz="4" w:space="0" w:color="auto"/>
                    <w:right w:val="single" w:sz="4" w:space="0" w:color="auto"/>
                  </w:tcBorders>
                  <w:shd w:val="clear" w:color="auto" w:fill="FFFF00"/>
                </w:tcPr>
                <w:p w14:paraId="31144328" w14:textId="77777777" w:rsidR="002812BC" w:rsidRPr="00C22F7C" w:rsidRDefault="002812BC" w:rsidP="00B83D66">
                  <w:pPr>
                    <w:widowControl w:val="0"/>
                    <w:autoSpaceDE w:val="0"/>
                    <w:autoSpaceDN w:val="0"/>
                    <w:adjustRightInd w:val="0"/>
                    <w:ind w:left="-226"/>
                    <w:jc w:val="right"/>
                    <w:rPr>
                      <w:rFonts w:ascii="Calibri" w:hAnsi="Calibri" w:cs="Calibri"/>
                      <w:b/>
                      <w:color w:val="000000"/>
                      <w:sz w:val="22"/>
                      <w:szCs w:val="22"/>
                    </w:rPr>
                  </w:pPr>
                  <w:r w:rsidRPr="00C22F7C">
                    <w:rPr>
                      <w:rFonts w:ascii="Calibri" w:hAnsi="Calibri" w:cs="Calibri"/>
                      <w:b/>
                      <w:color w:val="000000"/>
                      <w:sz w:val="22"/>
                      <w:szCs w:val="22"/>
                    </w:rPr>
                    <w:t>-</w:t>
                  </w:r>
                </w:p>
              </w:tc>
              <w:tc>
                <w:tcPr>
                  <w:tcW w:w="1129" w:type="dxa"/>
                  <w:tcBorders>
                    <w:top w:val="single" w:sz="4" w:space="0" w:color="auto"/>
                    <w:left w:val="single" w:sz="4" w:space="0" w:color="auto"/>
                    <w:bottom w:val="single" w:sz="4" w:space="0" w:color="auto"/>
                    <w:right w:val="single" w:sz="4" w:space="0" w:color="auto"/>
                  </w:tcBorders>
                  <w:shd w:val="clear" w:color="auto" w:fill="FFFF00"/>
                </w:tcPr>
                <w:p w14:paraId="71611717"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color w:val="000000"/>
                      <w:sz w:val="22"/>
                      <w:szCs w:val="22"/>
                    </w:rPr>
                    <w:t>1,353.0</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34BFCB16"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4,101.3</w:t>
                  </w:r>
                </w:p>
              </w:tc>
            </w:tr>
            <w:tr w:rsidR="002812BC" w:rsidRPr="00C22F7C" w14:paraId="0F6E773E" w14:textId="77777777" w:rsidTr="00B83D66">
              <w:trPr>
                <w:trHeight w:hRule="exact" w:val="107"/>
              </w:trPr>
              <w:tc>
                <w:tcPr>
                  <w:tcW w:w="272" w:type="dxa"/>
                  <w:tcBorders>
                    <w:top w:val="nil"/>
                    <w:left w:val="nil"/>
                    <w:bottom w:val="nil"/>
                    <w:right w:val="nil"/>
                  </w:tcBorders>
                </w:tcPr>
                <w:p w14:paraId="4CD29E80"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4717747C"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746" w:type="dxa"/>
                  <w:tcBorders>
                    <w:top w:val="nil"/>
                  </w:tcBorders>
                </w:tcPr>
                <w:p w14:paraId="69DC86AC"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single" w:sz="4" w:space="0" w:color="auto"/>
                    <w:right w:val="single" w:sz="4" w:space="0" w:color="auto"/>
                  </w:tcBorders>
                </w:tcPr>
                <w:p w14:paraId="4C275537"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044" w:type="dxa"/>
                  <w:tcBorders>
                    <w:top w:val="single" w:sz="4" w:space="0" w:color="auto"/>
                    <w:right w:val="single" w:sz="4" w:space="0" w:color="auto"/>
                  </w:tcBorders>
                  <w:shd w:val="clear" w:color="auto" w:fill="FFFF00"/>
                </w:tcPr>
                <w:p w14:paraId="1BFD0BEE"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981" w:type="dxa"/>
                  <w:tcBorders>
                    <w:top w:val="single" w:sz="4" w:space="0" w:color="auto"/>
                    <w:right w:val="single" w:sz="4" w:space="0" w:color="auto"/>
                  </w:tcBorders>
                  <w:shd w:val="clear" w:color="auto" w:fill="FFFF00"/>
                </w:tcPr>
                <w:p w14:paraId="55BF60FB"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1129" w:type="dxa"/>
                  <w:tcBorders>
                    <w:top w:val="single" w:sz="4" w:space="0" w:color="auto"/>
                    <w:left w:val="single" w:sz="4" w:space="0" w:color="auto"/>
                    <w:right w:val="single" w:sz="4" w:space="0" w:color="auto"/>
                  </w:tcBorders>
                  <w:shd w:val="clear" w:color="auto" w:fill="FFFF00"/>
                </w:tcPr>
                <w:p w14:paraId="29F86DE1"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1129" w:type="dxa"/>
                  <w:tcBorders>
                    <w:top w:val="single" w:sz="4" w:space="0" w:color="auto"/>
                    <w:left w:val="single" w:sz="4" w:space="0" w:color="auto"/>
                    <w:right w:val="single" w:sz="4" w:space="0" w:color="auto"/>
                  </w:tcBorders>
                  <w:shd w:val="clear" w:color="auto" w:fill="auto"/>
                </w:tcPr>
                <w:p w14:paraId="3A9C0B68" w14:textId="77777777" w:rsidR="002812BC" w:rsidRPr="00C22F7C" w:rsidRDefault="002812BC" w:rsidP="00B83D66">
                  <w:pPr>
                    <w:autoSpaceDE w:val="0"/>
                    <w:autoSpaceDN w:val="0"/>
                    <w:adjustRightInd w:val="0"/>
                    <w:rPr>
                      <w:rFonts w:ascii="Calibri" w:hAnsi="Calibri" w:cs="Calibri"/>
                      <w:color w:val="000000"/>
                      <w:sz w:val="22"/>
                      <w:szCs w:val="22"/>
                    </w:rPr>
                  </w:pPr>
                </w:p>
              </w:tc>
            </w:tr>
            <w:tr w:rsidR="002812BC" w:rsidRPr="00C22F7C" w14:paraId="038A9AFD" w14:textId="77777777" w:rsidTr="00B83D66">
              <w:trPr>
                <w:trHeight w:val="214"/>
              </w:trPr>
              <w:tc>
                <w:tcPr>
                  <w:tcW w:w="5119" w:type="dxa"/>
                  <w:gridSpan w:val="2"/>
                  <w:tcBorders>
                    <w:top w:val="nil"/>
                    <w:left w:val="nil"/>
                    <w:bottom w:val="nil"/>
                  </w:tcBorders>
                </w:tcPr>
                <w:p w14:paraId="1BE12C90" w14:textId="77777777" w:rsidR="002812BC" w:rsidRPr="00C22F7C" w:rsidRDefault="002812BC" w:rsidP="00B83D66">
                  <w:pPr>
                    <w:autoSpaceDE w:val="0"/>
                    <w:autoSpaceDN w:val="0"/>
                    <w:adjustRightInd w:val="0"/>
                    <w:rPr>
                      <w:rFonts w:ascii="Calibri" w:hAnsi="Calibri" w:cs="Calibri"/>
                      <w:b/>
                      <w:color w:val="000000"/>
                      <w:sz w:val="22"/>
                      <w:szCs w:val="22"/>
                    </w:rPr>
                  </w:pPr>
                  <w:r w:rsidRPr="00C22F7C">
                    <w:rPr>
                      <w:rFonts w:ascii="Calibri" w:hAnsi="Calibri" w:cs="Calibri"/>
                      <w:b/>
                      <w:bCs/>
                      <w:color w:val="000000"/>
                      <w:sz w:val="22"/>
                      <w:szCs w:val="22"/>
                    </w:rPr>
                    <w:t>Operating (loss)/profit</w:t>
                  </w:r>
                </w:p>
              </w:tc>
              <w:tc>
                <w:tcPr>
                  <w:tcW w:w="746" w:type="dxa"/>
                  <w:tcBorders>
                    <w:top w:val="nil"/>
                  </w:tcBorders>
                </w:tcPr>
                <w:p w14:paraId="28775C24"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nil"/>
                    <w:right w:val="single" w:sz="4" w:space="0" w:color="auto"/>
                  </w:tcBorders>
                </w:tcPr>
                <w:p w14:paraId="0616A407"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044" w:type="dxa"/>
                  <w:tcBorders>
                    <w:top w:val="nil"/>
                    <w:right w:val="single" w:sz="4" w:space="0" w:color="auto"/>
                  </w:tcBorders>
                  <w:shd w:val="clear" w:color="auto" w:fill="FFFF00"/>
                </w:tcPr>
                <w:p w14:paraId="2D9F56F1"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(176.8)</w:t>
                  </w:r>
                </w:p>
              </w:tc>
              <w:tc>
                <w:tcPr>
                  <w:tcW w:w="981" w:type="dxa"/>
                  <w:tcBorders>
                    <w:top w:val="nil"/>
                    <w:right w:val="single" w:sz="4" w:space="0" w:color="auto"/>
                  </w:tcBorders>
                  <w:shd w:val="clear" w:color="auto" w:fill="FFFF00"/>
                </w:tcPr>
                <w:p w14:paraId="54D73072" w14:textId="77777777" w:rsidR="002812BC" w:rsidRPr="00C22F7C" w:rsidRDefault="002812BC" w:rsidP="00B83D66">
                  <w:pPr>
                    <w:widowControl w:val="0"/>
                    <w:autoSpaceDE w:val="0"/>
                    <w:autoSpaceDN w:val="0"/>
                    <w:adjustRightInd w:val="0"/>
                    <w:ind w:left="-226"/>
                    <w:jc w:val="right"/>
                    <w:rPr>
                      <w:rFonts w:ascii="Calibri" w:hAnsi="Calibri" w:cs="Calibri"/>
                      <w:b/>
                      <w:color w:val="000000"/>
                      <w:sz w:val="22"/>
                      <w:szCs w:val="22"/>
                    </w:rPr>
                  </w:pPr>
                  <w:r w:rsidRPr="00C22F7C">
                    <w:rPr>
                      <w:rFonts w:ascii="Calibri" w:hAnsi="Calibri" w:cs="Calibri"/>
                      <w:b/>
                      <w:color w:val="000000"/>
                      <w:sz w:val="22"/>
                      <w:szCs w:val="22"/>
                    </w:rPr>
                    <w:t>-</w:t>
                  </w:r>
                </w:p>
              </w:tc>
              <w:tc>
                <w:tcPr>
                  <w:tcW w:w="1129" w:type="dxa"/>
                  <w:tcBorders>
                    <w:top w:val="nil"/>
                    <w:left w:val="single" w:sz="4" w:space="0" w:color="auto"/>
                    <w:right w:val="single" w:sz="4" w:space="0" w:color="auto"/>
                  </w:tcBorders>
                  <w:shd w:val="clear" w:color="auto" w:fill="FFFF00"/>
                </w:tcPr>
                <w:p w14:paraId="5E6A5789" w14:textId="77777777" w:rsidR="002812BC" w:rsidRPr="00C22F7C" w:rsidRDefault="002812BC" w:rsidP="00B83D66">
                  <w:pPr>
                    <w:widowControl w:val="0"/>
                    <w:autoSpaceDE w:val="0"/>
                    <w:autoSpaceDN w:val="0"/>
                    <w:adjustRightInd w:val="0"/>
                    <w:ind w:left="-226"/>
                    <w:jc w:val="right"/>
                    <w:rPr>
                      <w:rFonts w:ascii="Calibri" w:hAnsi="Calibri" w:cs="Calibri"/>
                      <w:b/>
                      <w:color w:val="000000"/>
                      <w:sz w:val="22"/>
                      <w:szCs w:val="22"/>
                    </w:rPr>
                  </w:pPr>
                  <w:r w:rsidRPr="00C22F7C">
                    <w:rPr>
                      <w:rFonts w:ascii="Calibri" w:hAnsi="Calibri" w:cs="Calibri"/>
                      <w:b/>
                      <w:color w:val="000000"/>
                      <w:sz w:val="22"/>
                      <w:szCs w:val="22"/>
                    </w:rPr>
                    <w:t>(176.8)</w:t>
                  </w:r>
                </w:p>
              </w:tc>
              <w:tc>
                <w:tcPr>
                  <w:tcW w:w="1129" w:type="dxa"/>
                  <w:tcBorders>
                    <w:top w:val="nil"/>
                    <w:left w:val="single" w:sz="4" w:space="0" w:color="auto"/>
                    <w:right w:val="single" w:sz="4" w:space="0" w:color="auto"/>
                  </w:tcBorders>
                  <w:shd w:val="clear" w:color="auto" w:fill="auto"/>
                </w:tcPr>
                <w:p w14:paraId="30ACFF9B"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1,288.3</w:t>
                  </w:r>
                </w:p>
                <w:p w14:paraId="77D6B92B"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p>
              </w:tc>
            </w:tr>
            <w:tr w:rsidR="002812BC" w:rsidRPr="00C22F7C" w14:paraId="6AB6C55F" w14:textId="77777777" w:rsidTr="00B83D66">
              <w:trPr>
                <w:trHeight w:val="214"/>
              </w:trPr>
              <w:tc>
                <w:tcPr>
                  <w:tcW w:w="5119" w:type="dxa"/>
                  <w:gridSpan w:val="2"/>
                  <w:tcBorders>
                    <w:top w:val="nil"/>
                    <w:left w:val="nil"/>
                    <w:bottom w:val="nil"/>
                  </w:tcBorders>
                </w:tcPr>
                <w:p w14:paraId="776892D4" w14:textId="77777777" w:rsidR="002812BC" w:rsidRPr="00C22F7C" w:rsidRDefault="002812BC" w:rsidP="00B83D66">
                  <w:pPr>
                    <w:autoSpaceDE w:val="0"/>
                    <w:autoSpaceDN w:val="0"/>
                    <w:adjustRightInd w:val="0"/>
                    <w:rPr>
                      <w:rFonts w:ascii="Calibri" w:hAnsi="Calibri" w:cs="Calibri"/>
                      <w:b/>
                      <w:bCs/>
                      <w:color w:val="000000"/>
                      <w:sz w:val="22"/>
                      <w:szCs w:val="22"/>
                    </w:rPr>
                  </w:pPr>
                  <w:r w:rsidRPr="00C22F7C">
                    <w:rPr>
                      <w:rFonts w:ascii="Calibri" w:hAnsi="Calibri" w:cs="Calibri"/>
                      <w:b/>
                      <w:bCs/>
                      <w:color w:val="000000"/>
                      <w:sz w:val="22"/>
                      <w:szCs w:val="22"/>
                    </w:rPr>
                    <w:t>Other (expense)/income</w:t>
                  </w:r>
                </w:p>
              </w:tc>
              <w:tc>
                <w:tcPr>
                  <w:tcW w:w="746" w:type="dxa"/>
                  <w:tcBorders>
                    <w:top w:val="nil"/>
                  </w:tcBorders>
                </w:tcPr>
                <w:p w14:paraId="01D5D4B1"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nil"/>
                    <w:right w:val="single" w:sz="4" w:space="0" w:color="auto"/>
                  </w:tcBorders>
                </w:tcPr>
                <w:p w14:paraId="034D3F94"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044" w:type="dxa"/>
                  <w:tcBorders>
                    <w:top w:val="nil"/>
                    <w:right w:val="single" w:sz="4" w:space="0" w:color="auto"/>
                  </w:tcBorders>
                  <w:shd w:val="clear" w:color="auto" w:fill="FFFF00"/>
                </w:tcPr>
                <w:p w14:paraId="458CC9DD"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981" w:type="dxa"/>
                  <w:tcBorders>
                    <w:top w:val="nil"/>
                    <w:right w:val="single" w:sz="4" w:space="0" w:color="auto"/>
                  </w:tcBorders>
                  <w:shd w:val="clear" w:color="auto" w:fill="FFFF00"/>
                </w:tcPr>
                <w:p w14:paraId="4528FD7F" w14:textId="77777777" w:rsidR="002812BC" w:rsidRPr="00C22F7C" w:rsidRDefault="002812BC" w:rsidP="00B83D66">
                  <w:pPr>
                    <w:autoSpaceDE w:val="0"/>
                    <w:autoSpaceDN w:val="0"/>
                    <w:adjustRightInd w:val="0"/>
                    <w:ind w:left="-226"/>
                    <w:jc w:val="right"/>
                    <w:rPr>
                      <w:rFonts w:ascii="Calibri" w:hAnsi="Calibri" w:cs="Calibri"/>
                      <w:b/>
                      <w:color w:val="000000"/>
                      <w:sz w:val="22"/>
                      <w:szCs w:val="22"/>
                    </w:rPr>
                  </w:pPr>
                </w:p>
              </w:tc>
              <w:tc>
                <w:tcPr>
                  <w:tcW w:w="1129" w:type="dxa"/>
                  <w:tcBorders>
                    <w:top w:val="nil"/>
                    <w:left w:val="single" w:sz="4" w:space="0" w:color="auto"/>
                    <w:right w:val="single" w:sz="4" w:space="0" w:color="auto"/>
                  </w:tcBorders>
                  <w:shd w:val="clear" w:color="auto" w:fill="FFFF00"/>
                </w:tcPr>
                <w:p w14:paraId="5091B7A5"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c>
                <w:tcPr>
                  <w:tcW w:w="1129" w:type="dxa"/>
                  <w:tcBorders>
                    <w:top w:val="nil"/>
                    <w:left w:val="single" w:sz="4" w:space="0" w:color="auto"/>
                    <w:right w:val="single" w:sz="4" w:space="0" w:color="auto"/>
                  </w:tcBorders>
                  <w:shd w:val="clear" w:color="auto" w:fill="auto"/>
                </w:tcPr>
                <w:p w14:paraId="013F0BDD"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r>
            <w:tr w:rsidR="002812BC" w:rsidRPr="00C22F7C" w14:paraId="4978668F" w14:textId="77777777" w:rsidTr="00B83D66">
              <w:trPr>
                <w:trHeight w:val="214"/>
              </w:trPr>
              <w:tc>
                <w:tcPr>
                  <w:tcW w:w="272" w:type="dxa"/>
                  <w:tcBorders>
                    <w:top w:val="nil"/>
                    <w:left w:val="nil"/>
                    <w:bottom w:val="nil"/>
                    <w:right w:val="nil"/>
                  </w:tcBorders>
                </w:tcPr>
                <w:p w14:paraId="00BEAE2D"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2E2C9910"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Net finance expense</w:t>
                  </w:r>
                </w:p>
              </w:tc>
              <w:tc>
                <w:tcPr>
                  <w:tcW w:w="746" w:type="dxa"/>
                  <w:tcBorders>
                    <w:top w:val="nil"/>
                  </w:tcBorders>
                </w:tcPr>
                <w:p w14:paraId="7FF8D4CD"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nil"/>
                    <w:right w:val="single" w:sz="4" w:space="0" w:color="auto"/>
                  </w:tcBorders>
                </w:tcPr>
                <w:p w14:paraId="0808A796"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+42%</w:t>
                  </w:r>
                </w:p>
              </w:tc>
              <w:tc>
                <w:tcPr>
                  <w:tcW w:w="1044" w:type="dxa"/>
                  <w:tcBorders>
                    <w:top w:val="nil"/>
                    <w:right w:val="single" w:sz="4" w:space="0" w:color="auto"/>
                  </w:tcBorders>
                  <w:shd w:val="clear" w:color="auto" w:fill="FFFF00"/>
                </w:tcPr>
                <w:p w14:paraId="4F11DEF6"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(15.3)</w:t>
                  </w:r>
                </w:p>
              </w:tc>
              <w:tc>
                <w:tcPr>
                  <w:tcW w:w="981" w:type="dxa"/>
                  <w:tcBorders>
                    <w:top w:val="nil"/>
                    <w:right w:val="single" w:sz="4" w:space="0" w:color="auto"/>
                  </w:tcBorders>
                  <w:shd w:val="clear" w:color="auto" w:fill="FFFF00"/>
                </w:tcPr>
                <w:p w14:paraId="7BA3696B"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w:t>
                  </w:r>
                </w:p>
              </w:tc>
              <w:tc>
                <w:tcPr>
                  <w:tcW w:w="1129" w:type="dxa"/>
                  <w:tcBorders>
                    <w:top w:val="nil"/>
                    <w:left w:val="single" w:sz="4" w:space="0" w:color="auto"/>
                    <w:right w:val="single" w:sz="4" w:space="0" w:color="auto"/>
                  </w:tcBorders>
                  <w:shd w:val="clear" w:color="auto" w:fill="FFFF00"/>
                </w:tcPr>
                <w:p w14:paraId="471016D8"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b/>
                      <w:bCs/>
                      <w:color w:val="000000"/>
                      <w:sz w:val="22"/>
                      <w:szCs w:val="22"/>
                    </w:rPr>
                    <w:t>(15.3)</w:t>
                  </w:r>
                </w:p>
              </w:tc>
              <w:tc>
                <w:tcPr>
                  <w:tcW w:w="1129" w:type="dxa"/>
                  <w:tcBorders>
                    <w:top w:val="nil"/>
                    <w:left w:val="single" w:sz="4" w:space="0" w:color="auto"/>
                    <w:right w:val="single" w:sz="4" w:space="0" w:color="auto"/>
                  </w:tcBorders>
                  <w:shd w:val="clear" w:color="auto" w:fill="auto"/>
                </w:tcPr>
                <w:p w14:paraId="4F4948BD"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(26.6)</w:t>
                  </w:r>
                </w:p>
              </w:tc>
            </w:tr>
            <w:tr w:rsidR="002812BC" w:rsidRPr="00C22F7C" w14:paraId="437715C0" w14:textId="77777777" w:rsidTr="00B83D66">
              <w:trPr>
                <w:trHeight w:val="214"/>
              </w:trPr>
              <w:tc>
                <w:tcPr>
                  <w:tcW w:w="272" w:type="dxa"/>
                  <w:tcBorders>
                    <w:top w:val="nil"/>
                    <w:left w:val="nil"/>
                    <w:bottom w:val="nil"/>
                    <w:right w:val="nil"/>
                  </w:tcBorders>
                </w:tcPr>
                <w:p w14:paraId="2B034502"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377B1506"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Hedge Ineffectiveness/foreign exchange translation</w:t>
                  </w:r>
                </w:p>
              </w:tc>
              <w:tc>
                <w:tcPr>
                  <w:tcW w:w="746" w:type="dxa"/>
                  <w:tcBorders>
                    <w:top w:val="nil"/>
                  </w:tcBorders>
                </w:tcPr>
                <w:p w14:paraId="07E262F8"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nil"/>
                    <w:right w:val="single" w:sz="4" w:space="0" w:color="auto"/>
                  </w:tcBorders>
                </w:tcPr>
                <w:p w14:paraId="12FB8B21" w14:textId="77777777" w:rsidR="002812BC" w:rsidRPr="00C22F7C" w:rsidRDefault="002812BC" w:rsidP="00B83D66">
                  <w:pPr>
                    <w:widowControl w:val="0"/>
                    <w:autoSpaceDE w:val="0"/>
                    <w:autoSpaceDN w:val="0"/>
                    <w:adjustRightInd w:val="0"/>
                    <w:jc w:val="right"/>
                    <w:rPr>
                      <w:rFonts w:ascii="Calibri" w:hAnsi="Calibri" w:cs="Calibri"/>
                      <w:bCs/>
                      <w:sz w:val="22"/>
                      <w:szCs w:val="22"/>
                    </w:rPr>
                  </w:pPr>
                </w:p>
              </w:tc>
              <w:tc>
                <w:tcPr>
                  <w:tcW w:w="1044" w:type="dxa"/>
                  <w:tcBorders>
                    <w:top w:val="nil"/>
                    <w:right w:val="single" w:sz="4" w:space="0" w:color="auto"/>
                  </w:tcBorders>
                  <w:shd w:val="clear" w:color="auto" w:fill="FFFF00"/>
                </w:tcPr>
                <w:p w14:paraId="57152BF5"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981" w:type="dxa"/>
                  <w:tcBorders>
                    <w:top w:val="nil"/>
                    <w:right w:val="single" w:sz="4" w:space="0" w:color="auto"/>
                  </w:tcBorders>
                  <w:shd w:val="clear" w:color="auto" w:fill="FFFF00"/>
                </w:tcPr>
                <w:p w14:paraId="62442DF8"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color w:val="000000"/>
                      <w:sz w:val="22"/>
                      <w:szCs w:val="22"/>
                    </w:rPr>
                    <w:t>(240.2)</w:t>
                  </w:r>
                </w:p>
              </w:tc>
              <w:tc>
                <w:tcPr>
                  <w:tcW w:w="1129" w:type="dxa"/>
                  <w:tcBorders>
                    <w:top w:val="nil"/>
                    <w:left w:val="single" w:sz="4" w:space="0" w:color="auto"/>
                    <w:right w:val="single" w:sz="4" w:space="0" w:color="auto"/>
                  </w:tcBorders>
                  <w:shd w:val="clear" w:color="auto" w:fill="FFFF00"/>
                </w:tcPr>
                <w:p w14:paraId="6CA4665F"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b/>
                      <w:bCs/>
                      <w:color w:val="000000"/>
                      <w:sz w:val="22"/>
                      <w:szCs w:val="22"/>
                    </w:rPr>
                    <w:t>(240.2)</w:t>
                  </w:r>
                </w:p>
              </w:tc>
              <w:tc>
                <w:tcPr>
                  <w:tcW w:w="1129" w:type="dxa"/>
                  <w:tcBorders>
                    <w:top w:val="nil"/>
                    <w:left w:val="single" w:sz="4" w:space="0" w:color="auto"/>
                    <w:right w:val="single" w:sz="4" w:space="0" w:color="auto"/>
                  </w:tcBorders>
                  <w:shd w:val="clear" w:color="auto" w:fill="auto"/>
                </w:tcPr>
                <w:p w14:paraId="79F83E33"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(2.2)</w:t>
                  </w:r>
                </w:p>
              </w:tc>
            </w:tr>
            <w:tr w:rsidR="002812BC" w:rsidRPr="00C22F7C" w14:paraId="0D81C1A4" w14:textId="77777777" w:rsidTr="00B83D66">
              <w:trPr>
                <w:trHeight w:val="214"/>
              </w:trPr>
              <w:tc>
                <w:tcPr>
                  <w:tcW w:w="5119" w:type="dxa"/>
                  <w:gridSpan w:val="2"/>
                  <w:tcBorders>
                    <w:top w:val="nil"/>
                    <w:left w:val="nil"/>
                    <w:bottom w:val="nil"/>
                  </w:tcBorders>
                </w:tcPr>
                <w:p w14:paraId="4A8A3DE4" w14:textId="77777777" w:rsidR="002812BC" w:rsidRPr="00C22F7C" w:rsidRDefault="002812BC" w:rsidP="00B83D66">
                  <w:pPr>
                    <w:autoSpaceDE w:val="0"/>
                    <w:autoSpaceDN w:val="0"/>
                    <w:adjustRightInd w:val="0"/>
                    <w:rPr>
                      <w:rFonts w:ascii="Calibri" w:hAnsi="Calibri" w:cs="Calibri"/>
                      <w:b/>
                      <w:color w:val="000000"/>
                      <w:sz w:val="22"/>
                      <w:szCs w:val="22"/>
                    </w:rPr>
                  </w:pPr>
                  <w:r w:rsidRPr="00C22F7C">
                    <w:rPr>
                      <w:rFonts w:ascii="Calibri" w:hAnsi="Calibri" w:cs="Calibri"/>
                      <w:b/>
                      <w:color w:val="000000"/>
                      <w:sz w:val="22"/>
                      <w:szCs w:val="22"/>
                    </w:rPr>
                    <w:lastRenderedPageBreak/>
                    <w:t>Total other income/(expenses)</w:t>
                  </w:r>
                </w:p>
              </w:tc>
              <w:tc>
                <w:tcPr>
                  <w:tcW w:w="746" w:type="dxa"/>
                  <w:tcBorders>
                    <w:top w:val="nil"/>
                  </w:tcBorders>
                </w:tcPr>
                <w:p w14:paraId="3475372F"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single" w:sz="4" w:space="0" w:color="auto"/>
                    <w:right w:val="single" w:sz="4" w:space="0" w:color="auto"/>
                  </w:tcBorders>
                </w:tcPr>
                <w:p w14:paraId="0FD2DA5F"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+12%</w:t>
                  </w:r>
                </w:p>
              </w:tc>
              <w:tc>
                <w:tcPr>
                  <w:tcW w:w="1044" w:type="dxa"/>
                  <w:tcBorders>
                    <w:top w:val="single" w:sz="4" w:space="0" w:color="auto"/>
                    <w:bottom w:val="single" w:sz="4" w:space="0" w:color="auto"/>
                    <w:right w:val="single" w:sz="4" w:space="0" w:color="auto"/>
                  </w:tcBorders>
                  <w:shd w:val="clear" w:color="auto" w:fill="FFFF00"/>
                </w:tcPr>
                <w:p w14:paraId="27102F40"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(15.3)</w:t>
                  </w:r>
                </w:p>
              </w:tc>
              <w:tc>
                <w:tcPr>
                  <w:tcW w:w="981" w:type="dxa"/>
                  <w:tcBorders>
                    <w:top w:val="single" w:sz="4" w:space="0" w:color="auto"/>
                    <w:bottom w:val="single" w:sz="4" w:space="0" w:color="auto"/>
                    <w:right w:val="single" w:sz="4" w:space="0" w:color="auto"/>
                  </w:tcBorders>
                  <w:shd w:val="clear" w:color="auto" w:fill="FFFF00"/>
                </w:tcPr>
                <w:p w14:paraId="32F181B1" w14:textId="77777777" w:rsidR="002812BC" w:rsidRPr="00C22F7C" w:rsidRDefault="002812BC" w:rsidP="00B83D66">
                  <w:pPr>
                    <w:widowControl w:val="0"/>
                    <w:autoSpaceDE w:val="0"/>
                    <w:autoSpaceDN w:val="0"/>
                    <w:adjustRightInd w:val="0"/>
                    <w:ind w:left="-226"/>
                    <w:jc w:val="right"/>
                    <w:rPr>
                      <w:rFonts w:ascii="Calibri" w:hAnsi="Calibri" w:cs="Calibri"/>
                      <w:b/>
                      <w:color w:val="000000"/>
                      <w:sz w:val="22"/>
                      <w:szCs w:val="22"/>
                    </w:rPr>
                  </w:pPr>
                  <w:r w:rsidRPr="00C22F7C">
                    <w:rPr>
                      <w:rFonts w:ascii="Calibri" w:hAnsi="Calibri" w:cs="Calibri"/>
                      <w:b/>
                      <w:color w:val="000000"/>
                      <w:sz w:val="22"/>
                      <w:szCs w:val="22"/>
                    </w:rPr>
                    <w:t>(240.2)</w:t>
                  </w:r>
                </w:p>
              </w:tc>
              <w:tc>
                <w:tcPr>
                  <w:tcW w:w="1129" w:type="dxa"/>
                  <w:tcBorders>
                    <w:top w:val="single" w:sz="4" w:space="0" w:color="auto"/>
                    <w:left w:val="single" w:sz="4" w:space="0" w:color="auto"/>
                    <w:bottom w:val="single" w:sz="4" w:space="0" w:color="auto"/>
                    <w:right w:val="single" w:sz="4" w:space="0" w:color="auto"/>
                  </w:tcBorders>
                  <w:shd w:val="clear" w:color="auto" w:fill="FFFF00"/>
                </w:tcPr>
                <w:p w14:paraId="76093C2A"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color w:val="000000"/>
                      <w:sz w:val="22"/>
                      <w:szCs w:val="22"/>
                    </w:rPr>
                    <w:t>(255.5)</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5B56016E"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(28.8)</w:t>
                  </w:r>
                </w:p>
              </w:tc>
            </w:tr>
            <w:tr w:rsidR="002812BC" w:rsidRPr="00C22F7C" w14:paraId="7C18A879" w14:textId="77777777" w:rsidTr="00B83D66">
              <w:trPr>
                <w:trHeight w:val="214"/>
              </w:trPr>
              <w:tc>
                <w:tcPr>
                  <w:tcW w:w="272" w:type="dxa"/>
                  <w:tcBorders>
                    <w:top w:val="nil"/>
                    <w:left w:val="nil"/>
                    <w:bottom w:val="nil"/>
                    <w:right w:val="nil"/>
                  </w:tcBorders>
                </w:tcPr>
                <w:p w14:paraId="45EE5A8A"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64142F2E"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746" w:type="dxa"/>
                  <w:tcBorders>
                    <w:top w:val="nil"/>
                  </w:tcBorders>
                </w:tcPr>
                <w:p w14:paraId="7562E9C0"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top w:val="single" w:sz="4" w:space="0" w:color="auto"/>
                    <w:right w:val="single" w:sz="4" w:space="0" w:color="auto"/>
                  </w:tcBorders>
                </w:tcPr>
                <w:p w14:paraId="6EAE561F"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044" w:type="dxa"/>
                  <w:tcBorders>
                    <w:top w:val="single" w:sz="4" w:space="0" w:color="auto"/>
                    <w:right w:val="single" w:sz="4" w:space="0" w:color="auto"/>
                  </w:tcBorders>
                  <w:shd w:val="clear" w:color="auto" w:fill="FFFF00"/>
                </w:tcPr>
                <w:p w14:paraId="312AC857"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981" w:type="dxa"/>
                  <w:tcBorders>
                    <w:top w:val="single" w:sz="4" w:space="0" w:color="auto"/>
                    <w:right w:val="single" w:sz="4" w:space="0" w:color="auto"/>
                  </w:tcBorders>
                  <w:shd w:val="clear" w:color="auto" w:fill="FFFF00"/>
                </w:tcPr>
                <w:p w14:paraId="51548CCB" w14:textId="77777777" w:rsidR="002812BC" w:rsidRPr="00C22F7C" w:rsidRDefault="002812BC" w:rsidP="00B83D66">
                  <w:pPr>
                    <w:autoSpaceDE w:val="0"/>
                    <w:autoSpaceDN w:val="0"/>
                    <w:adjustRightInd w:val="0"/>
                    <w:jc w:val="right"/>
                    <w:rPr>
                      <w:rFonts w:ascii="Calibri" w:hAnsi="Calibri" w:cs="Calibri"/>
                      <w:b/>
                      <w:color w:val="000000"/>
                      <w:sz w:val="22"/>
                      <w:szCs w:val="22"/>
                    </w:rPr>
                  </w:pPr>
                </w:p>
              </w:tc>
              <w:tc>
                <w:tcPr>
                  <w:tcW w:w="1129" w:type="dxa"/>
                  <w:tcBorders>
                    <w:top w:val="single" w:sz="4" w:space="0" w:color="auto"/>
                    <w:left w:val="single" w:sz="4" w:space="0" w:color="auto"/>
                    <w:right w:val="single" w:sz="4" w:space="0" w:color="auto"/>
                  </w:tcBorders>
                  <w:shd w:val="clear" w:color="auto" w:fill="FFFF00"/>
                </w:tcPr>
                <w:p w14:paraId="33AA23C2"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1129" w:type="dxa"/>
                  <w:tcBorders>
                    <w:top w:val="single" w:sz="4" w:space="0" w:color="auto"/>
                    <w:left w:val="single" w:sz="4" w:space="0" w:color="auto"/>
                    <w:right w:val="single" w:sz="4" w:space="0" w:color="auto"/>
                  </w:tcBorders>
                  <w:shd w:val="clear" w:color="auto" w:fill="auto"/>
                </w:tcPr>
                <w:p w14:paraId="212AA56A"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r>
            <w:tr w:rsidR="002812BC" w:rsidRPr="00C22F7C" w14:paraId="22452891" w14:textId="77777777" w:rsidTr="00B83D66">
              <w:trPr>
                <w:trHeight w:val="214"/>
              </w:trPr>
              <w:tc>
                <w:tcPr>
                  <w:tcW w:w="5119" w:type="dxa"/>
                  <w:gridSpan w:val="2"/>
                  <w:tcBorders>
                    <w:top w:val="nil"/>
                    <w:left w:val="nil"/>
                    <w:bottom w:val="nil"/>
                  </w:tcBorders>
                </w:tcPr>
                <w:p w14:paraId="59042969" w14:textId="77777777" w:rsidR="002812BC" w:rsidRPr="00C22F7C" w:rsidRDefault="002812BC" w:rsidP="00B83D66">
                  <w:pPr>
                    <w:autoSpaceDE w:val="0"/>
                    <w:autoSpaceDN w:val="0"/>
                    <w:adjustRightInd w:val="0"/>
                    <w:rPr>
                      <w:rFonts w:ascii="Calibri" w:hAnsi="Calibri" w:cs="Calibri"/>
                      <w:b/>
                      <w:color w:val="000000"/>
                      <w:sz w:val="22"/>
                      <w:szCs w:val="22"/>
                    </w:rPr>
                  </w:pPr>
                  <w:r w:rsidRPr="00C22F7C">
                    <w:rPr>
                      <w:rFonts w:ascii="Calibri" w:hAnsi="Calibri" w:cs="Calibri"/>
                      <w:b/>
                      <w:color w:val="000000"/>
                      <w:sz w:val="22"/>
                      <w:szCs w:val="22"/>
                    </w:rPr>
                    <w:t>(Loss)/profit before tax</w:t>
                  </w:r>
                </w:p>
              </w:tc>
              <w:tc>
                <w:tcPr>
                  <w:tcW w:w="746" w:type="dxa"/>
                  <w:tcBorders>
                    <w:top w:val="nil"/>
                  </w:tcBorders>
                </w:tcPr>
                <w:p w14:paraId="0FB579F0"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right w:val="single" w:sz="4" w:space="0" w:color="auto"/>
                  </w:tcBorders>
                </w:tcPr>
                <w:p w14:paraId="4013A908"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044" w:type="dxa"/>
                  <w:tcBorders>
                    <w:right w:val="single" w:sz="4" w:space="0" w:color="auto"/>
                  </w:tcBorders>
                  <w:shd w:val="clear" w:color="auto" w:fill="FFFF00"/>
                </w:tcPr>
                <w:p w14:paraId="4D485E43"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(192.1)</w:t>
                  </w:r>
                </w:p>
              </w:tc>
              <w:tc>
                <w:tcPr>
                  <w:tcW w:w="981" w:type="dxa"/>
                  <w:tcBorders>
                    <w:right w:val="single" w:sz="4" w:space="0" w:color="auto"/>
                  </w:tcBorders>
                  <w:shd w:val="clear" w:color="auto" w:fill="FFFF00"/>
                </w:tcPr>
                <w:p w14:paraId="6C551FAE" w14:textId="77777777" w:rsidR="002812BC" w:rsidRPr="00C22F7C" w:rsidRDefault="002812BC" w:rsidP="00B83D66">
                  <w:pPr>
                    <w:widowControl w:val="0"/>
                    <w:autoSpaceDE w:val="0"/>
                    <w:autoSpaceDN w:val="0"/>
                    <w:adjustRightInd w:val="0"/>
                    <w:ind w:left="-226"/>
                    <w:jc w:val="right"/>
                    <w:rPr>
                      <w:rFonts w:ascii="Calibri" w:hAnsi="Calibri" w:cs="Calibri"/>
                      <w:b/>
                      <w:color w:val="000000"/>
                      <w:sz w:val="22"/>
                      <w:szCs w:val="22"/>
                    </w:rPr>
                  </w:pPr>
                  <w:r w:rsidRPr="00C22F7C">
                    <w:rPr>
                      <w:rFonts w:ascii="Calibri" w:hAnsi="Calibri" w:cs="Calibri"/>
                      <w:b/>
                      <w:color w:val="000000"/>
                      <w:sz w:val="22"/>
                      <w:szCs w:val="22"/>
                    </w:rPr>
                    <w:t>(240.2)</w:t>
                  </w:r>
                </w:p>
              </w:tc>
              <w:tc>
                <w:tcPr>
                  <w:tcW w:w="1129" w:type="dxa"/>
                  <w:tcBorders>
                    <w:left w:val="single" w:sz="4" w:space="0" w:color="auto"/>
                    <w:right w:val="single" w:sz="4" w:space="0" w:color="auto"/>
                  </w:tcBorders>
                  <w:shd w:val="clear" w:color="auto" w:fill="FFFF00"/>
                </w:tcPr>
                <w:p w14:paraId="18AD5345" w14:textId="77777777" w:rsidR="002812BC" w:rsidRPr="00C22F7C" w:rsidRDefault="002812BC" w:rsidP="00B83D66">
                  <w:pPr>
                    <w:widowControl w:val="0"/>
                    <w:autoSpaceDE w:val="0"/>
                    <w:autoSpaceDN w:val="0"/>
                    <w:adjustRightInd w:val="0"/>
                    <w:ind w:left="-226"/>
                    <w:jc w:val="right"/>
                    <w:rPr>
                      <w:rFonts w:ascii="Calibri" w:hAnsi="Calibri" w:cs="Calibri"/>
                      <w:b/>
                      <w:color w:val="000000"/>
                      <w:sz w:val="22"/>
                      <w:szCs w:val="22"/>
                    </w:rPr>
                  </w:pPr>
                  <w:r w:rsidRPr="00C22F7C">
                    <w:rPr>
                      <w:rFonts w:ascii="Calibri" w:hAnsi="Calibri" w:cs="Calibri"/>
                      <w:b/>
                      <w:color w:val="000000"/>
                      <w:sz w:val="22"/>
                      <w:szCs w:val="22"/>
                    </w:rPr>
                    <w:t>(432.3)</w:t>
                  </w:r>
                </w:p>
              </w:tc>
              <w:tc>
                <w:tcPr>
                  <w:tcW w:w="1129" w:type="dxa"/>
                  <w:tcBorders>
                    <w:left w:val="single" w:sz="4" w:space="0" w:color="auto"/>
                    <w:right w:val="single" w:sz="4" w:space="0" w:color="auto"/>
                  </w:tcBorders>
                  <w:shd w:val="clear" w:color="auto" w:fill="auto"/>
                </w:tcPr>
                <w:p w14:paraId="4C6037B0"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1,259.5</w:t>
                  </w:r>
                </w:p>
              </w:tc>
            </w:tr>
            <w:tr w:rsidR="002812BC" w:rsidRPr="00C22F7C" w14:paraId="5519105A" w14:textId="77777777" w:rsidTr="00B83D66">
              <w:trPr>
                <w:trHeight w:val="214"/>
              </w:trPr>
              <w:tc>
                <w:tcPr>
                  <w:tcW w:w="272" w:type="dxa"/>
                  <w:tcBorders>
                    <w:top w:val="nil"/>
                    <w:left w:val="nil"/>
                    <w:bottom w:val="nil"/>
                    <w:right w:val="nil"/>
                  </w:tcBorders>
                </w:tcPr>
                <w:p w14:paraId="5231FD0B"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62C57BF1"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746" w:type="dxa"/>
                  <w:tcBorders>
                    <w:top w:val="nil"/>
                  </w:tcBorders>
                </w:tcPr>
                <w:p w14:paraId="4D30AA6F"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07" w:type="dxa"/>
                  <w:tcBorders>
                    <w:right w:val="single" w:sz="4" w:space="0" w:color="auto"/>
                  </w:tcBorders>
                </w:tcPr>
                <w:p w14:paraId="5F075504"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044" w:type="dxa"/>
                  <w:tcBorders>
                    <w:right w:val="single" w:sz="4" w:space="0" w:color="auto"/>
                  </w:tcBorders>
                  <w:shd w:val="clear" w:color="auto" w:fill="FFFF00"/>
                </w:tcPr>
                <w:p w14:paraId="37555B7C"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981" w:type="dxa"/>
                  <w:tcBorders>
                    <w:right w:val="single" w:sz="4" w:space="0" w:color="auto"/>
                  </w:tcBorders>
                  <w:shd w:val="clear" w:color="auto" w:fill="FFFF00"/>
                </w:tcPr>
                <w:p w14:paraId="60A38680" w14:textId="77777777" w:rsidR="002812BC" w:rsidRPr="00C22F7C" w:rsidRDefault="002812BC" w:rsidP="00B83D66">
                  <w:pPr>
                    <w:autoSpaceDE w:val="0"/>
                    <w:autoSpaceDN w:val="0"/>
                    <w:adjustRightInd w:val="0"/>
                    <w:jc w:val="right"/>
                    <w:rPr>
                      <w:rFonts w:ascii="Calibri" w:hAnsi="Calibri" w:cs="Calibri"/>
                      <w:b/>
                      <w:color w:val="000000"/>
                      <w:sz w:val="22"/>
                      <w:szCs w:val="22"/>
                    </w:rPr>
                  </w:pPr>
                </w:p>
              </w:tc>
              <w:tc>
                <w:tcPr>
                  <w:tcW w:w="1129" w:type="dxa"/>
                  <w:tcBorders>
                    <w:left w:val="single" w:sz="4" w:space="0" w:color="auto"/>
                    <w:right w:val="single" w:sz="4" w:space="0" w:color="auto"/>
                  </w:tcBorders>
                  <w:shd w:val="clear" w:color="auto" w:fill="FFFF00"/>
                </w:tcPr>
                <w:p w14:paraId="7C6BD043"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1129" w:type="dxa"/>
                  <w:tcBorders>
                    <w:left w:val="single" w:sz="4" w:space="0" w:color="auto"/>
                    <w:right w:val="single" w:sz="4" w:space="0" w:color="auto"/>
                  </w:tcBorders>
                  <w:shd w:val="clear" w:color="auto" w:fill="auto"/>
                </w:tcPr>
                <w:p w14:paraId="4F218C88"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r>
            <w:tr w:rsidR="002812BC" w:rsidRPr="00C22F7C" w14:paraId="34239AB3" w14:textId="77777777" w:rsidTr="00B83D66">
              <w:trPr>
                <w:trHeight w:val="214"/>
              </w:trPr>
              <w:tc>
                <w:tcPr>
                  <w:tcW w:w="272" w:type="dxa"/>
                  <w:tcBorders>
                    <w:top w:val="nil"/>
                    <w:left w:val="nil"/>
                    <w:bottom w:val="nil"/>
                    <w:right w:val="nil"/>
                  </w:tcBorders>
                </w:tcPr>
                <w:p w14:paraId="3D952975"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1E644266"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Tax credit/(expense) on (loss)/profit</w:t>
                  </w:r>
                </w:p>
              </w:tc>
              <w:tc>
                <w:tcPr>
                  <w:tcW w:w="746" w:type="dxa"/>
                  <w:tcBorders>
                    <w:top w:val="nil"/>
                  </w:tcBorders>
                </w:tcPr>
                <w:p w14:paraId="0754152E" w14:textId="102E19B0" w:rsidR="002812BC" w:rsidRPr="00C22F7C" w:rsidRDefault="00F149C0" w:rsidP="00B83D66">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4</w:t>
                  </w:r>
                </w:p>
              </w:tc>
              <w:tc>
                <w:tcPr>
                  <w:tcW w:w="907" w:type="dxa"/>
                  <w:tcBorders>
                    <w:right w:val="single" w:sz="4" w:space="0" w:color="auto"/>
                  </w:tcBorders>
                </w:tcPr>
                <w:p w14:paraId="3FBD3C2F" w14:textId="77777777" w:rsidR="002812BC" w:rsidRPr="00C22F7C" w:rsidRDefault="002812BC" w:rsidP="00B83D66">
                  <w:pPr>
                    <w:autoSpaceDE w:val="0"/>
                    <w:autoSpaceDN w:val="0"/>
                    <w:adjustRightInd w:val="0"/>
                    <w:jc w:val="right"/>
                    <w:rPr>
                      <w:rFonts w:ascii="Calibri" w:hAnsi="Calibri" w:cs="Calibri"/>
                      <w:bCs/>
                      <w:sz w:val="22"/>
                      <w:szCs w:val="22"/>
                    </w:rPr>
                  </w:pPr>
                </w:p>
              </w:tc>
              <w:tc>
                <w:tcPr>
                  <w:tcW w:w="1044" w:type="dxa"/>
                  <w:tcBorders>
                    <w:bottom w:val="single" w:sz="4" w:space="0" w:color="auto"/>
                    <w:right w:val="single" w:sz="4" w:space="0" w:color="auto"/>
                  </w:tcBorders>
                  <w:shd w:val="clear" w:color="auto" w:fill="FFFF00"/>
                </w:tcPr>
                <w:p w14:paraId="59BAB2EF"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(4.4)</w:t>
                  </w:r>
                </w:p>
              </w:tc>
              <w:tc>
                <w:tcPr>
                  <w:tcW w:w="981" w:type="dxa"/>
                  <w:tcBorders>
                    <w:bottom w:val="single" w:sz="4" w:space="0" w:color="auto"/>
                    <w:right w:val="single" w:sz="4" w:space="0" w:color="auto"/>
                  </w:tcBorders>
                  <w:shd w:val="clear" w:color="auto" w:fill="FFFF00"/>
                </w:tcPr>
                <w:p w14:paraId="6A6F6F30"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color w:val="000000"/>
                      <w:sz w:val="22"/>
                      <w:szCs w:val="22"/>
                    </w:rPr>
                    <w:t>26.2</w:t>
                  </w:r>
                </w:p>
              </w:tc>
              <w:tc>
                <w:tcPr>
                  <w:tcW w:w="1129" w:type="dxa"/>
                  <w:tcBorders>
                    <w:left w:val="single" w:sz="4" w:space="0" w:color="auto"/>
                    <w:bottom w:val="single" w:sz="4" w:space="0" w:color="auto"/>
                    <w:right w:val="single" w:sz="4" w:space="0" w:color="auto"/>
                  </w:tcBorders>
                  <w:shd w:val="clear" w:color="auto" w:fill="FFFF00"/>
                </w:tcPr>
                <w:p w14:paraId="500961A6"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color w:val="000000"/>
                      <w:sz w:val="22"/>
                      <w:szCs w:val="22"/>
                    </w:rPr>
                    <w:t>21.8</w:t>
                  </w:r>
                </w:p>
              </w:tc>
              <w:tc>
                <w:tcPr>
                  <w:tcW w:w="1129" w:type="dxa"/>
                  <w:tcBorders>
                    <w:left w:val="single" w:sz="4" w:space="0" w:color="auto"/>
                    <w:bottom w:val="single" w:sz="4" w:space="0" w:color="auto"/>
                    <w:right w:val="single" w:sz="4" w:space="0" w:color="auto"/>
                  </w:tcBorders>
                  <w:shd w:val="clear" w:color="auto" w:fill="auto"/>
                </w:tcPr>
                <w:p w14:paraId="12F3F5A6"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(106.8)</w:t>
                  </w:r>
                </w:p>
              </w:tc>
            </w:tr>
            <w:tr w:rsidR="002812BC" w:rsidRPr="00C22F7C" w14:paraId="23198F18" w14:textId="77777777" w:rsidTr="00B83D66">
              <w:trPr>
                <w:trHeight w:val="214"/>
              </w:trPr>
              <w:tc>
                <w:tcPr>
                  <w:tcW w:w="272" w:type="dxa"/>
                  <w:tcBorders>
                    <w:top w:val="nil"/>
                    <w:left w:val="nil"/>
                    <w:bottom w:val="nil"/>
                    <w:right w:val="nil"/>
                  </w:tcBorders>
                </w:tcPr>
                <w:p w14:paraId="54F2A41C"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7B8EB344"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746" w:type="dxa"/>
                  <w:tcBorders>
                    <w:top w:val="nil"/>
                  </w:tcBorders>
                </w:tcPr>
                <w:p w14:paraId="2C802387"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907" w:type="dxa"/>
                  <w:tcBorders>
                    <w:top w:val="single" w:sz="4" w:space="0" w:color="auto"/>
                    <w:right w:val="single" w:sz="4" w:space="0" w:color="auto"/>
                  </w:tcBorders>
                </w:tcPr>
                <w:p w14:paraId="4ADFB434"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044" w:type="dxa"/>
                  <w:tcBorders>
                    <w:top w:val="single" w:sz="4" w:space="0" w:color="auto"/>
                    <w:right w:val="single" w:sz="4" w:space="0" w:color="auto"/>
                  </w:tcBorders>
                  <w:shd w:val="clear" w:color="auto" w:fill="FFFF00"/>
                </w:tcPr>
                <w:p w14:paraId="031117A5"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981" w:type="dxa"/>
                  <w:tcBorders>
                    <w:top w:val="single" w:sz="4" w:space="0" w:color="auto"/>
                    <w:right w:val="single" w:sz="4" w:space="0" w:color="auto"/>
                  </w:tcBorders>
                  <w:shd w:val="clear" w:color="auto" w:fill="FFFF00"/>
                </w:tcPr>
                <w:p w14:paraId="41C4C5DF" w14:textId="77777777" w:rsidR="002812BC" w:rsidRPr="00C22F7C" w:rsidRDefault="002812BC" w:rsidP="00B83D66">
                  <w:pPr>
                    <w:autoSpaceDE w:val="0"/>
                    <w:autoSpaceDN w:val="0"/>
                    <w:adjustRightInd w:val="0"/>
                    <w:jc w:val="right"/>
                    <w:rPr>
                      <w:rFonts w:ascii="Calibri" w:hAnsi="Calibri" w:cs="Calibri"/>
                      <w:b/>
                      <w:color w:val="000000"/>
                      <w:sz w:val="22"/>
                      <w:szCs w:val="22"/>
                    </w:rPr>
                  </w:pPr>
                </w:p>
              </w:tc>
              <w:tc>
                <w:tcPr>
                  <w:tcW w:w="1129" w:type="dxa"/>
                  <w:tcBorders>
                    <w:top w:val="single" w:sz="4" w:space="0" w:color="auto"/>
                    <w:left w:val="single" w:sz="4" w:space="0" w:color="auto"/>
                    <w:right w:val="single" w:sz="4" w:space="0" w:color="auto"/>
                  </w:tcBorders>
                  <w:shd w:val="clear" w:color="auto" w:fill="FFFF00"/>
                </w:tcPr>
                <w:p w14:paraId="34E7C6F1"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1129" w:type="dxa"/>
                  <w:tcBorders>
                    <w:top w:val="single" w:sz="4" w:space="0" w:color="auto"/>
                    <w:left w:val="single" w:sz="4" w:space="0" w:color="auto"/>
                    <w:right w:val="single" w:sz="4" w:space="0" w:color="auto"/>
                  </w:tcBorders>
                  <w:shd w:val="clear" w:color="auto" w:fill="auto"/>
                </w:tcPr>
                <w:p w14:paraId="3AC7EE9B"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r>
            <w:tr w:rsidR="002812BC" w:rsidRPr="00C22F7C" w14:paraId="2F493692" w14:textId="77777777" w:rsidTr="00B83D66">
              <w:trPr>
                <w:trHeight w:val="214"/>
              </w:trPr>
              <w:tc>
                <w:tcPr>
                  <w:tcW w:w="5866" w:type="dxa"/>
                  <w:gridSpan w:val="3"/>
                  <w:tcBorders>
                    <w:top w:val="nil"/>
                    <w:left w:val="nil"/>
                    <w:bottom w:val="nil"/>
                  </w:tcBorders>
                </w:tcPr>
                <w:p w14:paraId="26935CF1" w14:textId="77777777" w:rsidR="002812BC" w:rsidRPr="00C22F7C" w:rsidRDefault="002812BC" w:rsidP="00B83D66">
                  <w:pPr>
                    <w:autoSpaceDE w:val="0"/>
                    <w:autoSpaceDN w:val="0"/>
                    <w:adjustRightInd w:val="0"/>
                    <w:rPr>
                      <w:rFonts w:ascii="Calibri" w:hAnsi="Calibri" w:cs="Calibri"/>
                      <w:b/>
                      <w:bCs/>
                      <w:color w:val="000000"/>
                      <w:sz w:val="22"/>
                      <w:szCs w:val="22"/>
                    </w:rPr>
                  </w:pPr>
                  <w:r w:rsidRPr="00C22F7C">
                    <w:rPr>
                      <w:rFonts w:ascii="Calibri" w:hAnsi="Calibri" w:cs="Calibri"/>
                      <w:b/>
                      <w:bCs/>
                      <w:color w:val="000000"/>
                      <w:sz w:val="22"/>
                      <w:szCs w:val="22"/>
                    </w:rPr>
                    <w:t>(Loss)/profit for the half-year – all attributable to equity holders of parent</w:t>
                  </w:r>
                </w:p>
              </w:tc>
              <w:tc>
                <w:tcPr>
                  <w:tcW w:w="907" w:type="dxa"/>
                  <w:tcBorders>
                    <w:bottom w:val="double" w:sz="4" w:space="0" w:color="auto"/>
                    <w:right w:val="single" w:sz="4" w:space="0" w:color="auto"/>
                  </w:tcBorders>
                </w:tcPr>
                <w:p w14:paraId="7E615F7D"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p>
                <w:p w14:paraId="78994BB9"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p>
              </w:tc>
              <w:tc>
                <w:tcPr>
                  <w:tcW w:w="1044" w:type="dxa"/>
                  <w:tcBorders>
                    <w:bottom w:val="double" w:sz="4" w:space="0" w:color="auto"/>
                    <w:right w:val="single" w:sz="4" w:space="0" w:color="auto"/>
                  </w:tcBorders>
                  <w:shd w:val="clear" w:color="auto" w:fill="FFFF00"/>
                </w:tcPr>
                <w:p w14:paraId="2BFAE83A"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p>
                <w:p w14:paraId="53ABC1D3"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(196.5)</w:t>
                  </w:r>
                </w:p>
              </w:tc>
              <w:tc>
                <w:tcPr>
                  <w:tcW w:w="981" w:type="dxa"/>
                  <w:tcBorders>
                    <w:bottom w:val="double" w:sz="4" w:space="0" w:color="auto"/>
                    <w:right w:val="single" w:sz="4" w:space="0" w:color="auto"/>
                  </w:tcBorders>
                  <w:shd w:val="clear" w:color="auto" w:fill="FFFF00"/>
                </w:tcPr>
                <w:p w14:paraId="7F37A3CD"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p>
                <w:p w14:paraId="1493DBBF"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color w:val="000000"/>
                      <w:sz w:val="22"/>
                      <w:szCs w:val="22"/>
                    </w:rPr>
                    <w:t>(214.0)</w:t>
                  </w:r>
                </w:p>
              </w:tc>
              <w:tc>
                <w:tcPr>
                  <w:tcW w:w="1129" w:type="dxa"/>
                  <w:tcBorders>
                    <w:left w:val="single" w:sz="4" w:space="0" w:color="auto"/>
                    <w:bottom w:val="double" w:sz="4" w:space="0" w:color="auto"/>
                    <w:right w:val="single" w:sz="4" w:space="0" w:color="auto"/>
                  </w:tcBorders>
                  <w:shd w:val="clear" w:color="auto" w:fill="FFFF00"/>
                </w:tcPr>
                <w:p w14:paraId="0761F400"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p>
                <w:p w14:paraId="53DA4DA9"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color w:val="000000"/>
                      <w:sz w:val="22"/>
                      <w:szCs w:val="22"/>
                    </w:rPr>
                    <w:t>(410.5)</w:t>
                  </w:r>
                </w:p>
              </w:tc>
              <w:tc>
                <w:tcPr>
                  <w:tcW w:w="1129" w:type="dxa"/>
                  <w:tcBorders>
                    <w:left w:val="single" w:sz="4" w:space="0" w:color="auto"/>
                    <w:bottom w:val="double" w:sz="4" w:space="0" w:color="auto"/>
                    <w:right w:val="single" w:sz="4" w:space="0" w:color="auto"/>
                  </w:tcBorders>
                  <w:shd w:val="clear" w:color="auto" w:fill="auto"/>
                </w:tcPr>
                <w:p w14:paraId="78E225EE"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p>
                <w:p w14:paraId="16D61DFD"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1,152.7</w:t>
                  </w:r>
                </w:p>
              </w:tc>
            </w:tr>
            <w:tr w:rsidR="002812BC" w:rsidRPr="00C22F7C" w14:paraId="77373912" w14:textId="77777777" w:rsidTr="00B83D66">
              <w:trPr>
                <w:trHeight w:val="46"/>
              </w:trPr>
              <w:tc>
                <w:tcPr>
                  <w:tcW w:w="272" w:type="dxa"/>
                  <w:tcBorders>
                    <w:top w:val="nil"/>
                    <w:left w:val="nil"/>
                    <w:bottom w:val="nil"/>
                    <w:right w:val="nil"/>
                  </w:tcBorders>
                </w:tcPr>
                <w:p w14:paraId="26BF59B4"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846" w:type="dxa"/>
                  <w:tcBorders>
                    <w:top w:val="nil"/>
                    <w:left w:val="nil"/>
                    <w:bottom w:val="nil"/>
                  </w:tcBorders>
                </w:tcPr>
                <w:p w14:paraId="15E11FFE"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746" w:type="dxa"/>
                  <w:tcBorders>
                    <w:top w:val="nil"/>
                  </w:tcBorders>
                </w:tcPr>
                <w:p w14:paraId="7894FF54"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907" w:type="dxa"/>
                  <w:tcBorders>
                    <w:right w:val="single" w:sz="4" w:space="0" w:color="auto"/>
                  </w:tcBorders>
                </w:tcPr>
                <w:p w14:paraId="0714323B"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044" w:type="dxa"/>
                  <w:tcBorders>
                    <w:top w:val="double" w:sz="4" w:space="0" w:color="auto"/>
                    <w:right w:val="single" w:sz="4" w:space="0" w:color="auto"/>
                  </w:tcBorders>
                  <w:shd w:val="clear" w:color="auto" w:fill="FFFF00"/>
                </w:tcPr>
                <w:p w14:paraId="2CD7A686"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81" w:type="dxa"/>
                  <w:tcBorders>
                    <w:top w:val="double" w:sz="4" w:space="0" w:color="auto"/>
                    <w:right w:val="single" w:sz="4" w:space="0" w:color="auto"/>
                  </w:tcBorders>
                  <w:shd w:val="clear" w:color="auto" w:fill="FFFF00"/>
                </w:tcPr>
                <w:p w14:paraId="681C3925"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1129" w:type="dxa"/>
                  <w:tcBorders>
                    <w:top w:val="double" w:sz="4" w:space="0" w:color="auto"/>
                    <w:left w:val="single" w:sz="4" w:space="0" w:color="auto"/>
                    <w:right w:val="single" w:sz="4" w:space="0" w:color="auto"/>
                  </w:tcBorders>
                  <w:shd w:val="clear" w:color="auto" w:fill="FFFF00"/>
                </w:tcPr>
                <w:p w14:paraId="1DC931CF"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1129" w:type="dxa"/>
                  <w:tcBorders>
                    <w:top w:val="double" w:sz="4" w:space="0" w:color="auto"/>
                    <w:left w:val="single" w:sz="4" w:space="0" w:color="auto"/>
                    <w:right w:val="single" w:sz="4" w:space="0" w:color="auto"/>
                  </w:tcBorders>
                  <w:shd w:val="clear" w:color="auto" w:fill="auto"/>
                </w:tcPr>
                <w:p w14:paraId="4A88A538"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r>
            <w:tr w:rsidR="002812BC" w:rsidRPr="00C22F7C" w14:paraId="1CCE0F3A" w14:textId="77777777" w:rsidTr="00B83D66">
              <w:trPr>
                <w:trHeight w:val="214"/>
              </w:trPr>
              <w:tc>
                <w:tcPr>
                  <w:tcW w:w="272" w:type="dxa"/>
                  <w:tcBorders>
                    <w:left w:val="nil"/>
                    <w:bottom w:val="nil"/>
                    <w:right w:val="nil"/>
                  </w:tcBorders>
                </w:tcPr>
                <w:p w14:paraId="1C955EAD" w14:textId="77777777" w:rsidR="002812BC" w:rsidRPr="00C22F7C" w:rsidRDefault="002812BC" w:rsidP="00B83D66">
                  <w:pPr>
                    <w:autoSpaceDE w:val="0"/>
                    <w:autoSpaceDN w:val="0"/>
                    <w:adjustRightInd w:val="0"/>
                    <w:rPr>
                      <w:rFonts w:ascii="Calibri" w:hAnsi="Calibri" w:cs="Calibri"/>
                      <w:bCs/>
                      <w:color w:val="000000"/>
                      <w:sz w:val="22"/>
                      <w:szCs w:val="22"/>
                    </w:rPr>
                  </w:pPr>
                </w:p>
              </w:tc>
              <w:tc>
                <w:tcPr>
                  <w:tcW w:w="4846" w:type="dxa"/>
                  <w:tcBorders>
                    <w:left w:val="nil"/>
                    <w:bottom w:val="nil"/>
                  </w:tcBorders>
                </w:tcPr>
                <w:p w14:paraId="295DE57F" w14:textId="77777777" w:rsidR="002812BC" w:rsidRPr="00C22F7C" w:rsidRDefault="002812BC" w:rsidP="00B83D66">
                  <w:pPr>
                    <w:autoSpaceDE w:val="0"/>
                    <w:autoSpaceDN w:val="0"/>
                    <w:adjustRightInd w:val="0"/>
                    <w:rPr>
                      <w:rFonts w:ascii="Calibri" w:hAnsi="Calibri" w:cs="Calibri"/>
                      <w:color w:val="000000"/>
                      <w:sz w:val="21"/>
                      <w:szCs w:val="21"/>
                    </w:rPr>
                  </w:pPr>
                  <w:r w:rsidRPr="00C22F7C">
                    <w:rPr>
                      <w:rFonts w:ascii="Calibri" w:hAnsi="Calibri" w:cs="Calibri"/>
                      <w:color w:val="000000"/>
                      <w:sz w:val="21"/>
                      <w:szCs w:val="21"/>
                    </w:rPr>
                    <w:t>(Loss)/earnings per ordinary share (€)</w:t>
                  </w:r>
                </w:p>
              </w:tc>
              <w:tc>
                <w:tcPr>
                  <w:tcW w:w="746" w:type="dxa"/>
                  <w:tcBorders>
                    <w:bottom w:val="nil"/>
                  </w:tcBorders>
                </w:tcPr>
                <w:p w14:paraId="1239FA07" w14:textId="77777777" w:rsidR="002812BC" w:rsidRPr="00C22F7C" w:rsidRDefault="002812BC" w:rsidP="00B83D66">
                  <w:pPr>
                    <w:autoSpaceDE w:val="0"/>
                    <w:autoSpaceDN w:val="0"/>
                    <w:adjustRightInd w:val="0"/>
                    <w:jc w:val="right"/>
                    <w:rPr>
                      <w:rFonts w:ascii="Calibri" w:hAnsi="Calibri" w:cs="Calibri"/>
                      <w:b/>
                      <w:color w:val="000000"/>
                      <w:sz w:val="22"/>
                      <w:szCs w:val="22"/>
                    </w:rPr>
                  </w:pPr>
                </w:p>
              </w:tc>
              <w:tc>
                <w:tcPr>
                  <w:tcW w:w="907" w:type="dxa"/>
                  <w:tcBorders>
                    <w:bottom w:val="nil"/>
                    <w:right w:val="single" w:sz="4" w:space="0" w:color="auto"/>
                  </w:tcBorders>
                </w:tcPr>
                <w:p w14:paraId="55399D8F"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1044" w:type="dxa"/>
                  <w:tcBorders>
                    <w:bottom w:val="nil"/>
                    <w:right w:val="single" w:sz="4" w:space="0" w:color="auto"/>
                  </w:tcBorders>
                  <w:shd w:val="clear" w:color="auto" w:fill="FFFF00"/>
                </w:tcPr>
                <w:p w14:paraId="1E5E4793"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981" w:type="dxa"/>
                  <w:tcBorders>
                    <w:bottom w:val="nil"/>
                    <w:right w:val="single" w:sz="4" w:space="0" w:color="auto"/>
                  </w:tcBorders>
                  <w:shd w:val="clear" w:color="auto" w:fill="FFFF00"/>
                </w:tcPr>
                <w:p w14:paraId="21EC96F7"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1129" w:type="dxa"/>
                  <w:tcBorders>
                    <w:left w:val="single" w:sz="4" w:space="0" w:color="auto"/>
                    <w:bottom w:val="nil"/>
                    <w:right w:val="single" w:sz="4" w:space="0" w:color="auto"/>
                  </w:tcBorders>
                  <w:shd w:val="clear" w:color="auto" w:fill="FFFF00"/>
                </w:tcPr>
                <w:p w14:paraId="0C683CED"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1129" w:type="dxa"/>
                  <w:tcBorders>
                    <w:left w:val="single" w:sz="4" w:space="0" w:color="auto"/>
                    <w:bottom w:val="nil"/>
                    <w:right w:val="single" w:sz="4" w:space="0" w:color="auto"/>
                  </w:tcBorders>
                  <w:shd w:val="clear" w:color="auto" w:fill="auto"/>
                </w:tcPr>
                <w:p w14:paraId="15F6169C"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r>
            <w:tr w:rsidR="002812BC" w:rsidRPr="00C22F7C" w14:paraId="0075EAE5" w14:textId="77777777" w:rsidTr="00B83D66">
              <w:trPr>
                <w:trHeight w:val="214"/>
              </w:trPr>
              <w:tc>
                <w:tcPr>
                  <w:tcW w:w="272" w:type="dxa"/>
                  <w:tcBorders>
                    <w:top w:val="nil"/>
                    <w:left w:val="nil"/>
                    <w:bottom w:val="nil"/>
                    <w:right w:val="nil"/>
                  </w:tcBorders>
                </w:tcPr>
                <w:p w14:paraId="282AF286"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4846" w:type="dxa"/>
                  <w:tcBorders>
                    <w:top w:val="nil"/>
                    <w:left w:val="nil"/>
                    <w:bottom w:val="nil"/>
                  </w:tcBorders>
                </w:tcPr>
                <w:p w14:paraId="12A6B8FA" w14:textId="77777777" w:rsidR="002812BC" w:rsidRPr="00C22F7C" w:rsidRDefault="002812BC" w:rsidP="00B83D66">
                  <w:pPr>
                    <w:autoSpaceDE w:val="0"/>
                    <w:autoSpaceDN w:val="0"/>
                    <w:adjustRightInd w:val="0"/>
                    <w:rPr>
                      <w:rFonts w:ascii="Calibri" w:hAnsi="Calibri" w:cs="Calibri"/>
                      <w:color w:val="000000"/>
                      <w:sz w:val="21"/>
                      <w:szCs w:val="21"/>
                    </w:rPr>
                  </w:pPr>
                  <w:r w:rsidRPr="00C22F7C">
                    <w:rPr>
                      <w:rFonts w:ascii="Calibri" w:hAnsi="Calibri" w:cs="Calibri"/>
                      <w:color w:val="000000"/>
                      <w:sz w:val="21"/>
                      <w:szCs w:val="21"/>
                    </w:rPr>
                    <w:t>Basic</w:t>
                  </w:r>
                </w:p>
              </w:tc>
              <w:tc>
                <w:tcPr>
                  <w:tcW w:w="746" w:type="dxa"/>
                  <w:tcBorders>
                    <w:top w:val="nil"/>
                    <w:bottom w:val="nil"/>
                  </w:tcBorders>
                </w:tcPr>
                <w:p w14:paraId="21130E70" w14:textId="05F81A5C" w:rsidR="002812BC" w:rsidRPr="00C22F7C" w:rsidRDefault="00F149C0" w:rsidP="00B83D66">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9</w:t>
                  </w:r>
                </w:p>
              </w:tc>
              <w:tc>
                <w:tcPr>
                  <w:tcW w:w="907" w:type="dxa"/>
                  <w:tcBorders>
                    <w:top w:val="nil"/>
                    <w:bottom w:val="nil"/>
                    <w:right w:val="single" w:sz="4" w:space="0" w:color="auto"/>
                  </w:tcBorders>
                </w:tcPr>
                <w:p w14:paraId="731D9A54"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-13</w:t>
                  </w:r>
                  <w:r>
                    <w:rPr>
                      <w:rFonts w:ascii="Calibri" w:hAnsi="Calibri" w:cs="Calibri"/>
                      <w:bCs/>
                      <w:color w:val="000000"/>
                      <w:sz w:val="22"/>
                      <w:szCs w:val="22"/>
                    </w:rPr>
                    <w:t>7</w:t>
                  </w:r>
                  <w:r w:rsidRPr="00C22F7C">
                    <w:rPr>
                      <w:rFonts w:ascii="Calibri" w:hAnsi="Calibri" w:cs="Calibri"/>
                      <w:bCs/>
                      <w:color w:val="000000"/>
                      <w:sz w:val="22"/>
                      <w:szCs w:val="22"/>
                    </w:rPr>
                    <w:t>%</w:t>
                  </w:r>
                </w:p>
              </w:tc>
              <w:tc>
                <w:tcPr>
                  <w:tcW w:w="1044" w:type="dxa"/>
                  <w:tcBorders>
                    <w:top w:val="nil"/>
                    <w:bottom w:val="nil"/>
                    <w:right w:val="single" w:sz="4" w:space="0" w:color="auto"/>
                  </w:tcBorders>
                  <w:shd w:val="clear" w:color="auto" w:fill="FFFF00"/>
                </w:tcPr>
                <w:p w14:paraId="51B678D5"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p>
              </w:tc>
              <w:tc>
                <w:tcPr>
                  <w:tcW w:w="981" w:type="dxa"/>
                  <w:tcBorders>
                    <w:top w:val="nil"/>
                    <w:bottom w:val="nil"/>
                    <w:right w:val="single" w:sz="4" w:space="0" w:color="auto"/>
                  </w:tcBorders>
                  <w:shd w:val="clear" w:color="auto" w:fill="FFFF00"/>
                </w:tcPr>
                <w:p w14:paraId="60466802"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p>
              </w:tc>
              <w:tc>
                <w:tcPr>
                  <w:tcW w:w="1129" w:type="dxa"/>
                  <w:tcBorders>
                    <w:top w:val="nil"/>
                    <w:left w:val="single" w:sz="4" w:space="0" w:color="auto"/>
                    <w:bottom w:val="nil"/>
                    <w:right w:val="single" w:sz="4" w:space="0" w:color="auto"/>
                  </w:tcBorders>
                  <w:shd w:val="clear" w:color="auto" w:fill="FFFF00"/>
                </w:tcPr>
                <w:p w14:paraId="0810EC65"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b/>
                      <w:bCs/>
                      <w:color w:val="000000"/>
                      <w:sz w:val="22"/>
                      <w:szCs w:val="22"/>
                    </w:rPr>
                    <w:t>(0.3752)</w:t>
                  </w:r>
                </w:p>
              </w:tc>
              <w:tc>
                <w:tcPr>
                  <w:tcW w:w="1129" w:type="dxa"/>
                  <w:tcBorders>
                    <w:top w:val="nil"/>
                    <w:left w:val="single" w:sz="4" w:space="0" w:color="auto"/>
                    <w:bottom w:val="nil"/>
                    <w:right w:val="single" w:sz="4" w:space="0" w:color="auto"/>
                  </w:tcBorders>
                  <w:shd w:val="clear" w:color="auto" w:fill="auto"/>
                </w:tcPr>
                <w:p w14:paraId="0C49A61A"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1.0247</w:t>
                  </w:r>
                </w:p>
              </w:tc>
            </w:tr>
            <w:tr w:rsidR="002812BC" w:rsidRPr="00C22F7C" w14:paraId="1EA4E88E" w14:textId="77777777" w:rsidTr="00B83D66">
              <w:trPr>
                <w:trHeight w:val="214"/>
              </w:trPr>
              <w:tc>
                <w:tcPr>
                  <w:tcW w:w="272" w:type="dxa"/>
                  <w:tcBorders>
                    <w:top w:val="nil"/>
                    <w:left w:val="nil"/>
                    <w:bottom w:val="nil"/>
                    <w:right w:val="nil"/>
                  </w:tcBorders>
                </w:tcPr>
                <w:p w14:paraId="46C1168D"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4846" w:type="dxa"/>
                  <w:tcBorders>
                    <w:top w:val="nil"/>
                    <w:left w:val="nil"/>
                    <w:bottom w:val="nil"/>
                  </w:tcBorders>
                </w:tcPr>
                <w:p w14:paraId="788B0460" w14:textId="77777777" w:rsidR="002812BC" w:rsidRPr="00C22F7C" w:rsidRDefault="002812BC" w:rsidP="00B83D66">
                  <w:pPr>
                    <w:autoSpaceDE w:val="0"/>
                    <w:autoSpaceDN w:val="0"/>
                    <w:adjustRightInd w:val="0"/>
                    <w:rPr>
                      <w:rFonts w:ascii="Calibri" w:hAnsi="Calibri" w:cs="Calibri"/>
                      <w:color w:val="000000"/>
                      <w:sz w:val="21"/>
                      <w:szCs w:val="21"/>
                    </w:rPr>
                  </w:pPr>
                  <w:r w:rsidRPr="00C22F7C">
                    <w:rPr>
                      <w:rFonts w:ascii="Calibri" w:hAnsi="Calibri" w:cs="Calibri"/>
                      <w:color w:val="000000"/>
                      <w:sz w:val="21"/>
                      <w:szCs w:val="21"/>
                    </w:rPr>
                    <w:t>Diluted</w:t>
                  </w:r>
                </w:p>
              </w:tc>
              <w:tc>
                <w:tcPr>
                  <w:tcW w:w="746" w:type="dxa"/>
                  <w:tcBorders>
                    <w:top w:val="nil"/>
                    <w:bottom w:val="nil"/>
                  </w:tcBorders>
                </w:tcPr>
                <w:p w14:paraId="0833C46D" w14:textId="4E097907" w:rsidR="002812BC" w:rsidRPr="00C22F7C" w:rsidRDefault="00F149C0" w:rsidP="00B83D66">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9</w:t>
                  </w:r>
                </w:p>
              </w:tc>
              <w:tc>
                <w:tcPr>
                  <w:tcW w:w="907" w:type="dxa"/>
                  <w:tcBorders>
                    <w:top w:val="nil"/>
                    <w:bottom w:val="nil"/>
                    <w:right w:val="single" w:sz="4" w:space="0" w:color="auto"/>
                  </w:tcBorders>
                </w:tcPr>
                <w:p w14:paraId="45032C4A"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-13</w:t>
                  </w:r>
                  <w:r>
                    <w:rPr>
                      <w:rFonts w:ascii="Calibri" w:hAnsi="Calibri" w:cs="Calibri"/>
                      <w:bCs/>
                      <w:color w:val="000000"/>
                      <w:sz w:val="22"/>
                      <w:szCs w:val="22"/>
                    </w:rPr>
                    <w:t>7</w:t>
                  </w:r>
                  <w:r w:rsidRPr="00C22F7C">
                    <w:rPr>
                      <w:rFonts w:ascii="Calibri" w:hAnsi="Calibri" w:cs="Calibri"/>
                      <w:bCs/>
                      <w:color w:val="000000"/>
                      <w:sz w:val="22"/>
                      <w:szCs w:val="22"/>
                    </w:rPr>
                    <w:t>%</w:t>
                  </w:r>
                </w:p>
              </w:tc>
              <w:tc>
                <w:tcPr>
                  <w:tcW w:w="1044" w:type="dxa"/>
                  <w:tcBorders>
                    <w:top w:val="nil"/>
                    <w:bottom w:val="nil"/>
                    <w:right w:val="single" w:sz="4" w:space="0" w:color="auto"/>
                  </w:tcBorders>
                  <w:shd w:val="clear" w:color="auto" w:fill="FFFF00"/>
                </w:tcPr>
                <w:p w14:paraId="25C6F08C"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p>
              </w:tc>
              <w:tc>
                <w:tcPr>
                  <w:tcW w:w="981" w:type="dxa"/>
                  <w:tcBorders>
                    <w:top w:val="nil"/>
                    <w:bottom w:val="nil"/>
                    <w:right w:val="single" w:sz="4" w:space="0" w:color="auto"/>
                  </w:tcBorders>
                  <w:shd w:val="clear" w:color="auto" w:fill="FFFF00"/>
                </w:tcPr>
                <w:p w14:paraId="5C06E048"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p>
              </w:tc>
              <w:tc>
                <w:tcPr>
                  <w:tcW w:w="1129" w:type="dxa"/>
                  <w:tcBorders>
                    <w:top w:val="nil"/>
                    <w:left w:val="single" w:sz="4" w:space="0" w:color="auto"/>
                    <w:bottom w:val="nil"/>
                    <w:right w:val="single" w:sz="4" w:space="0" w:color="auto"/>
                  </w:tcBorders>
                  <w:shd w:val="clear" w:color="auto" w:fill="FFFF00"/>
                </w:tcPr>
                <w:p w14:paraId="0ED7178E" w14:textId="77777777" w:rsidR="002812BC" w:rsidRPr="00C22F7C" w:rsidRDefault="002812BC" w:rsidP="00B83D66">
                  <w:pPr>
                    <w:widowControl w:val="0"/>
                    <w:autoSpaceDE w:val="0"/>
                    <w:autoSpaceDN w:val="0"/>
                    <w:adjustRightInd w:val="0"/>
                    <w:jc w:val="right"/>
                    <w:rPr>
                      <w:rFonts w:ascii="Calibri" w:hAnsi="Calibri" w:cs="Calibri"/>
                      <w:b/>
                      <w:color w:val="000000"/>
                      <w:sz w:val="22"/>
                      <w:szCs w:val="22"/>
                    </w:rPr>
                  </w:pPr>
                  <w:r w:rsidRPr="00C22F7C">
                    <w:rPr>
                      <w:rFonts w:ascii="Calibri" w:hAnsi="Calibri" w:cs="Calibri"/>
                      <w:b/>
                      <w:color w:val="000000"/>
                      <w:sz w:val="22"/>
                      <w:szCs w:val="22"/>
                    </w:rPr>
                    <w:t>(0.3752)</w:t>
                  </w:r>
                </w:p>
              </w:tc>
              <w:tc>
                <w:tcPr>
                  <w:tcW w:w="1129" w:type="dxa"/>
                  <w:tcBorders>
                    <w:top w:val="nil"/>
                    <w:left w:val="single" w:sz="4" w:space="0" w:color="auto"/>
                    <w:bottom w:val="nil"/>
                    <w:right w:val="single" w:sz="4" w:space="0" w:color="auto"/>
                  </w:tcBorders>
                  <w:shd w:val="clear" w:color="auto" w:fill="auto"/>
                </w:tcPr>
                <w:p w14:paraId="6CAF5D8D"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1.0204</w:t>
                  </w:r>
                </w:p>
              </w:tc>
            </w:tr>
            <w:tr w:rsidR="002812BC" w:rsidRPr="00C22F7C" w14:paraId="6987579B" w14:textId="77777777" w:rsidTr="00B83D66">
              <w:trPr>
                <w:trHeight w:val="214"/>
              </w:trPr>
              <w:tc>
                <w:tcPr>
                  <w:tcW w:w="272" w:type="dxa"/>
                  <w:tcBorders>
                    <w:top w:val="nil"/>
                    <w:left w:val="nil"/>
                    <w:bottom w:val="nil"/>
                    <w:right w:val="nil"/>
                  </w:tcBorders>
                </w:tcPr>
                <w:p w14:paraId="377A4CA7"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4846" w:type="dxa"/>
                  <w:tcBorders>
                    <w:top w:val="nil"/>
                    <w:left w:val="nil"/>
                    <w:bottom w:val="nil"/>
                  </w:tcBorders>
                </w:tcPr>
                <w:p w14:paraId="69DB7DEE" w14:textId="77777777" w:rsidR="002812BC" w:rsidRPr="00C22F7C" w:rsidRDefault="002812BC" w:rsidP="00B83D66">
                  <w:pPr>
                    <w:autoSpaceDE w:val="0"/>
                    <w:autoSpaceDN w:val="0"/>
                    <w:adjustRightInd w:val="0"/>
                    <w:ind w:right="-128"/>
                    <w:rPr>
                      <w:rFonts w:ascii="Calibri" w:hAnsi="Calibri" w:cs="Calibri"/>
                      <w:color w:val="000000"/>
                      <w:sz w:val="21"/>
                      <w:szCs w:val="21"/>
                    </w:rPr>
                  </w:pPr>
                  <w:r w:rsidRPr="00C22F7C">
                    <w:rPr>
                      <w:rFonts w:ascii="Calibri" w:hAnsi="Calibri" w:cs="Calibri"/>
                      <w:color w:val="000000"/>
                      <w:sz w:val="21"/>
                      <w:szCs w:val="21"/>
                    </w:rPr>
                    <w:t>Weighted ave. no. of ord. shares (in Ms)</w:t>
                  </w:r>
                </w:p>
              </w:tc>
              <w:tc>
                <w:tcPr>
                  <w:tcW w:w="746" w:type="dxa"/>
                  <w:tcBorders>
                    <w:top w:val="nil"/>
                    <w:bottom w:val="nil"/>
                  </w:tcBorders>
                </w:tcPr>
                <w:p w14:paraId="247AF671" w14:textId="77777777" w:rsidR="002812BC" w:rsidRPr="00C22F7C" w:rsidRDefault="002812BC" w:rsidP="00B83D66">
                  <w:pPr>
                    <w:autoSpaceDE w:val="0"/>
                    <w:autoSpaceDN w:val="0"/>
                    <w:adjustRightInd w:val="0"/>
                    <w:jc w:val="center"/>
                    <w:rPr>
                      <w:rFonts w:ascii="Calibri" w:hAnsi="Calibri" w:cs="Calibri"/>
                      <w:b/>
                      <w:bCs/>
                      <w:color w:val="000000"/>
                      <w:sz w:val="22"/>
                      <w:szCs w:val="22"/>
                    </w:rPr>
                  </w:pPr>
                </w:p>
              </w:tc>
              <w:tc>
                <w:tcPr>
                  <w:tcW w:w="907" w:type="dxa"/>
                  <w:tcBorders>
                    <w:top w:val="nil"/>
                    <w:bottom w:val="nil"/>
                    <w:right w:val="single" w:sz="4" w:space="0" w:color="auto"/>
                  </w:tcBorders>
                </w:tcPr>
                <w:p w14:paraId="1C4D24DF"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044" w:type="dxa"/>
                  <w:tcBorders>
                    <w:top w:val="nil"/>
                    <w:bottom w:val="nil"/>
                    <w:right w:val="single" w:sz="4" w:space="0" w:color="auto"/>
                  </w:tcBorders>
                  <w:shd w:val="clear" w:color="auto" w:fill="FFFF00"/>
                </w:tcPr>
                <w:p w14:paraId="568C2DFE"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981" w:type="dxa"/>
                  <w:tcBorders>
                    <w:top w:val="nil"/>
                    <w:bottom w:val="nil"/>
                    <w:right w:val="single" w:sz="4" w:space="0" w:color="auto"/>
                  </w:tcBorders>
                  <w:shd w:val="clear" w:color="auto" w:fill="FFFF00"/>
                </w:tcPr>
                <w:p w14:paraId="5ACD3ED7"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1129" w:type="dxa"/>
                  <w:tcBorders>
                    <w:top w:val="nil"/>
                    <w:left w:val="single" w:sz="4" w:space="0" w:color="auto"/>
                    <w:bottom w:val="nil"/>
                    <w:right w:val="single" w:sz="4" w:space="0" w:color="auto"/>
                  </w:tcBorders>
                  <w:shd w:val="clear" w:color="auto" w:fill="FFFF00"/>
                </w:tcPr>
                <w:p w14:paraId="0EF0A895"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1129" w:type="dxa"/>
                  <w:tcBorders>
                    <w:top w:val="nil"/>
                    <w:left w:val="single" w:sz="4" w:space="0" w:color="auto"/>
                    <w:bottom w:val="nil"/>
                    <w:right w:val="single" w:sz="4" w:space="0" w:color="auto"/>
                  </w:tcBorders>
                  <w:shd w:val="clear" w:color="auto" w:fill="auto"/>
                </w:tcPr>
                <w:p w14:paraId="418013E0"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r>
            <w:tr w:rsidR="002812BC" w:rsidRPr="00C22F7C" w14:paraId="1470A3C4" w14:textId="77777777" w:rsidTr="00B83D66">
              <w:trPr>
                <w:trHeight w:val="214"/>
              </w:trPr>
              <w:tc>
                <w:tcPr>
                  <w:tcW w:w="272" w:type="dxa"/>
                  <w:tcBorders>
                    <w:top w:val="nil"/>
                    <w:left w:val="nil"/>
                    <w:bottom w:val="nil"/>
                    <w:right w:val="nil"/>
                  </w:tcBorders>
                </w:tcPr>
                <w:p w14:paraId="0838D058"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4846" w:type="dxa"/>
                  <w:tcBorders>
                    <w:top w:val="nil"/>
                    <w:left w:val="nil"/>
                    <w:bottom w:val="nil"/>
                  </w:tcBorders>
                </w:tcPr>
                <w:p w14:paraId="069D7D30" w14:textId="77777777" w:rsidR="002812BC" w:rsidRPr="00C22F7C" w:rsidRDefault="002812BC" w:rsidP="00B83D66">
                  <w:pPr>
                    <w:autoSpaceDE w:val="0"/>
                    <w:autoSpaceDN w:val="0"/>
                    <w:adjustRightInd w:val="0"/>
                    <w:rPr>
                      <w:rFonts w:ascii="Calibri" w:hAnsi="Calibri" w:cs="Calibri"/>
                      <w:color w:val="000000"/>
                      <w:sz w:val="21"/>
                      <w:szCs w:val="21"/>
                    </w:rPr>
                  </w:pPr>
                  <w:r w:rsidRPr="00C22F7C">
                    <w:rPr>
                      <w:rFonts w:ascii="Calibri" w:hAnsi="Calibri" w:cs="Calibri"/>
                      <w:color w:val="000000"/>
                      <w:sz w:val="21"/>
                      <w:szCs w:val="21"/>
                    </w:rPr>
                    <w:t>Basic</w:t>
                  </w:r>
                </w:p>
              </w:tc>
              <w:tc>
                <w:tcPr>
                  <w:tcW w:w="746" w:type="dxa"/>
                  <w:tcBorders>
                    <w:top w:val="nil"/>
                    <w:bottom w:val="nil"/>
                  </w:tcBorders>
                </w:tcPr>
                <w:p w14:paraId="62D85D46" w14:textId="33DE8D33" w:rsidR="002812BC" w:rsidRPr="00C22F7C" w:rsidRDefault="00F149C0" w:rsidP="00B83D66">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9</w:t>
                  </w:r>
                </w:p>
              </w:tc>
              <w:tc>
                <w:tcPr>
                  <w:tcW w:w="907" w:type="dxa"/>
                  <w:tcBorders>
                    <w:top w:val="nil"/>
                    <w:bottom w:val="nil"/>
                    <w:right w:val="single" w:sz="4" w:space="0" w:color="auto"/>
                  </w:tcBorders>
                </w:tcPr>
                <w:p w14:paraId="217F212C"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044" w:type="dxa"/>
                  <w:tcBorders>
                    <w:top w:val="nil"/>
                    <w:bottom w:val="nil"/>
                    <w:right w:val="single" w:sz="4" w:space="0" w:color="auto"/>
                  </w:tcBorders>
                  <w:shd w:val="clear" w:color="auto" w:fill="FFFF00"/>
                </w:tcPr>
                <w:p w14:paraId="25284730"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p>
              </w:tc>
              <w:tc>
                <w:tcPr>
                  <w:tcW w:w="981" w:type="dxa"/>
                  <w:tcBorders>
                    <w:top w:val="nil"/>
                    <w:bottom w:val="nil"/>
                    <w:right w:val="single" w:sz="4" w:space="0" w:color="auto"/>
                  </w:tcBorders>
                  <w:shd w:val="clear" w:color="auto" w:fill="FFFF00"/>
                </w:tcPr>
                <w:p w14:paraId="153FCABE"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p>
              </w:tc>
              <w:tc>
                <w:tcPr>
                  <w:tcW w:w="1129" w:type="dxa"/>
                  <w:tcBorders>
                    <w:top w:val="nil"/>
                    <w:left w:val="single" w:sz="4" w:space="0" w:color="auto"/>
                    <w:bottom w:val="nil"/>
                    <w:right w:val="single" w:sz="4" w:space="0" w:color="auto"/>
                  </w:tcBorders>
                  <w:shd w:val="clear" w:color="auto" w:fill="FFFF00"/>
                </w:tcPr>
                <w:p w14:paraId="4B518761"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b/>
                      <w:bCs/>
                      <w:color w:val="000000"/>
                      <w:sz w:val="22"/>
                      <w:szCs w:val="22"/>
                    </w:rPr>
                    <w:t>1,094.0</w:t>
                  </w:r>
                </w:p>
              </w:tc>
              <w:tc>
                <w:tcPr>
                  <w:tcW w:w="1129" w:type="dxa"/>
                  <w:tcBorders>
                    <w:top w:val="nil"/>
                    <w:left w:val="single" w:sz="4" w:space="0" w:color="auto"/>
                    <w:bottom w:val="nil"/>
                    <w:right w:val="single" w:sz="4" w:space="0" w:color="auto"/>
                  </w:tcBorders>
                  <w:shd w:val="clear" w:color="auto" w:fill="auto"/>
                </w:tcPr>
                <w:p w14:paraId="11C38276"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1,124.9</w:t>
                  </w:r>
                </w:p>
              </w:tc>
            </w:tr>
            <w:tr w:rsidR="002812BC" w:rsidRPr="00C22F7C" w14:paraId="02F8AD74" w14:textId="77777777" w:rsidTr="00B83D66">
              <w:trPr>
                <w:trHeight w:val="214"/>
              </w:trPr>
              <w:tc>
                <w:tcPr>
                  <w:tcW w:w="272" w:type="dxa"/>
                  <w:tcBorders>
                    <w:top w:val="nil"/>
                    <w:left w:val="nil"/>
                    <w:bottom w:val="nil"/>
                    <w:right w:val="nil"/>
                  </w:tcBorders>
                </w:tcPr>
                <w:p w14:paraId="404740D6"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4846" w:type="dxa"/>
                  <w:tcBorders>
                    <w:top w:val="nil"/>
                    <w:left w:val="nil"/>
                    <w:bottom w:val="nil"/>
                  </w:tcBorders>
                </w:tcPr>
                <w:p w14:paraId="088F3926" w14:textId="77777777" w:rsidR="002812BC" w:rsidRPr="00C22F7C" w:rsidRDefault="002812BC" w:rsidP="00B83D66">
                  <w:pPr>
                    <w:autoSpaceDE w:val="0"/>
                    <w:autoSpaceDN w:val="0"/>
                    <w:adjustRightInd w:val="0"/>
                    <w:rPr>
                      <w:rFonts w:ascii="Calibri" w:hAnsi="Calibri" w:cs="Calibri"/>
                      <w:color w:val="000000"/>
                      <w:sz w:val="21"/>
                      <w:szCs w:val="21"/>
                    </w:rPr>
                  </w:pPr>
                  <w:r w:rsidRPr="00C22F7C">
                    <w:rPr>
                      <w:rFonts w:ascii="Calibri" w:hAnsi="Calibri" w:cs="Calibri"/>
                      <w:color w:val="000000"/>
                      <w:sz w:val="21"/>
                      <w:szCs w:val="21"/>
                    </w:rPr>
                    <w:t>Diluted</w:t>
                  </w:r>
                </w:p>
              </w:tc>
              <w:tc>
                <w:tcPr>
                  <w:tcW w:w="746" w:type="dxa"/>
                  <w:tcBorders>
                    <w:top w:val="nil"/>
                  </w:tcBorders>
                </w:tcPr>
                <w:p w14:paraId="79900D64" w14:textId="286A0693" w:rsidR="002812BC" w:rsidRPr="00C22F7C" w:rsidRDefault="00F149C0" w:rsidP="00B83D66">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9</w:t>
                  </w:r>
                </w:p>
              </w:tc>
              <w:tc>
                <w:tcPr>
                  <w:tcW w:w="907" w:type="dxa"/>
                  <w:tcBorders>
                    <w:top w:val="nil"/>
                    <w:right w:val="single" w:sz="4" w:space="0" w:color="auto"/>
                  </w:tcBorders>
                </w:tcPr>
                <w:p w14:paraId="265EA413"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044" w:type="dxa"/>
                  <w:tcBorders>
                    <w:top w:val="nil"/>
                    <w:bottom w:val="single" w:sz="4" w:space="0" w:color="auto"/>
                    <w:right w:val="single" w:sz="4" w:space="0" w:color="auto"/>
                  </w:tcBorders>
                  <w:shd w:val="clear" w:color="auto" w:fill="FFFF00"/>
                </w:tcPr>
                <w:p w14:paraId="17C9325D"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p>
              </w:tc>
              <w:tc>
                <w:tcPr>
                  <w:tcW w:w="981" w:type="dxa"/>
                  <w:tcBorders>
                    <w:top w:val="nil"/>
                    <w:bottom w:val="single" w:sz="4" w:space="0" w:color="auto"/>
                    <w:right w:val="single" w:sz="4" w:space="0" w:color="auto"/>
                  </w:tcBorders>
                  <w:shd w:val="clear" w:color="auto" w:fill="FFFF00"/>
                </w:tcPr>
                <w:p w14:paraId="1C9DDBE0"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p>
              </w:tc>
              <w:tc>
                <w:tcPr>
                  <w:tcW w:w="1129" w:type="dxa"/>
                  <w:tcBorders>
                    <w:top w:val="nil"/>
                    <w:left w:val="single" w:sz="4" w:space="0" w:color="auto"/>
                    <w:bottom w:val="single" w:sz="4" w:space="0" w:color="auto"/>
                    <w:right w:val="single" w:sz="4" w:space="0" w:color="auto"/>
                  </w:tcBorders>
                  <w:shd w:val="clear" w:color="auto" w:fill="FFFF00"/>
                </w:tcPr>
                <w:p w14:paraId="6F08DBCA"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b/>
                      <w:bCs/>
                      <w:color w:val="000000"/>
                      <w:sz w:val="22"/>
                      <w:szCs w:val="22"/>
                    </w:rPr>
                    <w:t>1,094.0</w:t>
                  </w:r>
                </w:p>
              </w:tc>
              <w:tc>
                <w:tcPr>
                  <w:tcW w:w="1129" w:type="dxa"/>
                  <w:tcBorders>
                    <w:top w:val="nil"/>
                    <w:left w:val="single" w:sz="4" w:space="0" w:color="auto"/>
                    <w:bottom w:val="single" w:sz="4" w:space="0" w:color="auto"/>
                    <w:right w:val="single" w:sz="4" w:space="0" w:color="auto"/>
                  </w:tcBorders>
                  <w:shd w:val="clear" w:color="auto" w:fill="auto"/>
                </w:tcPr>
                <w:p w14:paraId="41E4D629"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1,129.7</w:t>
                  </w:r>
                </w:p>
              </w:tc>
            </w:tr>
          </w:tbl>
          <w:p w14:paraId="1922E45B" w14:textId="77777777" w:rsidR="002812BC" w:rsidRPr="00C22F7C" w:rsidRDefault="002812BC" w:rsidP="00B83D66">
            <w:pPr>
              <w:tabs>
                <w:tab w:val="left" w:pos="6096"/>
                <w:tab w:val="left" w:pos="7655"/>
              </w:tabs>
              <w:autoSpaceDE w:val="0"/>
              <w:autoSpaceDN w:val="0"/>
              <w:adjustRightInd w:val="0"/>
              <w:ind w:left="32"/>
              <w:rPr>
                <w:rFonts w:ascii="Calibri" w:hAnsi="Calibri" w:cs="Calibri"/>
                <w:b/>
                <w:bCs/>
                <w:i/>
                <w:color w:val="000000"/>
                <w:sz w:val="20"/>
                <w:szCs w:val="20"/>
              </w:rPr>
            </w:pPr>
          </w:p>
        </w:tc>
      </w:tr>
    </w:tbl>
    <w:p w14:paraId="769FF8E8" w14:textId="77777777" w:rsidR="002812BC" w:rsidRPr="00C22F7C" w:rsidRDefault="002812BC" w:rsidP="002812BC">
      <w:pPr>
        <w:autoSpaceDE w:val="0"/>
        <w:autoSpaceDN w:val="0"/>
        <w:adjustRightInd w:val="0"/>
        <w:spacing w:before="120"/>
        <w:rPr>
          <w:rFonts w:ascii="Calibri" w:hAnsi="Calibri" w:cs="Calibri"/>
          <w:b/>
          <w:bCs/>
          <w:i/>
          <w:color w:val="000000"/>
          <w:sz w:val="18"/>
          <w:szCs w:val="18"/>
        </w:rPr>
      </w:pPr>
    </w:p>
    <w:p w14:paraId="721CE134" w14:textId="77777777" w:rsidR="002812BC" w:rsidRPr="00226493" w:rsidRDefault="002812BC" w:rsidP="002812BC">
      <w:pPr>
        <w:autoSpaceDE w:val="0"/>
        <w:autoSpaceDN w:val="0"/>
        <w:adjustRightInd w:val="0"/>
        <w:ind w:left="34"/>
        <w:rPr>
          <w:rFonts w:ascii="Calibri" w:hAnsi="Calibri" w:cs="Calibri"/>
          <w:b/>
          <w:bCs/>
          <w:i/>
          <w:color w:val="000000"/>
          <w:sz w:val="20"/>
          <w:szCs w:val="16"/>
        </w:rPr>
      </w:pPr>
      <w:r w:rsidRPr="00226493">
        <w:rPr>
          <w:rFonts w:ascii="Calibri" w:hAnsi="Calibri" w:cs="Calibri"/>
          <w:b/>
          <w:bCs/>
          <w:i/>
          <w:color w:val="000000"/>
          <w:sz w:val="20"/>
          <w:szCs w:val="16"/>
        </w:rPr>
        <w:t>*’+’ is favourable and ‘-‘ is adverse year-on-year.</w:t>
      </w:r>
    </w:p>
    <w:p w14:paraId="52655584" w14:textId="5C2AC7C1" w:rsidR="002812BC" w:rsidRDefault="002812BC" w:rsidP="00E740F5">
      <w:pPr>
        <w:rPr>
          <w:rFonts w:asciiTheme="minorHAnsi" w:hAnsiTheme="minorHAnsi" w:cstheme="minorHAnsi"/>
        </w:rPr>
      </w:pPr>
    </w:p>
    <w:p w14:paraId="703E2195" w14:textId="77777777" w:rsidR="005C13A2" w:rsidRDefault="005C13A2" w:rsidP="00E740F5">
      <w:pPr>
        <w:rPr>
          <w:rFonts w:asciiTheme="minorHAnsi" w:hAnsiTheme="minorHAnsi" w:cstheme="minorHAnsi"/>
        </w:rPr>
      </w:pPr>
    </w:p>
    <w:tbl>
      <w:tblPr>
        <w:tblW w:w="4925" w:type="pct"/>
        <w:tblLayout w:type="fixed"/>
        <w:tblLook w:val="0000" w:firstRow="0" w:lastRow="0" w:firstColumn="0" w:lastColumn="0" w:noHBand="0" w:noVBand="0"/>
      </w:tblPr>
      <w:tblGrid>
        <w:gridCol w:w="13749"/>
      </w:tblGrid>
      <w:tr w:rsidR="002812BC" w:rsidRPr="00C22F7C" w14:paraId="52B2D29C" w14:textId="77777777" w:rsidTr="00467FB7">
        <w:trPr>
          <w:trHeight w:val="556"/>
        </w:trPr>
        <w:tc>
          <w:tcPr>
            <w:tcW w:w="5000" w:type="pct"/>
            <w:tcBorders>
              <w:top w:val="nil"/>
              <w:left w:val="nil"/>
              <w:bottom w:val="nil"/>
              <w:right w:val="nil"/>
            </w:tcBorders>
          </w:tcPr>
          <w:p w14:paraId="0EB72332" w14:textId="77777777" w:rsidR="002812BC" w:rsidRPr="00C22F7C" w:rsidRDefault="002812BC" w:rsidP="00B83D66">
            <w:pPr>
              <w:keepNext/>
              <w:pageBreakBefore/>
              <w:autoSpaceDE w:val="0"/>
              <w:autoSpaceDN w:val="0"/>
              <w:adjustRightInd w:val="0"/>
              <w:ind w:left="34"/>
              <w:rPr>
                <w:rFonts w:ascii="Calibri" w:hAnsi="Calibri" w:cs="Calibri"/>
                <w:b/>
                <w:bCs/>
                <w:color w:val="000000"/>
              </w:rPr>
            </w:pPr>
            <w:r w:rsidRPr="00C22F7C">
              <w:rPr>
                <w:rFonts w:ascii="Calibri" w:hAnsi="Calibri" w:cs="Calibri"/>
                <w:b/>
                <w:bCs/>
                <w:color w:val="000000"/>
              </w:rPr>
              <w:lastRenderedPageBreak/>
              <w:t xml:space="preserve">Ryanair Holdings plc and Subsidiaries </w:t>
            </w:r>
          </w:p>
          <w:p w14:paraId="22CDF814" w14:textId="77777777" w:rsidR="002812BC" w:rsidRPr="00C22F7C" w:rsidRDefault="002812BC" w:rsidP="00B83D66">
            <w:pPr>
              <w:keepNext/>
              <w:pageBreakBefore/>
              <w:autoSpaceDE w:val="0"/>
              <w:autoSpaceDN w:val="0"/>
              <w:adjustRightInd w:val="0"/>
              <w:ind w:left="34"/>
              <w:rPr>
                <w:rFonts w:ascii="Calibri" w:hAnsi="Calibri" w:cs="Calibri"/>
                <w:b/>
                <w:bCs/>
                <w:i/>
                <w:color w:val="000000"/>
              </w:rPr>
            </w:pPr>
            <w:r w:rsidRPr="00C22F7C">
              <w:rPr>
                <w:rFonts w:ascii="Calibri" w:hAnsi="Calibri" w:cs="Calibri"/>
                <w:b/>
                <w:bCs/>
                <w:i/>
                <w:color w:val="000000"/>
              </w:rPr>
              <w:t>Condensed Consolidated Interim Income Statement for the Quarter ended September 30, 2020 (unaudited)</w:t>
            </w:r>
          </w:p>
        </w:tc>
      </w:tr>
      <w:tr w:rsidR="002812BC" w:rsidRPr="00C22F7C" w14:paraId="7812F60F" w14:textId="77777777" w:rsidTr="00467FB7">
        <w:trPr>
          <w:trHeight w:val="223"/>
        </w:trPr>
        <w:tc>
          <w:tcPr>
            <w:tcW w:w="5000" w:type="pct"/>
            <w:tcBorders>
              <w:top w:val="nil"/>
              <w:left w:val="nil"/>
              <w:bottom w:val="nil"/>
              <w:right w:val="nil"/>
            </w:tcBorders>
            <w:shd w:val="clear" w:color="auto" w:fill="auto"/>
          </w:tcPr>
          <w:p w14:paraId="31467F1E" w14:textId="77777777" w:rsidR="002812BC" w:rsidRPr="00C22F7C" w:rsidRDefault="002812BC" w:rsidP="00B83D66">
            <w:pPr>
              <w:rPr>
                <w:rFonts w:ascii="Calibri" w:hAnsi="Calibri" w:cs="Calibri"/>
                <w:b/>
                <w:bCs/>
                <w:i/>
                <w:iCs/>
                <w:color w:val="000000"/>
                <w:sz w:val="22"/>
                <w:szCs w:val="22"/>
              </w:rPr>
            </w:pPr>
          </w:p>
          <w:tbl>
            <w:tblPr>
              <w:tblW w:w="11033" w:type="dxa"/>
              <w:tblLayout w:type="fixed"/>
              <w:tblLook w:val="0000" w:firstRow="0" w:lastRow="0" w:firstColumn="0" w:lastColumn="0" w:noHBand="0" w:noVBand="0"/>
            </w:tblPr>
            <w:tblGrid>
              <w:gridCol w:w="265"/>
              <w:gridCol w:w="4926"/>
              <w:gridCol w:w="680"/>
              <w:gridCol w:w="925"/>
              <w:gridCol w:w="1129"/>
              <w:gridCol w:w="1036"/>
              <w:gridCol w:w="1036"/>
              <w:gridCol w:w="1036"/>
            </w:tblGrid>
            <w:tr w:rsidR="002812BC" w:rsidRPr="00C22F7C" w14:paraId="14D36235" w14:textId="77777777" w:rsidTr="00B83D66">
              <w:trPr>
                <w:trHeight w:val="229"/>
              </w:trPr>
              <w:tc>
                <w:tcPr>
                  <w:tcW w:w="265" w:type="dxa"/>
                  <w:tcBorders>
                    <w:top w:val="nil"/>
                    <w:left w:val="nil"/>
                    <w:bottom w:val="nil"/>
                    <w:right w:val="nil"/>
                  </w:tcBorders>
                </w:tcPr>
                <w:p w14:paraId="78877092"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7EF68699"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680" w:type="dxa"/>
                  <w:tcBorders>
                    <w:top w:val="nil"/>
                    <w:bottom w:val="nil"/>
                  </w:tcBorders>
                </w:tcPr>
                <w:p w14:paraId="52969BA2"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bottom w:val="nil"/>
                    <w:right w:val="single" w:sz="4" w:space="0" w:color="auto"/>
                  </w:tcBorders>
                </w:tcPr>
                <w:p w14:paraId="76DD8006" w14:textId="77777777" w:rsidR="002812BC" w:rsidRPr="00C22F7C" w:rsidRDefault="002812BC" w:rsidP="00B83D66">
                  <w:pPr>
                    <w:autoSpaceDE w:val="0"/>
                    <w:autoSpaceDN w:val="0"/>
                    <w:adjustRightInd w:val="0"/>
                    <w:ind w:left="-247" w:firstLine="247"/>
                    <w:jc w:val="right"/>
                    <w:rPr>
                      <w:rFonts w:ascii="Calibri" w:hAnsi="Calibri" w:cs="Calibri"/>
                      <w:bCs/>
                      <w:color w:val="000000"/>
                      <w:sz w:val="22"/>
                      <w:szCs w:val="22"/>
                    </w:rPr>
                  </w:pPr>
                </w:p>
              </w:tc>
              <w:tc>
                <w:tcPr>
                  <w:tcW w:w="1129" w:type="dxa"/>
                  <w:tcBorders>
                    <w:top w:val="single" w:sz="4" w:space="0" w:color="auto"/>
                    <w:bottom w:val="nil"/>
                    <w:right w:val="single" w:sz="4" w:space="0" w:color="auto"/>
                  </w:tcBorders>
                  <w:shd w:val="clear" w:color="auto" w:fill="FFFF00"/>
                </w:tcPr>
                <w:p w14:paraId="2A854EC8"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Pre-Except.</w:t>
                  </w:r>
                </w:p>
              </w:tc>
              <w:tc>
                <w:tcPr>
                  <w:tcW w:w="1036" w:type="dxa"/>
                  <w:tcBorders>
                    <w:top w:val="single" w:sz="4" w:space="0" w:color="auto"/>
                    <w:bottom w:val="nil"/>
                    <w:right w:val="single" w:sz="4" w:space="0" w:color="auto"/>
                  </w:tcBorders>
                  <w:shd w:val="clear" w:color="auto" w:fill="FFFF00"/>
                </w:tcPr>
                <w:p w14:paraId="572C1803" w14:textId="77777777" w:rsidR="002812BC" w:rsidRPr="00C22F7C" w:rsidRDefault="002812BC" w:rsidP="00B83D66">
                  <w:pPr>
                    <w:widowControl w:val="0"/>
                    <w:autoSpaceDE w:val="0"/>
                    <w:autoSpaceDN w:val="0"/>
                    <w:adjustRightInd w:val="0"/>
                    <w:ind w:left="-113"/>
                    <w:jc w:val="right"/>
                    <w:rPr>
                      <w:rFonts w:ascii="Calibri" w:hAnsi="Calibri" w:cs="Calibri"/>
                      <w:b/>
                      <w:bCs/>
                      <w:color w:val="000000"/>
                      <w:sz w:val="22"/>
                      <w:szCs w:val="22"/>
                    </w:rPr>
                  </w:pPr>
                  <w:r w:rsidRPr="00C22F7C">
                    <w:rPr>
                      <w:rFonts w:ascii="Calibri" w:hAnsi="Calibri" w:cs="Calibri"/>
                      <w:b/>
                      <w:bCs/>
                      <w:color w:val="000000"/>
                      <w:sz w:val="22"/>
                      <w:szCs w:val="22"/>
                    </w:rPr>
                    <w:t>Except.</w:t>
                  </w:r>
                </w:p>
                <w:p w14:paraId="51A1FE42" w14:textId="77777777" w:rsidR="002812BC" w:rsidRPr="00C22F7C" w:rsidRDefault="002812BC" w:rsidP="00B83D66">
                  <w:pPr>
                    <w:widowControl w:val="0"/>
                    <w:autoSpaceDE w:val="0"/>
                    <w:autoSpaceDN w:val="0"/>
                    <w:adjustRightInd w:val="0"/>
                    <w:ind w:left="-226" w:firstLine="140"/>
                    <w:jc w:val="right"/>
                    <w:rPr>
                      <w:rFonts w:ascii="Calibri" w:hAnsi="Calibri" w:cs="Calibri"/>
                      <w:bCs/>
                      <w:color w:val="000000"/>
                      <w:sz w:val="22"/>
                      <w:szCs w:val="22"/>
                    </w:rPr>
                  </w:pPr>
                  <w:r w:rsidRPr="00C22F7C">
                    <w:rPr>
                      <w:rFonts w:ascii="Calibri" w:hAnsi="Calibri" w:cs="Calibri"/>
                      <w:b/>
                      <w:bCs/>
                      <w:color w:val="000000"/>
                      <w:sz w:val="22"/>
                      <w:szCs w:val="22"/>
                    </w:rPr>
                    <w:t>Items</w:t>
                  </w:r>
                </w:p>
              </w:tc>
              <w:tc>
                <w:tcPr>
                  <w:tcW w:w="1036" w:type="dxa"/>
                  <w:tcBorders>
                    <w:top w:val="single" w:sz="4" w:space="0" w:color="auto"/>
                    <w:left w:val="single" w:sz="4" w:space="0" w:color="auto"/>
                    <w:bottom w:val="nil"/>
                    <w:right w:val="single" w:sz="4" w:space="0" w:color="auto"/>
                  </w:tcBorders>
                  <w:shd w:val="clear" w:color="auto" w:fill="FFFF00"/>
                </w:tcPr>
                <w:p w14:paraId="4EA41BA4" w14:textId="77777777" w:rsidR="002812BC" w:rsidRPr="00C22F7C" w:rsidRDefault="002812BC" w:rsidP="00B83D66">
                  <w:pPr>
                    <w:widowControl w:val="0"/>
                    <w:autoSpaceDE w:val="0"/>
                    <w:autoSpaceDN w:val="0"/>
                    <w:adjustRightInd w:val="0"/>
                    <w:ind w:left="-226" w:firstLine="140"/>
                    <w:jc w:val="right"/>
                    <w:rPr>
                      <w:rFonts w:ascii="Calibri" w:hAnsi="Calibri" w:cs="Calibri"/>
                      <w:bCs/>
                      <w:color w:val="000000"/>
                      <w:sz w:val="22"/>
                      <w:szCs w:val="22"/>
                    </w:rPr>
                  </w:pPr>
                  <w:r w:rsidRPr="00C22F7C">
                    <w:rPr>
                      <w:rFonts w:ascii="Calibri" w:hAnsi="Calibri" w:cs="Calibri"/>
                      <w:b/>
                      <w:bCs/>
                      <w:color w:val="000000"/>
                      <w:sz w:val="22"/>
                      <w:szCs w:val="22"/>
                    </w:rPr>
                    <w:t>IFRS</w:t>
                  </w:r>
                </w:p>
              </w:tc>
              <w:tc>
                <w:tcPr>
                  <w:tcW w:w="1036" w:type="dxa"/>
                  <w:tcBorders>
                    <w:top w:val="single" w:sz="4" w:space="0" w:color="auto"/>
                    <w:left w:val="single" w:sz="4" w:space="0" w:color="auto"/>
                    <w:bottom w:val="nil"/>
                    <w:right w:val="single" w:sz="4" w:space="0" w:color="auto"/>
                  </w:tcBorders>
                </w:tcPr>
                <w:p w14:paraId="08C5517A" w14:textId="77777777" w:rsidR="002812BC" w:rsidRPr="00C22F7C" w:rsidRDefault="002812BC" w:rsidP="00B83D66">
                  <w:pPr>
                    <w:widowControl w:val="0"/>
                    <w:autoSpaceDE w:val="0"/>
                    <w:autoSpaceDN w:val="0"/>
                    <w:adjustRightInd w:val="0"/>
                    <w:ind w:left="-226" w:firstLine="140"/>
                    <w:jc w:val="right"/>
                    <w:rPr>
                      <w:rFonts w:ascii="Calibri" w:hAnsi="Calibri" w:cs="Calibri"/>
                      <w:bCs/>
                      <w:color w:val="000000"/>
                      <w:sz w:val="22"/>
                      <w:szCs w:val="22"/>
                    </w:rPr>
                  </w:pPr>
                  <w:r w:rsidRPr="00C22F7C">
                    <w:rPr>
                      <w:rFonts w:ascii="Calibri" w:hAnsi="Calibri" w:cs="Calibri"/>
                      <w:bCs/>
                      <w:color w:val="000000"/>
                      <w:sz w:val="22"/>
                      <w:szCs w:val="22"/>
                    </w:rPr>
                    <w:t>IFRS</w:t>
                  </w:r>
                </w:p>
              </w:tc>
            </w:tr>
            <w:tr w:rsidR="002812BC" w:rsidRPr="00C22F7C" w14:paraId="11C75674" w14:textId="77777777" w:rsidTr="00B83D66">
              <w:trPr>
                <w:trHeight w:val="229"/>
              </w:trPr>
              <w:tc>
                <w:tcPr>
                  <w:tcW w:w="265" w:type="dxa"/>
                  <w:tcBorders>
                    <w:top w:val="nil"/>
                    <w:left w:val="nil"/>
                    <w:bottom w:val="nil"/>
                    <w:right w:val="nil"/>
                  </w:tcBorders>
                </w:tcPr>
                <w:p w14:paraId="0C6B372A"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08300AAC"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680" w:type="dxa"/>
                  <w:tcBorders>
                    <w:top w:val="nil"/>
                    <w:bottom w:val="nil"/>
                  </w:tcBorders>
                </w:tcPr>
                <w:p w14:paraId="361615BE"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bottom w:val="nil"/>
                    <w:right w:val="single" w:sz="4" w:space="0" w:color="auto"/>
                  </w:tcBorders>
                  <w:shd w:val="clear" w:color="auto" w:fill="auto"/>
                </w:tcPr>
                <w:p w14:paraId="084CE8C7" w14:textId="77777777" w:rsidR="002812BC" w:rsidRPr="00C22F7C" w:rsidRDefault="002812BC" w:rsidP="00B83D66">
                  <w:pPr>
                    <w:tabs>
                      <w:tab w:val="left" w:pos="-108"/>
                    </w:tabs>
                    <w:autoSpaceDE w:val="0"/>
                    <w:autoSpaceDN w:val="0"/>
                    <w:adjustRightInd w:val="0"/>
                    <w:ind w:left="-250"/>
                    <w:jc w:val="right"/>
                    <w:rPr>
                      <w:rFonts w:ascii="Calibri" w:hAnsi="Calibri" w:cs="Calibri"/>
                      <w:bCs/>
                      <w:color w:val="000000"/>
                      <w:sz w:val="20"/>
                      <w:szCs w:val="20"/>
                    </w:rPr>
                  </w:pPr>
                </w:p>
              </w:tc>
              <w:tc>
                <w:tcPr>
                  <w:tcW w:w="1129" w:type="dxa"/>
                  <w:tcBorders>
                    <w:top w:val="nil"/>
                    <w:bottom w:val="nil"/>
                    <w:right w:val="single" w:sz="4" w:space="0" w:color="auto"/>
                  </w:tcBorders>
                  <w:shd w:val="clear" w:color="auto" w:fill="FFFF00"/>
                </w:tcPr>
                <w:p w14:paraId="098ACA1A"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Quarter</w:t>
                  </w:r>
                </w:p>
              </w:tc>
              <w:tc>
                <w:tcPr>
                  <w:tcW w:w="1036" w:type="dxa"/>
                  <w:tcBorders>
                    <w:top w:val="nil"/>
                    <w:bottom w:val="nil"/>
                    <w:right w:val="single" w:sz="4" w:space="0" w:color="auto"/>
                  </w:tcBorders>
                  <w:shd w:val="clear" w:color="auto" w:fill="FFFF00"/>
                </w:tcPr>
                <w:p w14:paraId="2C77F694" w14:textId="77777777" w:rsidR="002812BC" w:rsidRPr="00C22F7C" w:rsidRDefault="002812BC" w:rsidP="00B83D66">
                  <w:pPr>
                    <w:widowControl w:val="0"/>
                    <w:autoSpaceDE w:val="0"/>
                    <w:autoSpaceDN w:val="0"/>
                    <w:adjustRightInd w:val="0"/>
                    <w:ind w:left="-226" w:firstLine="140"/>
                    <w:jc w:val="right"/>
                    <w:rPr>
                      <w:rFonts w:ascii="Calibri" w:hAnsi="Calibri" w:cs="Calibri"/>
                      <w:bCs/>
                      <w:color w:val="000000"/>
                      <w:sz w:val="22"/>
                      <w:szCs w:val="22"/>
                    </w:rPr>
                  </w:pPr>
                  <w:r w:rsidRPr="00C22F7C">
                    <w:rPr>
                      <w:rFonts w:ascii="Calibri" w:hAnsi="Calibri" w:cs="Calibri"/>
                      <w:b/>
                      <w:bCs/>
                      <w:color w:val="000000"/>
                      <w:sz w:val="22"/>
                      <w:szCs w:val="22"/>
                    </w:rPr>
                    <w:t>Quarter</w:t>
                  </w:r>
                </w:p>
              </w:tc>
              <w:tc>
                <w:tcPr>
                  <w:tcW w:w="1036" w:type="dxa"/>
                  <w:tcBorders>
                    <w:top w:val="nil"/>
                    <w:left w:val="single" w:sz="4" w:space="0" w:color="auto"/>
                    <w:bottom w:val="nil"/>
                    <w:right w:val="single" w:sz="4" w:space="0" w:color="auto"/>
                  </w:tcBorders>
                  <w:shd w:val="clear" w:color="auto" w:fill="FFFF00"/>
                </w:tcPr>
                <w:p w14:paraId="113B48E9" w14:textId="77777777" w:rsidR="002812BC" w:rsidRPr="00C22F7C" w:rsidRDefault="002812BC" w:rsidP="00B83D66">
                  <w:pPr>
                    <w:widowControl w:val="0"/>
                    <w:autoSpaceDE w:val="0"/>
                    <w:autoSpaceDN w:val="0"/>
                    <w:adjustRightInd w:val="0"/>
                    <w:ind w:left="-226" w:firstLine="140"/>
                    <w:jc w:val="right"/>
                    <w:rPr>
                      <w:rFonts w:ascii="Calibri" w:hAnsi="Calibri" w:cs="Calibri"/>
                      <w:bCs/>
                      <w:color w:val="000000"/>
                      <w:sz w:val="22"/>
                      <w:szCs w:val="22"/>
                    </w:rPr>
                  </w:pPr>
                  <w:r w:rsidRPr="00C22F7C">
                    <w:rPr>
                      <w:rFonts w:ascii="Calibri" w:hAnsi="Calibri" w:cs="Calibri"/>
                      <w:b/>
                      <w:bCs/>
                      <w:color w:val="000000"/>
                      <w:sz w:val="22"/>
                      <w:szCs w:val="22"/>
                    </w:rPr>
                    <w:t>Quarter</w:t>
                  </w:r>
                </w:p>
              </w:tc>
              <w:tc>
                <w:tcPr>
                  <w:tcW w:w="1036" w:type="dxa"/>
                  <w:tcBorders>
                    <w:top w:val="nil"/>
                    <w:left w:val="single" w:sz="4" w:space="0" w:color="auto"/>
                    <w:bottom w:val="nil"/>
                    <w:right w:val="single" w:sz="4" w:space="0" w:color="auto"/>
                  </w:tcBorders>
                </w:tcPr>
                <w:p w14:paraId="2A68CE84" w14:textId="77777777" w:rsidR="002812BC" w:rsidRPr="00C22F7C" w:rsidRDefault="002812BC" w:rsidP="00B83D66">
                  <w:pPr>
                    <w:widowControl w:val="0"/>
                    <w:autoSpaceDE w:val="0"/>
                    <w:autoSpaceDN w:val="0"/>
                    <w:adjustRightInd w:val="0"/>
                    <w:ind w:left="-226" w:firstLine="140"/>
                    <w:jc w:val="right"/>
                    <w:rPr>
                      <w:rFonts w:ascii="Calibri" w:hAnsi="Calibri" w:cs="Calibri"/>
                      <w:bCs/>
                      <w:color w:val="000000"/>
                      <w:sz w:val="22"/>
                      <w:szCs w:val="22"/>
                    </w:rPr>
                  </w:pPr>
                  <w:r w:rsidRPr="00C22F7C">
                    <w:rPr>
                      <w:rFonts w:ascii="Calibri" w:hAnsi="Calibri" w:cs="Calibri"/>
                      <w:bCs/>
                      <w:color w:val="000000"/>
                      <w:sz w:val="22"/>
                      <w:szCs w:val="22"/>
                    </w:rPr>
                    <w:t>Quarter</w:t>
                  </w:r>
                </w:p>
              </w:tc>
            </w:tr>
            <w:tr w:rsidR="002812BC" w:rsidRPr="00C22F7C" w14:paraId="278AEB3E" w14:textId="77777777" w:rsidTr="00B83D66">
              <w:trPr>
                <w:trHeight w:val="229"/>
              </w:trPr>
              <w:tc>
                <w:tcPr>
                  <w:tcW w:w="265" w:type="dxa"/>
                  <w:tcBorders>
                    <w:top w:val="nil"/>
                    <w:left w:val="nil"/>
                    <w:bottom w:val="nil"/>
                    <w:right w:val="nil"/>
                  </w:tcBorders>
                </w:tcPr>
                <w:p w14:paraId="274C51F8"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35F168EB"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680" w:type="dxa"/>
                  <w:tcBorders>
                    <w:top w:val="nil"/>
                    <w:bottom w:val="nil"/>
                  </w:tcBorders>
                </w:tcPr>
                <w:p w14:paraId="0952C056"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bottom w:val="nil"/>
                    <w:right w:val="single" w:sz="4" w:space="0" w:color="auto"/>
                  </w:tcBorders>
                  <w:shd w:val="clear" w:color="auto" w:fill="auto"/>
                </w:tcPr>
                <w:p w14:paraId="46A9693A" w14:textId="77777777" w:rsidR="002812BC" w:rsidRPr="00C22F7C" w:rsidRDefault="002812BC" w:rsidP="00B83D66">
                  <w:pPr>
                    <w:tabs>
                      <w:tab w:val="left" w:pos="-108"/>
                    </w:tabs>
                    <w:autoSpaceDE w:val="0"/>
                    <w:autoSpaceDN w:val="0"/>
                    <w:adjustRightInd w:val="0"/>
                    <w:ind w:left="-250"/>
                    <w:jc w:val="right"/>
                    <w:rPr>
                      <w:rFonts w:ascii="Calibri" w:hAnsi="Calibri" w:cs="Calibri"/>
                      <w:bCs/>
                      <w:color w:val="000000"/>
                      <w:sz w:val="20"/>
                      <w:szCs w:val="20"/>
                    </w:rPr>
                  </w:pPr>
                </w:p>
              </w:tc>
              <w:tc>
                <w:tcPr>
                  <w:tcW w:w="1129" w:type="dxa"/>
                  <w:tcBorders>
                    <w:top w:val="nil"/>
                    <w:bottom w:val="nil"/>
                    <w:right w:val="single" w:sz="4" w:space="0" w:color="auto"/>
                  </w:tcBorders>
                  <w:shd w:val="clear" w:color="auto" w:fill="FFFF00"/>
                </w:tcPr>
                <w:p w14:paraId="6C36A292"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Ended</w:t>
                  </w:r>
                </w:p>
              </w:tc>
              <w:tc>
                <w:tcPr>
                  <w:tcW w:w="1036" w:type="dxa"/>
                  <w:tcBorders>
                    <w:top w:val="nil"/>
                    <w:bottom w:val="nil"/>
                    <w:right w:val="single" w:sz="4" w:space="0" w:color="auto"/>
                  </w:tcBorders>
                  <w:shd w:val="clear" w:color="auto" w:fill="FFFF00"/>
                </w:tcPr>
                <w:p w14:paraId="0707A657" w14:textId="77777777" w:rsidR="002812BC" w:rsidRPr="00C22F7C" w:rsidRDefault="002812BC" w:rsidP="00B83D66">
                  <w:pPr>
                    <w:widowControl w:val="0"/>
                    <w:autoSpaceDE w:val="0"/>
                    <w:autoSpaceDN w:val="0"/>
                    <w:adjustRightInd w:val="0"/>
                    <w:ind w:left="-226" w:firstLine="140"/>
                    <w:jc w:val="right"/>
                    <w:rPr>
                      <w:rFonts w:ascii="Calibri" w:hAnsi="Calibri" w:cs="Calibri"/>
                      <w:bCs/>
                      <w:color w:val="000000"/>
                      <w:sz w:val="22"/>
                      <w:szCs w:val="22"/>
                    </w:rPr>
                  </w:pPr>
                  <w:r w:rsidRPr="00C22F7C">
                    <w:rPr>
                      <w:rFonts w:ascii="Calibri" w:hAnsi="Calibri" w:cs="Calibri"/>
                      <w:b/>
                      <w:bCs/>
                      <w:color w:val="000000"/>
                      <w:sz w:val="22"/>
                      <w:szCs w:val="22"/>
                    </w:rPr>
                    <w:t>Ended</w:t>
                  </w:r>
                </w:p>
              </w:tc>
              <w:tc>
                <w:tcPr>
                  <w:tcW w:w="1036" w:type="dxa"/>
                  <w:tcBorders>
                    <w:top w:val="nil"/>
                    <w:left w:val="single" w:sz="4" w:space="0" w:color="auto"/>
                    <w:bottom w:val="nil"/>
                    <w:right w:val="single" w:sz="4" w:space="0" w:color="auto"/>
                  </w:tcBorders>
                  <w:shd w:val="clear" w:color="auto" w:fill="FFFF00"/>
                </w:tcPr>
                <w:p w14:paraId="4B850F47" w14:textId="77777777" w:rsidR="002812BC" w:rsidRPr="00C22F7C" w:rsidRDefault="002812BC" w:rsidP="00B83D66">
                  <w:pPr>
                    <w:widowControl w:val="0"/>
                    <w:autoSpaceDE w:val="0"/>
                    <w:autoSpaceDN w:val="0"/>
                    <w:adjustRightInd w:val="0"/>
                    <w:ind w:left="-226" w:firstLine="140"/>
                    <w:jc w:val="right"/>
                    <w:rPr>
                      <w:rFonts w:ascii="Calibri" w:hAnsi="Calibri" w:cs="Calibri"/>
                      <w:bCs/>
                      <w:color w:val="000000"/>
                      <w:sz w:val="22"/>
                      <w:szCs w:val="22"/>
                    </w:rPr>
                  </w:pPr>
                  <w:r w:rsidRPr="00C22F7C">
                    <w:rPr>
                      <w:rFonts w:ascii="Calibri" w:hAnsi="Calibri" w:cs="Calibri"/>
                      <w:b/>
                      <w:bCs/>
                      <w:color w:val="000000"/>
                      <w:sz w:val="22"/>
                      <w:szCs w:val="22"/>
                    </w:rPr>
                    <w:t>Ended</w:t>
                  </w:r>
                </w:p>
              </w:tc>
              <w:tc>
                <w:tcPr>
                  <w:tcW w:w="1036" w:type="dxa"/>
                  <w:tcBorders>
                    <w:top w:val="nil"/>
                    <w:left w:val="single" w:sz="4" w:space="0" w:color="auto"/>
                    <w:bottom w:val="nil"/>
                    <w:right w:val="single" w:sz="4" w:space="0" w:color="auto"/>
                  </w:tcBorders>
                </w:tcPr>
                <w:p w14:paraId="4AA7EF0F" w14:textId="77777777" w:rsidR="002812BC" w:rsidRPr="00C22F7C" w:rsidRDefault="002812BC" w:rsidP="00B83D66">
                  <w:pPr>
                    <w:widowControl w:val="0"/>
                    <w:autoSpaceDE w:val="0"/>
                    <w:autoSpaceDN w:val="0"/>
                    <w:adjustRightInd w:val="0"/>
                    <w:ind w:left="-226" w:firstLine="140"/>
                    <w:jc w:val="right"/>
                    <w:rPr>
                      <w:rFonts w:ascii="Calibri" w:hAnsi="Calibri" w:cs="Calibri"/>
                      <w:bCs/>
                      <w:color w:val="000000"/>
                      <w:sz w:val="22"/>
                      <w:szCs w:val="22"/>
                    </w:rPr>
                  </w:pPr>
                  <w:r w:rsidRPr="00C22F7C">
                    <w:rPr>
                      <w:rFonts w:ascii="Calibri" w:hAnsi="Calibri" w:cs="Calibri"/>
                      <w:bCs/>
                      <w:color w:val="000000"/>
                      <w:sz w:val="22"/>
                      <w:szCs w:val="22"/>
                    </w:rPr>
                    <w:t>Ended</w:t>
                  </w:r>
                </w:p>
              </w:tc>
            </w:tr>
            <w:tr w:rsidR="002812BC" w:rsidRPr="00C22F7C" w14:paraId="401C906C" w14:textId="77777777" w:rsidTr="00B83D66">
              <w:trPr>
                <w:trHeight w:val="229"/>
              </w:trPr>
              <w:tc>
                <w:tcPr>
                  <w:tcW w:w="265" w:type="dxa"/>
                  <w:tcBorders>
                    <w:top w:val="nil"/>
                    <w:left w:val="nil"/>
                    <w:bottom w:val="nil"/>
                    <w:right w:val="nil"/>
                  </w:tcBorders>
                </w:tcPr>
                <w:p w14:paraId="176F665E"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27B6EA82"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680" w:type="dxa"/>
                  <w:tcBorders>
                    <w:top w:val="nil"/>
                    <w:bottom w:val="nil"/>
                  </w:tcBorders>
                </w:tcPr>
                <w:p w14:paraId="2F4F4635"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bottom w:val="nil"/>
                    <w:right w:val="single" w:sz="4" w:space="0" w:color="auto"/>
                  </w:tcBorders>
                  <w:shd w:val="clear" w:color="auto" w:fill="auto"/>
                </w:tcPr>
                <w:p w14:paraId="0F4535F3" w14:textId="77777777" w:rsidR="002812BC" w:rsidRPr="00C22F7C" w:rsidRDefault="002812BC" w:rsidP="00B83D66">
                  <w:pPr>
                    <w:tabs>
                      <w:tab w:val="left" w:pos="-108"/>
                    </w:tabs>
                    <w:autoSpaceDE w:val="0"/>
                    <w:autoSpaceDN w:val="0"/>
                    <w:adjustRightInd w:val="0"/>
                    <w:ind w:left="-250"/>
                    <w:jc w:val="right"/>
                    <w:rPr>
                      <w:rFonts w:ascii="Calibri" w:hAnsi="Calibri" w:cs="Calibri"/>
                      <w:bCs/>
                      <w:color w:val="000000"/>
                      <w:sz w:val="20"/>
                      <w:szCs w:val="20"/>
                    </w:rPr>
                  </w:pPr>
                </w:p>
                <w:p w14:paraId="6D3364D2" w14:textId="77777777" w:rsidR="002812BC" w:rsidRPr="00C22F7C" w:rsidRDefault="002812BC" w:rsidP="00B83D66">
                  <w:pPr>
                    <w:tabs>
                      <w:tab w:val="left" w:pos="-108"/>
                    </w:tabs>
                    <w:autoSpaceDE w:val="0"/>
                    <w:autoSpaceDN w:val="0"/>
                    <w:adjustRightInd w:val="0"/>
                    <w:ind w:left="-250"/>
                    <w:jc w:val="right"/>
                    <w:rPr>
                      <w:rFonts w:ascii="Calibri" w:hAnsi="Calibri" w:cs="Calibri"/>
                      <w:bCs/>
                      <w:color w:val="000000"/>
                      <w:sz w:val="20"/>
                      <w:szCs w:val="20"/>
                    </w:rPr>
                  </w:pPr>
                  <w:r w:rsidRPr="00C22F7C">
                    <w:rPr>
                      <w:rFonts w:ascii="Calibri" w:hAnsi="Calibri" w:cs="Calibri"/>
                      <w:bCs/>
                      <w:color w:val="000000"/>
                      <w:sz w:val="20"/>
                      <w:szCs w:val="20"/>
                    </w:rPr>
                    <w:t>Change</w:t>
                  </w:r>
                </w:p>
              </w:tc>
              <w:tc>
                <w:tcPr>
                  <w:tcW w:w="1129" w:type="dxa"/>
                  <w:tcBorders>
                    <w:top w:val="nil"/>
                    <w:bottom w:val="nil"/>
                    <w:right w:val="single" w:sz="4" w:space="0" w:color="auto"/>
                  </w:tcBorders>
                  <w:shd w:val="clear" w:color="auto" w:fill="FFFF00"/>
                </w:tcPr>
                <w:p w14:paraId="67AFB94F"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 xml:space="preserve">Sep 30, </w:t>
                  </w:r>
                </w:p>
                <w:p w14:paraId="5B64F0A0"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2020</w:t>
                  </w:r>
                </w:p>
              </w:tc>
              <w:tc>
                <w:tcPr>
                  <w:tcW w:w="1036" w:type="dxa"/>
                  <w:tcBorders>
                    <w:top w:val="nil"/>
                    <w:bottom w:val="nil"/>
                    <w:right w:val="single" w:sz="4" w:space="0" w:color="auto"/>
                  </w:tcBorders>
                  <w:shd w:val="clear" w:color="auto" w:fill="FFFF00"/>
                </w:tcPr>
                <w:p w14:paraId="4A701DAA"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 xml:space="preserve">Sep 30, </w:t>
                  </w:r>
                </w:p>
                <w:p w14:paraId="4A2EE00B"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2020</w:t>
                  </w:r>
                </w:p>
              </w:tc>
              <w:tc>
                <w:tcPr>
                  <w:tcW w:w="1036" w:type="dxa"/>
                  <w:tcBorders>
                    <w:top w:val="nil"/>
                    <w:left w:val="single" w:sz="4" w:space="0" w:color="auto"/>
                    <w:bottom w:val="nil"/>
                    <w:right w:val="single" w:sz="4" w:space="0" w:color="auto"/>
                  </w:tcBorders>
                  <w:shd w:val="clear" w:color="auto" w:fill="FFFF00"/>
                </w:tcPr>
                <w:p w14:paraId="0355E54F"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 xml:space="preserve">Sep 30, </w:t>
                  </w:r>
                </w:p>
                <w:p w14:paraId="114ABCFA"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2020</w:t>
                  </w:r>
                </w:p>
              </w:tc>
              <w:tc>
                <w:tcPr>
                  <w:tcW w:w="1036" w:type="dxa"/>
                  <w:tcBorders>
                    <w:top w:val="nil"/>
                    <w:left w:val="single" w:sz="4" w:space="0" w:color="auto"/>
                    <w:bottom w:val="nil"/>
                    <w:right w:val="single" w:sz="4" w:space="0" w:color="auto"/>
                  </w:tcBorders>
                </w:tcPr>
                <w:p w14:paraId="7B407BEA"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
                      <w:bCs/>
                      <w:color w:val="000000"/>
                      <w:sz w:val="22"/>
                      <w:szCs w:val="22"/>
                    </w:rPr>
                    <w:t xml:space="preserve">    </w:t>
                  </w:r>
                  <w:r w:rsidRPr="00C22F7C">
                    <w:rPr>
                      <w:rFonts w:ascii="Calibri" w:hAnsi="Calibri" w:cs="Calibri"/>
                      <w:bCs/>
                      <w:color w:val="000000"/>
                      <w:sz w:val="22"/>
                      <w:szCs w:val="22"/>
                    </w:rPr>
                    <w:t>Sep 30,</w:t>
                  </w:r>
                </w:p>
                <w:p w14:paraId="73DEA994"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2019</w:t>
                  </w:r>
                </w:p>
              </w:tc>
            </w:tr>
            <w:tr w:rsidR="002812BC" w:rsidRPr="00C22F7C" w14:paraId="0B291568" w14:textId="77777777" w:rsidTr="00B83D66">
              <w:trPr>
                <w:trHeight w:val="229"/>
              </w:trPr>
              <w:tc>
                <w:tcPr>
                  <w:tcW w:w="265" w:type="dxa"/>
                  <w:tcBorders>
                    <w:top w:val="nil"/>
                    <w:left w:val="nil"/>
                    <w:bottom w:val="nil"/>
                    <w:right w:val="nil"/>
                  </w:tcBorders>
                </w:tcPr>
                <w:p w14:paraId="22DD4A3D"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1E75D92F"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680" w:type="dxa"/>
                  <w:tcBorders>
                    <w:top w:val="nil"/>
                    <w:bottom w:val="nil"/>
                  </w:tcBorders>
                </w:tcPr>
                <w:p w14:paraId="2A199D71" w14:textId="77777777" w:rsidR="002812BC" w:rsidRPr="00C22F7C" w:rsidRDefault="002812BC" w:rsidP="00B83D66">
                  <w:pPr>
                    <w:autoSpaceDE w:val="0"/>
                    <w:autoSpaceDN w:val="0"/>
                    <w:adjustRightInd w:val="0"/>
                    <w:jc w:val="right"/>
                    <w:rPr>
                      <w:rFonts w:ascii="Calibri" w:hAnsi="Calibri" w:cs="Calibri"/>
                      <w:b/>
                      <w:bCs/>
                      <w:color w:val="000000"/>
                      <w:sz w:val="22"/>
                      <w:szCs w:val="22"/>
                      <w:u w:val="single"/>
                    </w:rPr>
                  </w:pPr>
                  <w:r w:rsidRPr="00C22F7C">
                    <w:rPr>
                      <w:rFonts w:ascii="Calibri" w:hAnsi="Calibri" w:cs="Calibri"/>
                      <w:b/>
                      <w:bCs/>
                      <w:color w:val="000000"/>
                      <w:sz w:val="22"/>
                      <w:szCs w:val="22"/>
                      <w:u w:val="single"/>
                    </w:rPr>
                    <w:t>Note</w:t>
                  </w:r>
                </w:p>
              </w:tc>
              <w:tc>
                <w:tcPr>
                  <w:tcW w:w="925" w:type="dxa"/>
                  <w:tcBorders>
                    <w:top w:val="nil"/>
                    <w:bottom w:val="nil"/>
                    <w:right w:val="single" w:sz="4" w:space="0" w:color="auto"/>
                  </w:tcBorders>
                  <w:shd w:val="clear" w:color="auto" w:fill="auto"/>
                </w:tcPr>
                <w:p w14:paraId="33B9C8D3" w14:textId="77777777" w:rsidR="002812BC" w:rsidRPr="00C22F7C" w:rsidRDefault="002812BC" w:rsidP="00B83D66">
                  <w:pPr>
                    <w:autoSpaceDE w:val="0"/>
                    <w:autoSpaceDN w:val="0"/>
                    <w:adjustRightInd w:val="0"/>
                    <w:jc w:val="right"/>
                    <w:rPr>
                      <w:rFonts w:ascii="Calibri" w:hAnsi="Calibri" w:cs="Calibri"/>
                      <w:bCs/>
                      <w:color w:val="000000"/>
                      <w:sz w:val="22"/>
                      <w:szCs w:val="22"/>
                      <w:u w:val="single"/>
                    </w:rPr>
                  </w:pPr>
                  <w:r w:rsidRPr="00C22F7C">
                    <w:rPr>
                      <w:rFonts w:ascii="Calibri" w:hAnsi="Calibri" w:cs="Calibri"/>
                      <w:bCs/>
                      <w:color w:val="000000"/>
                      <w:sz w:val="22"/>
                      <w:szCs w:val="22"/>
                      <w:u w:val="single"/>
                    </w:rPr>
                    <w:t>%</w:t>
                  </w:r>
                </w:p>
              </w:tc>
              <w:tc>
                <w:tcPr>
                  <w:tcW w:w="1129" w:type="dxa"/>
                  <w:tcBorders>
                    <w:top w:val="nil"/>
                    <w:bottom w:val="nil"/>
                    <w:right w:val="single" w:sz="4" w:space="0" w:color="auto"/>
                  </w:tcBorders>
                  <w:shd w:val="clear" w:color="auto" w:fill="FFFF00"/>
                </w:tcPr>
                <w:p w14:paraId="795A1925"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u w:val="single"/>
                    </w:rPr>
                  </w:pPr>
                  <w:r w:rsidRPr="00C22F7C">
                    <w:rPr>
                      <w:rFonts w:ascii="Calibri" w:hAnsi="Calibri" w:cs="Calibri"/>
                      <w:b/>
                      <w:bCs/>
                      <w:color w:val="000000"/>
                      <w:sz w:val="22"/>
                      <w:szCs w:val="22"/>
                      <w:u w:val="single"/>
                    </w:rPr>
                    <w:t>€M</w:t>
                  </w:r>
                </w:p>
              </w:tc>
              <w:tc>
                <w:tcPr>
                  <w:tcW w:w="1036" w:type="dxa"/>
                  <w:tcBorders>
                    <w:top w:val="nil"/>
                    <w:bottom w:val="nil"/>
                    <w:right w:val="single" w:sz="4" w:space="0" w:color="auto"/>
                  </w:tcBorders>
                  <w:shd w:val="clear" w:color="auto" w:fill="FFFF00"/>
                </w:tcPr>
                <w:p w14:paraId="1083A01F" w14:textId="77777777" w:rsidR="002812BC" w:rsidRPr="00C22F7C" w:rsidRDefault="002812BC" w:rsidP="00B83D66">
                  <w:pPr>
                    <w:widowControl w:val="0"/>
                    <w:autoSpaceDE w:val="0"/>
                    <w:autoSpaceDN w:val="0"/>
                    <w:adjustRightInd w:val="0"/>
                    <w:ind w:left="-226"/>
                    <w:jc w:val="right"/>
                    <w:rPr>
                      <w:rFonts w:ascii="Calibri" w:hAnsi="Calibri" w:cs="Calibri"/>
                      <w:bCs/>
                      <w:color w:val="000000"/>
                      <w:sz w:val="22"/>
                      <w:szCs w:val="22"/>
                      <w:u w:val="single"/>
                    </w:rPr>
                  </w:pPr>
                  <w:r w:rsidRPr="00C22F7C">
                    <w:rPr>
                      <w:rFonts w:ascii="Calibri" w:hAnsi="Calibri" w:cs="Calibri"/>
                      <w:b/>
                      <w:bCs/>
                      <w:color w:val="000000"/>
                      <w:sz w:val="22"/>
                      <w:szCs w:val="22"/>
                      <w:u w:val="single"/>
                    </w:rPr>
                    <w:t>€M</w:t>
                  </w:r>
                </w:p>
              </w:tc>
              <w:tc>
                <w:tcPr>
                  <w:tcW w:w="1036" w:type="dxa"/>
                  <w:tcBorders>
                    <w:top w:val="nil"/>
                    <w:left w:val="single" w:sz="4" w:space="0" w:color="auto"/>
                    <w:bottom w:val="nil"/>
                    <w:right w:val="single" w:sz="4" w:space="0" w:color="auto"/>
                  </w:tcBorders>
                  <w:shd w:val="clear" w:color="auto" w:fill="FFFF00"/>
                </w:tcPr>
                <w:p w14:paraId="24A28C85" w14:textId="77777777" w:rsidR="002812BC" w:rsidRPr="00C22F7C" w:rsidRDefault="002812BC" w:rsidP="00B83D66">
                  <w:pPr>
                    <w:widowControl w:val="0"/>
                    <w:autoSpaceDE w:val="0"/>
                    <w:autoSpaceDN w:val="0"/>
                    <w:adjustRightInd w:val="0"/>
                    <w:ind w:left="-226"/>
                    <w:jc w:val="right"/>
                    <w:rPr>
                      <w:rFonts w:ascii="Calibri" w:hAnsi="Calibri" w:cs="Calibri"/>
                      <w:bCs/>
                      <w:color w:val="000000"/>
                      <w:sz w:val="22"/>
                      <w:szCs w:val="22"/>
                      <w:u w:val="single"/>
                    </w:rPr>
                  </w:pPr>
                  <w:r w:rsidRPr="00C22F7C">
                    <w:rPr>
                      <w:rFonts w:ascii="Calibri" w:hAnsi="Calibri" w:cs="Calibri"/>
                      <w:b/>
                      <w:bCs/>
                      <w:color w:val="000000"/>
                      <w:sz w:val="22"/>
                      <w:szCs w:val="22"/>
                      <w:u w:val="single"/>
                    </w:rPr>
                    <w:t>€M</w:t>
                  </w:r>
                </w:p>
              </w:tc>
              <w:tc>
                <w:tcPr>
                  <w:tcW w:w="1036" w:type="dxa"/>
                  <w:tcBorders>
                    <w:top w:val="nil"/>
                    <w:left w:val="single" w:sz="4" w:space="0" w:color="auto"/>
                    <w:bottom w:val="nil"/>
                    <w:right w:val="single" w:sz="4" w:space="0" w:color="auto"/>
                  </w:tcBorders>
                </w:tcPr>
                <w:p w14:paraId="0AF59A32" w14:textId="77777777" w:rsidR="002812BC" w:rsidRPr="00C22F7C" w:rsidRDefault="002812BC" w:rsidP="00B83D66">
                  <w:pPr>
                    <w:widowControl w:val="0"/>
                    <w:autoSpaceDE w:val="0"/>
                    <w:autoSpaceDN w:val="0"/>
                    <w:adjustRightInd w:val="0"/>
                    <w:ind w:left="-226"/>
                    <w:jc w:val="right"/>
                    <w:rPr>
                      <w:rFonts w:ascii="Calibri" w:hAnsi="Calibri" w:cs="Calibri"/>
                      <w:bCs/>
                      <w:color w:val="000000"/>
                      <w:sz w:val="22"/>
                      <w:szCs w:val="22"/>
                      <w:u w:val="single"/>
                    </w:rPr>
                  </w:pPr>
                  <w:r w:rsidRPr="00C22F7C">
                    <w:rPr>
                      <w:rFonts w:ascii="Calibri" w:hAnsi="Calibri" w:cs="Calibri"/>
                      <w:bCs/>
                      <w:color w:val="000000"/>
                      <w:sz w:val="22"/>
                      <w:szCs w:val="22"/>
                      <w:u w:val="single"/>
                    </w:rPr>
                    <w:t>€M</w:t>
                  </w:r>
                </w:p>
              </w:tc>
            </w:tr>
            <w:tr w:rsidR="002812BC" w:rsidRPr="00C22F7C" w14:paraId="614FAFB7" w14:textId="77777777" w:rsidTr="00B83D66">
              <w:trPr>
                <w:trHeight w:val="229"/>
              </w:trPr>
              <w:tc>
                <w:tcPr>
                  <w:tcW w:w="5191" w:type="dxa"/>
                  <w:gridSpan w:val="2"/>
                  <w:tcBorders>
                    <w:top w:val="nil"/>
                    <w:left w:val="nil"/>
                    <w:bottom w:val="nil"/>
                  </w:tcBorders>
                </w:tcPr>
                <w:p w14:paraId="4226F4D2" w14:textId="77777777" w:rsidR="002812BC" w:rsidRPr="00C22F7C" w:rsidRDefault="002812BC" w:rsidP="00B83D66">
                  <w:pPr>
                    <w:autoSpaceDE w:val="0"/>
                    <w:autoSpaceDN w:val="0"/>
                    <w:adjustRightInd w:val="0"/>
                    <w:rPr>
                      <w:rFonts w:ascii="Calibri" w:hAnsi="Calibri" w:cs="Calibri"/>
                      <w:b/>
                      <w:bCs/>
                      <w:color w:val="000000"/>
                      <w:sz w:val="22"/>
                      <w:szCs w:val="22"/>
                    </w:rPr>
                  </w:pPr>
                  <w:r w:rsidRPr="00C22F7C">
                    <w:rPr>
                      <w:rFonts w:ascii="Calibri" w:hAnsi="Calibri" w:cs="Calibri"/>
                      <w:b/>
                      <w:bCs/>
                      <w:color w:val="000000"/>
                      <w:sz w:val="22"/>
                      <w:szCs w:val="22"/>
                    </w:rPr>
                    <w:t>Operating revenues</w:t>
                  </w:r>
                </w:p>
              </w:tc>
              <w:tc>
                <w:tcPr>
                  <w:tcW w:w="680" w:type="dxa"/>
                  <w:tcBorders>
                    <w:top w:val="nil"/>
                    <w:bottom w:val="nil"/>
                  </w:tcBorders>
                </w:tcPr>
                <w:p w14:paraId="6B8B0569"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925" w:type="dxa"/>
                  <w:tcBorders>
                    <w:top w:val="nil"/>
                    <w:bottom w:val="nil"/>
                    <w:right w:val="single" w:sz="4" w:space="0" w:color="auto"/>
                  </w:tcBorders>
                </w:tcPr>
                <w:p w14:paraId="4F5B8747"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1129" w:type="dxa"/>
                  <w:tcBorders>
                    <w:top w:val="nil"/>
                    <w:bottom w:val="nil"/>
                    <w:right w:val="single" w:sz="4" w:space="0" w:color="auto"/>
                  </w:tcBorders>
                  <w:shd w:val="clear" w:color="auto" w:fill="FFFF00"/>
                </w:tcPr>
                <w:p w14:paraId="05618BA2" w14:textId="77777777" w:rsidR="002812BC" w:rsidRPr="00C22F7C" w:rsidRDefault="002812BC" w:rsidP="00B83D66">
                  <w:pPr>
                    <w:autoSpaceDE w:val="0"/>
                    <w:autoSpaceDN w:val="0"/>
                    <w:adjustRightInd w:val="0"/>
                    <w:jc w:val="right"/>
                    <w:rPr>
                      <w:rFonts w:ascii="Calibri" w:hAnsi="Calibri" w:cs="Calibri"/>
                      <w:b/>
                      <w:color w:val="000000"/>
                      <w:sz w:val="22"/>
                      <w:szCs w:val="22"/>
                    </w:rPr>
                  </w:pPr>
                </w:p>
              </w:tc>
              <w:tc>
                <w:tcPr>
                  <w:tcW w:w="1036" w:type="dxa"/>
                  <w:tcBorders>
                    <w:top w:val="nil"/>
                    <w:bottom w:val="nil"/>
                    <w:right w:val="single" w:sz="4" w:space="0" w:color="auto"/>
                  </w:tcBorders>
                  <w:shd w:val="clear" w:color="auto" w:fill="FFFF00"/>
                </w:tcPr>
                <w:p w14:paraId="0A367B5B"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c>
                <w:tcPr>
                  <w:tcW w:w="1036" w:type="dxa"/>
                  <w:tcBorders>
                    <w:top w:val="nil"/>
                    <w:left w:val="single" w:sz="4" w:space="0" w:color="auto"/>
                    <w:bottom w:val="nil"/>
                    <w:right w:val="single" w:sz="4" w:space="0" w:color="auto"/>
                  </w:tcBorders>
                  <w:shd w:val="clear" w:color="auto" w:fill="FFFF00"/>
                </w:tcPr>
                <w:p w14:paraId="6726F9B2"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c>
                <w:tcPr>
                  <w:tcW w:w="1036" w:type="dxa"/>
                  <w:tcBorders>
                    <w:top w:val="nil"/>
                    <w:left w:val="single" w:sz="4" w:space="0" w:color="auto"/>
                    <w:bottom w:val="nil"/>
                    <w:right w:val="single" w:sz="4" w:space="0" w:color="auto"/>
                  </w:tcBorders>
                </w:tcPr>
                <w:p w14:paraId="5D45FEE0"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r>
            <w:tr w:rsidR="002812BC" w:rsidRPr="00C22F7C" w14:paraId="7BB18B18" w14:textId="77777777" w:rsidTr="00B83D66">
              <w:trPr>
                <w:trHeight w:val="229"/>
              </w:trPr>
              <w:tc>
                <w:tcPr>
                  <w:tcW w:w="265" w:type="dxa"/>
                  <w:tcBorders>
                    <w:top w:val="nil"/>
                    <w:left w:val="nil"/>
                    <w:bottom w:val="nil"/>
                    <w:right w:val="nil"/>
                  </w:tcBorders>
                </w:tcPr>
                <w:p w14:paraId="4914DF3D"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40C5063F" w14:textId="77777777" w:rsidR="002812BC" w:rsidRPr="00C22F7C" w:rsidRDefault="002812BC" w:rsidP="00B83D66">
                  <w:pPr>
                    <w:autoSpaceDE w:val="0"/>
                    <w:autoSpaceDN w:val="0"/>
                    <w:adjustRightInd w:val="0"/>
                    <w:ind w:right="-818"/>
                    <w:rPr>
                      <w:rFonts w:ascii="Calibri" w:hAnsi="Calibri" w:cs="Calibri"/>
                      <w:color w:val="000000"/>
                      <w:sz w:val="22"/>
                      <w:szCs w:val="22"/>
                    </w:rPr>
                  </w:pPr>
                  <w:r w:rsidRPr="00C22F7C">
                    <w:rPr>
                      <w:rFonts w:ascii="Calibri" w:hAnsi="Calibri" w:cs="Calibri"/>
                      <w:color w:val="000000"/>
                      <w:sz w:val="22"/>
                      <w:szCs w:val="22"/>
                    </w:rPr>
                    <w:t xml:space="preserve">Scheduled revenues </w:t>
                  </w:r>
                </w:p>
              </w:tc>
              <w:tc>
                <w:tcPr>
                  <w:tcW w:w="680" w:type="dxa"/>
                  <w:tcBorders>
                    <w:top w:val="nil"/>
                  </w:tcBorders>
                </w:tcPr>
                <w:p w14:paraId="618D659E"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right w:val="single" w:sz="4" w:space="0" w:color="auto"/>
                  </w:tcBorders>
                </w:tcPr>
                <w:p w14:paraId="08804A39" w14:textId="77777777" w:rsidR="002812BC" w:rsidRPr="00C22F7C" w:rsidRDefault="002812BC" w:rsidP="00B83D66">
                  <w:pPr>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-69%</w:t>
                  </w:r>
                </w:p>
              </w:tc>
              <w:tc>
                <w:tcPr>
                  <w:tcW w:w="1129" w:type="dxa"/>
                  <w:tcBorders>
                    <w:top w:val="nil"/>
                    <w:right w:val="single" w:sz="4" w:space="0" w:color="auto"/>
                  </w:tcBorders>
                  <w:shd w:val="clear" w:color="auto" w:fill="FFFF00"/>
                </w:tcPr>
                <w:p w14:paraId="3CAC2ECB"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690.1</w:t>
                  </w:r>
                </w:p>
              </w:tc>
              <w:tc>
                <w:tcPr>
                  <w:tcW w:w="1036" w:type="dxa"/>
                  <w:tcBorders>
                    <w:top w:val="nil"/>
                    <w:right w:val="single" w:sz="4" w:space="0" w:color="auto"/>
                  </w:tcBorders>
                  <w:shd w:val="clear" w:color="auto" w:fill="FFFF00"/>
                </w:tcPr>
                <w:p w14:paraId="348C0387"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036" w:type="dxa"/>
                  <w:tcBorders>
                    <w:top w:val="nil"/>
                    <w:left w:val="single" w:sz="4" w:space="0" w:color="auto"/>
                    <w:right w:val="single" w:sz="4" w:space="0" w:color="auto"/>
                  </w:tcBorders>
                  <w:shd w:val="clear" w:color="auto" w:fill="FFFF00"/>
                </w:tcPr>
                <w:p w14:paraId="7A702D74"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690.1</w:t>
                  </w:r>
                </w:p>
              </w:tc>
              <w:tc>
                <w:tcPr>
                  <w:tcW w:w="1036" w:type="dxa"/>
                  <w:tcBorders>
                    <w:top w:val="nil"/>
                    <w:left w:val="single" w:sz="4" w:space="0" w:color="auto"/>
                    <w:right w:val="single" w:sz="4" w:space="0" w:color="auto"/>
                  </w:tcBorders>
                </w:tcPr>
                <w:p w14:paraId="3C8CAC0F"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2,217.7</w:t>
                  </w:r>
                </w:p>
              </w:tc>
            </w:tr>
            <w:tr w:rsidR="002812BC" w:rsidRPr="00C22F7C" w14:paraId="6980E312" w14:textId="77777777" w:rsidTr="00B83D66">
              <w:trPr>
                <w:trHeight w:val="229"/>
              </w:trPr>
              <w:tc>
                <w:tcPr>
                  <w:tcW w:w="265" w:type="dxa"/>
                  <w:tcBorders>
                    <w:top w:val="nil"/>
                    <w:left w:val="nil"/>
                    <w:bottom w:val="nil"/>
                    <w:right w:val="nil"/>
                  </w:tcBorders>
                </w:tcPr>
                <w:p w14:paraId="65321B24"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4E4824FF" w14:textId="77777777" w:rsidR="002812BC" w:rsidRPr="00C22F7C" w:rsidRDefault="002812BC" w:rsidP="00B83D66">
                  <w:pPr>
                    <w:autoSpaceDE w:val="0"/>
                    <w:autoSpaceDN w:val="0"/>
                    <w:adjustRightInd w:val="0"/>
                    <w:ind w:right="-818"/>
                    <w:rPr>
                      <w:rFonts w:ascii="Calibri" w:hAnsi="Calibri" w:cs="Calibri"/>
                      <w:color w:val="000000"/>
                      <w:sz w:val="22"/>
                      <w:szCs w:val="22"/>
                    </w:rPr>
                  </w:pPr>
                  <w:r w:rsidRPr="00C22F7C">
                    <w:rPr>
                      <w:rFonts w:ascii="Calibri" w:hAnsi="Calibri" w:cs="Calibri"/>
                      <w:color w:val="000000"/>
                      <w:sz w:val="22"/>
                      <w:szCs w:val="22"/>
                    </w:rPr>
                    <w:t>Ancillary revenues</w:t>
                  </w:r>
                </w:p>
              </w:tc>
              <w:tc>
                <w:tcPr>
                  <w:tcW w:w="680" w:type="dxa"/>
                  <w:tcBorders>
                    <w:top w:val="nil"/>
                  </w:tcBorders>
                </w:tcPr>
                <w:p w14:paraId="40C01A36"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right w:val="single" w:sz="4" w:space="0" w:color="auto"/>
                  </w:tcBorders>
                </w:tcPr>
                <w:p w14:paraId="24BA5FB6" w14:textId="77777777" w:rsidR="002812BC" w:rsidRPr="00C22F7C" w:rsidRDefault="002812BC" w:rsidP="00B83D66">
                  <w:pPr>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-58%</w:t>
                  </w:r>
                </w:p>
              </w:tc>
              <w:tc>
                <w:tcPr>
                  <w:tcW w:w="1129" w:type="dxa"/>
                  <w:tcBorders>
                    <w:top w:val="nil"/>
                    <w:left w:val="single" w:sz="4" w:space="0" w:color="auto"/>
                    <w:right w:val="single" w:sz="4" w:space="0" w:color="auto"/>
                  </w:tcBorders>
                  <w:shd w:val="clear" w:color="auto" w:fill="FFFF00"/>
                </w:tcPr>
                <w:p w14:paraId="1CF697A5"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360.9</w:t>
                  </w:r>
                </w:p>
              </w:tc>
              <w:tc>
                <w:tcPr>
                  <w:tcW w:w="1036" w:type="dxa"/>
                  <w:tcBorders>
                    <w:top w:val="nil"/>
                    <w:left w:val="nil"/>
                    <w:right w:val="single" w:sz="4" w:space="0" w:color="auto"/>
                  </w:tcBorders>
                  <w:shd w:val="clear" w:color="auto" w:fill="FFFF00"/>
                </w:tcPr>
                <w:p w14:paraId="3B245634"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036" w:type="dxa"/>
                  <w:tcBorders>
                    <w:top w:val="nil"/>
                    <w:left w:val="single" w:sz="4" w:space="0" w:color="auto"/>
                    <w:right w:val="single" w:sz="4" w:space="0" w:color="auto"/>
                  </w:tcBorders>
                  <w:shd w:val="clear" w:color="auto" w:fill="FFFF00"/>
                </w:tcPr>
                <w:p w14:paraId="7C0BEABE"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360.9</w:t>
                  </w:r>
                </w:p>
              </w:tc>
              <w:tc>
                <w:tcPr>
                  <w:tcW w:w="1036" w:type="dxa"/>
                  <w:tcBorders>
                    <w:top w:val="nil"/>
                    <w:left w:val="single" w:sz="4" w:space="0" w:color="auto"/>
                    <w:right w:val="single" w:sz="4" w:space="0" w:color="auto"/>
                  </w:tcBorders>
                </w:tcPr>
                <w:p w14:paraId="703983C4"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859.8</w:t>
                  </w:r>
                </w:p>
              </w:tc>
            </w:tr>
            <w:tr w:rsidR="002812BC" w:rsidRPr="00C22F7C" w14:paraId="17A590EB" w14:textId="77777777" w:rsidTr="00B83D66">
              <w:trPr>
                <w:trHeight w:val="229"/>
              </w:trPr>
              <w:tc>
                <w:tcPr>
                  <w:tcW w:w="5191" w:type="dxa"/>
                  <w:gridSpan w:val="2"/>
                  <w:tcBorders>
                    <w:top w:val="nil"/>
                    <w:left w:val="nil"/>
                    <w:bottom w:val="nil"/>
                  </w:tcBorders>
                </w:tcPr>
                <w:p w14:paraId="109426E6" w14:textId="77777777" w:rsidR="002812BC" w:rsidRPr="00C22F7C" w:rsidRDefault="002812BC" w:rsidP="00B83D66">
                  <w:pPr>
                    <w:autoSpaceDE w:val="0"/>
                    <w:autoSpaceDN w:val="0"/>
                    <w:adjustRightInd w:val="0"/>
                    <w:ind w:right="-818"/>
                    <w:rPr>
                      <w:rFonts w:ascii="Calibri" w:hAnsi="Calibri" w:cs="Calibri"/>
                      <w:b/>
                      <w:color w:val="000000"/>
                      <w:sz w:val="22"/>
                      <w:szCs w:val="22"/>
                    </w:rPr>
                  </w:pPr>
                  <w:r w:rsidRPr="00C22F7C">
                    <w:rPr>
                      <w:rFonts w:ascii="Calibri" w:hAnsi="Calibri" w:cs="Calibri"/>
                      <w:b/>
                      <w:bCs/>
                      <w:color w:val="000000"/>
                      <w:sz w:val="22"/>
                      <w:szCs w:val="22"/>
                    </w:rPr>
                    <w:t xml:space="preserve">Total operating revenues </w:t>
                  </w:r>
                </w:p>
              </w:tc>
              <w:tc>
                <w:tcPr>
                  <w:tcW w:w="680" w:type="dxa"/>
                  <w:tcBorders>
                    <w:top w:val="nil"/>
                  </w:tcBorders>
                </w:tcPr>
                <w:p w14:paraId="1EA4F49D"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single" w:sz="4" w:space="0" w:color="auto"/>
                    <w:bottom w:val="single" w:sz="4" w:space="0" w:color="auto"/>
                    <w:right w:val="single" w:sz="4" w:space="0" w:color="auto"/>
                  </w:tcBorders>
                </w:tcPr>
                <w:p w14:paraId="3948E136" w14:textId="77777777" w:rsidR="002812BC" w:rsidRPr="00C22F7C" w:rsidRDefault="002812BC" w:rsidP="00B83D66">
                  <w:pPr>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-66%</w:t>
                  </w:r>
                </w:p>
              </w:tc>
              <w:tc>
                <w:tcPr>
                  <w:tcW w:w="1129" w:type="dxa"/>
                  <w:tcBorders>
                    <w:top w:val="single" w:sz="4" w:space="0" w:color="auto"/>
                    <w:bottom w:val="single" w:sz="4" w:space="0" w:color="auto"/>
                    <w:right w:val="single" w:sz="4" w:space="0" w:color="auto"/>
                  </w:tcBorders>
                  <w:shd w:val="clear" w:color="auto" w:fill="FFFF00"/>
                </w:tcPr>
                <w:p w14:paraId="3BF4949B"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1,051.0</w:t>
                  </w:r>
                </w:p>
              </w:tc>
              <w:tc>
                <w:tcPr>
                  <w:tcW w:w="1036" w:type="dxa"/>
                  <w:tcBorders>
                    <w:top w:val="single" w:sz="4" w:space="0" w:color="auto"/>
                    <w:bottom w:val="single" w:sz="4" w:space="0" w:color="auto"/>
                    <w:right w:val="single" w:sz="4" w:space="0" w:color="auto"/>
                  </w:tcBorders>
                  <w:shd w:val="clear" w:color="auto" w:fill="FFFF00"/>
                </w:tcPr>
                <w:p w14:paraId="30F5DCCB"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036" w:type="dxa"/>
                  <w:tcBorders>
                    <w:top w:val="single" w:sz="4" w:space="0" w:color="auto"/>
                    <w:left w:val="single" w:sz="4" w:space="0" w:color="auto"/>
                    <w:bottom w:val="single" w:sz="4" w:space="0" w:color="auto"/>
                    <w:right w:val="single" w:sz="4" w:space="0" w:color="auto"/>
                  </w:tcBorders>
                  <w:shd w:val="clear" w:color="auto" w:fill="FFFF00"/>
                </w:tcPr>
                <w:p w14:paraId="63243375"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1,051.0</w:t>
                  </w:r>
                </w:p>
              </w:tc>
              <w:tc>
                <w:tcPr>
                  <w:tcW w:w="1036" w:type="dxa"/>
                  <w:tcBorders>
                    <w:top w:val="single" w:sz="4" w:space="0" w:color="auto"/>
                    <w:left w:val="single" w:sz="4" w:space="0" w:color="auto"/>
                    <w:bottom w:val="single" w:sz="4" w:space="0" w:color="auto"/>
                    <w:right w:val="single" w:sz="4" w:space="0" w:color="auto"/>
                  </w:tcBorders>
                </w:tcPr>
                <w:p w14:paraId="7ED6F5ED" w14:textId="77777777" w:rsidR="002812BC" w:rsidRPr="00C22F7C" w:rsidRDefault="002812BC" w:rsidP="00B83D66">
                  <w:pPr>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3,077.5</w:t>
                  </w:r>
                </w:p>
              </w:tc>
            </w:tr>
            <w:tr w:rsidR="002812BC" w:rsidRPr="00C22F7C" w14:paraId="76C00E5B" w14:textId="77777777" w:rsidTr="00B83D66">
              <w:trPr>
                <w:trHeight w:val="229"/>
              </w:trPr>
              <w:tc>
                <w:tcPr>
                  <w:tcW w:w="5191" w:type="dxa"/>
                  <w:gridSpan w:val="2"/>
                  <w:tcBorders>
                    <w:top w:val="nil"/>
                    <w:left w:val="nil"/>
                    <w:bottom w:val="nil"/>
                  </w:tcBorders>
                </w:tcPr>
                <w:p w14:paraId="45B538C0" w14:textId="77777777" w:rsidR="002812BC" w:rsidRPr="00C22F7C" w:rsidRDefault="002812BC" w:rsidP="00B83D66">
                  <w:pPr>
                    <w:autoSpaceDE w:val="0"/>
                    <w:autoSpaceDN w:val="0"/>
                    <w:adjustRightInd w:val="0"/>
                    <w:rPr>
                      <w:rFonts w:ascii="Calibri" w:hAnsi="Calibri" w:cs="Calibri"/>
                      <w:bCs/>
                      <w:color w:val="000000"/>
                      <w:sz w:val="22"/>
                      <w:szCs w:val="22"/>
                    </w:rPr>
                  </w:pPr>
                </w:p>
              </w:tc>
              <w:tc>
                <w:tcPr>
                  <w:tcW w:w="680" w:type="dxa"/>
                  <w:tcBorders>
                    <w:bottom w:val="nil"/>
                  </w:tcBorders>
                </w:tcPr>
                <w:p w14:paraId="544EEC20"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bottom w:val="nil"/>
                    <w:right w:val="single" w:sz="4" w:space="0" w:color="auto"/>
                  </w:tcBorders>
                </w:tcPr>
                <w:p w14:paraId="72C56150"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129" w:type="dxa"/>
                  <w:tcBorders>
                    <w:bottom w:val="nil"/>
                    <w:right w:val="single" w:sz="4" w:space="0" w:color="auto"/>
                  </w:tcBorders>
                  <w:shd w:val="clear" w:color="auto" w:fill="FFFF00"/>
                </w:tcPr>
                <w:p w14:paraId="1933242A"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1036" w:type="dxa"/>
                  <w:tcBorders>
                    <w:bottom w:val="nil"/>
                    <w:right w:val="single" w:sz="4" w:space="0" w:color="auto"/>
                  </w:tcBorders>
                  <w:shd w:val="clear" w:color="auto" w:fill="FFFF00"/>
                </w:tcPr>
                <w:p w14:paraId="59FF1A86" w14:textId="77777777" w:rsidR="002812BC" w:rsidRPr="00C22F7C" w:rsidRDefault="002812BC" w:rsidP="00B83D66">
                  <w:pPr>
                    <w:autoSpaceDE w:val="0"/>
                    <w:autoSpaceDN w:val="0"/>
                    <w:adjustRightInd w:val="0"/>
                    <w:ind w:left="-226"/>
                    <w:jc w:val="right"/>
                    <w:rPr>
                      <w:rFonts w:ascii="Calibri" w:hAnsi="Calibri" w:cs="Calibri"/>
                      <w:b/>
                      <w:bCs/>
                      <w:color w:val="000000"/>
                      <w:sz w:val="22"/>
                      <w:szCs w:val="22"/>
                    </w:rPr>
                  </w:pPr>
                </w:p>
              </w:tc>
              <w:tc>
                <w:tcPr>
                  <w:tcW w:w="1036" w:type="dxa"/>
                  <w:tcBorders>
                    <w:left w:val="single" w:sz="4" w:space="0" w:color="auto"/>
                    <w:bottom w:val="nil"/>
                    <w:right w:val="single" w:sz="4" w:space="0" w:color="auto"/>
                  </w:tcBorders>
                  <w:shd w:val="clear" w:color="auto" w:fill="FFFF00"/>
                </w:tcPr>
                <w:p w14:paraId="2AA97A85" w14:textId="77777777" w:rsidR="002812BC" w:rsidRPr="00C22F7C" w:rsidRDefault="002812BC" w:rsidP="00B83D66">
                  <w:pPr>
                    <w:autoSpaceDE w:val="0"/>
                    <w:autoSpaceDN w:val="0"/>
                    <w:adjustRightInd w:val="0"/>
                    <w:ind w:left="-226"/>
                    <w:jc w:val="right"/>
                    <w:rPr>
                      <w:rFonts w:ascii="Calibri" w:hAnsi="Calibri" w:cs="Calibri"/>
                      <w:b/>
                      <w:bCs/>
                      <w:color w:val="000000"/>
                      <w:sz w:val="22"/>
                      <w:szCs w:val="22"/>
                    </w:rPr>
                  </w:pPr>
                </w:p>
              </w:tc>
              <w:tc>
                <w:tcPr>
                  <w:tcW w:w="1036" w:type="dxa"/>
                  <w:tcBorders>
                    <w:top w:val="single" w:sz="4" w:space="0" w:color="auto"/>
                    <w:left w:val="single" w:sz="4" w:space="0" w:color="auto"/>
                    <w:bottom w:val="nil"/>
                    <w:right w:val="single" w:sz="4" w:space="0" w:color="auto"/>
                  </w:tcBorders>
                </w:tcPr>
                <w:p w14:paraId="42CE131D"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r>
            <w:tr w:rsidR="002812BC" w:rsidRPr="00C22F7C" w14:paraId="2263658C" w14:textId="77777777" w:rsidTr="00B83D66">
              <w:trPr>
                <w:trHeight w:val="229"/>
              </w:trPr>
              <w:tc>
                <w:tcPr>
                  <w:tcW w:w="5191" w:type="dxa"/>
                  <w:gridSpan w:val="2"/>
                  <w:tcBorders>
                    <w:top w:val="nil"/>
                    <w:left w:val="nil"/>
                    <w:bottom w:val="nil"/>
                  </w:tcBorders>
                </w:tcPr>
                <w:p w14:paraId="40F3BC8F"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b/>
                      <w:color w:val="000000"/>
                      <w:sz w:val="22"/>
                      <w:szCs w:val="22"/>
                    </w:rPr>
                    <w:t>Operating expenses</w:t>
                  </w:r>
                </w:p>
              </w:tc>
              <w:tc>
                <w:tcPr>
                  <w:tcW w:w="680" w:type="dxa"/>
                  <w:tcBorders>
                    <w:top w:val="nil"/>
                    <w:bottom w:val="nil"/>
                  </w:tcBorders>
                </w:tcPr>
                <w:p w14:paraId="61958B65"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bottom w:val="nil"/>
                    <w:right w:val="single" w:sz="4" w:space="0" w:color="auto"/>
                  </w:tcBorders>
                </w:tcPr>
                <w:p w14:paraId="41118C8A"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129" w:type="dxa"/>
                  <w:tcBorders>
                    <w:top w:val="nil"/>
                    <w:bottom w:val="nil"/>
                    <w:right w:val="single" w:sz="4" w:space="0" w:color="auto"/>
                  </w:tcBorders>
                  <w:shd w:val="clear" w:color="auto" w:fill="FFFF00"/>
                </w:tcPr>
                <w:p w14:paraId="594964B8"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1036" w:type="dxa"/>
                  <w:tcBorders>
                    <w:top w:val="nil"/>
                    <w:bottom w:val="nil"/>
                    <w:right w:val="single" w:sz="4" w:space="0" w:color="auto"/>
                  </w:tcBorders>
                  <w:shd w:val="clear" w:color="auto" w:fill="FFFF00"/>
                </w:tcPr>
                <w:p w14:paraId="6FA9D7D5" w14:textId="77777777" w:rsidR="002812BC" w:rsidRPr="00C22F7C" w:rsidRDefault="002812BC" w:rsidP="00B83D66">
                  <w:pPr>
                    <w:autoSpaceDE w:val="0"/>
                    <w:autoSpaceDN w:val="0"/>
                    <w:adjustRightInd w:val="0"/>
                    <w:ind w:left="-226"/>
                    <w:jc w:val="right"/>
                    <w:rPr>
                      <w:rFonts w:ascii="Calibri" w:hAnsi="Calibri" w:cs="Calibri"/>
                      <w:b/>
                      <w:bCs/>
                      <w:color w:val="000000"/>
                      <w:sz w:val="22"/>
                      <w:szCs w:val="22"/>
                    </w:rPr>
                  </w:pPr>
                </w:p>
              </w:tc>
              <w:tc>
                <w:tcPr>
                  <w:tcW w:w="1036" w:type="dxa"/>
                  <w:tcBorders>
                    <w:top w:val="nil"/>
                    <w:left w:val="single" w:sz="4" w:space="0" w:color="auto"/>
                    <w:bottom w:val="nil"/>
                    <w:right w:val="single" w:sz="4" w:space="0" w:color="auto"/>
                  </w:tcBorders>
                  <w:shd w:val="clear" w:color="auto" w:fill="FFFF00"/>
                </w:tcPr>
                <w:p w14:paraId="61CA0348" w14:textId="77777777" w:rsidR="002812BC" w:rsidRPr="00C22F7C" w:rsidRDefault="002812BC" w:rsidP="00B83D66">
                  <w:pPr>
                    <w:autoSpaceDE w:val="0"/>
                    <w:autoSpaceDN w:val="0"/>
                    <w:adjustRightInd w:val="0"/>
                    <w:ind w:left="-226"/>
                    <w:jc w:val="right"/>
                    <w:rPr>
                      <w:rFonts w:ascii="Calibri" w:hAnsi="Calibri" w:cs="Calibri"/>
                      <w:b/>
                      <w:bCs/>
                      <w:color w:val="000000"/>
                      <w:sz w:val="22"/>
                      <w:szCs w:val="22"/>
                    </w:rPr>
                  </w:pPr>
                </w:p>
              </w:tc>
              <w:tc>
                <w:tcPr>
                  <w:tcW w:w="1036" w:type="dxa"/>
                  <w:tcBorders>
                    <w:top w:val="nil"/>
                    <w:left w:val="single" w:sz="4" w:space="0" w:color="auto"/>
                    <w:bottom w:val="nil"/>
                    <w:right w:val="single" w:sz="4" w:space="0" w:color="auto"/>
                  </w:tcBorders>
                </w:tcPr>
                <w:p w14:paraId="1DECD992"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r>
            <w:tr w:rsidR="002812BC" w:rsidRPr="00C22F7C" w14:paraId="2279E4EF" w14:textId="77777777" w:rsidTr="00B83D66">
              <w:trPr>
                <w:trHeight w:val="229"/>
              </w:trPr>
              <w:tc>
                <w:tcPr>
                  <w:tcW w:w="265" w:type="dxa"/>
                  <w:tcBorders>
                    <w:top w:val="nil"/>
                    <w:left w:val="nil"/>
                    <w:bottom w:val="nil"/>
                    <w:right w:val="nil"/>
                  </w:tcBorders>
                </w:tcPr>
                <w:p w14:paraId="5A3B657A"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33B0ED4F"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Fuel and oil</w:t>
                  </w:r>
                </w:p>
              </w:tc>
              <w:tc>
                <w:tcPr>
                  <w:tcW w:w="680" w:type="dxa"/>
                  <w:tcBorders>
                    <w:top w:val="nil"/>
                    <w:bottom w:val="nil"/>
                  </w:tcBorders>
                </w:tcPr>
                <w:p w14:paraId="258CD06F"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bottom w:val="nil"/>
                    <w:right w:val="single" w:sz="4" w:space="0" w:color="auto"/>
                  </w:tcBorders>
                </w:tcPr>
                <w:p w14:paraId="2624F8E9"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+58%</w:t>
                  </w:r>
                </w:p>
              </w:tc>
              <w:tc>
                <w:tcPr>
                  <w:tcW w:w="1129" w:type="dxa"/>
                  <w:tcBorders>
                    <w:top w:val="nil"/>
                    <w:bottom w:val="nil"/>
                    <w:right w:val="single" w:sz="4" w:space="0" w:color="auto"/>
                  </w:tcBorders>
                  <w:shd w:val="clear" w:color="auto" w:fill="FFFF00"/>
                </w:tcPr>
                <w:p w14:paraId="736DBA2A"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334.1</w:t>
                  </w:r>
                </w:p>
              </w:tc>
              <w:tc>
                <w:tcPr>
                  <w:tcW w:w="1036" w:type="dxa"/>
                  <w:tcBorders>
                    <w:top w:val="nil"/>
                    <w:bottom w:val="nil"/>
                    <w:right w:val="single" w:sz="4" w:space="0" w:color="auto"/>
                  </w:tcBorders>
                  <w:shd w:val="clear" w:color="auto" w:fill="FFFF00"/>
                </w:tcPr>
                <w:p w14:paraId="538BCDF3"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036" w:type="dxa"/>
                  <w:tcBorders>
                    <w:top w:val="nil"/>
                    <w:left w:val="single" w:sz="4" w:space="0" w:color="auto"/>
                    <w:bottom w:val="nil"/>
                    <w:right w:val="single" w:sz="4" w:space="0" w:color="auto"/>
                  </w:tcBorders>
                  <w:shd w:val="clear" w:color="auto" w:fill="FFFF00"/>
                </w:tcPr>
                <w:p w14:paraId="3568C44F"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color w:val="000000"/>
                      <w:sz w:val="22"/>
                      <w:szCs w:val="22"/>
                    </w:rPr>
                    <w:t>334.1</w:t>
                  </w:r>
                </w:p>
              </w:tc>
              <w:tc>
                <w:tcPr>
                  <w:tcW w:w="1036" w:type="dxa"/>
                  <w:tcBorders>
                    <w:top w:val="nil"/>
                    <w:left w:val="single" w:sz="4" w:space="0" w:color="auto"/>
                    <w:bottom w:val="nil"/>
                    <w:right w:val="single" w:sz="4" w:space="0" w:color="auto"/>
                  </w:tcBorders>
                </w:tcPr>
                <w:p w14:paraId="0F3FED29"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802.9</w:t>
                  </w:r>
                </w:p>
              </w:tc>
            </w:tr>
            <w:tr w:rsidR="002812BC" w:rsidRPr="00C22F7C" w14:paraId="37C80125" w14:textId="77777777" w:rsidTr="00B83D66">
              <w:trPr>
                <w:trHeight w:val="229"/>
              </w:trPr>
              <w:tc>
                <w:tcPr>
                  <w:tcW w:w="265" w:type="dxa"/>
                  <w:tcBorders>
                    <w:top w:val="nil"/>
                    <w:left w:val="nil"/>
                    <w:bottom w:val="nil"/>
                    <w:right w:val="nil"/>
                  </w:tcBorders>
                </w:tcPr>
                <w:p w14:paraId="395070A7"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5DFE899D"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Depreciation</w:t>
                  </w:r>
                </w:p>
              </w:tc>
              <w:tc>
                <w:tcPr>
                  <w:tcW w:w="680" w:type="dxa"/>
                  <w:tcBorders>
                    <w:top w:val="nil"/>
                    <w:bottom w:val="nil"/>
                  </w:tcBorders>
                </w:tcPr>
                <w:p w14:paraId="08F228CD"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bottom w:val="nil"/>
                    <w:right w:val="single" w:sz="4" w:space="0" w:color="auto"/>
                  </w:tcBorders>
                </w:tcPr>
                <w:p w14:paraId="4D13EF01"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+14%</w:t>
                  </w:r>
                </w:p>
              </w:tc>
              <w:tc>
                <w:tcPr>
                  <w:tcW w:w="1129" w:type="dxa"/>
                  <w:tcBorders>
                    <w:top w:val="nil"/>
                    <w:bottom w:val="nil"/>
                    <w:right w:val="single" w:sz="4" w:space="0" w:color="auto"/>
                  </w:tcBorders>
                  <w:shd w:val="clear" w:color="auto" w:fill="FFFF00"/>
                </w:tcPr>
                <w:p w14:paraId="10C4CB7D"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162.5</w:t>
                  </w:r>
                </w:p>
              </w:tc>
              <w:tc>
                <w:tcPr>
                  <w:tcW w:w="1036" w:type="dxa"/>
                  <w:tcBorders>
                    <w:top w:val="nil"/>
                    <w:bottom w:val="nil"/>
                    <w:right w:val="single" w:sz="4" w:space="0" w:color="auto"/>
                  </w:tcBorders>
                  <w:shd w:val="clear" w:color="auto" w:fill="FFFF00"/>
                </w:tcPr>
                <w:p w14:paraId="68BF30E2"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036" w:type="dxa"/>
                  <w:tcBorders>
                    <w:top w:val="nil"/>
                    <w:left w:val="single" w:sz="4" w:space="0" w:color="auto"/>
                    <w:bottom w:val="nil"/>
                    <w:right w:val="single" w:sz="4" w:space="0" w:color="auto"/>
                  </w:tcBorders>
                  <w:shd w:val="clear" w:color="auto" w:fill="FFFF00"/>
                </w:tcPr>
                <w:p w14:paraId="09C329F8"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color w:val="000000"/>
                      <w:sz w:val="22"/>
                      <w:szCs w:val="22"/>
                    </w:rPr>
                    <w:t>162.5</w:t>
                  </w:r>
                </w:p>
              </w:tc>
              <w:tc>
                <w:tcPr>
                  <w:tcW w:w="1036" w:type="dxa"/>
                  <w:tcBorders>
                    <w:top w:val="nil"/>
                    <w:left w:val="single" w:sz="4" w:space="0" w:color="auto"/>
                    <w:bottom w:val="nil"/>
                    <w:right w:val="single" w:sz="4" w:space="0" w:color="auto"/>
                  </w:tcBorders>
                </w:tcPr>
                <w:p w14:paraId="1F2DB6BC"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188.2</w:t>
                  </w:r>
                </w:p>
              </w:tc>
            </w:tr>
            <w:tr w:rsidR="002812BC" w:rsidRPr="00C22F7C" w14:paraId="4C641007" w14:textId="77777777" w:rsidTr="00B83D66">
              <w:trPr>
                <w:trHeight w:val="229"/>
              </w:trPr>
              <w:tc>
                <w:tcPr>
                  <w:tcW w:w="265" w:type="dxa"/>
                  <w:tcBorders>
                    <w:top w:val="nil"/>
                    <w:left w:val="nil"/>
                    <w:bottom w:val="nil"/>
                    <w:right w:val="nil"/>
                  </w:tcBorders>
                </w:tcPr>
                <w:p w14:paraId="0EE0C0C9"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5F50986A"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Staff costs</w:t>
                  </w:r>
                </w:p>
              </w:tc>
              <w:tc>
                <w:tcPr>
                  <w:tcW w:w="680" w:type="dxa"/>
                  <w:tcBorders>
                    <w:top w:val="nil"/>
                    <w:bottom w:val="nil"/>
                  </w:tcBorders>
                </w:tcPr>
                <w:p w14:paraId="31F3F998"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right w:val="single" w:sz="4" w:space="0" w:color="auto"/>
                  </w:tcBorders>
                </w:tcPr>
                <w:p w14:paraId="77BB02F3"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+42%</w:t>
                  </w:r>
                </w:p>
              </w:tc>
              <w:tc>
                <w:tcPr>
                  <w:tcW w:w="1129" w:type="dxa"/>
                  <w:tcBorders>
                    <w:top w:val="nil"/>
                    <w:right w:val="single" w:sz="4" w:space="0" w:color="auto"/>
                  </w:tcBorders>
                  <w:shd w:val="clear" w:color="auto" w:fill="FFFF00"/>
                </w:tcPr>
                <w:p w14:paraId="5C6D1019"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166.2</w:t>
                  </w:r>
                </w:p>
              </w:tc>
              <w:tc>
                <w:tcPr>
                  <w:tcW w:w="1036" w:type="dxa"/>
                  <w:tcBorders>
                    <w:top w:val="nil"/>
                    <w:right w:val="single" w:sz="4" w:space="0" w:color="auto"/>
                  </w:tcBorders>
                  <w:shd w:val="clear" w:color="auto" w:fill="FFFF00"/>
                </w:tcPr>
                <w:p w14:paraId="5F0F779B"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036" w:type="dxa"/>
                  <w:tcBorders>
                    <w:top w:val="nil"/>
                    <w:left w:val="single" w:sz="4" w:space="0" w:color="auto"/>
                    <w:right w:val="single" w:sz="4" w:space="0" w:color="auto"/>
                  </w:tcBorders>
                  <w:shd w:val="clear" w:color="auto" w:fill="FFFF00"/>
                </w:tcPr>
                <w:p w14:paraId="6F6C5E0E"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color w:val="000000"/>
                      <w:sz w:val="22"/>
                      <w:szCs w:val="22"/>
                    </w:rPr>
                    <w:t>166.2</w:t>
                  </w:r>
                </w:p>
              </w:tc>
              <w:tc>
                <w:tcPr>
                  <w:tcW w:w="1036" w:type="dxa"/>
                  <w:tcBorders>
                    <w:top w:val="nil"/>
                    <w:left w:val="single" w:sz="4" w:space="0" w:color="auto"/>
                    <w:right w:val="single" w:sz="4" w:space="0" w:color="auto"/>
                  </w:tcBorders>
                </w:tcPr>
                <w:p w14:paraId="2B613CBE"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286.0</w:t>
                  </w:r>
                </w:p>
              </w:tc>
            </w:tr>
            <w:tr w:rsidR="002812BC" w:rsidRPr="00C22F7C" w14:paraId="5F993832" w14:textId="77777777" w:rsidTr="00B83D66">
              <w:trPr>
                <w:trHeight w:val="229"/>
              </w:trPr>
              <w:tc>
                <w:tcPr>
                  <w:tcW w:w="265" w:type="dxa"/>
                  <w:tcBorders>
                    <w:top w:val="nil"/>
                    <w:left w:val="nil"/>
                    <w:bottom w:val="nil"/>
                    <w:right w:val="nil"/>
                  </w:tcBorders>
                </w:tcPr>
                <w:p w14:paraId="35C7AF91"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48A70B0B"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Airport and handling charges</w:t>
                  </w:r>
                </w:p>
              </w:tc>
              <w:tc>
                <w:tcPr>
                  <w:tcW w:w="680" w:type="dxa"/>
                  <w:tcBorders>
                    <w:top w:val="nil"/>
                  </w:tcBorders>
                </w:tcPr>
                <w:p w14:paraId="4B5F75C5"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right w:val="single" w:sz="4" w:space="0" w:color="auto"/>
                  </w:tcBorders>
                </w:tcPr>
                <w:p w14:paraId="2835D910"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+55%</w:t>
                  </w:r>
                </w:p>
              </w:tc>
              <w:tc>
                <w:tcPr>
                  <w:tcW w:w="1129" w:type="dxa"/>
                  <w:tcBorders>
                    <w:top w:val="nil"/>
                    <w:right w:val="single" w:sz="4" w:space="0" w:color="auto"/>
                  </w:tcBorders>
                  <w:shd w:val="clear" w:color="auto" w:fill="FFFF00"/>
                </w:tcPr>
                <w:p w14:paraId="34D51421"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151.6</w:t>
                  </w:r>
                </w:p>
              </w:tc>
              <w:tc>
                <w:tcPr>
                  <w:tcW w:w="1036" w:type="dxa"/>
                  <w:tcBorders>
                    <w:top w:val="nil"/>
                    <w:right w:val="single" w:sz="4" w:space="0" w:color="auto"/>
                  </w:tcBorders>
                  <w:shd w:val="clear" w:color="auto" w:fill="FFFF00"/>
                </w:tcPr>
                <w:p w14:paraId="6D71FD3E"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036" w:type="dxa"/>
                  <w:tcBorders>
                    <w:top w:val="nil"/>
                    <w:left w:val="single" w:sz="4" w:space="0" w:color="auto"/>
                    <w:right w:val="single" w:sz="4" w:space="0" w:color="auto"/>
                  </w:tcBorders>
                  <w:shd w:val="clear" w:color="auto" w:fill="FFFF00"/>
                </w:tcPr>
                <w:p w14:paraId="490D29C3"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color w:val="000000"/>
                      <w:sz w:val="22"/>
                      <w:szCs w:val="22"/>
                    </w:rPr>
                    <w:t>151.6</w:t>
                  </w:r>
                </w:p>
              </w:tc>
              <w:tc>
                <w:tcPr>
                  <w:tcW w:w="1036" w:type="dxa"/>
                  <w:tcBorders>
                    <w:top w:val="nil"/>
                    <w:left w:val="single" w:sz="4" w:space="0" w:color="auto"/>
                    <w:right w:val="single" w:sz="4" w:space="0" w:color="auto"/>
                  </w:tcBorders>
                </w:tcPr>
                <w:p w14:paraId="1907E998"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334.7</w:t>
                  </w:r>
                </w:p>
              </w:tc>
            </w:tr>
            <w:tr w:rsidR="002812BC" w:rsidRPr="00C22F7C" w14:paraId="15871F35" w14:textId="77777777" w:rsidTr="00B83D66">
              <w:trPr>
                <w:trHeight w:val="229"/>
              </w:trPr>
              <w:tc>
                <w:tcPr>
                  <w:tcW w:w="265" w:type="dxa"/>
                  <w:tcBorders>
                    <w:top w:val="nil"/>
                    <w:left w:val="nil"/>
                    <w:bottom w:val="nil"/>
                    <w:right w:val="nil"/>
                  </w:tcBorders>
                </w:tcPr>
                <w:p w14:paraId="140DB70D"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6D341BE0"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Route charges</w:t>
                  </w:r>
                </w:p>
              </w:tc>
              <w:tc>
                <w:tcPr>
                  <w:tcW w:w="680" w:type="dxa"/>
                  <w:tcBorders>
                    <w:top w:val="nil"/>
                    <w:bottom w:val="nil"/>
                  </w:tcBorders>
                </w:tcPr>
                <w:p w14:paraId="031E5C63"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bottom w:val="nil"/>
                    <w:right w:val="single" w:sz="4" w:space="0" w:color="auto"/>
                  </w:tcBorders>
                </w:tcPr>
                <w:p w14:paraId="3ECAE6C1"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+48%</w:t>
                  </w:r>
                </w:p>
              </w:tc>
              <w:tc>
                <w:tcPr>
                  <w:tcW w:w="1129" w:type="dxa"/>
                  <w:tcBorders>
                    <w:top w:val="nil"/>
                    <w:bottom w:val="nil"/>
                    <w:right w:val="single" w:sz="4" w:space="0" w:color="auto"/>
                  </w:tcBorders>
                  <w:shd w:val="clear" w:color="auto" w:fill="FFFF00"/>
                </w:tcPr>
                <w:p w14:paraId="09035B14"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113.0</w:t>
                  </w:r>
                </w:p>
              </w:tc>
              <w:tc>
                <w:tcPr>
                  <w:tcW w:w="1036" w:type="dxa"/>
                  <w:tcBorders>
                    <w:top w:val="nil"/>
                    <w:bottom w:val="nil"/>
                    <w:right w:val="single" w:sz="4" w:space="0" w:color="auto"/>
                  </w:tcBorders>
                  <w:shd w:val="clear" w:color="auto" w:fill="FFFF00"/>
                </w:tcPr>
                <w:p w14:paraId="60C9B407"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036" w:type="dxa"/>
                  <w:tcBorders>
                    <w:top w:val="nil"/>
                    <w:left w:val="single" w:sz="4" w:space="0" w:color="auto"/>
                    <w:bottom w:val="nil"/>
                    <w:right w:val="single" w:sz="4" w:space="0" w:color="auto"/>
                  </w:tcBorders>
                  <w:shd w:val="clear" w:color="auto" w:fill="FFFF00"/>
                </w:tcPr>
                <w:p w14:paraId="350C5F5D"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color w:val="000000"/>
                      <w:sz w:val="22"/>
                      <w:szCs w:val="22"/>
                    </w:rPr>
                    <w:t>113.0</w:t>
                  </w:r>
                </w:p>
              </w:tc>
              <w:tc>
                <w:tcPr>
                  <w:tcW w:w="1036" w:type="dxa"/>
                  <w:tcBorders>
                    <w:top w:val="nil"/>
                    <w:left w:val="single" w:sz="4" w:space="0" w:color="auto"/>
                    <w:bottom w:val="nil"/>
                    <w:right w:val="single" w:sz="4" w:space="0" w:color="auto"/>
                  </w:tcBorders>
                </w:tcPr>
                <w:p w14:paraId="36B33F10"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216.3</w:t>
                  </w:r>
                </w:p>
              </w:tc>
            </w:tr>
            <w:tr w:rsidR="002812BC" w:rsidRPr="00C22F7C" w14:paraId="20B06AA8" w14:textId="77777777" w:rsidTr="00B83D66">
              <w:trPr>
                <w:trHeight w:val="229"/>
              </w:trPr>
              <w:tc>
                <w:tcPr>
                  <w:tcW w:w="265" w:type="dxa"/>
                  <w:tcBorders>
                    <w:top w:val="nil"/>
                    <w:left w:val="nil"/>
                    <w:bottom w:val="nil"/>
                    <w:right w:val="nil"/>
                  </w:tcBorders>
                </w:tcPr>
                <w:p w14:paraId="7BC4F849"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4E760606"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Marketing, distribution and other</w:t>
                  </w:r>
                </w:p>
              </w:tc>
              <w:tc>
                <w:tcPr>
                  <w:tcW w:w="680" w:type="dxa"/>
                  <w:tcBorders>
                    <w:top w:val="nil"/>
                  </w:tcBorders>
                </w:tcPr>
                <w:p w14:paraId="20D1F79D"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right w:val="single" w:sz="4" w:space="0" w:color="auto"/>
                  </w:tcBorders>
                </w:tcPr>
                <w:p w14:paraId="3214F6F0"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+59%</w:t>
                  </w:r>
                </w:p>
              </w:tc>
              <w:tc>
                <w:tcPr>
                  <w:tcW w:w="1129" w:type="dxa"/>
                  <w:tcBorders>
                    <w:top w:val="nil"/>
                    <w:right w:val="single" w:sz="4" w:space="0" w:color="auto"/>
                  </w:tcBorders>
                  <w:shd w:val="clear" w:color="auto" w:fill="FFFF00"/>
                </w:tcPr>
                <w:p w14:paraId="695211CD"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64.0</w:t>
                  </w:r>
                </w:p>
              </w:tc>
              <w:tc>
                <w:tcPr>
                  <w:tcW w:w="1036" w:type="dxa"/>
                  <w:tcBorders>
                    <w:top w:val="nil"/>
                    <w:right w:val="single" w:sz="4" w:space="0" w:color="auto"/>
                  </w:tcBorders>
                  <w:shd w:val="clear" w:color="auto" w:fill="FFFF00"/>
                </w:tcPr>
                <w:p w14:paraId="0C81E3A8"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036" w:type="dxa"/>
                  <w:tcBorders>
                    <w:top w:val="nil"/>
                    <w:left w:val="single" w:sz="4" w:space="0" w:color="auto"/>
                    <w:right w:val="single" w:sz="4" w:space="0" w:color="auto"/>
                  </w:tcBorders>
                  <w:shd w:val="clear" w:color="auto" w:fill="FFFF00"/>
                </w:tcPr>
                <w:p w14:paraId="6E075302"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color w:val="000000"/>
                      <w:sz w:val="22"/>
                      <w:szCs w:val="22"/>
                    </w:rPr>
                    <w:t>64.0</w:t>
                  </w:r>
                </w:p>
              </w:tc>
              <w:tc>
                <w:tcPr>
                  <w:tcW w:w="1036" w:type="dxa"/>
                  <w:tcBorders>
                    <w:top w:val="nil"/>
                    <w:left w:val="single" w:sz="4" w:space="0" w:color="auto"/>
                    <w:right w:val="single" w:sz="4" w:space="0" w:color="auto"/>
                  </w:tcBorders>
                </w:tcPr>
                <w:p w14:paraId="2A086FA9"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154.5</w:t>
                  </w:r>
                </w:p>
              </w:tc>
            </w:tr>
            <w:tr w:rsidR="002812BC" w:rsidRPr="00C22F7C" w14:paraId="24BE890E" w14:textId="77777777" w:rsidTr="00B83D66">
              <w:trPr>
                <w:trHeight w:val="229"/>
              </w:trPr>
              <w:tc>
                <w:tcPr>
                  <w:tcW w:w="265" w:type="dxa"/>
                  <w:tcBorders>
                    <w:top w:val="nil"/>
                    <w:left w:val="nil"/>
                    <w:bottom w:val="nil"/>
                    <w:right w:val="nil"/>
                  </w:tcBorders>
                </w:tcPr>
                <w:p w14:paraId="2AF874B7"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18A2677A"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Maintenance, materials and repairs</w:t>
                  </w:r>
                </w:p>
              </w:tc>
              <w:tc>
                <w:tcPr>
                  <w:tcW w:w="680" w:type="dxa"/>
                  <w:tcBorders>
                    <w:top w:val="nil"/>
                    <w:bottom w:val="nil"/>
                  </w:tcBorders>
                </w:tcPr>
                <w:p w14:paraId="29686261"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bottom w:val="nil"/>
                    <w:right w:val="single" w:sz="4" w:space="0" w:color="auto"/>
                  </w:tcBorders>
                </w:tcPr>
                <w:p w14:paraId="2492D96A"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+33%</w:t>
                  </w:r>
                </w:p>
              </w:tc>
              <w:tc>
                <w:tcPr>
                  <w:tcW w:w="1129" w:type="dxa"/>
                  <w:tcBorders>
                    <w:bottom w:val="nil"/>
                    <w:right w:val="single" w:sz="4" w:space="0" w:color="auto"/>
                  </w:tcBorders>
                  <w:shd w:val="clear" w:color="auto" w:fill="FFFF00"/>
                </w:tcPr>
                <w:p w14:paraId="30AB777F"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46.4</w:t>
                  </w:r>
                </w:p>
              </w:tc>
              <w:tc>
                <w:tcPr>
                  <w:tcW w:w="1036" w:type="dxa"/>
                  <w:tcBorders>
                    <w:bottom w:val="nil"/>
                    <w:right w:val="single" w:sz="4" w:space="0" w:color="auto"/>
                  </w:tcBorders>
                  <w:shd w:val="clear" w:color="auto" w:fill="FFFF00"/>
                </w:tcPr>
                <w:p w14:paraId="3D14219F"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036" w:type="dxa"/>
                  <w:tcBorders>
                    <w:left w:val="single" w:sz="4" w:space="0" w:color="auto"/>
                    <w:bottom w:val="nil"/>
                    <w:right w:val="single" w:sz="4" w:space="0" w:color="auto"/>
                  </w:tcBorders>
                  <w:shd w:val="clear" w:color="auto" w:fill="FFFF00"/>
                </w:tcPr>
                <w:p w14:paraId="485AAC79"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color w:val="000000"/>
                      <w:sz w:val="22"/>
                      <w:szCs w:val="22"/>
                    </w:rPr>
                    <w:t>46.4</w:t>
                  </w:r>
                </w:p>
              </w:tc>
              <w:tc>
                <w:tcPr>
                  <w:tcW w:w="1036" w:type="dxa"/>
                  <w:tcBorders>
                    <w:left w:val="single" w:sz="4" w:space="0" w:color="auto"/>
                    <w:bottom w:val="nil"/>
                    <w:right w:val="single" w:sz="4" w:space="0" w:color="auto"/>
                  </w:tcBorders>
                </w:tcPr>
                <w:p w14:paraId="59978462"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69.1</w:t>
                  </w:r>
                </w:p>
              </w:tc>
            </w:tr>
            <w:tr w:rsidR="002812BC" w:rsidRPr="00C22F7C" w14:paraId="114C7A8B" w14:textId="77777777" w:rsidTr="00B83D66">
              <w:trPr>
                <w:trHeight w:val="229"/>
              </w:trPr>
              <w:tc>
                <w:tcPr>
                  <w:tcW w:w="265" w:type="dxa"/>
                  <w:tcBorders>
                    <w:top w:val="nil"/>
                    <w:left w:val="nil"/>
                    <w:bottom w:val="nil"/>
                    <w:right w:val="nil"/>
                  </w:tcBorders>
                </w:tcPr>
                <w:p w14:paraId="3C9CB5AD"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62F294A6"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Aircraft rentals</w:t>
                  </w:r>
                </w:p>
              </w:tc>
              <w:tc>
                <w:tcPr>
                  <w:tcW w:w="680" w:type="dxa"/>
                  <w:tcBorders>
                    <w:top w:val="nil"/>
                    <w:bottom w:val="nil"/>
                  </w:tcBorders>
                </w:tcPr>
                <w:p w14:paraId="0F3D863D"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bottom w:val="nil"/>
                    <w:right w:val="single" w:sz="4" w:space="0" w:color="auto"/>
                  </w:tcBorders>
                </w:tcPr>
                <w:p w14:paraId="46539525"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+81%</w:t>
                  </w:r>
                </w:p>
              </w:tc>
              <w:tc>
                <w:tcPr>
                  <w:tcW w:w="1129" w:type="dxa"/>
                  <w:tcBorders>
                    <w:top w:val="nil"/>
                    <w:bottom w:val="nil"/>
                    <w:right w:val="single" w:sz="4" w:space="0" w:color="auto"/>
                  </w:tcBorders>
                  <w:shd w:val="clear" w:color="auto" w:fill="FFFF00"/>
                </w:tcPr>
                <w:p w14:paraId="0F8D951F"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2.4</w:t>
                  </w:r>
                </w:p>
              </w:tc>
              <w:tc>
                <w:tcPr>
                  <w:tcW w:w="1036" w:type="dxa"/>
                  <w:tcBorders>
                    <w:top w:val="nil"/>
                    <w:bottom w:val="nil"/>
                    <w:right w:val="single" w:sz="4" w:space="0" w:color="auto"/>
                  </w:tcBorders>
                  <w:shd w:val="clear" w:color="auto" w:fill="FFFF00"/>
                </w:tcPr>
                <w:p w14:paraId="459E7039"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036" w:type="dxa"/>
                  <w:tcBorders>
                    <w:top w:val="nil"/>
                    <w:left w:val="single" w:sz="4" w:space="0" w:color="auto"/>
                    <w:bottom w:val="nil"/>
                    <w:right w:val="single" w:sz="4" w:space="0" w:color="auto"/>
                  </w:tcBorders>
                  <w:shd w:val="clear" w:color="auto" w:fill="FFFF00"/>
                </w:tcPr>
                <w:p w14:paraId="6A4409C1"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color w:val="000000"/>
                      <w:sz w:val="22"/>
                      <w:szCs w:val="22"/>
                    </w:rPr>
                    <w:t>2.4</w:t>
                  </w:r>
                </w:p>
              </w:tc>
              <w:tc>
                <w:tcPr>
                  <w:tcW w:w="1036" w:type="dxa"/>
                  <w:tcBorders>
                    <w:top w:val="nil"/>
                    <w:left w:val="single" w:sz="4" w:space="0" w:color="auto"/>
                    <w:bottom w:val="nil"/>
                    <w:right w:val="single" w:sz="4" w:space="0" w:color="auto"/>
                  </w:tcBorders>
                </w:tcPr>
                <w:p w14:paraId="4F372327"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12.8</w:t>
                  </w:r>
                </w:p>
              </w:tc>
            </w:tr>
            <w:tr w:rsidR="002812BC" w:rsidRPr="00C22F7C" w14:paraId="470EC7E4" w14:textId="77777777" w:rsidTr="00B83D66">
              <w:trPr>
                <w:trHeight w:val="229"/>
              </w:trPr>
              <w:tc>
                <w:tcPr>
                  <w:tcW w:w="5191" w:type="dxa"/>
                  <w:gridSpan w:val="2"/>
                  <w:tcBorders>
                    <w:top w:val="nil"/>
                    <w:left w:val="nil"/>
                    <w:bottom w:val="nil"/>
                  </w:tcBorders>
                </w:tcPr>
                <w:p w14:paraId="3E05E523" w14:textId="77777777" w:rsidR="002812BC" w:rsidRPr="00C22F7C" w:rsidRDefault="002812BC" w:rsidP="00B83D66">
                  <w:pPr>
                    <w:autoSpaceDE w:val="0"/>
                    <w:autoSpaceDN w:val="0"/>
                    <w:adjustRightInd w:val="0"/>
                    <w:rPr>
                      <w:rFonts w:ascii="Calibri" w:hAnsi="Calibri" w:cs="Calibri"/>
                      <w:b/>
                      <w:color w:val="000000"/>
                      <w:sz w:val="22"/>
                      <w:szCs w:val="22"/>
                    </w:rPr>
                  </w:pPr>
                  <w:r w:rsidRPr="00C22F7C">
                    <w:rPr>
                      <w:rFonts w:ascii="Calibri" w:hAnsi="Calibri" w:cs="Calibri"/>
                      <w:b/>
                      <w:bCs/>
                      <w:color w:val="000000"/>
                      <w:sz w:val="22"/>
                      <w:szCs w:val="22"/>
                    </w:rPr>
                    <w:t>Total operating expenses</w:t>
                  </w:r>
                </w:p>
              </w:tc>
              <w:tc>
                <w:tcPr>
                  <w:tcW w:w="680" w:type="dxa"/>
                  <w:tcBorders>
                    <w:top w:val="nil"/>
                  </w:tcBorders>
                </w:tcPr>
                <w:p w14:paraId="033443DD"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single" w:sz="4" w:space="0" w:color="auto"/>
                    <w:right w:val="single" w:sz="4" w:space="0" w:color="auto"/>
                  </w:tcBorders>
                </w:tcPr>
                <w:p w14:paraId="071C2817" w14:textId="77777777" w:rsidR="002812BC" w:rsidRPr="00C22F7C" w:rsidRDefault="002812BC" w:rsidP="00B83D66">
                  <w:pPr>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+50%</w:t>
                  </w:r>
                </w:p>
              </w:tc>
              <w:tc>
                <w:tcPr>
                  <w:tcW w:w="1129" w:type="dxa"/>
                  <w:tcBorders>
                    <w:top w:val="single" w:sz="4" w:space="0" w:color="auto"/>
                    <w:right w:val="single" w:sz="4" w:space="0" w:color="auto"/>
                  </w:tcBorders>
                  <w:shd w:val="clear" w:color="auto" w:fill="FFFF00"/>
                </w:tcPr>
                <w:p w14:paraId="5E3AB3AD"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1,040.2</w:t>
                  </w:r>
                </w:p>
              </w:tc>
              <w:tc>
                <w:tcPr>
                  <w:tcW w:w="1036" w:type="dxa"/>
                  <w:tcBorders>
                    <w:top w:val="single" w:sz="4" w:space="0" w:color="auto"/>
                    <w:right w:val="single" w:sz="4" w:space="0" w:color="auto"/>
                  </w:tcBorders>
                  <w:shd w:val="clear" w:color="auto" w:fill="FFFF00"/>
                </w:tcPr>
                <w:p w14:paraId="0D0BE2F6"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036" w:type="dxa"/>
                  <w:tcBorders>
                    <w:top w:val="single" w:sz="4" w:space="0" w:color="auto"/>
                    <w:left w:val="single" w:sz="4" w:space="0" w:color="auto"/>
                    <w:right w:val="single" w:sz="4" w:space="0" w:color="auto"/>
                  </w:tcBorders>
                  <w:shd w:val="clear" w:color="auto" w:fill="FFFF00"/>
                </w:tcPr>
                <w:p w14:paraId="1C0EA9DF"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color w:val="000000"/>
                      <w:sz w:val="22"/>
                      <w:szCs w:val="22"/>
                    </w:rPr>
                    <w:t>1,040.2</w:t>
                  </w:r>
                </w:p>
              </w:tc>
              <w:tc>
                <w:tcPr>
                  <w:tcW w:w="1036" w:type="dxa"/>
                  <w:tcBorders>
                    <w:top w:val="single" w:sz="4" w:space="0" w:color="auto"/>
                    <w:left w:val="single" w:sz="4" w:space="0" w:color="auto"/>
                    <w:bottom w:val="single" w:sz="4" w:space="0" w:color="auto"/>
                    <w:right w:val="single" w:sz="4" w:space="0" w:color="auto"/>
                  </w:tcBorders>
                </w:tcPr>
                <w:p w14:paraId="799793D2"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2,064.5</w:t>
                  </w:r>
                </w:p>
              </w:tc>
            </w:tr>
            <w:tr w:rsidR="002812BC" w:rsidRPr="00C22F7C" w14:paraId="5FD5FBA5" w14:textId="77777777" w:rsidTr="00B83D66">
              <w:trPr>
                <w:trHeight w:hRule="exact" w:val="116"/>
              </w:trPr>
              <w:tc>
                <w:tcPr>
                  <w:tcW w:w="265" w:type="dxa"/>
                  <w:tcBorders>
                    <w:top w:val="nil"/>
                    <w:left w:val="nil"/>
                    <w:bottom w:val="nil"/>
                    <w:right w:val="nil"/>
                  </w:tcBorders>
                </w:tcPr>
                <w:p w14:paraId="1D173F2F"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1FDFC13F"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680" w:type="dxa"/>
                  <w:tcBorders>
                    <w:top w:val="nil"/>
                  </w:tcBorders>
                </w:tcPr>
                <w:p w14:paraId="66055930"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single" w:sz="4" w:space="0" w:color="auto"/>
                    <w:right w:val="single" w:sz="4" w:space="0" w:color="auto"/>
                  </w:tcBorders>
                </w:tcPr>
                <w:p w14:paraId="763B7554"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129" w:type="dxa"/>
                  <w:tcBorders>
                    <w:top w:val="single" w:sz="4" w:space="0" w:color="auto"/>
                    <w:right w:val="single" w:sz="4" w:space="0" w:color="auto"/>
                  </w:tcBorders>
                  <w:shd w:val="clear" w:color="auto" w:fill="FFFF00"/>
                </w:tcPr>
                <w:p w14:paraId="6211111F" w14:textId="77777777" w:rsidR="002812BC" w:rsidRPr="00C22F7C" w:rsidRDefault="002812BC" w:rsidP="00B83D66">
                  <w:pPr>
                    <w:autoSpaceDE w:val="0"/>
                    <w:autoSpaceDN w:val="0"/>
                    <w:adjustRightInd w:val="0"/>
                    <w:rPr>
                      <w:rFonts w:ascii="Calibri" w:hAnsi="Calibri" w:cs="Calibri"/>
                      <w:b/>
                      <w:bCs/>
                      <w:color w:val="000000"/>
                      <w:sz w:val="22"/>
                      <w:szCs w:val="22"/>
                    </w:rPr>
                  </w:pPr>
                </w:p>
              </w:tc>
              <w:tc>
                <w:tcPr>
                  <w:tcW w:w="1036" w:type="dxa"/>
                  <w:tcBorders>
                    <w:top w:val="single" w:sz="4" w:space="0" w:color="auto"/>
                    <w:right w:val="single" w:sz="4" w:space="0" w:color="auto"/>
                  </w:tcBorders>
                  <w:shd w:val="clear" w:color="auto" w:fill="FFFF00"/>
                </w:tcPr>
                <w:p w14:paraId="43CACAF9" w14:textId="77777777" w:rsidR="002812BC" w:rsidRPr="00C22F7C" w:rsidRDefault="002812BC" w:rsidP="00B83D66">
                  <w:pPr>
                    <w:autoSpaceDE w:val="0"/>
                    <w:autoSpaceDN w:val="0"/>
                    <w:adjustRightInd w:val="0"/>
                    <w:ind w:left="-226"/>
                    <w:jc w:val="right"/>
                    <w:rPr>
                      <w:rFonts w:ascii="Calibri" w:hAnsi="Calibri" w:cs="Calibri"/>
                      <w:b/>
                      <w:bCs/>
                      <w:color w:val="000000"/>
                      <w:sz w:val="22"/>
                      <w:szCs w:val="22"/>
                    </w:rPr>
                  </w:pPr>
                </w:p>
              </w:tc>
              <w:tc>
                <w:tcPr>
                  <w:tcW w:w="1036" w:type="dxa"/>
                  <w:tcBorders>
                    <w:top w:val="single" w:sz="4" w:space="0" w:color="auto"/>
                    <w:left w:val="single" w:sz="4" w:space="0" w:color="auto"/>
                    <w:right w:val="single" w:sz="4" w:space="0" w:color="auto"/>
                  </w:tcBorders>
                  <w:shd w:val="clear" w:color="auto" w:fill="FFFF00"/>
                </w:tcPr>
                <w:p w14:paraId="55D97DD5"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c>
                <w:tcPr>
                  <w:tcW w:w="1036" w:type="dxa"/>
                  <w:tcBorders>
                    <w:top w:val="single" w:sz="4" w:space="0" w:color="auto"/>
                    <w:left w:val="single" w:sz="4" w:space="0" w:color="auto"/>
                    <w:right w:val="single" w:sz="4" w:space="0" w:color="auto"/>
                  </w:tcBorders>
                </w:tcPr>
                <w:p w14:paraId="13BD4A3E"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r>
            <w:tr w:rsidR="002812BC" w:rsidRPr="00C22F7C" w14:paraId="36A04D79" w14:textId="77777777" w:rsidTr="00B83D66">
              <w:trPr>
                <w:trHeight w:val="229"/>
              </w:trPr>
              <w:tc>
                <w:tcPr>
                  <w:tcW w:w="5191" w:type="dxa"/>
                  <w:gridSpan w:val="2"/>
                  <w:tcBorders>
                    <w:top w:val="nil"/>
                    <w:left w:val="nil"/>
                    <w:bottom w:val="nil"/>
                  </w:tcBorders>
                </w:tcPr>
                <w:p w14:paraId="2F23E1F4" w14:textId="77777777" w:rsidR="002812BC" w:rsidRPr="00C22F7C" w:rsidRDefault="002812BC" w:rsidP="00B83D66">
                  <w:pPr>
                    <w:autoSpaceDE w:val="0"/>
                    <w:autoSpaceDN w:val="0"/>
                    <w:adjustRightInd w:val="0"/>
                    <w:rPr>
                      <w:rFonts w:ascii="Calibri" w:hAnsi="Calibri" w:cs="Calibri"/>
                      <w:b/>
                      <w:color w:val="000000"/>
                      <w:sz w:val="22"/>
                      <w:szCs w:val="22"/>
                    </w:rPr>
                  </w:pPr>
                  <w:r w:rsidRPr="00C22F7C">
                    <w:rPr>
                      <w:rFonts w:ascii="Calibri" w:hAnsi="Calibri" w:cs="Calibri"/>
                      <w:b/>
                      <w:bCs/>
                      <w:color w:val="000000"/>
                      <w:sz w:val="22"/>
                      <w:szCs w:val="22"/>
                    </w:rPr>
                    <w:t>Operating profit</w:t>
                  </w:r>
                  <w:r w:rsidRPr="00C22F7C">
                    <w:rPr>
                      <w:rFonts w:ascii="Calibri" w:hAnsi="Calibri" w:cs="Calibri"/>
                      <w:b/>
                      <w:color w:val="000000"/>
                      <w:sz w:val="22"/>
                      <w:szCs w:val="22"/>
                    </w:rPr>
                    <w:t xml:space="preserve"> </w:t>
                  </w:r>
                </w:p>
              </w:tc>
              <w:tc>
                <w:tcPr>
                  <w:tcW w:w="680" w:type="dxa"/>
                  <w:tcBorders>
                    <w:top w:val="nil"/>
                  </w:tcBorders>
                </w:tcPr>
                <w:p w14:paraId="0EA00E88"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right w:val="single" w:sz="4" w:space="0" w:color="auto"/>
                  </w:tcBorders>
                </w:tcPr>
                <w:p w14:paraId="2D5A366C" w14:textId="77777777" w:rsidR="002812BC" w:rsidRPr="00C22F7C" w:rsidRDefault="002812BC" w:rsidP="00B83D66">
                  <w:pPr>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-99%</w:t>
                  </w:r>
                </w:p>
                <w:p w14:paraId="78E69DDB"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129" w:type="dxa"/>
                  <w:tcBorders>
                    <w:top w:val="nil"/>
                    <w:right w:val="single" w:sz="4" w:space="0" w:color="auto"/>
                  </w:tcBorders>
                  <w:shd w:val="clear" w:color="auto" w:fill="FFFF00"/>
                </w:tcPr>
                <w:p w14:paraId="4242C57B"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10.8</w:t>
                  </w:r>
                </w:p>
              </w:tc>
              <w:tc>
                <w:tcPr>
                  <w:tcW w:w="1036" w:type="dxa"/>
                  <w:tcBorders>
                    <w:top w:val="nil"/>
                    <w:right w:val="single" w:sz="4" w:space="0" w:color="auto"/>
                  </w:tcBorders>
                  <w:shd w:val="clear" w:color="auto" w:fill="FFFF00"/>
                </w:tcPr>
                <w:p w14:paraId="169EE151"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036" w:type="dxa"/>
                  <w:tcBorders>
                    <w:top w:val="nil"/>
                    <w:left w:val="single" w:sz="4" w:space="0" w:color="auto"/>
                    <w:right w:val="single" w:sz="4" w:space="0" w:color="auto"/>
                  </w:tcBorders>
                  <w:shd w:val="clear" w:color="auto" w:fill="FFFF00"/>
                </w:tcPr>
                <w:p w14:paraId="6836ADE6"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10.8</w:t>
                  </w:r>
                </w:p>
              </w:tc>
              <w:tc>
                <w:tcPr>
                  <w:tcW w:w="1036" w:type="dxa"/>
                  <w:tcBorders>
                    <w:top w:val="nil"/>
                    <w:left w:val="single" w:sz="4" w:space="0" w:color="auto"/>
                    <w:right w:val="single" w:sz="4" w:space="0" w:color="auto"/>
                  </w:tcBorders>
                </w:tcPr>
                <w:p w14:paraId="14BA49B7"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1,013.0</w:t>
                  </w:r>
                </w:p>
                <w:p w14:paraId="49AAC04E" w14:textId="77777777" w:rsidR="002812BC" w:rsidRPr="00C22F7C" w:rsidRDefault="002812BC" w:rsidP="00B83D66">
                  <w:pPr>
                    <w:widowControl w:val="0"/>
                    <w:autoSpaceDE w:val="0"/>
                    <w:autoSpaceDN w:val="0"/>
                    <w:adjustRightInd w:val="0"/>
                    <w:ind w:left="-226"/>
                    <w:jc w:val="center"/>
                    <w:rPr>
                      <w:rFonts w:ascii="Calibri" w:hAnsi="Calibri" w:cs="Calibri"/>
                      <w:color w:val="000000"/>
                      <w:sz w:val="22"/>
                      <w:szCs w:val="22"/>
                    </w:rPr>
                  </w:pPr>
                </w:p>
              </w:tc>
            </w:tr>
            <w:tr w:rsidR="002812BC" w:rsidRPr="00C22F7C" w14:paraId="65A17BCB" w14:textId="77777777" w:rsidTr="00B83D66">
              <w:trPr>
                <w:trHeight w:val="229"/>
              </w:trPr>
              <w:tc>
                <w:tcPr>
                  <w:tcW w:w="5191" w:type="dxa"/>
                  <w:gridSpan w:val="2"/>
                  <w:tcBorders>
                    <w:top w:val="nil"/>
                    <w:left w:val="nil"/>
                    <w:bottom w:val="nil"/>
                  </w:tcBorders>
                </w:tcPr>
                <w:p w14:paraId="3EC8EC54" w14:textId="77777777" w:rsidR="002812BC" w:rsidRPr="00C22F7C" w:rsidRDefault="002812BC" w:rsidP="00B83D66">
                  <w:pPr>
                    <w:autoSpaceDE w:val="0"/>
                    <w:autoSpaceDN w:val="0"/>
                    <w:adjustRightInd w:val="0"/>
                    <w:rPr>
                      <w:rFonts w:ascii="Calibri" w:hAnsi="Calibri" w:cs="Calibri"/>
                      <w:b/>
                      <w:bCs/>
                      <w:color w:val="000000"/>
                      <w:sz w:val="22"/>
                      <w:szCs w:val="22"/>
                    </w:rPr>
                  </w:pPr>
                  <w:r w:rsidRPr="00C22F7C">
                    <w:rPr>
                      <w:rFonts w:ascii="Calibri" w:hAnsi="Calibri" w:cs="Calibri"/>
                      <w:b/>
                      <w:bCs/>
                      <w:color w:val="000000"/>
                      <w:sz w:val="22"/>
                      <w:szCs w:val="22"/>
                    </w:rPr>
                    <w:t>Other (expense)/income</w:t>
                  </w:r>
                </w:p>
              </w:tc>
              <w:tc>
                <w:tcPr>
                  <w:tcW w:w="680" w:type="dxa"/>
                  <w:tcBorders>
                    <w:top w:val="nil"/>
                  </w:tcBorders>
                </w:tcPr>
                <w:p w14:paraId="3D1F3665"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right w:val="single" w:sz="4" w:space="0" w:color="auto"/>
                  </w:tcBorders>
                </w:tcPr>
                <w:p w14:paraId="71769F66"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129" w:type="dxa"/>
                  <w:tcBorders>
                    <w:top w:val="nil"/>
                    <w:right w:val="single" w:sz="4" w:space="0" w:color="auto"/>
                  </w:tcBorders>
                  <w:shd w:val="clear" w:color="auto" w:fill="FFFF00"/>
                </w:tcPr>
                <w:p w14:paraId="6ECDFCAB"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1036" w:type="dxa"/>
                  <w:tcBorders>
                    <w:top w:val="nil"/>
                    <w:right w:val="single" w:sz="4" w:space="0" w:color="auto"/>
                  </w:tcBorders>
                  <w:shd w:val="clear" w:color="auto" w:fill="FFFF00"/>
                </w:tcPr>
                <w:p w14:paraId="6F632C9F" w14:textId="77777777" w:rsidR="002812BC" w:rsidRPr="00C22F7C" w:rsidRDefault="002812BC" w:rsidP="00B83D66">
                  <w:pPr>
                    <w:autoSpaceDE w:val="0"/>
                    <w:autoSpaceDN w:val="0"/>
                    <w:adjustRightInd w:val="0"/>
                    <w:ind w:left="-226"/>
                    <w:jc w:val="right"/>
                    <w:rPr>
                      <w:rFonts w:ascii="Calibri" w:hAnsi="Calibri" w:cs="Calibri"/>
                      <w:b/>
                      <w:bCs/>
                      <w:color w:val="000000"/>
                      <w:sz w:val="22"/>
                      <w:szCs w:val="22"/>
                    </w:rPr>
                  </w:pPr>
                </w:p>
              </w:tc>
              <w:tc>
                <w:tcPr>
                  <w:tcW w:w="1036" w:type="dxa"/>
                  <w:tcBorders>
                    <w:top w:val="nil"/>
                    <w:left w:val="single" w:sz="4" w:space="0" w:color="auto"/>
                    <w:right w:val="single" w:sz="4" w:space="0" w:color="auto"/>
                  </w:tcBorders>
                  <w:shd w:val="clear" w:color="auto" w:fill="FFFF00"/>
                </w:tcPr>
                <w:p w14:paraId="4AB3BD62"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c>
                <w:tcPr>
                  <w:tcW w:w="1036" w:type="dxa"/>
                  <w:tcBorders>
                    <w:top w:val="nil"/>
                    <w:left w:val="single" w:sz="4" w:space="0" w:color="auto"/>
                    <w:right w:val="single" w:sz="4" w:space="0" w:color="auto"/>
                  </w:tcBorders>
                </w:tcPr>
                <w:p w14:paraId="6C75288C"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r>
            <w:tr w:rsidR="002812BC" w:rsidRPr="00C22F7C" w14:paraId="0088A1B7" w14:textId="77777777" w:rsidTr="00B83D66">
              <w:trPr>
                <w:trHeight w:val="229"/>
              </w:trPr>
              <w:tc>
                <w:tcPr>
                  <w:tcW w:w="265" w:type="dxa"/>
                  <w:tcBorders>
                    <w:top w:val="nil"/>
                    <w:left w:val="nil"/>
                    <w:bottom w:val="nil"/>
                    <w:right w:val="nil"/>
                  </w:tcBorders>
                </w:tcPr>
                <w:p w14:paraId="7F16FB2D"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2FAEE4C9"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Net finance expense</w:t>
                  </w:r>
                </w:p>
              </w:tc>
              <w:tc>
                <w:tcPr>
                  <w:tcW w:w="680" w:type="dxa"/>
                  <w:tcBorders>
                    <w:top w:val="nil"/>
                  </w:tcBorders>
                </w:tcPr>
                <w:p w14:paraId="638BBB2C"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right w:val="single" w:sz="4" w:space="0" w:color="auto"/>
                  </w:tcBorders>
                </w:tcPr>
                <w:p w14:paraId="0298841E"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r w:rsidRPr="00C22F7C">
                    <w:rPr>
                      <w:rFonts w:ascii="Calibri" w:hAnsi="Calibri" w:cs="Calibri"/>
                      <w:bCs/>
                      <w:color w:val="000000"/>
                      <w:sz w:val="22"/>
                      <w:szCs w:val="22"/>
                    </w:rPr>
                    <w:t>+55%</w:t>
                  </w:r>
                </w:p>
              </w:tc>
              <w:tc>
                <w:tcPr>
                  <w:tcW w:w="1129" w:type="dxa"/>
                  <w:tcBorders>
                    <w:top w:val="nil"/>
                    <w:right w:val="single" w:sz="4" w:space="0" w:color="auto"/>
                  </w:tcBorders>
                  <w:shd w:val="clear" w:color="auto" w:fill="FFFF00"/>
                </w:tcPr>
                <w:p w14:paraId="3011336A"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(5.9)</w:t>
                  </w:r>
                </w:p>
              </w:tc>
              <w:tc>
                <w:tcPr>
                  <w:tcW w:w="1036" w:type="dxa"/>
                  <w:tcBorders>
                    <w:top w:val="nil"/>
                    <w:right w:val="single" w:sz="4" w:space="0" w:color="auto"/>
                  </w:tcBorders>
                  <w:shd w:val="clear" w:color="auto" w:fill="FFFF00"/>
                </w:tcPr>
                <w:p w14:paraId="1EEE2C0C"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036" w:type="dxa"/>
                  <w:tcBorders>
                    <w:top w:val="nil"/>
                    <w:left w:val="single" w:sz="4" w:space="0" w:color="auto"/>
                    <w:right w:val="single" w:sz="4" w:space="0" w:color="auto"/>
                  </w:tcBorders>
                  <w:shd w:val="clear" w:color="auto" w:fill="FFFF00"/>
                </w:tcPr>
                <w:p w14:paraId="321C9E3A" w14:textId="682724B1"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b/>
                      <w:bCs/>
                      <w:color w:val="000000"/>
                      <w:sz w:val="22"/>
                      <w:szCs w:val="22"/>
                    </w:rPr>
                    <w:t>(</w:t>
                  </w:r>
                  <w:r w:rsidR="00D067E0">
                    <w:rPr>
                      <w:rFonts w:ascii="Calibri" w:hAnsi="Calibri" w:cs="Calibri"/>
                      <w:b/>
                      <w:bCs/>
                      <w:color w:val="000000"/>
                      <w:sz w:val="22"/>
                      <w:szCs w:val="22"/>
                    </w:rPr>
                    <w:t>5.9</w:t>
                  </w:r>
                  <w:r w:rsidRPr="00C22F7C">
                    <w:rPr>
                      <w:rFonts w:ascii="Calibri" w:hAnsi="Calibri" w:cs="Calibri"/>
                      <w:b/>
                      <w:bCs/>
                      <w:color w:val="000000"/>
                      <w:sz w:val="22"/>
                      <w:szCs w:val="22"/>
                    </w:rPr>
                    <w:t>)</w:t>
                  </w:r>
                </w:p>
              </w:tc>
              <w:tc>
                <w:tcPr>
                  <w:tcW w:w="1036" w:type="dxa"/>
                  <w:tcBorders>
                    <w:top w:val="nil"/>
                    <w:left w:val="single" w:sz="4" w:space="0" w:color="auto"/>
                    <w:right w:val="single" w:sz="4" w:space="0" w:color="auto"/>
                  </w:tcBorders>
                </w:tcPr>
                <w:p w14:paraId="0EEEF70F"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(13.1)</w:t>
                  </w:r>
                </w:p>
              </w:tc>
            </w:tr>
            <w:tr w:rsidR="002812BC" w:rsidRPr="00C22F7C" w14:paraId="64402111" w14:textId="77777777" w:rsidTr="00B83D66">
              <w:trPr>
                <w:trHeight w:val="229"/>
              </w:trPr>
              <w:tc>
                <w:tcPr>
                  <w:tcW w:w="265" w:type="dxa"/>
                  <w:tcBorders>
                    <w:top w:val="nil"/>
                    <w:left w:val="nil"/>
                    <w:bottom w:val="nil"/>
                    <w:right w:val="nil"/>
                  </w:tcBorders>
                </w:tcPr>
                <w:p w14:paraId="14B0A3DA"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578AA8C7"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Hedge Ineffectiveness/foreign exchange translation</w:t>
                  </w:r>
                </w:p>
              </w:tc>
              <w:tc>
                <w:tcPr>
                  <w:tcW w:w="680" w:type="dxa"/>
                  <w:tcBorders>
                    <w:top w:val="nil"/>
                  </w:tcBorders>
                </w:tcPr>
                <w:p w14:paraId="7D79C3AD"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nil"/>
                    <w:right w:val="single" w:sz="4" w:space="0" w:color="auto"/>
                  </w:tcBorders>
                </w:tcPr>
                <w:p w14:paraId="4354C33A"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p>
              </w:tc>
              <w:tc>
                <w:tcPr>
                  <w:tcW w:w="1129" w:type="dxa"/>
                  <w:tcBorders>
                    <w:top w:val="nil"/>
                    <w:right w:val="single" w:sz="4" w:space="0" w:color="auto"/>
                  </w:tcBorders>
                  <w:shd w:val="clear" w:color="auto" w:fill="FFFF00"/>
                </w:tcPr>
                <w:p w14:paraId="25D259D2"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w:t>
                  </w:r>
                </w:p>
              </w:tc>
              <w:tc>
                <w:tcPr>
                  <w:tcW w:w="1036" w:type="dxa"/>
                  <w:tcBorders>
                    <w:top w:val="nil"/>
                    <w:right w:val="single" w:sz="4" w:space="0" w:color="auto"/>
                  </w:tcBorders>
                  <w:shd w:val="clear" w:color="auto" w:fill="FFFF00"/>
                </w:tcPr>
                <w:p w14:paraId="11CC8749"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(227.3)</w:t>
                  </w:r>
                </w:p>
              </w:tc>
              <w:tc>
                <w:tcPr>
                  <w:tcW w:w="1036" w:type="dxa"/>
                  <w:tcBorders>
                    <w:top w:val="nil"/>
                    <w:left w:val="single" w:sz="4" w:space="0" w:color="auto"/>
                    <w:right w:val="single" w:sz="4" w:space="0" w:color="auto"/>
                  </w:tcBorders>
                  <w:shd w:val="clear" w:color="auto" w:fill="FFFF00"/>
                </w:tcPr>
                <w:p w14:paraId="6E6EC59F" w14:textId="6712F53B"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color w:val="000000"/>
                      <w:sz w:val="22"/>
                      <w:szCs w:val="22"/>
                    </w:rPr>
                    <w:t>(2</w:t>
                  </w:r>
                  <w:r w:rsidR="00D067E0">
                    <w:rPr>
                      <w:rFonts w:ascii="Calibri" w:hAnsi="Calibri" w:cs="Calibri"/>
                      <w:b/>
                      <w:bCs/>
                      <w:color w:val="000000"/>
                      <w:sz w:val="22"/>
                      <w:szCs w:val="22"/>
                    </w:rPr>
                    <w:t>27.3</w:t>
                  </w:r>
                  <w:r w:rsidRPr="00C22F7C">
                    <w:rPr>
                      <w:rFonts w:ascii="Calibri" w:hAnsi="Calibri" w:cs="Calibri"/>
                      <w:b/>
                      <w:bCs/>
                      <w:color w:val="000000"/>
                      <w:sz w:val="22"/>
                      <w:szCs w:val="22"/>
                    </w:rPr>
                    <w:t>)</w:t>
                  </w:r>
                </w:p>
              </w:tc>
              <w:tc>
                <w:tcPr>
                  <w:tcW w:w="1036" w:type="dxa"/>
                  <w:tcBorders>
                    <w:top w:val="nil"/>
                    <w:left w:val="single" w:sz="4" w:space="0" w:color="auto"/>
                    <w:right w:val="single" w:sz="4" w:space="0" w:color="auto"/>
                  </w:tcBorders>
                </w:tcPr>
                <w:p w14:paraId="2AA05741"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(2.3)</w:t>
                  </w:r>
                </w:p>
              </w:tc>
            </w:tr>
            <w:tr w:rsidR="002812BC" w:rsidRPr="00C22F7C" w14:paraId="2A722E3A" w14:textId="77777777" w:rsidTr="00B83D66">
              <w:trPr>
                <w:trHeight w:val="229"/>
              </w:trPr>
              <w:tc>
                <w:tcPr>
                  <w:tcW w:w="5191" w:type="dxa"/>
                  <w:gridSpan w:val="2"/>
                  <w:tcBorders>
                    <w:top w:val="nil"/>
                    <w:left w:val="nil"/>
                    <w:bottom w:val="nil"/>
                  </w:tcBorders>
                </w:tcPr>
                <w:p w14:paraId="0B417BD2" w14:textId="77777777" w:rsidR="002812BC" w:rsidRPr="00C22F7C" w:rsidRDefault="002812BC" w:rsidP="00B83D66">
                  <w:pPr>
                    <w:autoSpaceDE w:val="0"/>
                    <w:autoSpaceDN w:val="0"/>
                    <w:adjustRightInd w:val="0"/>
                    <w:rPr>
                      <w:rFonts w:ascii="Calibri" w:hAnsi="Calibri" w:cs="Calibri"/>
                      <w:b/>
                      <w:color w:val="000000"/>
                      <w:sz w:val="22"/>
                      <w:szCs w:val="22"/>
                    </w:rPr>
                  </w:pPr>
                  <w:r w:rsidRPr="00C22F7C">
                    <w:rPr>
                      <w:rFonts w:ascii="Calibri" w:hAnsi="Calibri" w:cs="Calibri"/>
                      <w:b/>
                      <w:color w:val="000000"/>
                      <w:sz w:val="22"/>
                      <w:szCs w:val="22"/>
                    </w:rPr>
                    <w:t>Total other (expense)</w:t>
                  </w:r>
                </w:p>
              </w:tc>
              <w:tc>
                <w:tcPr>
                  <w:tcW w:w="680" w:type="dxa"/>
                  <w:tcBorders>
                    <w:top w:val="nil"/>
                  </w:tcBorders>
                </w:tcPr>
                <w:p w14:paraId="6A37D751"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single" w:sz="4" w:space="0" w:color="auto"/>
                    <w:right w:val="single" w:sz="4" w:space="0" w:color="auto"/>
                  </w:tcBorders>
                </w:tcPr>
                <w:p w14:paraId="7B4C28D2" w14:textId="77777777" w:rsidR="002812BC" w:rsidRPr="00C22F7C" w:rsidRDefault="002812BC" w:rsidP="00B83D66">
                  <w:pPr>
                    <w:widowControl w:val="0"/>
                    <w:autoSpaceDE w:val="0"/>
                    <w:autoSpaceDN w:val="0"/>
                    <w:adjustRightInd w:val="0"/>
                    <w:jc w:val="right"/>
                    <w:rPr>
                      <w:rFonts w:ascii="Calibri" w:hAnsi="Calibri" w:cs="Calibri"/>
                      <w:bCs/>
                      <w:color w:val="000000"/>
                      <w:sz w:val="22"/>
                      <w:szCs w:val="22"/>
                    </w:rPr>
                  </w:pPr>
                </w:p>
              </w:tc>
              <w:tc>
                <w:tcPr>
                  <w:tcW w:w="1129" w:type="dxa"/>
                  <w:tcBorders>
                    <w:top w:val="single" w:sz="4" w:space="0" w:color="auto"/>
                    <w:right w:val="single" w:sz="4" w:space="0" w:color="auto"/>
                  </w:tcBorders>
                  <w:shd w:val="clear" w:color="auto" w:fill="FFFF00"/>
                </w:tcPr>
                <w:p w14:paraId="33C6FDCC"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(5.9)</w:t>
                  </w:r>
                </w:p>
              </w:tc>
              <w:tc>
                <w:tcPr>
                  <w:tcW w:w="1036" w:type="dxa"/>
                  <w:tcBorders>
                    <w:top w:val="single" w:sz="4" w:space="0" w:color="auto"/>
                    <w:right w:val="single" w:sz="4" w:space="0" w:color="auto"/>
                  </w:tcBorders>
                  <w:shd w:val="clear" w:color="auto" w:fill="FFFF00"/>
                </w:tcPr>
                <w:p w14:paraId="7403382C"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(227.3)</w:t>
                  </w:r>
                </w:p>
              </w:tc>
              <w:tc>
                <w:tcPr>
                  <w:tcW w:w="1036" w:type="dxa"/>
                  <w:tcBorders>
                    <w:top w:val="single" w:sz="4" w:space="0" w:color="auto"/>
                    <w:left w:val="single" w:sz="4" w:space="0" w:color="auto"/>
                    <w:right w:val="single" w:sz="4" w:space="0" w:color="auto"/>
                  </w:tcBorders>
                  <w:shd w:val="clear" w:color="auto" w:fill="FFFF00"/>
                </w:tcPr>
                <w:p w14:paraId="3A8EF19C"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color w:val="000000"/>
                      <w:sz w:val="22"/>
                      <w:szCs w:val="22"/>
                    </w:rPr>
                    <w:t>(233.2)</w:t>
                  </w:r>
                </w:p>
              </w:tc>
              <w:tc>
                <w:tcPr>
                  <w:tcW w:w="1036" w:type="dxa"/>
                  <w:tcBorders>
                    <w:top w:val="single" w:sz="4" w:space="0" w:color="auto"/>
                    <w:left w:val="single" w:sz="4" w:space="0" w:color="auto"/>
                    <w:bottom w:val="single" w:sz="4" w:space="0" w:color="auto"/>
                    <w:right w:val="single" w:sz="4" w:space="0" w:color="auto"/>
                  </w:tcBorders>
                </w:tcPr>
                <w:p w14:paraId="18D7D0CE"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(15.4)</w:t>
                  </w:r>
                </w:p>
              </w:tc>
            </w:tr>
            <w:tr w:rsidR="002812BC" w:rsidRPr="00C22F7C" w14:paraId="772C9553" w14:textId="77777777" w:rsidTr="00B83D66">
              <w:trPr>
                <w:trHeight w:val="229"/>
              </w:trPr>
              <w:tc>
                <w:tcPr>
                  <w:tcW w:w="265" w:type="dxa"/>
                  <w:tcBorders>
                    <w:top w:val="nil"/>
                    <w:left w:val="nil"/>
                    <w:bottom w:val="nil"/>
                    <w:right w:val="nil"/>
                  </w:tcBorders>
                </w:tcPr>
                <w:p w14:paraId="7964342B"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1432524E"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680" w:type="dxa"/>
                  <w:tcBorders>
                    <w:top w:val="nil"/>
                  </w:tcBorders>
                </w:tcPr>
                <w:p w14:paraId="698C3766"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top w:val="single" w:sz="4" w:space="0" w:color="auto"/>
                    <w:right w:val="single" w:sz="4" w:space="0" w:color="auto"/>
                  </w:tcBorders>
                </w:tcPr>
                <w:p w14:paraId="433645AE"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129" w:type="dxa"/>
                  <w:tcBorders>
                    <w:top w:val="single" w:sz="4" w:space="0" w:color="auto"/>
                    <w:right w:val="single" w:sz="4" w:space="0" w:color="auto"/>
                  </w:tcBorders>
                  <w:shd w:val="clear" w:color="auto" w:fill="FFFF00"/>
                </w:tcPr>
                <w:p w14:paraId="141C0732"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1036" w:type="dxa"/>
                  <w:tcBorders>
                    <w:top w:val="single" w:sz="4" w:space="0" w:color="auto"/>
                    <w:right w:val="single" w:sz="4" w:space="0" w:color="auto"/>
                  </w:tcBorders>
                  <w:shd w:val="clear" w:color="auto" w:fill="FFFF00"/>
                </w:tcPr>
                <w:p w14:paraId="124CBA9F" w14:textId="77777777" w:rsidR="002812BC" w:rsidRPr="00C22F7C" w:rsidRDefault="002812BC" w:rsidP="00B83D66">
                  <w:pPr>
                    <w:autoSpaceDE w:val="0"/>
                    <w:autoSpaceDN w:val="0"/>
                    <w:adjustRightInd w:val="0"/>
                    <w:ind w:left="-226"/>
                    <w:jc w:val="right"/>
                    <w:rPr>
                      <w:rFonts w:ascii="Calibri" w:hAnsi="Calibri" w:cs="Calibri"/>
                      <w:b/>
                      <w:bCs/>
                      <w:color w:val="000000"/>
                      <w:sz w:val="22"/>
                      <w:szCs w:val="22"/>
                    </w:rPr>
                  </w:pPr>
                </w:p>
              </w:tc>
              <w:tc>
                <w:tcPr>
                  <w:tcW w:w="1036" w:type="dxa"/>
                  <w:tcBorders>
                    <w:top w:val="single" w:sz="4" w:space="0" w:color="auto"/>
                    <w:left w:val="single" w:sz="4" w:space="0" w:color="auto"/>
                    <w:right w:val="single" w:sz="4" w:space="0" w:color="auto"/>
                  </w:tcBorders>
                  <w:shd w:val="clear" w:color="auto" w:fill="FFFF00"/>
                </w:tcPr>
                <w:p w14:paraId="24A014BE"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c>
                <w:tcPr>
                  <w:tcW w:w="1036" w:type="dxa"/>
                  <w:tcBorders>
                    <w:top w:val="single" w:sz="4" w:space="0" w:color="auto"/>
                    <w:left w:val="single" w:sz="4" w:space="0" w:color="auto"/>
                    <w:right w:val="single" w:sz="4" w:space="0" w:color="auto"/>
                  </w:tcBorders>
                </w:tcPr>
                <w:p w14:paraId="2C489298"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r>
            <w:tr w:rsidR="002812BC" w:rsidRPr="00C22F7C" w14:paraId="4171AFA3" w14:textId="77777777" w:rsidTr="00B83D66">
              <w:trPr>
                <w:trHeight w:val="229"/>
              </w:trPr>
              <w:tc>
                <w:tcPr>
                  <w:tcW w:w="5191" w:type="dxa"/>
                  <w:gridSpan w:val="2"/>
                  <w:tcBorders>
                    <w:top w:val="nil"/>
                    <w:left w:val="nil"/>
                    <w:bottom w:val="nil"/>
                  </w:tcBorders>
                </w:tcPr>
                <w:p w14:paraId="046995A1" w14:textId="77777777" w:rsidR="002812BC" w:rsidRPr="00C22F7C" w:rsidRDefault="002812BC" w:rsidP="00B83D66">
                  <w:pPr>
                    <w:autoSpaceDE w:val="0"/>
                    <w:autoSpaceDN w:val="0"/>
                    <w:adjustRightInd w:val="0"/>
                    <w:rPr>
                      <w:rFonts w:ascii="Calibri" w:hAnsi="Calibri" w:cs="Calibri"/>
                      <w:b/>
                      <w:color w:val="000000"/>
                      <w:sz w:val="22"/>
                      <w:szCs w:val="22"/>
                    </w:rPr>
                  </w:pPr>
                  <w:r w:rsidRPr="00C22F7C">
                    <w:rPr>
                      <w:rFonts w:ascii="Calibri" w:hAnsi="Calibri" w:cs="Calibri"/>
                      <w:b/>
                      <w:color w:val="000000"/>
                      <w:sz w:val="22"/>
                      <w:szCs w:val="22"/>
                    </w:rPr>
                    <w:t>(Loss)/profit before tax</w:t>
                  </w:r>
                </w:p>
              </w:tc>
              <w:tc>
                <w:tcPr>
                  <w:tcW w:w="680" w:type="dxa"/>
                  <w:tcBorders>
                    <w:top w:val="nil"/>
                  </w:tcBorders>
                </w:tcPr>
                <w:p w14:paraId="619DFA5B"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right w:val="single" w:sz="4" w:space="0" w:color="auto"/>
                  </w:tcBorders>
                </w:tcPr>
                <w:p w14:paraId="049A7018"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129" w:type="dxa"/>
                  <w:tcBorders>
                    <w:right w:val="single" w:sz="4" w:space="0" w:color="auto"/>
                  </w:tcBorders>
                  <w:shd w:val="clear" w:color="auto" w:fill="FFFF00"/>
                </w:tcPr>
                <w:p w14:paraId="33CB05F0"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4.9</w:t>
                  </w:r>
                </w:p>
              </w:tc>
              <w:tc>
                <w:tcPr>
                  <w:tcW w:w="1036" w:type="dxa"/>
                  <w:tcBorders>
                    <w:right w:val="single" w:sz="4" w:space="0" w:color="auto"/>
                  </w:tcBorders>
                  <w:shd w:val="clear" w:color="auto" w:fill="FFFF00"/>
                </w:tcPr>
                <w:p w14:paraId="0EAF8B07"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(227.3)</w:t>
                  </w:r>
                </w:p>
              </w:tc>
              <w:tc>
                <w:tcPr>
                  <w:tcW w:w="1036" w:type="dxa"/>
                  <w:tcBorders>
                    <w:left w:val="single" w:sz="4" w:space="0" w:color="auto"/>
                    <w:right w:val="single" w:sz="4" w:space="0" w:color="auto"/>
                  </w:tcBorders>
                  <w:shd w:val="clear" w:color="auto" w:fill="FFFF00"/>
                </w:tcPr>
                <w:p w14:paraId="7F753FEA"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(222.4)</w:t>
                  </w:r>
                </w:p>
              </w:tc>
              <w:tc>
                <w:tcPr>
                  <w:tcW w:w="1036" w:type="dxa"/>
                  <w:tcBorders>
                    <w:left w:val="single" w:sz="4" w:space="0" w:color="auto"/>
                    <w:right w:val="single" w:sz="4" w:space="0" w:color="auto"/>
                  </w:tcBorders>
                </w:tcPr>
                <w:p w14:paraId="5021F2F0"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997.6</w:t>
                  </w:r>
                </w:p>
              </w:tc>
            </w:tr>
            <w:tr w:rsidR="002812BC" w:rsidRPr="00C22F7C" w14:paraId="46AB8E67" w14:textId="77777777" w:rsidTr="00B83D66">
              <w:trPr>
                <w:trHeight w:val="229"/>
              </w:trPr>
              <w:tc>
                <w:tcPr>
                  <w:tcW w:w="265" w:type="dxa"/>
                  <w:tcBorders>
                    <w:top w:val="nil"/>
                    <w:left w:val="nil"/>
                    <w:bottom w:val="nil"/>
                    <w:right w:val="nil"/>
                  </w:tcBorders>
                </w:tcPr>
                <w:p w14:paraId="416BE0DF"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629EB0FD"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680" w:type="dxa"/>
                  <w:tcBorders>
                    <w:top w:val="nil"/>
                  </w:tcBorders>
                </w:tcPr>
                <w:p w14:paraId="7CF8BBEA"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925" w:type="dxa"/>
                  <w:tcBorders>
                    <w:right w:val="single" w:sz="4" w:space="0" w:color="auto"/>
                  </w:tcBorders>
                </w:tcPr>
                <w:p w14:paraId="6D4DF053"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129" w:type="dxa"/>
                  <w:tcBorders>
                    <w:right w:val="single" w:sz="4" w:space="0" w:color="auto"/>
                  </w:tcBorders>
                  <w:shd w:val="clear" w:color="auto" w:fill="FFFF00"/>
                </w:tcPr>
                <w:p w14:paraId="620984C7"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1036" w:type="dxa"/>
                  <w:tcBorders>
                    <w:right w:val="single" w:sz="4" w:space="0" w:color="auto"/>
                  </w:tcBorders>
                  <w:shd w:val="clear" w:color="auto" w:fill="FFFF00"/>
                </w:tcPr>
                <w:p w14:paraId="2237C466" w14:textId="77777777" w:rsidR="002812BC" w:rsidRPr="00C22F7C" w:rsidRDefault="002812BC" w:rsidP="00B83D66">
                  <w:pPr>
                    <w:autoSpaceDE w:val="0"/>
                    <w:autoSpaceDN w:val="0"/>
                    <w:adjustRightInd w:val="0"/>
                    <w:ind w:left="-226"/>
                    <w:jc w:val="right"/>
                    <w:rPr>
                      <w:rFonts w:ascii="Calibri" w:hAnsi="Calibri" w:cs="Calibri"/>
                      <w:b/>
                      <w:bCs/>
                      <w:color w:val="000000"/>
                      <w:sz w:val="22"/>
                      <w:szCs w:val="22"/>
                    </w:rPr>
                  </w:pPr>
                </w:p>
              </w:tc>
              <w:tc>
                <w:tcPr>
                  <w:tcW w:w="1036" w:type="dxa"/>
                  <w:tcBorders>
                    <w:left w:val="single" w:sz="4" w:space="0" w:color="auto"/>
                    <w:right w:val="single" w:sz="4" w:space="0" w:color="auto"/>
                  </w:tcBorders>
                  <w:shd w:val="clear" w:color="auto" w:fill="FFFF00"/>
                </w:tcPr>
                <w:p w14:paraId="50764B6E" w14:textId="77777777" w:rsidR="002812BC" w:rsidRPr="00C22F7C" w:rsidRDefault="002812BC" w:rsidP="00B83D66">
                  <w:pPr>
                    <w:autoSpaceDE w:val="0"/>
                    <w:autoSpaceDN w:val="0"/>
                    <w:adjustRightInd w:val="0"/>
                    <w:ind w:left="-226"/>
                    <w:jc w:val="right"/>
                    <w:rPr>
                      <w:rFonts w:ascii="Calibri" w:hAnsi="Calibri" w:cs="Calibri"/>
                      <w:b/>
                      <w:bCs/>
                      <w:color w:val="000000"/>
                      <w:sz w:val="22"/>
                      <w:szCs w:val="22"/>
                    </w:rPr>
                  </w:pPr>
                </w:p>
              </w:tc>
              <w:tc>
                <w:tcPr>
                  <w:tcW w:w="1036" w:type="dxa"/>
                  <w:tcBorders>
                    <w:left w:val="single" w:sz="4" w:space="0" w:color="auto"/>
                    <w:right w:val="single" w:sz="4" w:space="0" w:color="auto"/>
                  </w:tcBorders>
                </w:tcPr>
                <w:p w14:paraId="653894A6"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r>
            <w:tr w:rsidR="002812BC" w:rsidRPr="00C22F7C" w14:paraId="2C6837E8" w14:textId="77777777" w:rsidTr="00B83D66">
              <w:trPr>
                <w:trHeight w:val="229"/>
              </w:trPr>
              <w:tc>
                <w:tcPr>
                  <w:tcW w:w="265" w:type="dxa"/>
                  <w:tcBorders>
                    <w:top w:val="nil"/>
                    <w:left w:val="nil"/>
                    <w:bottom w:val="nil"/>
                    <w:right w:val="nil"/>
                  </w:tcBorders>
                </w:tcPr>
                <w:p w14:paraId="3E82E70D"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3EE6AB33" w14:textId="77777777" w:rsidR="002812BC" w:rsidRPr="00C22F7C" w:rsidRDefault="002812BC" w:rsidP="00B83D66">
                  <w:pPr>
                    <w:autoSpaceDE w:val="0"/>
                    <w:autoSpaceDN w:val="0"/>
                    <w:adjustRightInd w:val="0"/>
                    <w:rPr>
                      <w:rFonts w:ascii="Calibri" w:hAnsi="Calibri" w:cs="Calibri"/>
                      <w:color w:val="000000"/>
                      <w:sz w:val="22"/>
                      <w:szCs w:val="22"/>
                    </w:rPr>
                  </w:pPr>
                  <w:r w:rsidRPr="00C22F7C">
                    <w:rPr>
                      <w:rFonts w:ascii="Calibri" w:hAnsi="Calibri" w:cs="Calibri"/>
                      <w:color w:val="000000"/>
                      <w:sz w:val="22"/>
                      <w:szCs w:val="22"/>
                    </w:rPr>
                    <w:t>Tax (expense) on (loss)/profit</w:t>
                  </w:r>
                </w:p>
              </w:tc>
              <w:tc>
                <w:tcPr>
                  <w:tcW w:w="680" w:type="dxa"/>
                  <w:tcBorders>
                    <w:top w:val="nil"/>
                  </w:tcBorders>
                </w:tcPr>
                <w:p w14:paraId="32429653" w14:textId="1DE34592" w:rsidR="002812BC" w:rsidRPr="00C22F7C" w:rsidRDefault="00F149C0" w:rsidP="00B83D66">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4</w:t>
                  </w:r>
                </w:p>
              </w:tc>
              <w:tc>
                <w:tcPr>
                  <w:tcW w:w="925" w:type="dxa"/>
                  <w:tcBorders>
                    <w:right w:val="single" w:sz="4" w:space="0" w:color="auto"/>
                  </w:tcBorders>
                </w:tcPr>
                <w:p w14:paraId="3F8DBCFA"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129" w:type="dxa"/>
                  <w:tcBorders>
                    <w:right w:val="single" w:sz="4" w:space="0" w:color="auto"/>
                  </w:tcBorders>
                  <w:shd w:val="clear" w:color="auto" w:fill="FFFF00"/>
                </w:tcPr>
                <w:p w14:paraId="3B979FF5"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(27.5)</w:t>
                  </w:r>
                </w:p>
              </w:tc>
              <w:tc>
                <w:tcPr>
                  <w:tcW w:w="1036" w:type="dxa"/>
                  <w:tcBorders>
                    <w:right w:val="single" w:sz="4" w:space="0" w:color="auto"/>
                  </w:tcBorders>
                  <w:shd w:val="clear" w:color="auto" w:fill="FFFF00"/>
                </w:tcPr>
                <w:p w14:paraId="42E04B60"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24.4</w:t>
                  </w:r>
                </w:p>
              </w:tc>
              <w:tc>
                <w:tcPr>
                  <w:tcW w:w="1036" w:type="dxa"/>
                  <w:tcBorders>
                    <w:left w:val="single" w:sz="4" w:space="0" w:color="auto"/>
                    <w:right w:val="single" w:sz="4" w:space="0" w:color="auto"/>
                  </w:tcBorders>
                  <w:shd w:val="clear" w:color="auto" w:fill="FFFF00"/>
                </w:tcPr>
                <w:p w14:paraId="31B885C1" w14:textId="77777777" w:rsidR="002812BC" w:rsidRPr="00C22F7C" w:rsidRDefault="002812BC" w:rsidP="00B83D66">
                  <w:pPr>
                    <w:widowControl w:val="0"/>
                    <w:autoSpaceDE w:val="0"/>
                    <w:autoSpaceDN w:val="0"/>
                    <w:adjustRightInd w:val="0"/>
                    <w:ind w:left="-226"/>
                    <w:jc w:val="right"/>
                    <w:rPr>
                      <w:rFonts w:ascii="Calibri" w:hAnsi="Calibri" w:cs="Calibri"/>
                      <w:b/>
                      <w:bCs/>
                      <w:color w:val="000000"/>
                      <w:sz w:val="22"/>
                      <w:szCs w:val="22"/>
                    </w:rPr>
                  </w:pPr>
                  <w:r w:rsidRPr="00C22F7C">
                    <w:rPr>
                      <w:rFonts w:ascii="Calibri" w:hAnsi="Calibri" w:cs="Calibri"/>
                      <w:b/>
                      <w:bCs/>
                      <w:color w:val="000000"/>
                      <w:sz w:val="22"/>
                      <w:szCs w:val="22"/>
                    </w:rPr>
                    <w:t>(3.1)</w:t>
                  </w:r>
                </w:p>
              </w:tc>
              <w:tc>
                <w:tcPr>
                  <w:tcW w:w="1036" w:type="dxa"/>
                  <w:tcBorders>
                    <w:left w:val="single" w:sz="4" w:space="0" w:color="auto"/>
                    <w:bottom w:val="single" w:sz="4" w:space="0" w:color="auto"/>
                    <w:right w:val="single" w:sz="4" w:space="0" w:color="auto"/>
                  </w:tcBorders>
                </w:tcPr>
                <w:p w14:paraId="0EF01BD3"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color w:val="000000"/>
                      <w:sz w:val="22"/>
                      <w:szCs w:val="22"/>
                    </w:rPr>
                    <w:t>(87.4)</w:t>
                  </w:r>
                </w:p>
              </w:tc>
            </w:tr>
            <w:tr w:rsidR="002812BC" w:rsidRPr="00C22F7C" w14:paraId="6A688AB8" w14:textId="77777777" w:rsidTr="00B83D66">
              <w:trPr>
                <w:trHeight w:val="229"/>
              </w:trPr>
              <w:tc>
                <w:tcPr>
                  <w:tcW w:w="265" w:type="dxa"/>
                  <w:tcBorders>
                    <w:top w:val="nil"/>
                    <w:left w:val="nil"/>
                    <w:bottom w:val="nil"/>
                    <w:right w:val="nil"/>
                  </w:tcBorders>
                </w:tcPr>
                <w:p w14:paraId="35359959"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6448AB8B"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680" w:type="dxa"/>
                  <w:tcBorders>
                    <w:top w:val="nil"/>
                  </w:tcBorders>
                </w:tcPr>
                <w:p w14:paraId="52E9E6E3"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925" w:type="dxa"/>
                  <w:tcBorders>
                    <w:top w:val="single" w:sz="4" w:space="0" w:color="auto"/>
                    <w:right w:val="single" w:sz="4" w:space="0" w:color="auto"/>
                  </w:tcBorders>
                </w:tcPr>
                <w:p w14:paraId="724B61D0"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129" w:type="dxa"/>
                  <w:tcBorders>
                    <w:top w:val="single" w:sz="4" w:space="0" w:color="auto"/>
                    <w:right w:val="single" w:sz="4" w:space="0" w:color="auto"/>
                  </w:tcBorders>
                  <w:shd w:val="clear" w:color="auto" w:fill="FFFF00"/>
                </w:tcPr>
                <w:p w14:paraId="50F4501D"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1036" w:type="dxa"/>
                  <w:tcBorders>
                    <w:top w:val="single" w:sz="4" w:space="0" w:color="auto"/>
                    <w:right w:val="single" w:sz="4" w:space="0" w:color="auto"/>
                  </w:tcBorders>
                  <w:shd w:val="clear" w:color="auto" w:fill="FFFF00"/>
                </w:tcPr>
                <w:p w14:paraId="47B24393" w14:textId="77777777" w:rsidR="002812BC" w:rsidRPr="00C22F7C" w:rsidRDefault="002812BC" w:rsidP="00B83D66">
                  <w:pPr>
                    <w:autoSpaceDE w:val="0"/>
                    <w:autoSpaceDN w:val="0"/>
                    <w:adjustRightInd w:val="0"/>
                    <w:ind w:left="-226"/>
                    <w:jc w:val="right"/>
                    <w:rPr>
                      <w:rFonts w:ascii="Calibri" w:hAnsi="Calibri" w:cs="Calibri"/>
                      <w:b/>
                      <w:bCs/>
                      <w:color w:val="000000"/>
                      <w:sz w:val="22"/>
                      <w:szCs w:val="22"/>
                    </w:rPr>
                  </w:pPr>
                </w:p>
              </w:tc>
              <w:tc>
                <w:tcPr>
                  <w:tcW w:w="1036" w:type="dxa"/>
                  <w:tcBorders>
                    <w:top w:val="single" w:sz="4" w:space="0" w:color="auto"/>
                    <w:left w:val="single" w:sz="4" w:space="0" w:color="auto"/>
                    <w:right w:val="single" w:sz="4" w:space="0" w:color="auto"/>
                  </w:tcBorders>
                  <w:shd w:val="clear" w:color="auto" w:fill="FFFF00"/>
                </w:tcPr>
                <w:p w14:paraId="1CD72C7B" w14:textId="77777777" w:rsidR="002812BC" w:rsidRPr="00C22F7C" w:rsidRDefault="002812BC" w:rsidP="00B83D66">
                  <w:pPr>
                    <w:autoSpaceDE w:val="0"/>
                    <w:autoSpaceDN w:val="0"/>
                    <w:adjustRightInd w:val="0"/>
                    <w:ind w:left="-226"/>
                    <w:jc w:val="right"/>
                    <w:rPr>
                      <w:rFonts w:ascii="Calibri" w:hAnsi="Calibri" w:cs="Calibri"/>
                      <w:b/>
                      <w:bCs/>
                      <w:color w:val="000000"/>
                      <w:sz w:val="22"/>
                      <w:szCs w:val="22"/>
                    </w:rPr>
                  </w:pPr>
                </w:p>
              </w:tc>
              <w:tc>
                <w:tcPr>
                  <w:tcW w:w="1036" w:type="dxa"/>
                  <w:tcBorders>
                    <w:top w:val="single" w:sz="4" w:space="0" w:color="auto"/>
                    <w:left w:val="single" w:sz="4" w:space="0" w:color="auto"/>
                    <w:right w:val="single" w:sz="4" w:space="0" w:color="auto"/>
                  </w:tcBorders>
                </w:tcPr>
                <w:p w14:paraId="05D22881"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r>
            <w:tr w:rsidR="002812BC" w:rsidRPr="00C22F7C" w14:paraId="15E50A32" w14:textId="77777777" w:rsidTr="00B83D66">
              <w:trPr>
                <w:trHeight w:val="319"/>
              </w:trPr>
              <w:tc>
                <w:tcPr>
                  <w:tcW w:w="5191" w:type="dxa"/>
                  <w:gridSpan w:val="2"/>
                  <w:tcBorders>
                    <w:top w:val="nil"/>
                    <w:left w:val="nil"/>
                    <w:bottom w:val="nil"/>
                  </w:tcBorders>
                </w:tcPr>
                <w:p w14:paraId="479E94FA" w14:textId="77777777" w:rsidR="002812BC" w:rsidRPr="00C22F7C" w:rsidRDefault="002812BC" w:rsidP="00B83D66">
                  <w:pPr>
                    <w:autoSpaceDE w:val="0"/>
                    <w:autoSpaceDN w:val="0"/>
                    <w:adjustRightInd w:val="0"/>
                    <w:rPr>
                      <w:rFonts w:ascii="Calibri" w:hAnsi="Calibri" w:cs="Calibri"/>
                      <w:sz w:val="22"/>
                      <w:szCs w:val="22"/>
                    </w:rPr>
                  </w:pPr>
                  <w:r w:rsidRPr="00C22F7C">
                    <w:rPr>
                      <w:rFonts w:ascii="Calibri" w:hAnsi="Calibri" w:cs="Calibri"/>
                      <w:b/>
                      <w:bCs/>
                      <w:color w:val="000000"/>
                      <w:sz w:val="22"/>
                      <w:szCs w:val="22"/>
                    </w:rPr>
                    <w:t>(Loss)/Profit for the quarter – attributable to equity holders of parent</w:t>
                  </w:r>
                </w:p>
              </w:tc>
              <w:tc>
                <w:tcPr>
                  <w:tcW w:w="680" w:type="dxa"/>
                  <w:tcBorders>
                    <w:top w:val="nil"/>
                  </w:tcBorders>
                </w:tcPr>
                <w:p w14:paraId="29C61662"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925" w:type="dxa"/>
                  <w:tcBorders>
                    <w:bottom w:val="double" w:sz="4" w:space="0" w:color="auto"/>
                    <w:right w:val="single" w:sz="4" w:space="0" w:color="auto"/>
                  </w:tcBorders>
                </w:tcPr>
                <w:p w14:paraId="2F558618" w14:textId="77777777" w:rsidR="002812BC" w:rsidRPr="00C22F7C" w:rsidRDefault="002812BC" w:rsidP="00B83D66">
                  <w:pPr>
                    <w:widowControl w:val="0"/>
                    <w:tabs>
                      <w:tab w:val="left" w:pos="465"/>
                    </w:tabs>
                    <w:autoSpaceDE w:val="0"/>
                    <w:autoSpaceDN w:val="0"/>
                    <w:adjustRightInd w:val="0"/>
                    <w:jc w:val="right"/>
                    <w:rPr>
                      <w:rFonts w:ascii="Calibri" w:hAnsi="Calibri" w:cs="Calibri"/>
                      <w:bCs/>
                      <w:color w:val="000000"/>
                      <w:sz w:val="22"/>
                      <w:szCs w:val="22"/>
                    </w:rPr>
                  </w:pPr>
                </w:p>
              </w:tc>
              <w:tc>
                <w:tcPr>
                  <w:tcW w:w="1129" w:type="dxa"/>
                  <w:tcBorders>
                    <w:bottom w:val="double" w:sz="4" w:space="0" w:color="auto"/>
                    <w:right w:val="single" w:sz="4" w:space="0" w:color="auto"/>
                  </w:tcBorders>
                  <w:shd w:val="clear" w:color="auto" w:fill="FFFF00"/>
                </w:tcPr>
                <w:p w14:paraId="7F060E0C"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(22.6)</w:t>
                  </w:r>
                </w:p>
              </w:tc>
              <w:tc>
                <w:tcPr>
                  <w:tcW w:w="1036" w:type="dxa"/>
                  <w:tcBorders>
                    <w:bottom w:val="double" w:sz="4" w:space="0" w:color="auto"/>
                    <w:right w:val="single" w:sz="4" w:space="0" w:color="auto"/>
                  </w:tcBorders>
                  <w:shd w:val="clear" w:color="auto" w:fill="FFFF00"/>
                </w:tcPr>
                <w:p w14:paraId="2655DF91"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(202.9)</w:t>
                  </w:r>
                </w:p>
              </w:tc>
              <w:tc>
                <w:tcPr>
                  <w:tcW w:w="1036" w:type="dxa"/>
                  <w:tcBorders>
                    <w:left w:val="single" w:sz="4" w:space="0" w:color="auto"/>
                    <w:bottom w:val="double" w:sz="4" w:space="0" w:color="auto"/>
                    <w:right w:val="single" w:sz="4" w:space="0" w:color="auto"/>
                  </w:tcBorders>
                  <w:shd w:val="clear" w:color="auto" w:fill="FFFF00"/>
                </w:tcPr>
                <w:p w14:paraId="476E853B" w14:textId="77777777" w:rsidR="002812BC" w:rsidRPr="00C22F7C" w:rsidRDefault="002812BC" w:rsidP="00B83D66">
                  <w:pPr>
                    <w:widowControl w:val="0"/>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(225.5)</w:t>
                  </w:r>
                </w:p>
              </w:tc>
              <w:tc>
                <w:tcPr>
                  <w:tcW w:w="1036" w:type="dxa"/>
                  <w:tcBorders>
                    <w:left w:val="single" w:sz="4" w:space="0" w:color="auto"/>
                    <w:bottom w:val="double" w:sz="4" w:space="0" w:color="auto"/>
                    <w:right w:val="single" w:sz="4" w:space="0" w:color="auto"/>
                  </w:tcBorders>
                </w:tcPr>
                <w:p w14:paraId="75FA142D" w14:textId="77777777" w:rsidR="002812BC" w:rsidRPr="00C22F7C" w:rsidRDefault="002812BC" w:rsidP="00B83D66">
                  <w:pPr>
                    <w:widowControl w:val="0"/>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910.2</w:t>
                  </w:r>
                </w:p>
              </w:tc>
            </w:tr>
            <w:tr w:rsidR="002812BC" w:rsidRPr="00C22F7C" w14:paraId="2533A9D1" w14:textId="77777777" w:rsidTr="00B83D66">
              <w:trPr>
                <w:trHeight w:val="52"/>
              </w:trPr>
              <w:tc>
                <w:tcPr>
                  <w:tcW w:w="265" w:type="dxa"/>
                  <w:tcBorders>
                    <w:top w:val="nil"/>
                    <w:left w:val="nil"/>
                    <w:bottom w:val="nil"/>
                    <w:right w:val="nil"/>
                  </w:tcBorders>
                </w:tcPr>
                <w:p w14:paraId="0EC4DFC8" w14:textId="77777777" w:rsidR="002812BC" w:rsidRPr="00C22F7C" w:rsidRDefault="002812BC" w:rsidP="00B83D66">
                  <w:pPr>
                    <w:autoSpaceDE w:val="0"/>
                    <w:autoSpaceDN w:val="0"/>
                    <w:adjustRightInd w:val="0"/>
                    <w:jc w:val="right"/>
                    <w:rPr>
                      <w:rFonts w:ascii="Calibri" w:hAnsi="Calibri" w:cs="Calibri"/>
                      <w:color w:val="000000"/>
                      <w:sz w:val="22"/>
                      <w:szCs w:val="22"/>
                    </w:rPr>
                  </w:pPr>
                </w:p>
              </w:tc>
              <w:tc>
                <w:tcPr>
                  <w:tcW w:w="4926" w:type="dxa"/>
                  <w:tcBorders>
                    <w:top w:val="nil"/>
                    <w:left w:val="nil"/>
                    <w:bottom w:val="nil"/>
                  </w:tcBorders>
                </w:tcPr>
                <w:p w14:paraId="31C9B74D"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680" w:type="dxa"/>
                  <w:tcBorders>
                    <w:top w:val="nil"/>
                  </w:tcBorders>
                </w:tcPr>
                <w:p w14:paraId="2289CEEE" w14:textId="77777777" w:rsidR="002812BC" w:rsidRPr="00C22F7C" w:rsidRDefault="002812BC" w:rsidP="00B83D66">
                  <w:pPr>
                    <w:autoSpaceDE w:val="0"/>
                    <w:autoSpaceDN w:val="0"/>
                    <w:adjustRightInd w:val="0"/>
                    <w:jc w:val="right"/>
                    <w:rPr>
                      <w:rFonts w:ascii="Calibri" w:hAnsi="Calibri" w:cs="Calibri"/>
                      <w:b/>
                      <w:bCs/>
                      <w:color w:val="000000"/>
                      <w:sz w:val="22"/>
                      <w:szCs w:val="22"/>
                    </w:rPr>
                  </w:pPr>
                </w:p>
              </w:tc>
              <w:tc>
                <w:tcPr>
                  <w:tcW w:w="925" w:type="dxa"/>
                  <w:tcBorders>
                    <w:right w:val="single" w:sz="4" w:space="0" w:color="auto"/>
                  </w:tcBorders>
                </w:tcPr>
                <w:p w14:paraId="1BD43EA7"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129" w:type="dxa"/>
                  <w:tcBorders>
                    <w:right w:val="single" w:sz="4" w:space="0" w:color="auto"/>
                  </w:tcBorders>
                  <w:shd w:val="clear" w:color="auto" w:fill="FFFF00"/>
                </w:tcPr>
                <w:p w14:paraId="38745D5E" w14:textId="77777777" w:rsidR="002812BC" w:rsidRPr="00C22F7C" w:rsidRDefault="002812BC" w:rsidP="00B83D66">
                  <w:pPr>
                    <w:autoSpaceDE w:val="0"/>
                    <w:autoSpaceDN w:val="0"/>
                    <w:adjustRightInd w:val="0"/>
                    <w:jc w:val="right"/>
                    <w:rPr>
                      <w:rFonts w:ascii="Calibri" w:hAnsi="Calibri" w:cs="Calibri"/>
                      <w:bCs/>
                      <w:color w:val="000000"/>
                      <w:sz w:val="22"/>
                      <w:szCs w:val="22"/>
                    </w:rPr>
                  </w:pPr>
                </w:p>
              </w:tc>
              <w:tc>
                <w:tcPr>
                  <w:tcW w:w="1036" w:type="dxa"/>
                  <w:tcBorders>
                    <w:right w:val="single" w:sz="4" w:space="0" w:color="auto"/>
                  </w:tcBorders>
                  <w:shd w:val="clear" w:color="auto" w:fill="FFFF00"/>
                </w:tcPr>
                <w:p w14:paraId="632EAAAD"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c>
                <w:tcPr>
                  <w:tcW w:w="1036" w:type="dxa"/>
                  <w:tcBorders>
                    <w:left w:val="single" w:sz="4" w:space="0" w:color="auto"/>
                    <w:right w:val="single" w:sz="4" w:space="0" w:color="auto"/>
                  </w:tcBorders>
                  <w:shd w:val="clear" w:color="auto" w:fill="FFFF00"/>
                </w:tcPr>
                <w:p w14:paraId="10568C49"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c>
                <w:tcPr>
                  <w:tcW w:w="1036" w:type="dxa"/>
                  <w:tcBorders>
                    <w:top w:val="double" w:sz="4" w:space="0" w:color="auto"/>
                    <w:left w:val="single" w:sz="4" w:space="0" w:color="auto"/>
                    <w:right w:val="single" w:sz="4" w:space="0" w:color="auto"/>
                  </w:tcBorders>
                </w:tcPr>
                <w:p w14:paraId="63509366" w14:textId="77777777" w:rsidR="002812BC" w:rsidRPr="00C22F7C" w:rsidRDefault="002812BC" w:rsidP="00B83D66">
                  <w:pPr>
                    <w:autoSpaceDE w:val="0"/>
                    <w:autoSpaceDN w:val="0"/>
                    <w:adjustRightInd w:val="0"/>
                    <w:ind w:left="-226"/>
                    <w:jc w:val="right"/>
                    <w:rPr>
                      <w:rFonts w:ascii="Calibri" w:hAnsi="Calibri" w:cs="Calibri"/>
                      <w:color w:val="000000"/>
                      <w:sz w:val="22"/>
                      <w:szCs w:val="22"/>
                    </w:rPr>
                  </w:pPr>
                </w:p>
              </w:tc>
            </w:tr>
            <w:tr w:rsidR="002812BC" w:rsidRPr="00C22F7C" w14:paraId="06765101" w14:textId="77777777" w:rsidTr="00B83D66">
              <w:trPr>
                <w:trHeight w:val="229"/>
              </w:trPr>
              <w:tc>
                <w:tcPr>
                  <w:tcW w:w="265" w:type="dxa"/>
                  <w:tcBorders>
                    <w:left w:val="nil"/>
                    <w:bottom w:val="nil"/>
                    <w:right w:val="nil"/>
                  </w:tcBorders>
                </w:tcPr>
                <w:p w14:paraId="4A0670C5" w14:textId="77777777" w:rsidR="002812BC" w:rsidRPr="00C22F7C" w:rsidRDefault="002812BC" w:rsidP="00B83D66">
                  <w:pPr>
                    <w:autoSpaceDE w:val="0"/>
                    <w:autoSpaceDN w:val="0"/>
                    <w:adjustRightInd w:val="0"/>
                    <w:rPr>
                      <w:rFonts w:ascii="Calibri" w:hAnsi="Calibri" w:cs="Calibri"/>
                      <w:bCs/>
                      <w:color w:val="000000"/>
                      <w:sz w:val="22"/>
                      <w:szCs w:val="22"/>
                    </w:rPr>
                  </w:pPr>
                </w:p>
              </w:tc>
              <w:tc>
                <w:tcPr>
                  <w:tcW w:w="4926" w:type="dxa"/>
                  <w:tcBorders>
                    <w:left w:val="nil"/>
                    <w:bottom w:val="nil"/>
                  </w:tcBorders>
                </w:tcPr>
                <w:p w14:paraId="74211818" w14:textId="77777777" w:rsidR="002812BC" w:rsidRPr="00C22F7C" w:rsidRDefault="002812BC" w:rsidP="00B83D66">
                  <w:pPr>
                    <w:autoSpaceDE w:val="0"/>
                    <w:autoSpaceDN w:val="0"/>
                    <w:adjustRightInd w:val="0"/>
                    <w:rPr>
                      <w:rFonts w:ascii="Calibri" w:hAnsi="Calibri" w:cs="Calibri"/>
                      <w:sz w:val="21"/>
                      <w:szCs w:val="21"/>
                    </w:rPr>
                  </w:pPr>
                  <w:r w:rsidRPr="00C22F7C">
                    <w:rPr>
                      <w:rFonts w:ascii="Calibri" w:hAnsi="Calibri" w:cs="Calibri"/>
                      <w:sz w:val="21"/>
                      <w:szCs w:val="21"/>
                    </w:rPr>
                    <w:t>(Loss)/earnings per ordinary share (€)</w:t>
                  </w:r>
                </w:p>
              </w:tc>
              <w:tc>
                <w:tcPr>
                  <w:tcW w:w="680" w:type="dxa"/>
                  <w:tcBorders>
                    <w:bottom w:val="nil"/>
                  </w:tcBorders>
                </w:tcPr>
                <w:p w14:paraId="34A64B74" w14:textId="77777777" w:rsidR="002812BC" w:rsidRPr="00C22F7C" w:rsidRDefault="002812BC" w:rsidP="00B83D66">
                  <w:pPr>
                    <w:autoSpaceDE w:val="0"/>
                    <w:autoSpaceDN w:val="0"/>
                    <w:adjustRightInd w:val="0"/>
                    <w:jc w:val="right"/>
                    <w:rPr>
                      <w:rFonts w:ascii="Calibri" w:hAnsi="Calibri" w:cs="Calibri"/>
                      <w:b/>
                      <w:sz w:val="22"/>
                      <w:szCs w:val="22"/>
                    </w:rPr>
                  </w:pPr>
                </w:p>
              </w:tc>
              <w:tc>
                <w:tcPr>
                  <w:tcW w:w="925" w:type="dxa"/>
                  <w:tcBorders>
                    <w:bottom w:val="nil"/>
                    <w:right w:val="single" w:sz="4" w:space="0" w:color="auto"/>
                  </w:tcBorders>
                </w:tcPr>
                <w:p w14:paraId="6AA968FF" w14:textId="77777777" w:rsidR="002812BC" w:rsidRPr="00C22F7C" w:rsidRDefault="002812BC" w:rsidP="00B83D66">
                  <w:pPr>
                    <w:autoSpaceDE w:val="0"/>
                    <w:autoSpaceDN w:val="0"/>
                    <w:adjustRightInd w:val="0"/>
                    <w:jc w:val="right"/>
                    <w:rPr>
                      <w:rFonts w:ascii="Calibri" w:hAnsi="Calibri" w:cs="Calibri"/>
                      <w:sz w:val="22"/>
                      <w:szCs w:val="22"/>
                    </w:rPr>
                  </w:pPr>
                </w:p>
              </w:tc>
              <w:tc>
                <w:tcPr>
                  <w:tcW w:w="1129" w:type="dxa"/>
                  <w:tcBorders>
                    <w:bottom w:val="nil"/>
                    <w:right w:val="single" w:sz="4" w:space="0" w:color="auto"/>
                  </w:tcBorders>
                  <w:shd w:val="clear" w:color="auto" w:fill="FFFF00"/>
                </w:tcPr>
                <w:p w14:paraId="002DDFE6" w14:textId="77777777" w:rsidR="002812BC" w:rsidRPr="00C22F7C" w:rsidRDefault="002812BC" w:rsidP="00B83D66">
                  <w:pPr>
                    <w:autoSpaceDE w:val="0"/>
                    <w:autoSpaceDN w:val="0"/>
                    <w:adjustRightInd w:val="0"/>
                    <w:jc w:val="right"/>
                    <w:rPr>
                      <w:rFonts w:ascii="Calibri" w:hAnsi="Calibri" w:cs="Calibri"/>
                      <w:sz w:val="22"/>
                      <w:szCs w:val="22"/>
                    </w:rPr>
                  </w:pPr>
                </w:p>
              </w:tc>
              <w:tc>
                <w:tcPr>
                  <w:tcW w:w="1036" w:type="dxa"/>
                  <w:tcBorders>
                    <w:bottom w:val="nil"/>
                    <w:right w:val="single" w:sz="4" w:space="0" w:color="auto"/>
                  </w:tcBorders>
                  <w:shd w:val="clear" w:color="auto" w:fill="FFFF00"/>
                </w:tcPr>
                <w:p w14:paraId="7AF32530" w14:textId="77777777" w:rsidR="002812BC" w:rsidRPr="00C22F7C" w:rsidRDefault="002812BC" w:rsidP="00B83D66">
                  <w:pPr>
                    <w:autoSpaceDE w:val="0"/>
                    <w:autoSpaceDN w:val="0"/>
                    <w:adjustRightInd w:val="0"/>
                    <w:ind w:left="-226"/>
                    <w:jc w:val="right"/>
                    <w:rPr>
                      <w:rFonts w:ascii="Calibri" w:hAnsi="Calibri" w:cs="Calibri"/>
                      <w:sz w:val="22"/>
                      <w:szCs w:val="22"/>
                    </w:rPr>
                  </w:pPr>
                </w:p>
              </w:tc>
              <w:tc>
                <w:tcPr>
                  <w:tcW w:w="1036" w:type="dxa"/>
                  <w:tcBorders>
                    <w:left w:val="single" w:sz="4" w:space="0" w:color="auto"/>
                    <w:bottom w:val="nil"/>
                    <w:right w:val="single" w:sz="4" w:space="0" w:color="auto"/>
                  </w:tcBorders>
                  <w:shd w:val="clear" w:color="auto" w:fill="FFFF00"/>
                </w:tcPr>
                <w:p w14:paraId="5CE689D7" w14:textId="77777777" w:rsidR="002812BC" w:rsidRPr="00C22F7C" w:rsidRDefault="002812BC" w:rsidP="00B83D66">
                  <w:pPr>
                    <w:autoSpaceDE w:val="0"/>
                    <w:autoSpaceDN w:val="0"/>
                    <w:adjustRightInd w:val="0"/>
                    <w:ind w:left="-226"/>
                    <w:jc w:val="right"/>
                    <w:rPr>
                      <w:rFonts w:ascii="Calibri" w:hAnsi="Calibri" w:cs="Calibri"/>
                      <w:sz w:val="22"/>
                      <w:szCs w:val="22"/>
                    </w:rPr>
                  </w:pPr>
                </w:p>
              </w:tc>
              <w:tc>
                <w:tcPr>
                  <w:tcW w:w="1036" w:type="dxa"/>
                  <w:tcBorders>
                    <w:left w:val="single" w:sz="4" w:space="0" w:color="auto"/>
                    <w:bottom w:val="nil"/>
                    <w:right w:val="single" w:sz="4" w:space="0" w:color="auto"/>
                  </w:tcBorders>
                </w:tcPr>
                <w:p w14:paraId="1342D872" w14:textId="77777777" w:rsidR="002812BC" w:rsidRPr="00C22F7C" w:rsidRDefault="002812BC" w:rsidP="00B83D66">
                  <w:pPr>
                    <w:autoSpaceDE w:val="0"/>
                    <w:autoSpaceDN w:val="0"/>
                    <w:adjustRightInd w:val="0"/>
                    <w:ind w:left="-226"/>
                    <w:jc w:val="right"/>
                    <w:rPr>
                      <w:rFonts w:ascii="Calibri" w:hAnsi="Calibri" w:cs="Calibri"/>
                      <w:sz w:val="22"/>
                      <w:szCs w:val="22"/>
                    </w:rPr>
                  </w:pPr>
                </w:p>
              </w:tc>
            </w:tr>
            <w:tr w:rsidR="002812BC" w:rsidRPr="00C22F7C" w14:paraId="545AD84F" w14:textId="77777777" w:rsidTr="00B83D66">
              <w:trPr>
                <w:trHeight w:val="229"/>
              </w:trPr>
              <w:tc>
                <w:tcPr>
                  <w:tcW w:w="265" w:type="dxa"/>
                  <w:tcBorders>
                    <w:top w:val="nil"/>
                    <w:left w:val="nil"/>
                    <w:bottom w:val="nil"/>
                    <w:right w:val="nil"/>
                  </w:tcBorders>
                </w:tcPr>
                <w:p w14:paraId="040E40B3"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4926" w:type="dxa"/>
                  <w:tcBorders>
                    <w:top w:val="nil"/>
                    <w:left w:val="nil"/>
                    <w:bottom w:val="nil"/>
                  </w:tcBorders>
                </w:tcPr>
                <w:p w14:paraId="31D4C262" w14:textId="77777777" w:rsidR="002812BC" w:rsidRPr="00C22F7C" w:rsidRDefault="002812BC" w:rsidP="00B83D66">
                  <w:pPr>
                    <w:autoSpaceDE w:val="0"/>
                    <w:autoSpaceDN w:val="0"/>
                    <w:adjustRightInd w:val="0"/>
                    <w:rPr>
                      <w:rFonts w:ascii="Calibri" w:hAnsi="Calibri" w:cs="Calibri"/>
                      <w:sz w:val="21"/>
                      <w:szCs w:val="21"/>
                    </w:rPr>
                  </w:pPr>
                  <w:r w:rsidRPr="00C22F7C">
                    <w:rPr>
                      <w:rFonts w:ascii="Calibri" w:hAnsi="Calibri" w:cs="Calibri"/>
                      <w:sz w:val="21"/>
                      <w:szCs w:val="21"/>
                    </w:rPr>
                    <w:t>Basic</w:t>
                  </w:r>
                </w:p>
              </w:tc>
              <w:tc>
                <w:tcPr>
                  <w:tcW w:w="680" w:type="dxa"/>
                  <w:tcBorders>
                    <w:top w:val="nil"/>
                    <w:bottom w:val="nil"/>
                  </w:tcBorders>
                </w:tcPr>
                <w:p w14:paraId="4A31FBA6" w14:textId="5DC0F2DF" w:rsidR="002812BC" w:rsidRPr="00C22F7C" w:rsidRDefault="00312A58" w:rsidP="00B83D66">
                  <w:pPr>
                    <w:autoSpaceDE w:val="0"/>
                    <w:autoSpaceDN w:val="0"/>
                    <w:adjustRightInd w:val="0"/>
                    <w:jc w:val="right"/>
                    <w:rPr>
                      <w:rFonts w:ascii="Calibri" w:hAnsi="Calibri" w:cs="Calibri"/>
                      <w:b/>
                      <w:bCs/>
                      <w:sz w:val="22"/>
                      <w:szCs w:val="22"/>
                    </w:rPr>
                  </w:pPr>
                  <w:r>
                    <w:rPr>
                      <w:rFonts w:ascii="Calibri" w:hAnsi="Calibri" w:cs="Calibri"/>
                      <w:b/>
                      <w:bCs/>
                      <w:sz w:val="22"/>
                      <w:szCs w:val="22"/>
                    </w:rPr>
                    <w:t>9</w:t>
                  </w:r>
                </w:p>
              </w:tc>
              <w:tc>
                <w:tcPr>
                  <w:tcW w:w="925" w:type="dxa"/>
                  <w:tcBorders>
                    <w:top w:val="nil"/>
                    <w:bottom w:val="nil"/>
                    <w:right w:val="single" w:sz="4" w:space="0" w:color="auto"/>
                  </w:tcBorders>
                </w:tcPr>
                <w:p w14:paraId="7A8FE52B" w14:textId="4FA26CD6" w:rsidR="002812BC" w:rsidRPr="00C22F7C" w:rsidRDefault="002812BC" w:rsidP="00B83D66">
                  <w:pPr>
                    <w:widowControl w:val="0"/>
                    <w:autoSpaceDE w:val="0"/>
                    <w:autoSpaceDN w:val="0"/>
                    <w:adjustRightInd w:val="0"/>
                    <w:jc w:val="right"/>
                    <w:rPr>
                      <w:rFonts w:ascii="Calibri" w:hAnsi="Calibri" w:cs="Calibri"/>
                      <w:bCs/>
                      <w:sz w:val="22"/>
                      <w:szCs w:val="22"/>
                    </w:rPr>
                  </w:pPr>
                  <w:r w:rsidRPr="00C22F7C">
                    <w:rPr>
                      <w:rFonts w:ascii="Calibri" w:hAnsi="Calibri" w:cs="Calibri"/>
                      <w:bCs/>
                      <w:sz w:val="22"/>
                      <w:szCs w:val="22"/>
                    </w:rPr>
                    <w:t>-12</w:t>
                  </w:r>
                  <w:r w:rsidR="00312A58">
                    <w:rPr>
                      <w:rFonts w:ascii="Calibri" w:hAnsi="Calibri" w:cs="Calibri"/>
                      <w:bCs/>
                      <w:sz w:val="22"/>
                      <w:szCs w:val="22"/>
                    </w:rPr>
                    <w:t>5</w:t>
                  </w:r>
                  <w:r w:rsidRPr="00C22F7C">
                    <w:rPr>
                      <w:rFonts w:ascii="Calibri" w:hAnsi="Calibri" w:cs="Calibri"/>
                      <w:bCs/>
                      <w:sz w:val="22"/>
                      <w:szCs w:val="22"/>
                    </w:rPr>
                    <w:t>%</w:t>
                  </w:r>
                </w:p>
              </w:tc>
              <w:tc>
                <w:tcPr>
                  <w:tcW w:w="1129" w:type="dxa"/>
                  <w:tcBorders>
                    <w:top w:val="nil"/>
                    <w:bottom w:val="nil"/>
                    <w:right w:val="single" w:sz="4" w:space="0" w:color="auto"/>
                  </w:tcBorders>
                  <w:shd w:val="clear" w:color="auto" w:fill="FFFF00"/>
                </w:tcPr>
                <w:p w14:paraId="7D57A8F7" w14:textId="77777777" w:rsidR="002812BC" w:rsidRPr="00C22F7C" w:rsidRDefault="002812BC" w:rsidP="00B83D66">
                  <w:pPr>
                    <w:widowControl w:val="0"/>
                    <w:autoSpaceDE w:val="0"/>
                    <w:autoSpaceDN w:val="0"/>
                    <w:adjustRightInd w:val="0"/>
                    <w:jc w:val="right"/>
                    <w:rPr>
                      <w:rFonts w:ascii="Calibri" w:hAnsi="Calibri" w:cs="Calibri"/>
                      <w:b/>
                      <w:bCs/>
                      <w:sz w:val="22"/>
                      <w:szCs w:val="22"/>
                    </w:rPr>
                  </w:pPr>
                </w:p>
              </w:tc>
              <w:tc>
                <w:tcPr>
                  <w:tcW w:w="1036" w:type="dxa"/>
                  <w:tcBorders>
                    <w:top w:val="nil"/>
                    <w:bottom w:val="nil"/>
                    <w:right w:val="single" w:sz="4" w:space="0" w:color="auto"/>
                  </w:tcBorders>
                  <w:shd w:val="clear" w:color="auto" w:fill="FFFF00"/>
                </w:tcPr>
                <w:p w14:paraId="26F9FFCC"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p>
              </w:tc>
              <w:tc>
                <w:tcPr>
                  <w:tcW w:w="1036" w:type="dxa"/>
                  <w:tcBorders>
                    <w:top w:val="nil"/>
                    <w:left w:val="single" w:sz="4" w:space="0" w:color="auto"/>
                    <w:bottom w:val="nil"/>
                    <w:right w:val="single" w:sz="4" w:space="0" w:color="auto"/>
                  </w:tcBorders>
                  <w:shd w:val="clear" w:color="auto" w:fill="FFFF00"/>
                </w:tcPr>
                <w:p w14:paraId="5FD6F685" w14:textId="540BEFA6"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sz w:val="22"/>
                      <w:szCs w:val="22"/>
                    </w:rPr>
                    <w:t>(0.20</w:t>
                  </w:r>
                  <w:r w:rsidR="00EA4DC2">
                    <w:rPr>
                      <w:rFonts w:ascii="Calibri" w:hAnsi="Calibri" w:cs="Calibri"/>
                      <w:b/>
                      <w:bCs/>
                      <w:sz w:val="22"/>
                      <w:szCs w:val="22"/>
                    </w:rPr>
                    <w:t>53</w:t>
                  </w:r>
                  <w:r w:rsidRPr="00C22F7C">
                    <w:rPr>
                      <w:rFonts w:ascii="Calibri" w:hAnsi="Calibri" w:cs="Calibri"/>
                      <w:b/>
                      <w:bCs/>
                      <w:sz w:val="22"/>
                      <w:szCs w:val="22"/>
                    </w:rPr>
                    <w:t>)</w:t>
                  </w:r>
                </w:p>
              </w:tc>
              <w:tc>
                <w:tcPr>
                  <w:tcW w:w="1036" w:type="dxa"/>
                  <w:tcBorders>
                    <w:top w:val="nil"/>
                    <w:left w:val="single" w:sz="4" w:space="0" w:color="auto"/>
                    <w:bottom w:val="nil"/>
                    <w:right w:val="single" w:sz="4" w:space="0" w:color="auto"/>
                  </w:tcBorders>
                </w:tcPr>
                <w:p w14:paraId="54BC3C1C" w14:textId="77777777" w:rsidR="002812BC" w:rsidRPr="00C22F7C" w:rsidRDefault="002812BC" w:rsidP="00B83D66">
                  <w:pPr>
                    <w:widowControl w:val="0"/>
                    <w:autoSpaceDE w:val="0"/>
                    <w:autoSpaceDN w:val="0"/>
                    <w:adjustRightInd w:val="0"/>
                    <w:ind w:left="-226"/>
                    <w:jc w:val="right"/>
                    <w:rPr>
                      <w:rFonts w:ascii="Calibri" w:hAnsi="Calibri" w:cs="Calibri"/>
                      <w:sz w:val="22"/>
                      <w:szCs w:val="22"/>
                    </w:rPr>
                  </w:pPr>
                  <w:r w:rsidRPr="00C22F7C">
                    <w:rPr>
                      <w:rFonts w:ascii="Calibri" w:hAnsi="Calibri" w:cs="Calibri"/>
                      <w:color w:val="000000"/>
                      <w:sz w:val="22"/>
                      <w:szCs w:val="22"/>
                    </w:rPr>
                    <w:t>0.8139</w:t>
                  </w:r>
                </w:p>
              </w:tc>
            </w:tr>
            <w:tr w:rsidR="002812BC" w:rsidRPr="00C22F7C" w14:paraId="5A246885" w14:textId="77777777" w:rsidTr="00B83D66">
              <w:trPr>
                <w:trHeight w:val="229"/>
              </w:trPr>
              <w:tc>
                <w:tcPr>
                  <w:tcW w:w="265" w:type="dxa"/>
                  <w:tcBorders>
                    <w:top w:val="nil"/>
                    <w:left w:val="nil"/>
                    <w:bottom w:val="nil"/>
                    <w:right w:val="nil"/>
                  </w:tcBorders>
                </w:tcPr>
                <w:p w14:paraId="3C293C3F"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4926" w:type="dxa"/>
                  <w:tcBorders>
                    <w:top w:val="nil"/>
                    <w:left w:val="nil"/>
                    <w:bottom w:val="nil"/>
                  </w:tcBorders>
                </w:tcPr>
                <w:p w14:paraId="14F905CB" w14:textId="77777777" w:rsidR="002812BC" w:rsidRPr="00C22F7C" w:rsidRDefault="002812BC" w:rsidP="00B83D66">
                  <w:pPr>
                    <w:autoSpaceDE w:val="0"/>
                    <w:autoSpaceDN w:val="0"/>
                    <w:adjustRightInd w:val="0"/>
                    <w:rPr>
                      <w:rFonts w:ascii="Calibri" w:hAnsi="Calibri" w:cs="Calibri"/>
                      <w:sz w:val="21"/>
                      <w:szCs w:val="21"/>
                    </w:rPr>
                  </w:pPr>
                  <w:r w:rsidRPr="00C22F7C">
                    <w:rPr>
                      <w:rFonts w:ascii="Calibri" w:hAnsi="Calibri" w:cs="Calibri"/>
                      <w:sz w:val="21"/>
                      <w:szCs w:val="21"/>
                    </w:rPr>
                    <w:t>Diluted</w:t>
                  </w:r>
                </w:p>
              </w:tc>
              <w:tc>
                <w:tcPr>
                  <w:tcW w:w="680" w:type="dxa"/>
                  <w:tcBorders>
                    <w:top w:val="nil"/>
                    <w:bottom w:val="nil"/>
                  </w:tcBorders>
                </w:tcPr>
                <w:p w14:paraId="30600C79" w14:textId="5CEBFFE2" w:rsidR="002812BC" w:rsidRPr="00C22F7C" w:rsidRDefault="00312A58" w:rsidP="00B83D66">
                  <w:pPr>
                    <w:autoSpaceDE w:val="0"/>
                    <w:autoSpaceDN w:val="0"/>
                    <w:adjustRightInd w:val="0"/>
                    <w:jc w:val="right"/>
                    <w:rPr>
                      <w:rFonts w:ascii="Calibri" w:hAnsi="Calibri" w:cs="Calibri"/>
                      <w:b/>
                      <w:bCs/>
                      <w:sz w:val="22"/>
                      <w:szCs w:val="22"/>
                    </w:rPr>
                  </w:pPr>
                  <w:r>
                    <w:rPr>
                      <w:rFonts w:ascii="Calibri" w:hAnsi="Calibri" w:cs="Calibri"/>
                      <w:b/>
                      <w:bCs/>
                      <w:sz w:val="22"/>
                      <w:szCs w:val="22"/>
                    </w:rPr>
                    <w:t>9</w:t>
                  </w:r>
                </w:p>
              </w:tc>
              <w:tc>
                <w:tcPr>
                  <w:tcW w:w="925" w:type="dxa"/>
                  <w:tcBorders>
                    <w:top w:val="nil"/>
                    <w:bottom w:val="nil"/>
                    <w:right w:val="single" w:sz="4" w:space="0" w:color="auto"/>
                  </w:tcBorders>
                </w:tcPr>
                <w:p w14:paraId="6FCB3B9F" w14:textId="4416BD4C" w:rsidR="002812BC" w:rsidRPr="00C22F7C" w:rsidRDefault="002812BC" w:rsidP="00B83D66">
                  <w:pPr>
                    <w:widowControl w:val="0"/>
                    <w:autoSpaceDE w:val="0"/>
                    <w:autoSpaceDN w:val="0"/>
                    <w:adjustRightInd w:val="0"/>
                    <w:jc w:val="right"/>
                    <w:rPr>
                      <w:rFonts w:ascii="Calibri" w:hAnsi="Calibri" w:cs="Calibri"/>
                      <w:bCs/>
                      <w:sz w:val="22"/>
                      <w:szCs w:val="22"/>
                    </w:rPr>
                  </w:pPr>
                  <w:r w:rsidRPr="00C22F7C">
                    <w:rPr>
                      <w:rFonts w:ascii="Calibri" w:hAnsi="Calibri" w:cs="Calibri"/>
                      <w:bCs/>
                      <w:sz w:val="22"/>
                      <w:szCs w:val="22"/>
                    </w:rPr>
                    <w:t>-12</w:t>
                  </w:r>
                  <w:r w:rsidR="00312A58">
                    <w:rPr>
                      <w:rFonts w:ascii="Calibri" w:hAnsi="Calibri" w:cs="Calibri"/>
                      <w:bCs/>
                      <w:sz w:val="22"/>
                      <w:szCs w:val="22"/>
                    </w:rPr>
                    <w:t>5</w:t>
                  </w:r>
                  <w:r w:rsidRPr="00C22F7C">
                    <w:rPr>
                      <w:rFonts w:ascii="Calibri" w:hAnsi="Calibri" w:cs="Calibri"/>
                      <w:bCs/>
                      <w:sz w:val="22"/>
                      <w:szCs w:val="22"/>
                    </w:rPr>
                    <w:t>%</w:t>
                  </w:r>
                </w:p>
              </w:tc>
              <w:tc>
                <w:tcPr>
                  <w:tcW w:w="1129" w:type="dxa"/>
                  <w:tcBorders>
                    <w:top w:val="nil"/>
                    <w:bottom w:val="nil"/>
                    <w:right w:val="single" w:sz="4" w:space="0" w:color="auto"/>
                  </w:tcBorders>
                  <w:shd w:val="clear" w:color="auto" w:fill="FFFF00"/>
                </w:tcPr>
                <w:p w14:paraId="62BB2F68" w14:textId="77777777" w:rsidR="002812BC" w:rsidRPr="00C22F7C" w:rsidRDefault="002812BC" w:rsidP="00B83D66">
                  <w:pPr>
                    <w:widowControl w:val="0"/>
                    <w:autoSpaceDE w:val="0"/>
                    <w:autoSpaceDN w:val="0"/>
                    <w:adjustRightInd w:val="0"/>
                    <w:jc w:val="right"/>
                    <w:rPr>
                      <w:rFonts w:ascii="Calibri" w:hAnsi="Calibri" w:cs="Calibri"/>
                      <w:b/>
                      <w:bCs/>
                      <w:sz w:val="22"/>
                      <w:szCs w:val="22"/>
                    </w:rPr>
                  </w:pPr>
                </w:p>
              </w:tc>
              <w:tc>
                <w:tcPr>
                  <w:tcW w:w="1036" w:type="dxa"/>
                  <w:tcBorders>
                    <w:top w:val="nil"/>
                    <w:bottom w:val="nil"/>
                    <w:right w:val="single" w:sz="4" w:space="0" w:color="auto"/>
                  </w:tcBorders>
                  <w:shd w:val="clear" w:color="auto" w:fill="FFFF00"/>
                </w:tcPr>
                <w:p w14:paraId="4216914E"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p>
              </w:tc>
              <w:tc>
                <w:tcPr>
                  <w:tcW w:w="1036" w:type="dxa"/>
                  <w:tcBorders>
                    <w:top w:val="nil"/>
                    <w:left w:val="single" w:sz="4" w:space="0" w:color="auto"/>
                    <w:bottom w:val="nil"/>
                    <w:right w:val="single" w:sz="4" w:space="0" w:color="auto"/>
                  </w:tcBorders>
                  <w:shd w:val="clear" w:color="auto" w:fill="FFFF00"/>
                </w:tcPr>
                <w:p w14:paraId="76D14615" w14:textId="01D78F8A"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sz w:val="22"/>
                      <w:szCs w:val="22"/>
                    </w:rPr>
                    <w:t>(0.20</w:t>
                  </w:r>
                  <w:r w:rsidR="00EA4DC2">
                    <w:rPr>
                      <w:rFonts w:ascii="Calibri" w:hAnsi="Calibri" w:cs="Calibri"/>
                      <w:b/>
                      <w:bCs/>
                      <w:sz w:val="22"/>
                      <w:szCs w:val="22"/>
                    </w:rPr>
                    <w:t>53</w:t>
                  </w:r>
                  <w:r w:rsidRPr="00C22F7C">
                    <w:rPr>
                      <w:rFonts w:ascii="Calibri" w:hAnsi="Calibri" w:cs="Calibri"/>
                      <w:b/>
                      <w:bCs/>
                      <w:sz w:val="22"/>
                      <w:szCs w:val="22"/>
                    </w:rPr>
                    <w:t>)</w:t>
                  </w:r>
                </w:p>
              </w:tc>
              <w:tc>
                <w:tcPr>
                  <w:tcW w:w="1036" w:type="dxa"/>
                  <w:tcBorders>
                    <w:top w:val="nil"/>
                    <w:left w:val="single" w:sz="4" w:space="0" w:color="auto"/>
                    <w:bottom w:val="nil"/>
                    <w:right w:val="single" w:sz="4" w:space="0" w:color="auto"/>
                  </w:tcBorders>
                </w:tcPr>
                <w:p w14:paraId="557A9148" w14:textId="77777777" w:rsidR="002812BC" w:rsidRPr="00C22F7C" w:rsidRDefault="002812BC" w:rsidP="00B83D66">
                  <w:pPr>
                    <w:widowControl w:val="0"/>
                    <w:autoSpaceDE w:val="0"/>
                    <w:autoSpaceDN w:val="0"/>
                    <w:adjustRightInd w:val="0"/>
                    <w:ind w:left="-226"/>
                    <w:jc w:val="right"/>
                    <w:rPr>
                      <w:rFonts w:ascii="Calibri" w:hAnsi="Calibri" w:cs="Calibri"/>
                      <w:sz w:val="22"/>
                      <w:szCs w:val="22"/>
                    </w:rPr>
                  </w:pPr>
                  <w:r w:rsidRPr="00C22F7C">
                    <w:rPr>
                      <w:rFonts w:ascii="Calibri" w:hAnsi="Calibri" w:cs="Calibri"/>
                      <w:color w:val="000000"/>
                      <w:sz w:val="22"/>
                      <w:szCs w:val="22"/>
                    </w:rPr>
                    <w:t>0.8107</w:t>
                  </w:r>
                </w:p>
              </w:tc>
            </w:tr>
            <w:tr w:rsidR="002812BC" w:rsidRPr="00C22F7C" w14:paraId="3EBF1678" w14:textId="77777777" w:rsidTr="00B83D66">
              <w:trPr>
                <w:trHeight w:val="229"/>
              </w:trPr>
              <w:tc>
                <w:tcPr>
                  <w:tcW w:w="265" w:type="dxa"/>
                  <w:tcBorders>
                    <w:top w:val="nil"/>
                    <w:left w:val="nil"/>
                    <w:bottom w:val="nil"/>
                    <w:right w:val="nil"/>
                  </w:tcBorders>
                </w:tcPr>
                <w:p w14:paraId="41CAAFB3"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4926" w:type="dxa"/>
                  <w:tcBorders>
                    <w:top w:val="nil"/>
                    <w:left w:val="nil"/>
                    <w:bottom w:val="nil"/>
                  </w:tcBorders>
                </w:tcPr>
                <w:p w14:paraId="17C349C2" w14:textId="77777777" w:rsidR="002812BC" w:rsidRPr="00C22F7C" w:rsidRDefault="002812BC" w:rsidP="00B83D66">
                  <w:pPr>
                    <w:autoSpaceDE w:val="0"/>
                    <w:autoSpaceDN w:val="0"/>
                    <w:adjustRightInd w:val="0"/>
                    <w:ind w:right="-128"/>
                    <w:rPr>
                      <w:rFonts w:ascii="Calibri" w:hAnsi="Calibri" w:cs="Calibri"/>
                      <w:sz w:val="21"/>
                      <w:szCs w:val="21"/>
                    </w:rPr>
                  </w:pPr>
                  <w:r w:rsidRPr="00C22F7C">
                    <w:rPr>
                      <w:rFonts w:ascii="Calibri" w:hAnsi="Calibri" w:cs="Calibri"/>
                      <w:sz w:val="21"/>
                      <w:szCs w:val="21"/>
                    </w:rPr>
                    <w:t>Weighted ave. no. ord. shares (in Ms)</w:t>
                  </w:r>
                </w:p>
              </w:tc>
              <w:tc>
                <w:tcPr>
                  <w:tcW w:w="680" w:type="dxa"/>
                  <w:tcBorders>
                    <w:top w:val="nil"/>
                    <w:bottom w:val="nil"/>
                  </w:tcBorders>
                </w:tcPr>
                <w:p w14:paraId="39F16840" w14:textId="77777777" w:rsidR="002812BC" w:rsidRPr="00C22F7C" w:rsidRDefault="002812BC" w:rsidP="00B83D66">
                  <w:pPr>
                    <w:autoSpaceDE w:val="0"/>
                    <w:autoSpaceDN w:val="0"/>
                    <w:adjustRightInd w:val="0"/>
                    <w:jc w:val="right"/>
                    <w:rPr>
                      <w:rFonts w:ascii="Calibri" w:hAnsi="Calibri" w:cs="Calibri"/>
                      <w:b/>
                      <w:bCs/>
                      <w:sz w:val="22"/>
                      <w:szCs w:val="22"/>
                    </w:rPr>
                  </w:pPr>
                </w:p>
              </w:tc>
              <w:tc>
                <w:tcPr>
                  <w:tcW w:w="925" w:type="dxa"/>
                  <w:tcBorders>
                    <w:top w:val="nil"/>
                    <w:bottom w:val="nil"/>
                    <w:right w:val="single" w:sz="4" w:space="0" w:color="auto"/>
                  </w:tcBorders>
                </w:tcPr>
                <w:p w14:paraId="7D3931BE" w14:textId="77777777" w:rsidR="002812BC" w:rsidRPr="00C22F7C" w:rsidRDefault="002812BC" w:rsidP="00B83D66">
                  <w:pPr>
                    <w:autoSpaceDE w:val="0"/>
                    <w:autoSpaceDN w:val="0"/>
                    <w:adjustRightInd w:val="0"/>
                    <w:jc w:val="right"/>
                    <w:rPr>
                      <w:rFonts w:ascii="Calibri" w:hAnsi="Calibri" w:cs="Calibri"/>
                      <w:bCs/>
                      <w:sz w:val="22"/>
                      <w:szCs w:val="22"/>
                    </w:rPr>
                  </w:pPr>
                </w:p>
              </w:tc>
              <w:tc>
                <w:tcPr>
                  <w:tcW w:w="1129" w:type="dxa"/>
                  <w:tcBorders>
                    <w:top w:val="nil"/>
                    <w:right w:val="single" w:sz="4" w:space="0" w:color="auto"/>
                  </w:tcBorders>
                  <w:shd w:val="clear" w:color="auto" w:fill="FFFF00"/>
                </w:tcPr>
                <w:p w14:paraId="163645B4" w14:textId="77777777" w:rsidR="002812BC" w:rsidRPr="00C22F7C" w:rsidRDefault="002812BC" w:rsidP="00B83D66">
                  <w:pPr>
                    <w:autoSpaceDE w:val="0"/>
                    <w:autoSpaceDN w:val="0"/>
                    <w:adjustRightInd w:val="0"/>
                    <w:jc w:val="right"/>
                    <w:rPr>
                      <w:rFonts w:ascii="Calibri" w:hAnsi="Calibri" w:cs="Calibri"/>
                      <w:b/>
                      <w:bCs/>
                      <w:sz w:val="22"/>
                      <w:szCs w:val="22"/>
                    </w:rPr>
                  </w:pPr>
                </w:p>
              </w:tc>
              <w:tc>
                <w:tcPr>
                  <w:tcW w:w="1036" w:type="dxa"/>
                  <w:tcBorders>
                    <w:top w:val="nil"/>
                    <w:right w:val="single" w:sz="4" w:space="0" w:color="auto"/>
                  </w:tcBorders>
                  <w:shd w:val="clear" w:color="auto" w:fill="FFFF00"/>
                </w:tcPr>
                <w:p w14:paraId="3B1CD1A6" w14:textId="77777777" w:rsidR="002812BC" w:rsidRPr="00C22F7C" w:rsidRDefault="002812BC" w:rsidP="00B83D66">
                  <w:pPr>
                    <w:autoSpaceDE w:val="0"/>
                    <w:autoSpaceDN w:val="0"/>
                    <w:adjustRightInd w:val="0"/>
                    <w:ind w:left="-226"/>
                    <w:jc w:val="right"/>
                    <w:rPr>
                      <w:rFonts w:ascii="Calibri" w:hAnsi="Calibri" w:cs="Calibri"/>
                      <w:sz w:val="22"/>
                      <w:szCs w:val="22"/>
                    </w:rPr>
                  </w:pPr>
                </w:p>
              </w:tc>
              <w:tc>
                <w:tcPr>
                  <w:tcW w:w="1036" w:type="dxa"/>
                  <w:tcBorders>
                    <w:top w:val="nil"/>
                    <w:left w:val="single" w:sz="4" w:space="0" w:color="auto"/>
                    <w:right w:val="single" w:sz="4" w:space="0" w:color="auto"/>
                  </w:tcBorders>
                  <w:shd w:val="clear" w:color="auto" w:fill="FFFF00"/>
                </w:tcPr>
                <w:p w14:paraId="5BA39D2D" w14:textId="77777777" w:rsidR="002812BC" w:rsidRPr="00C22F7C" w:rsidRDefault="002812BC" w:rsidP="00B83D66">
                  <w:pPr>
                    <w:autoSpaceDE w:val="0"/>
                    <w:autoSpaceDN w:val="0"/>
                    <w:adjustRightInd w:val="0"/>
                    <w:ind w:left="-226"/>
                    <w:jc w:val="right"/>
                    <w:rPr>
                      <w:rFonts w:ascii="Calibri" w:hAnsi="Calibri" w:cs="Calibri"/>
                      <w:sz w:val="22"/>
                      <w:szCs w:val="22"/>
                    </w:rPr>
                  </w:pPr>
                </w:p>
              </w:tc>
              <w:tc>
                <w:tcPr>
                  <w:tcW w:w="1036" w:type="dxa"/>
                  <w:tcBorders>
                    <w:top w:val="nil"/>
                    <w:left w:val="single" w:sz="4" w:space="0" w:color="auto"/>
                    <w:bottom w:val="nil"/>
                    <w:right w:val="single" w:sz="4" w:space="0" w:color="auto"/>
                  </w:tcBorders>
                </w:tcPr>
                <w:p w14:paraId="2ED1B951" w14:textId="77777777" w:rsidR="002812BC" w:rsidRPr="00C22F7C" w:rsidRDefault="002812BC" w:rsidP="00B83D66">
                  <w:pPr>
                    <w:autoSpaceDE w:val="0"/>
                    <w:autoSpaceDN w:val="0"/>
                    <w:adjustRightInd w:val="0"/>
                    <w:ind w:left="-226"/>
                    <w:jc w:val="right"/>
                    <w:rPr>
                      <w:rFonts w:ascii="Calibri" w:hAnsi="Calibri" w:cs="Calibri"/>
                      <w:sz w:val="22"/>
                      <w:szCs w:val="22"/>
                    </w:rPr>
                  </w:pPr>
                </w:p>
              </w:tc>
            </w:tr>
            <w:tr w:rsidR="002812BC" w:rsidRPr="00C22F7C" w14:paraId="63013BB4" w14:textId="77777777" w:rsidTr="00B83D66">
              <w:trPr>
                <w:trHeight w:val="229"/>
              </w:trPr>
              <w:tc>
                <w:tcPr>
                  <w:tcW w:w="265" w:type="dxa"/>
                  <w:tcBorders>
                    <w:top w:val="nil"/>
                    <w:left w:val="nil"/>
                    <w:bottom w:val="nil"/>
                    <w:right w:val="nil"/>
                  </w:tcBorders>
                </w:tcPr>
                <w:p w14:paraId="43CDBC5B"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4926" w:type="dxa"/>
                  <w:tcBorders>
                    <w:top w:val="nil"/>
                    <w:left w:val="nil"/>
                    <w:bottom w:val="nil"/>
                  </w:tcBorders>
                </w:tcPr>
                <w:p w14:paraId="46BFC2D4" w14:textId="77777777" w:rsidR="002812BC" w:rsidRPr="00C22F7C" w:rsidRDefault="002812BC" w:rsidP="00B83D66">
                  <w:pPr>
                    <w:autoSpaceDE w:val="0"/>
                    <w:autoSpaceDN w:val="0"/>
                    <w:adjustRightInd w:val="0"/>
                    <w:rPr>
                      <w:rFonts w:ascii="Calibri" w:hAnsi="Calibri" w:cs="Calibri"/>
                      <w:sz w:val="21"/>
                      <w:szCs w:val="21"/>
                    </w:rPr>
                  </w:pPr>
                  <w:r w:rsidRPr="00C22F7C">
                    <w:rPr>
                      <w:rFonts w:ascii="Calibri" w:hAnsi="Calibri" w:cs="Calibri"/>
                      <w:sz w:val="21"/>
                      <w:szCs w:val="21"/>
                    </w:rPr>
                    <w:t>Basic</w:t>
                  </w:r>
                </w:p>
              </w:tc>
              <w:tc>
                <w:tcPr>
                  <w:tcW w:w="680" w:type="dxa"/>
                  <w:tcBorders>
                    <w:top w:val="nil"/>
                    <w:bottom w:val="nil"/>
                  </w:tcBorders>
                </w:tcPr>
                <w:p w14:paraId="45A21BB4" w14:textId="7BD9C528" w:rsidR="002812BC" w:rsidRPr="00C22F7C" w:rsidRDefault="00312A58" w:rsidP="00B83D66">
                  <w:pPr>
                    <w:autoSpaceDE w:val="0"/>
                    <w:autoSpaceDN w:val="0"/>
                    <w:adjustRightInd w:val="0"/>
                    <w:jc w:val="right"/>
                    <w:rPr>
                      <w:rFonts w:ascii="Calibri" w:hAnsi="Calibri" w:cs="Calibri"/>
                      <w:b/>
                      <w:bCs/>
                      <w:sz w:val="22"/>
                      <w:szCs w:val="22"/>
                    </w:rPr>
                  </w:pPr>
                  <w:r>
                    <w:rPr>
                      <w:rFonts w:ascii="Calibri" w:hAnsi="Calibri" w:cs="Calibri"/>
                      <w:b/>
                      <w:bCs/>
                      <w:sz w:val="22"/>
                      <w:szCs w:val="22"/>
                    </w:rPr>
                    <w:t>9</w:t>
                  </w:r>
                </w:p>
              </w:tc>
              <w:tc>
                <w:tcPr>
                  <w:tcW w:w="925" w:type="dxa"/>
                  <w:tcBorders>
                    <w:top w:val="nil"/>
                    <w:bottom w:val="nil"/>
                    <w:right w:val="single" w:sz="4" w:space="0" w:color="auto"/>
                  </w:tcBorders>
                </w:tcPr>
                <w:p w14:paraId="770D9650" w14:textId="77777777" w:rsidR="002812BC" w:rsidRPr="00C22F7C" w:rsidRDefault="002812BC" w:rsidP="00B83D66">
                  <w:pPr>
                    <w:autoSpaceDE w:val="0"/>
                    <w:autoSpaceDN w:val="0"/>
                    <w:adjustRightInd w:val="0"/>
                    <w:jc w:val="right"/>
                    <w:rPr>
                      <w:rFonts w:ascii="Calibri" w:hAnsi="Calibri" w:cs="Calibri"/>
                      <w:bCs/>
                      <w:sz w:val="22"/>
                      <w:szCs w:val="22"/>
                    </w:rPr>
                  </w:pPr>
                </w:p>
              </w:tc>
              <w:tc>
                <w:tcPr>
                  <w:tcW w:w="1129" w:type="dxa"/>
                  <w:tcBorders>
                    <w:top w:val="nil"/>
                    <w:bottom w:val="nil"/>
                    <w:right w:val="single" w:sz="4" w:space="0" w:color="auto"/>
                  </w:tcBorders>
                  <w:shd w:val="clear" w:color="auto" w:fill="FFFF00"/>
                </w:tcPr>
                <w:p w14:paraId="5F4C77AB" w14:textId="77777777" w:rsidR="002812BC" w:rsidRPr="00C22F7C" w:rsidRDefault="002812BC" w:rsidP="00B83D66">
                  <w:pPr>
                    <w:widowControl w:val="0"/>
                    <w:autoSpaceDE w:val="0"/>
                    <w:autoSpaceDN w:val="0"/>
                    <w:adjustRightInd w:val="0"/>
                    <w:jc w:val="right"/>
                    <w:rPr>
                      <w:rFonts w:ascii="Calibri" w:hAnsi="Calibri" w:cs="Calibri"/>
                      <w:b/>
                      <w:bCs/>
                      <w:sz w:val="22"/>
                      <w:szCs w:val="22"/>
                    </w:rPr>
                  </w:pPr>
                </w:p>
              </w:tc>
              <w:tc>
                <w:tcPr>
                  <w:tcW w:w="1036" w:type="dxa"/>
                  <w:tcBorders>
                    <w:top w:val="nil"/>
                    <w:bottom w:val="nil"/>
                    <w:right w:val="single" w:sz="4" w:space="0" w:color="auto"/>
                  </w:tcBorders>
                  <w:shd w:val="clear" w:color="auto" w:fill="FFFF00"/>
                </w:tcPr>
                <w:p w14:paraId="1397B7A9"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p>
              </w:tc>
              <w:tc>
                <w:tcPr>
                  <w:tcW w:w="1036" w:type="dxa"/>
                  <w:tcBorders>
                    <w:top w:val="nil"/>
                    <w:left w:val="single" w:sz="4" w:space="0" w:color="auto"/>
                    <w:bottom w:val="nil"/>
                    <w:right w:val="single" w:sz="4" w:space="0" w:color="auto"/>
                  </w:tcBorders>
                  <w:shd w:val="clear" w:color="auto" w:fill="FFFF00"/>
                </w:tcPr>
                <w:p w14:paraId="3E6D8E62" w14:textId="0FFEDE99"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sz w:val="22"/>
                      <w:szCs w:val="22"/>
                    </w:rPr>
                    <w:t>1,09</w:t>
                  </w:r>
                  <w:r w:rsidR="00EA4DC2">
                    <w:rPr>
                      <w:rFonts w:ascii="Calibri" w:hAnsi="Calibri" w:cs="Calibri"/>
                      <w:b/>
                      <w:bCs/>
                      <w:sz w:val="22"/>
                      <w:szCs w:val="22"/>
                    </w:rPr>
                    <w:t>8</w:t>
                  </w:r>
                  <w:r w:rsidRPr="00C22F7C">
                    <w:rPr>
                      <w:rFonts w:ascii="Calibri" w:hAnsi="Calibri" w:cs="Calibri"/>
                      <w:b/>
                      <w:bCs/>
                      <w:sz w:val="22"/>
                      <w:szCs w:val="22"/>
                    </w:rPr>
                    <w:t>.</w:t>
                  </w:r>
                  <w:r w:rsidR="00EA4DC2">
                    <w:rPr>
                      <w:rFonts w:ascii="Calibri" w:hAnsi="Calibri" w:cs="Calibri"/>
                      <w:b/>
                      <w:bCs/>
                      <w:sz w:val="22"/>
                      <w:szCs w:val="22"/>
                    </w:rPr>
                    <w:t>6</w:t>
                  </w:r>
                </w:p>
              </w:tc>
              <w:tc>
                <w:tcPr>
                  <w:tcW w:w="1036" w:type="dxa"/>
                  <w:tcBorders>
                    <w:top w:val="nil"/>
                    <w:left w:val="single" w:sz="4" w:space="0" w:color="auto"/>
                    <w:bottom w:val="nil"/>
                    <w:right w:val="single" w:sz="4" w:space="0" w:color="auto"/>
                  </w:tcBorders>
                </w:tcPr>
                <w:p w14:paraId="0BFC2417" w14:textId="77777777" w:rsidR="002812BC" w:rsidRPr="00C22F7C" w:rsidRDefault="002812BC" w:rsidP="00B83D66">
                  <w:pPr>
                    <w:widowControl w:val="0"/>
                    <w:autoSpaceDE w:val="0"/>
                    <w:autoSpaceDN w:val="0"/>
                    <w:adjustRightInd w:val="0"/>
                    <w:ind w:left="-226"/>
                    <w:jc w:val="right"/>
                    <w:rPr>
                      <w:rFonts w:ascii="Calibri" w:hAnsi="Calibri" w:cs="Calibri"/>
                      <w:sz w:val="22"/>
                      <w:szCs w:val="22"/>
                    </w:rPr>
                  </w:pPr>
                  <w:r w:rsidRPr="00C22F7C">
                    <w:rPr>
                      <w:rFonts w:ascii="Calibri" w:hAnsi="Calibri" w:cs="Calibri"/>
                      <w:color w:val="000000"/>
                      <w:sz w:val="22"/>
                      <w:szCs w:val="22"/>
                    </w:rPr>
                    <w:t>1,118.3</w:t>
                  </w:r>
                </w:p>
              </w:tc>
            </w:tr>
            <w:tr w:rsidR="002812BC" w:rsidRPr="00C22F7C" w14:paraId="096C0192" w14:textId="77777777" w:rsidTr="00B83D66">
              <w:trPr>
                <w:trHeight w:val="229"/>
              </w:trPr>
              <w:tc>
                <w:tcPr>
                  <w:tcW w:w="265" w:type="dxa"/>
                  <w:tcBorders>
                    <w:top w:val="nil"/>
                    <w:left w:val="nil"/>
                    <w:bottom w:val="nil"/>
                    <w:right w:val="nil"/>
                  </w:tcBorders>
                </w:tcPr>
                <w:p w14:paraId="415C4ED1" w14:textId="77777777" w:rsidR="002812BC" w:rsidRPr="00C22F7C" w:rsidRDefault="002812BC" w:rsidP="00B83D66">
                  <w:pPr>
                    <w:autoSpaceDE w:val="0"/>
                    <w:autoSpaceDN w:val="0"/>
                    <w:adjustRightInd w:val="0"/>
                    <w:rPr>
                      <w:rFonts w:ascii="Calibri" w:hAnsi="Calibri" w:cs="Calibri"/>
                      <w:color w:val="000000"/>
                      <w:sz w:val="22"/>
                      <w:szCs w:val="22"/>
                    </w:rPr>
                  </w:pPr>
                </w:p>
              </w:tc>
              <w:tc>
                <w:tcPr>
                  <w:tcW w:w="4926" w:type="dxa"/>
                  <w:tcBorders>
                    <w:top w:val="nil"/>
                    <w:left w:val="nil"/>
                    <w:bottom w:val="nil"/>
                  </w:tcBorders>
                </w:tcPr>
                <w:p w14:paraId="0D488D62" w14:textId="77777777" w:rsidR="002812BC" w:rsidRPr="00C22F7C" w:rsidRDefault="002812BC" w:rsidP="00B83D66">
                  <w:pPr>
                    <w:autoSpaceDE w:val="0"/>
                    <w:autoSpaceDN w:val="0"/>
                    <w:adjustRightInd w:val="0"/>
                    <w:rPr>
                      <w:rFonts w:ascii="Calibri" w:hAnsi="Calibri" w:cs="Calibri"/>
                      <w:sz w:val="21"/>
                      <w:szCs w:val="21"/>
                    </w:rPr>
                  </w:pPr>
                  <w:r w:rsidRPr="00C22F7C">
                    <w:rPr>
                      <w:rFonts w:ascii="Calibri" w:hAnsi="Calibri" w:cs="Calibri"/>
                      <w:sz w:val="21"/>
                      <w:szCs w:val="21"/>
                    </w:rPr>
                    <w:t>Diluted</w:t>
                  </w:r>
                </w:p>
              </w:tc>
              <w:tc>
                <w:tcPr>
                  <w:tcW w:w="680" w:type="dxa"/>
                  <w:tcBorders>
                    <w:top w:val="nil"/>
                  </w:tcBorders>
                </w:tcPr>
                <w:p w14:paraId="336499D5" w14:textId="091C8AD4" w:rsidR="002812BC" w:rsidRPr="00C22F7C" w:rsidRDefault="00312A58" w:rsidP="00B83D66">
                  <w:pPr>
                    <w:autoSpaceDE w:val="0"/>
                    <w:autoSpaceDN w:val="0"/>
                    <w:adjustRightInd w:val="0"/>
                    <w:jc w:val="right"/>
                    <w:rPr>
                      <w:rFonts w:ascii="Calibri" w:hAnsi="Calibri" w:cs="Calibri"/>
                      <w:b/>
                      <w:bCs/>
                      <w:sz w:val="22"/>
                      <w:szCs w:val="22"/>
                    </w:rPr>
                  </w:pPr>
                  <w:r>
                    <w:rPr>
                      <w:rFonts w:ascii="Calibri" w:hAnsi="Calibri" w:cs="Calibri"/>
                      <w:b/>
                      <w:bCs/>
                      <w:sz w:val="22"/>
                      <w:szCs w:val="22"/>
                    </w:rPr>
                    <w:t>9</w:t>
                  </w:r>
                </w:p>
              </w:tc>
              <w:tc>
                <w:tcPr>
                  <w:tcW w:w="925" w:type="dxa"/>
                  <w:tcBorders>
                    <w:top w:val="nil"/>
                    <w:right w:val="single" w:sz="4" w:space="0" w:color="auto"/>
                  </w:tcBorders>
                </w:tcPr>
                <w:p w14:paraId="356E40D1" w14:textId="77777777" w:rsidR="002812BC" w:rsidRPr="00C22F7C" w:rsidRDefault="002812BC" w:rsidP="00B83D66">
                  <w:pPr>
                    <w:autoSpaceDE w:val="0"/>
                    <w:autoSpaceDN w:val="0"/>
                    <w:adjustRightInd w:val="0"/>
                    <w:jc w:val="right"/>
                    <w:rPr>
                      <w:rFonts w:ascii="Calibri" w:hAnsi="Calibri" w:cs="Calibri"/>
                      <w:bCs/>
                      <w:sz w:val="22"/>
                      <w:szCs w:val="22"/>
                    </w:rPr>
                  </w:pPr>
                </w:p>
              </w:tc>
              <w:tc>
                <w:tcPr>
                  <w:tcW w:w="1129" w:type="dxa"/>
                  <w:tcBorders>
                    <w:top w:val="nil"/>
                    <w:bottom w:val="single" w:sz="4" w:space="0" w:color="auto"/>
                    <w:right w:val="single" w:sz="4" w:space="0" w:color="auto"/>
                  </w:tcBorders>
                  <w:shd w:val="clear" w:color="auto" w:fill="FFFF00"/>
                </w:tcPr>
                <w:p w14:paraId="61B973DB" w14:textId="77777777" w:rsidR="002812BC" w:rsidRPr="00C22F7C" w:rsidRDefault="002812BC" w:rsidP="00B83D66">
                  <w:pPr>
                    <w:widowControl w:val="0"/>
                    <w:autoSpaceDE w:val="0"/>
                    <w:autoSpaceDN w:val="0"/>
                    <w:adjustRightInd w:val="0"/>
                    <w:jc w:val="right"/>
                    <w:rPr>
                      <w:rFonts w:ascii="Calibri" w:hAnsi="Calibri" w:cs="Calibri"/>
                      <w:b/>
                      <w:bCs/>
                      <w:sz w:val="22"/>
                      <w:szCs w:val="22"/>
                    </w:rPr>
                  </w:pPr>
                </w:p>
              </w:tc>
              <w:tc>
                <w:tcPr>
                  <w:tcW w:w="1036" w:type="dxa"/>
                  <w:tcBorders>
                    <w:top w:val="nil"/>
                    <w:bottom w:val="single" w:sz="4" w:space="0" w:color="auto"/>
                    <w:right w:val="single" w:sz="4" w:space="0" w:color="auto"/>
                  </w:tcBorders>
                  <w:shd w:val="clear" w:color="auto" w:fill="FFFF00"/>
                </w:tcPr>
                <w:p w14:paraId="229E81E9" w14:textId="77777777"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p>
              </w:tc>
              <w:tc>
                <w:tcPr>
                  <w:tcW w:w="1036" w:type="dxa"/>
                  <w:tcBorders>
                    <w:top w:val="nil"/>
                    <w:left w:val="single" w:sz="4" w:space="0" w:color="auto"/>
                    <w:bottom w:val="single" w:sz="4" w:space="0" w:color="auto"/>
                    <w:right w:val="single" w:sz="4" w:space="0" w:color="auto"/>
                  </w:tcBorders>
                  <w:shd w:val="clear" w:color="auto" w:fill="FFFF00"/>
                </w:tcPr>
                <w:p w14:paraId="35EA89F5" w14:textId="04C1A71A" w:rsidR="002812BC" w:rsidRPr="00C22F7C" w:rsidRDefault="002812BC" w:rsidP="00B83D66">
                  <w:pPr>
                    <w:widowControl w:val="0"/>
                    <w:autoSpaceDE w:val="0"/>
                    <w:autoSpaceDN w:val="0"/>
                    <w:adjustRightInd w:val="0"/>
                    <w:ind w:left="-226"/>
                    <w:jc w:val="right"/>
                    <w:rPr>
                      <w:rFonts w:ascii="Calibri" w:hAnsi="Calibri" w:cs="Calibri"/>
                      <w:color w:val="000000"/>
                      <w:sz w:val="22"/>
                      <w:szCs w:val="22"/>
                    </w:rPr>
                  </w:pPr>
                  <w:r w:rsidRPr="00C22F7C">
                    <w:rPr>
                      <w:rFonts w:ascii="Calibri" w:hAnsi="Calibri" w:cs="Calibri"/>
                      <w:b/>
                      <w:bCs/>
                      <w:sz w:val="22"/>
                      <w:szCs w:val="22"/>
                    </w:rPr>
                    <w:t>1,09</w:t>
                  </w:r>
                  <w:r w:rsidR="00EA4DC2">
                    <w:rPr>
                      <w:rFonts w:ascii="Calibri" w:hAnsi="Calibri" w:cs="Calibri"/>
                      <w:b/>
                      <w:bCs/>
                      <w:sz w:val="22"/>
                      <w:szCs w:val="22"/>
                    </w:rPr>
                    <w:t>8</w:t>
                  </w:r>
                  <w:r w:rsidRPr="00C22F7C">
                    <w:rPr>
                      <w:rFonts w:ascii="Calibri" w:hAnsi="Calibri" w:cs="Calibri"/>
                      <w:b/>
                      <w:bCs/>
                      <w:sz w:val="22"/>
                      <w:szCs w:val="22"/>
                    </w:rPr>
                    <w:t>.</w:t>
                  </w:r>
                  <w:r w:rsidR="00EA4DC2">
                    <w:rPr>
                      <w:rFonts w:ascii="Calibri" w:hAnsi="Calibri" w:cs="Calibri"/>
                      <w:b/>
                      <w:bCs/>
                      <w:sz w:val="22"/>
                      <w:szCs w:val="22"/>
                    </w:rPr>
                    <w:t>6</w:t>
                  </w:r>
                </w:p>
              </w:tc>
              <w:tc>
                <w:tcPr>
                  <w:tcW w:w="1036" w:type="dxa"/>
                  <w:tcBorders>
                    <w:top w:val="nil"/>
                    <w:left w:val="single" w:sz="4" w:space="0" w:color="auto"/>
                    <w:bottom w:val="single" w:sz="4" w:space="0" w:color="auto"/>
                    <w:right w:val="single" w:sz="4" w:space="0" w:color="auto"/>
                  </w:tcBorders>
                </w:tcPr>
                <w:p w14:paraId="01BB4C55" w14:textId="77777777" w:rsidR="002812BC" w:rsidRPr="00C22F7C" w:rsidRDefault="002812BC" w:rsidP="00B83D66">
                  <w:pPr>
                    <w:widowControl w:val="0"/>
                    <w:autoSpaceDE w:val="0"/>
                    <w:autoSpaceDN w:val="0"/>
                    <w:adjustRightInd w:val="0"/>
                    <w:ind w:left="-226"/>
                    <w:jc w:val="right"/>
                    <w:rPr>
                      <w:rFonts w:ascii="Calibri" w:hAnsi="Calibri" w:cs="Calibri"/>
                      <w:sz w:val="22"/>
                      <w:szCs w:val="22"/>
                    </w:rPr>
                  </w:pPr>
                  <w:r w:rsidRPr="00C22F7C">
                    <w:rPr>
                      <w:rFonts w:ascii="Calibri" w:hAnsi="Calibri" w:cs="Calibri"/>
                      <w:color w:val="000000"/>
                      <w:sz w:val="22"/>
                      <w:szCs w:val="22"/>
                    </w:rPr>
                    <w:t>1,122.7</w:t>
                  </w:r>
                </w:p>
              </w:tc>
            </w:tr>
          </w:tbl>
          <w:p w14:paraId="0F84E35C" w14:textId="77777777" w:rsidR="002812BC" w:rsidRPr="00C22F7C" w:rsidRDefault="002812BC" w:rsidP="00B83D66">
            <w:pPr>
              <w:tabs>
                <w:tab w:val="left" w:pos="6096"/>
                <w:tab w:val="left" w:pos="7655"/>
              </w:tabs>
              <w:autoSpaceDE w:val="0"/>
              <w:autoSpaceDN w:val="0"/>
              <w:adjustRightInd w:val="0"/>
              <w:ind w:left="32"/>
              <w:rPr>
                <w:rFonts w:ascii="Calibri" w:hAnsi="Calibri" w:cs="Calibri"/>
                <w:b/>
                <w:bCs/>
                <w:i/>
                <w:color w:val="000000"/>
                <w:sz w:val="20"/>
                <w:szCs w:val="20"/>
              </w:rPr>
            </w:pPr>
          </w:p>
        </w:tc>
      </w:tr>
    </w:tbl>
    <w:p w14:paraId="0A769081" w14:textId="77777777" w:rsidR="002812BC" w:rsidRPr="00C22F7C" w:rsidRDefault="002812BC" w:rsidP="002812BC">
      <w:pPr>
        <w:autoSpaceDE w:val="0"/>
        <w:autoSpaceDN w:val="0"/>
        <w:adjustRightInd w:val="0"/>
        <w:ind w:left="34"/>
        <w:rPr>
          <w:rFonts w:ascii="Calibri" w:hAnsi="Calibri" w:cs="Calibri"/>
          <w:bCs/>
          <w:color w:val="000000"/>
          <w:sz w:val="16"/>
          <w:szCs w:val="16"/>
        </w:rPr>
      </w:pPr>
    </w:p>
    <w:p w14:paraId="01926814" w14:textId="77777777" w:rsidR="002812BC" w:rsidRPr="00C22F7C" w:rsidRDefault="002812BC" w:rsidP="002812BC">
      <w:pPr>
        <w:autoSpaceDE w:val="0"/>
        <w:autoSpaceDN w:val="0"/>
        <w:adjustRightInd w:val="0"/>
        <w:ind w:left="34"/>
        <w:rPr>
          <w:rFonts w:ascii="Calibri" w:hAnsi="Calibri" w:cs="Calibri"/>
          <w:b/>
          <w:bCs/>
          <w:color w:val="000000"/>
        </w:rPr>
      </w:pPr>
    </w:p>
    <w:p w14:paraId="68AF781E" w14:textId="77777777" w:rsidR="002812BC" w:rsidRPr="00226493" w:rsidRDefault="002812BC" w:rsidP="002812BC">
      <w:pPr>
        <w:autoSpaceDE w:val="0"/>
        <w:autoSpaceDN w:val="0"/>
        <w:adjustRightInd w:val="0"/>
        <w:ind w:left="34"/>
        <w:rPr>
          <w:rFonts w:ascii="Calibri" w:hAnsi="Calibri" w:cs="Calibri"/>
          <w:bCs/>
          <w:i/>
          <w:color w:val="000000"/>
          <w:sz w:val="16"/>
          <w:szCs w:val="16"/>
        </w:rPr>
      </w:pPr>
      <w:r w:rsidRPr="00226493">
        <w:rPr>
          <w:rFonts w:ascii="Calibri" w:hAnsi="Calibri" w:cs="Calibri"/>
          <w:b/>
          <w:bCs/>
          <w:i/>
          <w:color w:val="000000"/>
          <w:sz w:val="20"/>
          <w:szCs w:val="16"/>
        </w:rPr>
        <w:t>*’+’ is favourable and ‘-‘ is adverse year-on-year</w:t>
      </w:r>
      <w:r w:rsidRPr="00226493">
        <w:rPr>
          <w:rFonts w:ascii="Calibri" w:hAnsi="Calibri" w:cs="Calibri"/>
          <w:bCs/>
          <w:i/>
          <w:color w:val="000000"/>
          <w:sz w:val="16"/>
          <w:szCs w:val="16"/>
        </w:rPr>
        <w:t>.</w:t>
      </w:r>
    </w:p>
    <w:p w14:paraId="7AD66A40" w14:textId="77777777" w:rsidR="002812BC" w:rsidRPr="00E740F5" w:rsidRDefault="002812BC" w:rsidP="00E740F5">
      <w:pPr>
        <w:rPr>
          <w:rFonts w:asciiTheme="minorHAnsi" w:hAnsiTheme="minorHAnsi" w:cstheme="minorHAnsi"/>
        </w:rPr>
      </w:pPr>
    </w:p>
    <w:p w14:paraId="645C69B2" w14:textId="77777777" w:rsidR="00D72D0A" w:rsidRDefault="00D72D0A" w:rsidP="00D72D0A">
      <w:pPr>
        <w:rPr>
          <w:rFonts w:asciiTheme="minorHAnsi" w:hAnsiTheme="minorHAnsi" w:cstheme="minorHAnsi"/>
          <w:b/>
          <w:bCs/>
          <w:color w:val="000000"/>
        </w:rPr>
      </w:pPr>
    </w:p>
    <w:p w14:paraId="484FB698" w14:textId="77777777" w:rsidR="00D72D0A" w:rsidRDefault="00D72D0A" w:rsidP="00D72D0A">
      <w:pPr>
        <w:rPr>
          <w:rFonts w:asciiTheme="minorHAnsi" w:hAnsiTheme="minorHAnsi" w:cstheme="minorHAnsi"/>
          <w:b/>
          <w:bCs/>
          <w:color w:val="000000"/>
        </w:rPr>
      </w:pPr>
      <w:r w:rsidRPr="00991F11">
        <w:rPr>
          <w:rFonts w:asciiTheme="minorHAnsi" w:hAnsiTheme="minorHAnsi" w:cstheme="minorHAnsi"/>
          <w:b/>
          <w:bCs/>
          <w:color w:val="000000"/>
        </w:rPr>
        <w:t>Ryanair Holdings plc and Subsidiaries</w:t>
      </w:r>
    </w:p>
    <w:p w14:paraId="4D29BB21" w14:textId="5DCEFAA5" w:rsidR="00D72D0A" w:rsidRPr="007F299C" w:rsidRDefault="00D72D0A" w:rsidP="00D72D0A">
      <w:pPr>
        <w:widowControl w:val="0"/>
        <w:rPr>
          <w:rFonts w:ascii="Calibri" w:hAnsi="Calibri" w:cs="Calibri"/>
          <w:b/>
          <w:bCs/>
          <w:i/>
          <w:iCs/>
          <w:color w:val="000000"/>
        </w:rPr>
      </w:pPr>
      <w:r w:rsidRPr="00DB22BA">
        <w:rPr>
          <w:rFonts w:ascii="Calibri" w:hAnsi="Calibri" w:cs="Calibri"/>
          <w:b/>
          <w:bCs/>
          <w:i/>
          <w:iCs/>
          <w:color w:val="000000"/>
        </w:rPr>
        <w:t xml:space="preserve">Condensed Consolidated </w:t>
      </w:r>
      <w:r w:rsidR="004B6548">
        <w:rPr>
          <w:rFonts w:ascii="Calibri" w:hAnsi="Calibri" w:cs="Calibri"/>
          <w:b/>
          <w:bCs/>
          <w:i/>
          <w:iCs/>
          <w:color w:val="000000"/>
        </w:rPr>
        <w:t>Interim</w:t>
      </w:r>
      <w:r w:rsidRPr="00DB22BA">
        <w:rPr>
          <w:rFonts w:ascii="Calibri" w:hAnsi="Calibri" w:cs="Calibri"/>
          <w:b/>
          <w:bCs/>
          <w:i/>
          <w:iCs/>
          <w:color w:val="000000"/>
        </w:rPr>
        <w:t xml:space="preserve"> Statement of Comprehensive Income for the </w:t>
      </w:r>
      <w:r w:rsidR="00AC0EBC">
        <w:rPr>
          <w:rFonts w:ascii="Calibri" w:hAnsi="Calibri" w:cs="Calibri"/>
          <w:b/>
          <w:bCs/>
          <w:i/>
          <w:iCs/>
          <w:color w:val="000000"/>
        </w:rPr>
        <w:t>Half-Year</w:t>
      </w:r>
      <w:r>
        <w:rPr>
          <w:rFonts w:ascii="Calibri" w:hAnsi="Calibri" w:cs="Calibri"/>
          <w:b/>
          <w:bCs/>
          <w:i/>
          <w:iCs/>
          <w:color w:val="000000"/>
        </w:rPr>
        <w:t xml:space="preserve"> e</w:t>
      </w:r>
      <w:r w:rsidRPr="00DB22BA">
        <w:rPr>
          <w:rFonts w:ascii="Calibri" w:hAnsi="Calibri" w:cs="Calibri"/>
          <w:b/>
          <w:bCs/>
          <w:i/>
          <w:iCs/>
          <w:color w:val="000000"/>
        </w:rPr>
        <w:t xml:space="preserve">nded </w:t>
      </w:r>
      <w:r w:rsidR="00FC32D7">
        <w:rPr>
          <w:rFonts w:ascii="Calibri" w:hAnsi="Calibri" w:cs="Calibri"/>
          <w:b/>
          <w:bCs/>
          <w:i/>
          <w:iCs/>
          <w:color w:val="000000"/>
        </w:rPr>
        <w:t>September</w:t>
      </w:r>
      <w:r>
        <w:rPr>
          <w:rFonts w:ascii="Calibri" w:hAnsi="Calibri" w:cs="Calibri"/>
          <w:b/>
          <w:bCs/>
          <w:i/>
          <w:iCs/>
          <w:color w:val="000000"/>
        </w:rPr>
        <w:t xml:space="preserve"> 3</w:t>
      </w:r>
      <w:r w:rsidR="004E6054">
        <w:rPr>
          <w:rFonts w:ascii="Calibri" w:hAnsi="Calibri" w:cs="Calibri"/>
          <w:b/>
          <w:bCs/>
          <w:i/>
          <w:iCs/>
          <w:color w:val="000000"/>
        </w:rPr>
        <w:t>0</w:t>
      </w:r>
      <w:r w:rsidRPr="00DB22BA">
        <w:rPr>
          <w:rFonts w:ascii="Calibri" w:hAnsi="Calibri" w:cs="Calibri"/>
          <w:b/>
          <w:bCs/>
          <w:i/>
          <w:iCs/>
          <w:color w:val="000000"/>
        </w:rPr>
        <w:t>, 20</w:t>
      </w:r>
      <w:r w:rsidR="0041533E">
        <w:rPr>
          <w:rFonts w:ascii="Calibri" w:hAnsi="Calibri" w:cs="Calibri"/>
          <w:b/>
          <w:bCs/>
          <w:i/>
          <w:iCs/>
          <w:color w:val="000000"/>
        </w:rPr>
        <w:t>20</w:t>
      </w:r>
      <w:r w:rsidRPr="00DB22BA">
        <w:rPr>
          <w:rFonts w:ascii="Calibri" w:hAnsi="Calibri" w:cs="Calibri"/>
          <w:b/>
          <w:bCs/>
          <w:i/>
          <w:iCs/>
          <w:color w:val="000000"/>
        </w:rPr>
        <w:t xml:space="preserve"> (unaudited</w:t>
      </w:r>
      <w:r w:rsidRPr="00DB22BA">
        <w:rPr>
          <w:rFonts w:ascii="Calibri" w:hAnsi="Calibri" w:cs="Calibri"/>
          <w:b/>
          <w:bCs/>
          <w:i/>
          <w:iCs/>
          <w:color w:val="000000"/>
          <w:sz w:val="22"/>
          <w:szCs w:val="22"/>
        </w:rPr>
        <w:t>)</w:t>
      </w:r>
    </w:p>
    <w:tbl>
      <w:tblPr>
        <w:tblW w:w="10490" w:type="dxa"/>
        <w:tblLook w:val="0000" w:firstRow="0" w:lastRow="0" w:firstColumn="0" w:lastColumn="0" w:noHBand="0" w:noVBand="0"/>
      </w:tblPr>
      <w:tblGrid>
        <w:gridCol w:w="3376"/>
        <w:gridCol w:w="4706"/>
        <w:gridCol w:w="1273"/>
        <w:gridCol w:w="1135"/>
      </w:tblGrid>
      <w:tr w:rsidR="00D72D0A" w:rsidRPr="00677316" w14:paraId="756B3280" w14:textId="77777777" w:rsidTr="007A2AC9">
        <w:trPr>
          <w:trHeight w:val="259"/>
        </w:trPr>
        <w:tc>
          <w:tcPr>
            <w:tcW w:w="3852" w:type="pct"/>
            <w:gridSpan w:val="2"/>
            <w:shd w:val="solid" w:color="FFFFFF" w:fill="auto"/>
          </w:tcPr>
          <w:p w14:paraId="7EDD2595" w14:textId="77777777" w:rsidR="00D72D0A" w:rsidRPr="00677316" w:rsidRDefault="00D72D0A" w:rsidP="00B06D81">
            <w:pPr>
              <w:autoSpaceDE w:val="0"/>
              <w:autoSpaceDN w:val="0"/>
              <w:adjustRightInd w:val="0"/>
              <w:rPr>
                <w:rFonts w:asciiTheme="minorHAnsi" w:hAnsiTheme="minorHAnsi" w:cstheme="minorHAnsi"/>
                <w:b/>
                <w:bCs/>
                <w:i/>
                <w:iCs/>
                <w:color w:val="000000"/>
                <w:sz w:val="22"/>
                <w:szCs w:val="22"/>
              </w:rPr>
            </w:pPr>
          </w:p>
        </w:tc>
        <w:tc>
          <w:tcPr>
            <w:tcW w:w="607" w:type="pct"/>
            <w:shd w:val="clear" w:color="auto" w:fill="FFFF00"/>
          </w:tcPr>
          <w:p w14:paraId="04F7AEB5"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p>
        </w:tc>
        <w:tc>
          <w:tcPr>
            <w:tcW w:w="541" w:type="pct"/>
            <w:shd w:val="solid" w:color="FFFFFF" w:fill="auto"/>
          </w:tcPr>
          <w:p w14:paraId="2CF606AF"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3DB55BB3" w14:textId="77777777" w:rsidTr="007A2AC9">
        <w:trPr>
          <w:trHeight w:val="211"/>
        </w:trPr>
        <w:tc>
          <w:tcPr>
            <w:tcW w:w="3852" w:type="pct"/>
            <w:gridSpan w:val="2"/>
          </w:tcPr>
          <w:p w14:paraId="2C7D4AEB" w14:textId="77777777" w:rsidR="00D72D0A" w:rsidRPr="00677316" w:rsidRDefault="00D72D0A" w:rsidP="00B06D81">
            <w:pPr>
              <w:autoSpaceDE w:val="0"/>
              <w:autoSpaceDN w:val="0"/>
              <w:adjustRightInd w:val="0"/>
              <w:rPr>
                <w:rFonts w:asciiTheme="minorHAnsi" w:hAnsiTheme="minorHAnsi" w:cstheme="minorHAnsi"/>
                <w:b/>
                <w:color w:val="000000"/>
                <w:sz w:val="22"/>
                <w:szCs w:val="22"/>
              </w:rPr>
            </w:pPr>
          </w:p>
        </w:tc>
        <w:tc>
          <w:tcPr>
            <w:tcW w:w="607" w:type="pct"/>
            <w:shd w:val="clear" w:color="auto" w:fill="FFFF00"/>
          </w:tcPr>
          <w:p w14:paraId="511284C1" w14:textId="28F40946" w:rsidR="00D72D0A" w:rsidRDefault="00E0336D"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Half-</w:t>
            </w:r>
            <w:r w:rsidR="00527A9A">
              <w:rPr>
                <w:rFonts w:asciiTheme="minorHAnsi" w:hAnsiTheme="minorHAnsi" w:cstheme="minorHAnsi"/>
                <w:b/>
                <w:bCs/>
                <w:color w:val="000000"/>
                <w:sz w:val="22"/>
                <w:szCs w:val="22"/>
              </w:rPr>
              <w:t>Year</w:t>
            </w:r>
          </w:p>
          <w:p w14:paraId="3A8BB6C6" w14:textId="77777777" w:rsidR="00527A9A" w:rsidRDefault="00527A9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Ended</w:t>
            </w:r>
          </w:p>
          <w:p w14:paraId="5DAFDAEF" w14:textId="1C792B39" w:rsidR="00527A9A" w:rsidRPr="00677316" w:rsidRDefault="00FC32D7"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Sep</w:t>
            </w:r>
            <w:r w:rsidR="00527A9A">
              <w:rPr>
                <w:rFonts w:asciiTheme="minorHAnsi" w:hAnsiTheme="minorHAnsi" w:cstheme="minorHAnsi"/>
                <w:b/>
                <w:bCs/>
                <w:color w:val="000000"/>
                <w:sz w:val="22"/>
                <w:szCs w:val="22"/>
              </w:rPr>
              <w:t xml:space="preserve"> 3</w:t>
            </w:r>
            <w:r w:rsidR="004E6054">
              <w:rPr>
                <w:rFonts w:asciiTheme="minorHAnsi" w:hAnsiTheme="minorHAnsi" w:cstheme="minorHAnsi"/>
                <w:b/>
                <w:bCs/>
                <w:color w:val="000000"/>
                <w:sz w:val="22"/>
                <w:szCs w:val="22"/>
              </w:rPr>
              <w:t>0</w:t>
            </w:r>
            <w:r w:rsidR="00527A9A">
              <w:rPr>
                <w:rFonts w:asciiTheme="minorHAnsi" w:hAnsiTheme="minorHAnsi" w:cstheme="minorHAnsi"/>
                <w:b/>
                <w:bCs/>
                <w:color w:val="000000"/>
                <w:sz w:val="22"/>
                <w:szCs w:val="22"/>
              </w:rPr>
              <w:t>,</w:t>
            </w:r>
          </w:p>
        </w:tc>
        <w:tc>
          <w:tcPr>
            <w:tcW w:w="541" w:type="pct"/>
            <w:shd w:val="solid" w:color="FFFFFF" w:fill="auto"/>
          </w:tcPr>
          <w:p w14:paraId="220064D4" w14:textId="58BAC6E0" w:rsidR="00D72D0A" w:rsidRDefault="00E0336D" w:rsidP="00B06D81">
            <w:pPr>
              <w:autoSpaceDE w:val="0"/>
              <w:autoSpaceDN w:val="0"/>
              <w:adjustRightInd w:val="0"/>
              <w:ind w:left="-109"/>
              <w:jc w:val="right"/>
              <w:rPr>
                <w:rFonts w:asciiTheme="minorHAnsi" w:hAnsiTheme="minorHAnsi" w:cstheme="minorHAnsi"/>
                <w:color w:val="000000"/>
                <w:sz w:val="22"/>
                <w:szCs w:val="22"/>
              </w:rPr>
            </w:pPr>
            <w:r>
              <w:rPr>
                <w:rFonts w:asciiTheme="minorHAnsi" w:hAnsiTheme="minorHAnsi" w:cstheme="minorHAnsi"/>
                <w:color w:val="000000"/>
                <w:sz w:val="22"/>
                <w:szCs w:val="22"/>
              </w:rPr>
              <w:t>Half-</w:t>
            </w:r>
            <w:r w:rsidR="00527A9A">
              <w:rPr>
                <w:rFonts w:asciiTheme="minorHAnsi" w:hAnsiTheme="minorHAnsi" w:cstheme="minorHAnsi"/>
                <w:color w:val="000000"/>
                <w:sz w:val="22"/>
                <w:szCs w:val="22"/>
              </w:rPr>
              <w:t>Year</w:t>
            </w:r>
          </w:p>
          <w:p w14:paraId="08B9250C" w14:textId="77777777" w:rsidR="00527A9A" w:rsidRDefault="00527A9A" w:rsidP="00B06D81">
            <w:pPr>
              <w:autoSpaceDE w:val="0"/>
              <w:autoSpaceDN w:val="0"/>
              <w:adjustRightInd w:val="0"/>
              <w:ind w:left="-109"/>
              <w:jc w:val="right"/>
              <w:rPr>
                <w:rFonts w:asciiTheme="minorHAnsi" w:hAnsiTheme="minorHAnsi" w:cstheme="minorHAnsi"/>
                <w:color w:val="000000"/>
                <w:sz w:val="22"/>
                <w:szCs w:val="22"/>
              </w:rPr>
            </w:pPr>
            <w:r>
              <w:rPr>
                <w:rFonts w:asciiTheme="minorHAnsi" w:hAnsiTheme="minorHAnsi" w:cstheme="minorHAnsi"/>
                <w:color w:val="000000"/>
                <w:sz w:val="22"/>
                <w:szCs w:val="22"/>
              </w:rPr>
              <w:t>Ended</w:t>
            </w:r>
          </w:p>
          <w:p w14:paraId="3E6EDA31" w14:textId="611FA62F" w:rsidR="00527A9A" w:rsidRPr="005178C7" w:rsidRDefault="00FC32D7" w:rsidP="00B06D81">
            <w:pPr>
              <w:autoSpaceDE w:val="0"/>
              <w:autoSpaceDN w:val="0"/>
              <w:adjustRightInd w:val="0"/>
              <w:ind w:left="-109"/>
              <w:jc w:val="right"/>
              <w:rPr>
                <w:rFonts w:asciiTheme="minorHAnsi" w:hAnsiTheme="minorHAnsi" w:cstheme="minorHAnsi"/>
                <w:color w:val="000000"/>
                <w:sz w:val="22"/>
                <w:szCs w:val="22"/>
              </w:rPr>
            </w:pPr>
            <w:r>
              <w:rPr>
                <w:rFonts w:asciiTheme="minorHAnsi" w:hAnsiTheme="minorHAnsi" w:cstheme="minorHAnsi"/>
                <w:color w:val="000000"/>
                <w:sz w:val="22"/>
                <w:szCs w:val="22"/>
              </w:rPr>
              <w:t>Sep</w:t>
            </w:r>
            <w:r w:rsidR="00527A9A">
              <w:rPr>
                <w:rFonts w:asciiTheme="minorHAnsi" w:hAnsiTheme="minorHAnsi" w:cstheme="minorHAnsi"/>
                <w:color w:val="000000"/>
                <w:sz w:val="22"/>
                <w:szCs w:val="22"/>
              </w:rPr>
              <w:t xml:space="preserve"> 3</w:t>
            </w:r>
            <w:r w:rsidR="004E6054">
              <w:rPr>
                <w:rFonts w:asciiTheme="minorHAnsi" w:hAnsiTheme="minorHAnsi" w:cstheme="minorHAnsi"/>
                <w:color w:val="000000"/>
                <w:sz w:val="22"/>
                <w:szCs w:val="22"/>
              </w:rPr>
              <w:t>0</w:t>
            </w:r>
            <w:r w:rsidR="00527A9A">
              <w:rPr>
                <w:rFonts w:asciiTheme="minorHAnsi" w:hAnsiTheme="minorHAnsi" w:cstheme="minorHAnsi"/>
                <w:color w:val="000000"/>
                <w:sz w:val="22"/>
                <w:szCs w:val="22"/>
              </w:rPr>
              <w:t>,</w:t>
            </w:r>
          </w:p>
        </w:tc>
      </w:tr>
      <w:tr w:rsidR="00D72D0A" w:rsidRPr="00677316" w14:paraId="061CC063" w14:textId="77777777" w:rsidTr="007A2AC9">
        <w:trPr>
          <w:trHeight w:val="211"/>
        </w:trPr>
        <w:tc>
          <w:tcPr>
            <w:tcW w:w="3852" w:type="pct"/>
            <w:gridSpan w:val="2"/>
          </w:tcPr>
          <w:p w14:paraId="2BF771AB" w14:textId="77777777" w:rsidR="00D72D0A" w:rsidRPr="00677316" w:rsidRDefault="00D72D0A" w:rsidP="00B06D81">
            <w:pPr>
              <w:autoSpaceDE w:val="0"/>
              <w:autoSpaceDN w:val="0"/>
              <w:adjustRightInd w:val="0"/>
              <w:rPr>
                <w:rFonts w:asciiTheme="minorHAnsi" w:hAnsiTheme="minorHAnsi" w:cstheme="minorHAnsi"/>
                <w:b/>
                <w:color w:val="000000"/>
                <w:sz w:val="22"/>
                <w:szCs w:val="22"/>
              </w:rPr>
            </w:pPr>
          </w:p>
        </w:tc>
        <w:tc>
          <w:tcPr>
            <w:tcW w:w="607" w:type="pct"/>
            <w:shd w:val="clear" w:color="auto" w:fill="FFFF00"/>
          </w:tcPr>
          <w:p w14:paraId="4ED06731" w14:textId="09BEAD98"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20</w:t>
            </w:r>
            <w:r w:rsidR="00527A9A">
              <w:rPr>
                <w:rFonts w:asciiTheme="minorHAnsi" w:hAnsiTheme="minorHAnsi" w:cstheme="minorHAnsi"/>
                <w:b/>
                <w:bCs/>
                <w:color w:val="000000"/>
                <w:sz w:val="22"/>
                <w:szCs w:val="22"/>
              </w:rPr>
              <w:t>20</w:t>
            </w:r>
          </w:p>
        </w:tc>
        <w:tc>
          <w:tcPr>
            <w:tcW w:w="541" w:type="pct"/>
            <w:shd w:val="solid" w:color="FFFFFF" w:fill="auto"/>
          </w:tcPr>
          <w:p w14:paraId="2C1393E0" w14:textId="46D663E7" w:rsidR="00D72D0A" w:rsidRPr="00677316" w:rsidRDefault="00D72D0A"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20</w:t>
            </w:r>
            <w:r w:rsidR="004E6054">
              <w:rPr>
                <w:rFonts w:asciiTheme="minorHAnsi" w:hAnsiTheme="minorHAnsi" w:cstheme="minorHAnsi"/>
                <w:color w:val="000000"/>
                <w:sz w:val="22"/>
                <w:szCs w:val="22"/>
              </w:rPr>
              <w:t>19</w:t>
            </w:r>
          </w:p>
        </w:tc>
      </w:tr>
      <w:tr w:rsidR="00D72D0A" w:rsidRPr="00677316" w14:paraId="1747D4C8" w14:textId="77777777" w:rsidTr="007A2AC9">
        <w:trPr>
          <w:trHeight w:val="211"/>
        </w:trPr>
        <w:tc>
          <w:tcPr>
            <w:tcW w:w="3852" w:type="pct"/>
            <w:gridSpan w:val="2"/>
          </w:tcPr>
          <w:p w14:paraId="180D386F" w14:textId="77777777" w:rsidR="00D72D0A" w:rsidRPr="00677316" w:rsidRDefault="00D72D0A" w:rsidP="00B06D81">
            <w:pPr>
              <w:autoSpaceDE w:val="0"/>
              <w:autoSpaceDN w:val="0"/>
              <w:adjustRightInd w:val="0"/>
              <w:rPr>
                <w:rFonts w:asciiTheme="minorHAnsi" w:hAnsiTheme="minorHAnsi" w:cstheme="minorHAnsi"/>
                <w:b/>
                <w:color w:val="000000"/>
                <w:sz w:val="22"/>
                <w:szCs w:val="22"/>
              </w:rPr>
            </w:pPr>
          </w:p>
        </w:tc>
        <w:tc>
          <w:tcPr>
            <w:tcW w:w="607" w:type="pct"/>
            <w:shd w:val="clear" w:color="auto" w:fill="FFFF00"/>
          </w:tcPr>
          <w:p w14:paraId="4E3AC314"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u w:val="single"/>
              </w:rPr>
            </w:pPr>
            <w:r w:rsidRPr="00677316">
              <w:rPr>
                <w:rFonts w:asciiTheme="minorHAnsi" w:hAnsiTheme="minorHAnsi" w:cstheme="minorHAnsi"/>
                <w:b/>
                <w:bCs/>
                <w:color w:val="000000"/>
                <w:sz w:val="22"/>
                <w:szCs w:val="22"/>
                <w:u w:val="single"/>
              </w:rPr>
              <w:t>€</w:t>
            </w:r>
            <w:r>
              <w:rPr>
                <w:rFonts w:asciiTheme="minorHAnsi" w:hAnsiTheme="minorHAnsi" w:cstheme="minorHAnsi"/>
                <w:b/>
                <w:bCs/>
                <w:color w:val="000000"/>
                <w:sz w:val="22"/>
                <w:szCs w:val="22"/>
                <w:u w:val="single"/>
              </w:rPr>
              <w:t>M</w:t>
            </w:r>
          </w:p>
        </w:tc>
        <w:tc>
          <w:tcPr>
            <w:tcW w:w="541" w:type="pct"/>
            <w:shd w:val="solid" w:color="FFFFFF" w:fill="auto"/>
          </w:tcPr>
          <w:p w14:paraId="3F5ABE6B"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u w:val="single"/>
              </w:rPr>
            </w:pPr>
            <w:r w:rsidRPr="00677316">
              <w:rPr>
                <w:rFonts w:asciiTheme="minorHAnsi" w:hAnsiTheme="minorHAnsi" w:cstheme="minorHAnsi"/>
                <w:color w:val="000000"/>
                <w:sz w:val="22"/>
                <w:szCs w:val="22"/>
                <w:u w:val="single"/>
              </w:rPr>
              <w:t>€</w:t>
            </w:r>
            <w:r>
              <w:rPr>
                <w:rFonts w:asciiTheme="minorHAnsi" w:hAnsiTheme="minorHAnsi" w:cstheme="minorHAnsi"/>
                <w:color w:val="000000"/>
                <w:sz w:val="22"/>
                <w:szCs w:val="22"/>
                <w:u w:val="single"/>
              </w:rPr>
              <w:t>M</w:t>
            </w:r>
          </w:p>
        </w:tc>
      </w:tr>
      <w:tr w:rsidR="00D72D0A" w:rsidRPr="00677316" w14:paraId="2F4ABD22" w14:textId="77777777" w:rsidTr="007A2AC9">
        <w:trPr>
          <w:trHeight w:val="211"/>
        </w:trPr>
        <w:tc>
          <w:tcPr>
            <w:tcW w:w="3852" w:type="pct"/>
            <w:gridSpan w:val="2"/>
          </w:tcPr>
          <w:p w14:paraId="39BAC231" w14:textId="77777777" w:rsidR="00D72D0A" w:rsidRPr="00677316" w:rsidRDefault="00D72D0A" w:rsidP="00B06D81">
            <w:pPr>
              <w:autoSpaceDE w:val="0"/>
              <w:autoSpaceDN w:val="0"/>
              <w:adjustRightInd w:val="0"/>
              <w:rPr>
                <w:rFonts w:asciiTheme="minorHAnsi" w:hAnsiTheme="minorHAnsi" w:cstheme="minorHAnsi"/>
                <w:b/>
                <w:color w:val="000000"/>
                <w:sz w:val="22"/>
                <w:szCs w:val="22"/>
              </w:rPr>
            </w:pPr>
          </w:p>
        </w:tc>
        <w:tc>
          <w:tcPr>
            <w:tcW w:w="607" w:type="pct"/>
            <w:shd w:val="clear" w:color="auto" w:fill="FFFF00"/>
          </w:tcPr>
          <w:p w14:paraId="4CB89ADB"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u w:val="single"/>
              </w:rPr>
            </w:pPr>
          </w:p>
        </w:tc>
        <w:tc>
          <w:tcPr>
            <w:tcW w:w="541" w:type="pct"/>
            <w:shd w:val="solid" w:color="FFFFFF" w:fill="auto"/>
          </w:tcPr>
          <w:p w14:paraId="6119A138"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u w:val="single"/>
              </w:rPr>
            </w:pPr>
          </w:p>
        </w:tc>
      </w:tr>
      <w:tr w:rsidR="00D72D0A" w:rsidRPr="00677316" w14:paraId="5F5CE8A9" w14:textId="77777777" w:rsidTr="007A2AC9">
        <w:trPr>
          <w:trHeight w:val="211"/>
        </w:trPr>
        <w:tc>
          <w:tcPr>
            <w:tcW w:w="3852" w:type="pct"/>
            <w:gridSpan w:val="2"/>
            <w:shd w:val="solid" w:color="FFFFFF" w:fill="auto"/>
          </w:tcPr>
          <w:p w14:paraId="61468862" w14:textId="418D2EBF" w:rsidR="00D72D0A" w:rsidRPr="00677316" w:rsidRDefault="008C4903" w:rsidP="00B06D81">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(Loss)/p</w:t>
            </w:r>
            <w:r w:rsidR="00D72D0A">
              <w:rPr>
                <w:rFonts w:asciiTheme="minorHAnsi" w:hAnsiTheme="minorHAnsi" w:cstheme="minorHAnsi"/>
                <w:b/>
                <w:color w:val="000000"/>
                <w:sz w:val="22"/>
                <w:szCs w:val="22"/>
              </w:rPr>
              <w:t xml:space="preserve">rofit for the </w:t>
            </w:r>
            <w:r w:rsidR="00AC0EBC">
              <w:rPr>
                <w:rFonts w:asciiTheme="minorHAnsi" w:hAnsiTheme="minorHAnsi" w:cstheme="minorHAnsi"/>
                <w:b/>
                <w:color w:val="000000"/>
                <w:sz w:val="22"/>
                <w:szCs w:val="22"/>
              </w:rPr>
              <w:t>half-</w:t>
            </w:r>
            <w:r w:rsidR="00527A9A">
              <w:rPr>
                <w:rFonts w:asciiTheme="minorHAnsi" w:hAnsiTheme="minorHAnsi" w:cstheme="minorHAnsi"/>
                <w:b/>
                <w:color w:val="000000"/>
                <w:sz w:val="22"/>
                <w:szCs w:val="22"/>
              </w:rPr>
              <w:t>year</w:t>
            </w:r>
          </w:p>
        </w:tc>
        <w:tc>
          <w:tcPr>
            <w:tcW w:w="607" w:type="pct"/>
            <w:tcBorders>
              <w:bottom w:val="single" w:sz="4" w:space="0" w:color="auto"/>
            </w:tcBorders>
            <w:shd w:val="clear" w:color="auto" w:fill="FFFF00"/>
          </w:tcPr>
          <w:p w14:paraId="69EAF8EE" w14:textId="6399B4AC" w:rsidR="00D72D0A" w:rsidRPr="00677316" w:rsidRDefault="00A03B73"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(410.5)</w:t>
            </w:r>
          </w:p>
        </w:tc>
        <w:tc>
          <w:tcPr>
            <w:tcW w:w="541" w:type="pct"/>
            <w:tcBorders>
              <w:bottom w:val="single" w:sz="4" w:space="0" w:color="auto"/>
            </w:tcBorders>
            <w:shd w:val="solid" w:color="FFFFFF" w:fill="auto"/>
          </w:tcPr>
          <w:p w14:paraId="765CC0C9" w14:textId="29C4E070" w:rsidR="00D72D0A" w:rsidRPr="00677316" w:rsidRDefault="00E0336D"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1,152.7</w:t>
            </w:r>
          </w:p>
        </w:tc>
      </w:tr>
      <w:tr w:rsidR="00D72D0A" w:rsidRPr="00677316" w14:paraId="7B0CCBED" w14:textId="77777777" w:rsidTr="007A2AC9">
        <w:trPr>
          <w:trHeight w:val="211"/>
        </w:trPr>
        <w:tc>
          <w:tcPr>
            <w:tcW w:w="3852" w:type="pct"/>
            <w:gridSpan w:val="2"/>
            <w:shd w:val="solid" w:color="FFFFFF" w:fill="auto"/>
          </w:tcPr>
          <w:p w14:paraId="0A568F2A"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p>
        </w:tc>
        <w:tc>
          <w:tcPr>
            <w:tcW w:w="607" w:type="pct"/>
            <w:tcBorders>
              <w:top w:val="single" w:sz="4" w:space="0" w:color="auto"/>
            </w:tcBorders>
            <w:shd w:val="clear" w:color="auto" w:fill="FFFF00"/>
          </w:tcPr>
          <w:p w14:paraId="35BEE3B9"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41" w:type="pct"/>
            <w:tcBorders>
              <w:top w:val="single" w:sz="4" w:space="0" w:color="auto"/>
            </w:tcBorders>
            <w:shd w:val="solid" w:color="FFFFFF" w:fill="auto"/>
          </w:tcPr>
          <w:p w14:paraId="77330326"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03441106" w14:textId="77777777" w:rsidTr="007A2AC9">
        <w:trPr>
          <w:trHeight w:val="211"/>
        </w:trPr>
        <w:tc>
          <w:tcPr>
            <w:tcW w:w="3852" w:type="pct"/>
            <w:gridSpan w:val="2"/>
            <w:shd w:val="solid" w:color="FFFFFF" w:fill="auto"/>
          </w:tcPr>
          <w:p w14:paraId="34F83E81" w14:textId="77777777" w:rsidR="00D72D0A" w:rsidRPr="00677316" w:rsidRDefault="00D72D0A" w:rsidP="00B06D81">
            <w:pPr>
              <w:autoSpaceDE w:val="0"/>
              <w:autoSpaceDN w:val="0"/>
              <w:adjustRightInd w:val="0"/>
              <w:spacing w:after="120"/>
              <w:rPr>
                <w:rFonts w:asciiTheme="minorHAnsi" w:hAnsiTheme="minorHAnsi" w:cstheme="minorHAnsi"/>
                <w:b/>
                <w:color w:val="000000"/>
                <w:sz w:val="22"/>
                <w:szCs w:val="22"/>
              </w:rPr>
            </w:pPr>
            <w:r w:rsidRPr="00677316">
              <w:rPr>
                <w:rFonts w:asciiTheme="minorHAnsi" w:hAnsiTheme="minorHAnsi" w:cstheme="minorHAnsi"/>
                <w:b/>
                <w:color w:val="000000"/>
                <w:sz w:val="22"/>
                <w:szCs w:val="22"/>
              </w:rPr>
              <w:t>Other comprehensive income:</w:t>
            </w:r>
          </w:p>
        </w:tc>
        <w:tc>
          <w:tcPr>
            <w:tcW w:w="607" w:type="pct"/>
            <w:shd w:val="clear" w:color="auto" w:fill="FFFF00"/>
          </w:tcPr>
          <w:p w14:paraId="3282BAFF" w14:textId="77777777" w:rsidR="00D72D0A" w:rsidRPr="00677316" w:rsidRDefault="00D72D0A" w:rsidP="00B06D81">
            <w:pPr>
              <w:autoSpaceDE w:val="0"/>
              <w:autoSpaceDN w:val="0"/>
              <w:adjustRightInd w:val="0"/>
              <w:spacing w:after="120"/>
              <w:jc w:val="right"/>
              <w:rPr>
                <w:rFonts w:asciiTheme="minorHAnsi" w:hAnsiTheme="minorHAnsi" w:cstheme="minorHAnsi"/>
                <w:b/>
                <w:bCs/>
                <w:color w:val="000000"/>
                <w:sz w:val="22"/>
                <w:szCs w:val="22"/>
              </w:rPr>
            </w:pPr>
          </w:p>
        </w:tc>
        <w:tc>
          <w:tcPr>
            <w:tcW w:w="541" w:type="pct"/>
          </w:tcPr>
          <w:p w14:paraId="5C4CA433" w14:textId="77777777" w:rsidR="00D72D0A" w:rsidRPr="00677316" w:rsidRDefault="00D72D0A" w:rsidP="00B06D81">
            <w:pPr>
              <w:autoSpaceDE w:val="0"/>
              <w:autoSpaceDN w:val="0"/>
              <w:adjustRightInd w:val="0"/>
              <w:spacing w:after="120"/>
              <w:jc w:val="right"/>
              <w:rPr>
                <w:rFonts w:asciiTheme="minorHAnsi" w:hAnsiTheme="minorHAnsi" w:cstheme="minorHAnsi"/>
                <w:color w:val="000000"/>
                <w:sz w:val="22"/>
                <w:szCs w:val="22"/>
              </w:rPr>
            </w:pPr>
          </w:p>
        </w:tc>
      </w:tr>
      <w:tr w:rsidR="00D72D0A" w:rsidRPr="00677316" w14:paraId="052E732D" w14:textId="77777777" w:rsidTr="007A2AC9">
        <w:trPr>
          <w:trHeight w:val="211"/>
        </w:trPr>
        <w:tc>
          <w:tcPr>
            <w:tcW w:w="3852" w:type="pct"/>
            <w:gridSpan w:val="2"/>
            <w:shd w:val="solid" w:color="FFFFFF" w:fill="auto"/>
          </w:tcPr>
          <w:p w14:paraId="654DB425" w14:textId="77777777" w:rsidR="00D72D0A" w:rsidRPr="00502966" w:rsidRDefault="00D72D0A" w:rsidP="00B06D81">
            <w:pPr>
              <w:autoSpaceDE w:val="0"/>
              <w:autoSpaceDN w:val="0"/>
              <w:adjustRightInd w:val="0"/>
              <w:spacing w:after="60"/>
              <w:rPr>
                <w:rFonts w:asciiTheme="minorHAnsi" w:hAnsiTheme="minorHAnsi" w:cstheme="minorHAnsi"/>
                <w:b/>
                <w:i/>
                <w:sz w:val="22"/>
                <w:szCs w:val="22"/>
                <w:lang w:val="en-US"/>
              </w:rPr>
            </w:pPr>
            <w:r w:rsidRPr="00502966">
              <w:rPr>
                <w:rFonts w:asciiTheme="minorHAnsi" w:hAnsiTheme="minorHAnsi" w:cstheme="minorHAnsi"/>
                <w:b/>
                <w:i/>
                <w:lang w:val="en-US"/>
              </w:rPr>
              <w:t>Items that are or may be reclassified to profit or loss:</w:t>
            </w:r>
          </w:p>
        </w:tc>
        <w:tc>
          <w:tcPr>
            <w:tcW w:w="607" w:type="pct"/>
            <w:shd w:val="clear" w:color="auto" w:fill="FFFF00"/>
          </w:tcPr>
          <w:p w14:paraId="7104ECA5"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41" w:type="pct"/>
          </w:tcPr>
          <w:p w14:paraId="64F77ACA"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52C28CFA" w14:textId="77777777" w:rsidTr="007A2AC9">
        <w:trPr>
          <w:trHeight w:val="211"/>
        </w:trPr>
        <w:tc>
          <w:tcPr>
            <w:tcW w:w="3852" w:type="pct"/>
            <w:gridSpan w:val="2"/>
            <w:shd w:val="solid" w:color="FFFFFF" w:fill="auto"/>
          </w:tcPr>
          <w:p w14:paraId="62052604" w14:textId="3DC25C27" w:rsidR="00D72D0A" w:rsidRPr="00677316" w:rsidRDefault="00A20A73" w:rsidP="00B06D81">
            <w:pPr>
              <w:autoSpaceDE w:val="0"/>
              <w:autoSpaceDN w:val="0"/>
              <w:adjustRightInd w:val="0"/>
              <w:rPr>
                <w:rFonts w:asciiTheme="minorHAnsi" w:hAnsiTheme="minorHAnsi" w:cstheme="minorHAnsi"/>
                <w:b/>
                <w:sz w:val="22"/>
                <w:szCs w:val="22"/>
                <w:lang w:val="en-US"/>
              </w:rPr>
            </w:pPr>
            <w:r w:rsidRPr="00A20A73">
              <w:rPr>
                <w:rFonts w:asciiTheme="minorHAnsi" w:hAnsiTheme="minorHAnsi" w:cstheme="minorHAnsi"/>
                <w:b/>
                <w:sz w:val="22"/>
                <w:szCs w:val="22"/>
                <w:lang w:val="en-US"/>
              </w:rPr>
              <w:lastRenderedPageBreak/>
              <w:t>Movements in hedging reserve, net of tax</w:t>
            </w:r>
            <w:r w:rsidR="00D72D0A" w:rsidRPr="00677316">
              <w:rPr>
                <w:rFonts w:asciiTheme="minorHAnsi" w:hAnsiTheme="minorHAnsi" w:cstheme="minorHAnsi"/>
                <w:b/>
                <w:sz w:val="22"/>
                <w:szCs w:val="22"/>
                <w:lang w:val="en-US"/>
              </w:rPr>
              <w:t>:</w:t>
            </w:r>
          </w:p>
        </w:tc>
        <w:tc>
          <w:tcPr>
            <w:tcW w:w="607" w:type="pct"/>
            <w:shd w:val="clear" w:color="auto" w:fill="FFFF00"/>
          </w:tcPr>
          <w:p w14:paraId="7A9048C8"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41" w:type="pct"/>
          </w:tcPr>
          <w:p w14:paraId="0C451EFD"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2A4A16C1" w14:textId="77777777" w:rsidTr="007A2AC9">
        <w:trPr>
          <w:trHeight w:val="223"/>
        </w:trPr>
        <w:tc>
          <w:tcPr>
            <w:tcW w:w="3852" w:type="pct"/>
            <w:gridSpan w:val="2"/>
            <w:shd w:val="solid" w:color="FFFFFF" w:fill="auto"/>
          </w:tcPr>
          <w:p w14:paraId="0CA72E16" w14:textId="56522078" w:rsidR="00D72D0A" w:rsidRPr="00677316" w:rsidRDefault="00A20A73" w:rsidP="00B06D81">
            <w:pPr>
              <w:autoSpaceDE w:val="0"/>
              <w:autoSpaceDN w:val="0"/>
              <w:adjustRightInd w:val="0"/>
              <w:rPr>
                <w:rFonts w:asciiTheme="minorHAnsi" w:hAnsiTheme="minorHAnsi" w:cstheme="minorHAnsi"/>
                <w:b/>
                <w:sz w:val="22"/>
                <w:szCs w:val="22"/>
                <w:lang w:val="en-US"/>
              </w:rPr>
            </w:pPr>
            <w:r>
              <w:rPr>
                <w:rFonts w:asciiTheme="minorHAnsi" w:hAnsiTheme="minorHAnsi" w:cstheme="minorHAnsi"/>
                <w:sz w:val="22"/>
                <w:szCs w:val="22"/>
                <w:lang w:val="en-US"/>
              </w:rPr>
              <w:t>Net movement</w:t>
            </w:r>
            <w:r w:rsidR="00FC49EA">
              <w:rPr>
                <w:rFonts w:asciiTheme="minorHAnsi" w:hAnsiTheme="minorHAnsi" w:cstheme="minorHAnsi"/>
                <w:sz w:val="22"/>
                <w:szCs w:val="22"/>
                <w:lang w:val="en-US"/>
              </w:rPr>
              <w:t>s</w:t>
            </w:r>
            <w:r>
              <w:rPr>
                <w:rFonts w:asciiTheme="minorHAnsi" w:hAnsiTheme="minorHAnsi" w:cstheme="minorHAnsi"/>
                <w:sz w:val="22"/>
                <w:szCs w:val="22"/>
                <w:lang w:val="en-US"/>
              </w:rPr>
              <w:t xml:space="preserve"> in cash-flow hedge reserve</w:t>
            </w:r>
          </w:p>
        </w:tc>
        <w:tc>
          <w:tcPr>
            <w:tcW w:w="607" w:type="pct"/>
            <w:shd w:val="clear" w:color="auto" w:fill="FFFF00"/>
          </w:tcPr>
          <w:p w14:paraId="049FBE9D" w14:textId="5A3E40B0" w:rsidR="00D72D0A" w:rsidRPr="00677316" w:rsidRDefault="00A03B73"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69.1</w:t>
            </w:r>
          </w:p>
        </w:tc>
        <w:tc>
          <w:tcPr>
            <w:tcW w:w="541" w:type="pct"/>
            <w:shd w:val="solid" w:color="FFFFFF" w:fill="auto"/>
          </w:tcPr>
          <w:p w14:paraId="7F603E7C" w14:textId="61DAEEC3" w:rsidR="00D72D0A" w:rsidRPr="00677316" w:rsidRDefault="00E0336D"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216.5</w:t>
            </w:r>
          </w:p>
        </w:tc>
      </w:tr>
      <w:tr w:rsidR="00D72D0A" w:rsidRPr="00677316" w14:paraId="20B30BE4" w14:textId="77777777" w:rsidTr="007A2AC9">
        <w:trPr>
          <w:trHeight w:val="211"/>
        </w:trPr>
        <w:tc>
          <w:tcPr>
            <w:tcW w:w="1609" w:type="pct"/>
            <w:shd w:val="solid" w:color="FFFFFF" w:fill="auto"/>
          </w:tcPr>
          <w:p w14:paraId="7757BFC1"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2243" w:type="pct"/>
            <w:shd w:val="solid" w:color="FFFFFF" w:fill="auto"/>
          </w:tcPr>
          <w:p w14:paraId="7C64408D"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c>
          <w:tcPr>
            <w:tcW w:w="607" w:type="pct"/>
            <w:tcBorders>
              <w:top w:val="single" w:sz="4" w:space="0" w:color="auto"/>
            </w:tcBorders>
            <w:shd w:val="clear" w:color="auto" w:fill="FFFF00"/>
          </w:tcPr>
          <w:p w14:paraId="2D0D61BA"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p>
        </w:tc>
        <w:tc>
          <w:tcPr>
            <w:tcW w:w="541" w:type="pct"/>
            <w:tcBorders>
              <w:top w:val="single" w:sz="4" w:space="0" w:color="auto"/>
            </w:tcBorders>
            <w:shd w:val="solid" w:color="FFFFFF" w:fill="auto"/>
          </w:tcPr>
          <w:p w14:paraId="756AE3D3"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263CFFD2" w14:textId="77777777" w:rsidTr="007A2AC9">
        <w:trPr>
          <w:trHeight w:val="211"/>
        </w:trPr>
        <w:tc>
          <w:tcPr>
            <w:tcW w:w="3852" w:type="pct"/>
            <w:gridSpan w:val="2"/>
            <w:shd w:val="solid" w:color="FFFFFF" w:fill="auto"/>
          </w:tcPr>
          <w:p w14:paraId="0FDBF595" w14:textId="66F599F3"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Other </w:t>
            </w:r>
            <w:r w:rsidRPr="00FA6972">
              <w:rPr>
                <w:rFonts w:asciiTheme="minorHAnsi" w:hAnsiTheme="minorHAnsi" w:cstheme="minorHAnsi"/>
                <w:b/>
                <w:bCs/>
                <w:color w:val="000000"/>
                <w:sz w:val="22"/>
                <w:szCs w:val="22"/>
              </w:rPr>
              <w:t>comprehensive income</w:t>
            </w:r>
            <w:r w:rsidR="00AD46D8">
              <w:rPr>
                <w:rFonts w:asciiTheme="minorHAnsi" w:hAnsiTheme="minorHAnsi" w:cstheme="minorHAnsi"/>
                <w:b/>
                <w:bCs/>
                <w:color w:val="000000"/>
                <w:sz w:val="22"/>
                <w:szCs w:val="22"/>
              </w:rPr>
              <w:t xml:space="preserve"> </w:t>
            </w:r>
            <w:r w:rsidRPr="00677316">
              <w:rPr>
                <w:rFonts w:asciiTheme="minorHAnsi" w:hAnsiTheme="minorHAnsi" w:cstheme="minorHAnsi"/>
                <w:b/>
                <w:bCs/>
                <w:color w:val="000000"/>
                <w:sz w:val="22"/>
                <w:szCs w:val="22"/>
              </w:rPr>
              <w:t xml:space="preserve">for the </w:t>
            </w:r>
            <w:r w:rsidR="00AC0EBC">
              <w:rPr>
                <w:rFonts w:asciiTheme="minorHAnsi" w:hAnsiTheme="minorHAnsi" w:cstheme="minorHAnsi"/>
                <w:b/>
                <w:bCs/>
                <w:color w:val="000000"/>
                <w:sz w:val="22"/>
                <w:szCs w:val="22"/>
              </w:rPr>
              <w:t>half-</w:t>
            </w:r>
            <w:r w:rsidR="00AD46D8">
              <w:rPr>
                <w:rFonts w:asciiTheme="minorHAnsi" w:hAnsiTheme="minorHAnsi" w:cstheme="minorHAnsi"/>
                <w:b/>
                <w:bCs/>
                <w:color w:val="000000"/>
                <w:sz w:val="22"/>
                <w:szCs w:val="22"/>
              </w:rPr>
              <w:t>year</w:t>
            </w:r>
            <w:r w:rsidRPr="00677316">
              <w:rPr>
                <w:rFonts w:asciiTheme="minorHAnsi" w:hAnsiTheme="minorHAnsi" w:cstheme="minorHAnsi"/>
                <w:b/>
                <w:bCs/>
                <w:color w:val="000000"/>
                <w:sz w:val="22"/>
                <w:szCs w:val="22"/>
              </w:rPr>
              <w:t>, net of income tax</w:t>
            </w:r>
          </w:p>
        </w:tc>
        <w:tc>
          <w:tcPr>
            <w:tcW w:w="607" w:type="pct"/>
            <w:tcBorders>
              <w:bottom w:val="single" w:sz="4" w:space="0" w:color="auto"/>
            </w:tcBorders>
            <w:shd w:val="clear" w:color="auto" w:fill="FFFF00"/>
          </w:tcPr>
          <w:p w14:paraId="0469211C" w14:textId="0B93000B" w:rsidR="00D72D0A" w:rsidRPr="00677316" w:rsidRDefault="00A03B73"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69.1</w:t>
            </w:r>
          </w:p>
        </w:tc>
        <w:tc>
          <w:tcPr>
            <w:tcW w:w="541" w:type="pct"/>
            <w:tcBorders>
              <w:bottom w:val="single" w:sz="4" w:space="0" w:color="auto"/>
            </w:tcBorders>
            <w:shd w:val="solid" w:color="FFFFFF" w:fill="auto"/>
          </w:tcPr>
          <w:p w14:paraId="5027E9B1" w14:textId="1DCB4787" w:rsidR="00D72D0A" w:rsidRPr="00677316" w:rsidRDefault="000608BE"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w:t>
            </w:r>
            <w:r w:rsidR="00E0336D">
              <w:rPr>
                <w:rFonts w:asciiTheme="minorHAnsi" w:hAnsiTheme="minorHAnsi" w:cstheme="minorHAnsi"/>
                <w:color w:val="000000"/>
                <w:sz w:val="22"/>
                <w:szCs w:val="22"/>
              </w:rPr>
              <w:t>16.5</w:t>
            </w:r>
          </w:p>
        </w:tc>
      </w:tr>
      <w:tr w:rsidR="00D72D0A" w:rsidRPr="00677316" w14:paraId="251B41E4" w14:textId="77777777" w:rsidTr="007A2AC9">
        <w:trPr>
          <w:trHeight w:val="211"/>
        </w:trPr>
        <w:tc>
          <w:tcPr>
            <w:tcW w:w="3852" w:type="pct"/>
            <w:gridSpan w:val="2"/>
            <w:shd w:val="solid" w:color="FFFFFF" w:fill="auto"/>
          </w:tcPr>
          <w:p w14:paraId="0D2EF0EF"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p>
        </w:tc>
        <w:tc>
          <w:tcPr>
            <w:tcW w:w="607" w:type="pct"/>
            <w:tcBorders>
              <w:top w:val="single" w:sz="4" w:space="0" w:color="auto"/>
            </w:tcBorders>
            <w:shd w:val="clear" w:color="auto" w:fill="FFFF00"/>
          </w:tcPr>
          <w:p w14:paraId="5CDDCBE7"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41" w:type="pct"/>
            <w:tcBorders>
              <w:top w:val="single" w:sz="4" w:space="0" w:color="auto"/>
            </w:tcBorders>
            <w:shd w:val="solid" w:color="FFFFFF" w:fill="auto"/>
          </w:tcPr>
          <w:p w14:paraId="43E436E8"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5A81A46B" w14:textId="77777777" w:rsidTr="007A2AC9">
        <w:trPr>
          <w:trHeight w:val="211"/>
        </w:trPr>
        <w:tc>
          <w:tcPr>
            <w:tcW w:w="3852" w:type="pct"/>
            <w:gridSpan w:val="2"/>
            <w:shd w:val="solid" w:color="FFFFFF" w:fill="auto"/>
          </w:tcPr>
          <w:p w14:paraId="21BB98FA" w14:textId="3BE5B8D9"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Total comprehensive </w:t>
            </w:r>
            <w:r w:rsidR="008C4903">
              <w:rPr>
                <w:rFonts w:asciiTheme="minorHAnsi" w:hAnsiTheme="minorHAnsi" w:cstheme="minorHAnsi"/>
                <w:b/>
                <w:bCs/>
                <w:color w:val="000000"/>
                <w:sz w:val="22"/>
                <w:szCs w:val="22"/>
              </w:rPr>
              <w:t>(loss)/</w:t>
            </w:r>
            <w:r w:rsidRPr="00677316">
              <w:rPr>
                <w:rFonts w:asciiTheme="minorHAnsi" w:hAnsiTheme="minorHAnsi" w:cstheme="minorHAnsi"/>
                <w:b/>
                <w:bCs/>
                <w:color w:val="000000"/>
                <w:sz w:val="22"/>
                <w:szCs w:val="22"/>
              </w:rPr>
              <w:t>income for th</w:t>
            </w:r>
            <w:r w:rsidR="00AD46D8">
              <w:rPr>
                <w:rFonts w:asciiTheme="minorHAnsi" w:hAnsiTheme="minorHAnsi" w:cstheme="minorHAnsi"/>
                <w:b/>
                <w:bCs/>
                <w:color w:val="000000"/>
                <w:sz w:val="22"/>
                <w:szCs w:val="22"/>
              </w:rPr>
              <w:t xml:space="preserve">e </w:t>
            </w:r>
            <w:r w:rsidR="00AC0EBC">
              <w:rPr>
                <w:rFonts w:asciiTheme="minorHAnsi" w:hAnsiTheme="minorHAnsi" w:cstheme="minorHAnsi"/>
                <w:b/>
                <w:bCs/>
                <w:color w:val="000000"/>
                <w:sz w:val="22"/>
                <w:szCs w:val="22"/>
              </w:rPr>
              <w:t>half-</w:t>
            </w:r>
            <w:r w:rsidR="00AD46D8">
              <w:rPr>
                <w:rFonts w:asciiTheme="minorHAnsi" w:hAnsiTheme="minorHAnsi" w:cstheme="minorHAnsi"/>
                <w:b/>
                <w:bCs/>
                <w:color w:val="000000"/>
                <w:sz w:val="22"/>
                <w:szCs w:val="22"/>
              </w:rPr>
              <w:t>year</w:t>
            </w:r>
            <w:r w:rsidR="00A3268A">
              <w:rPr>
                <w:rFonts w:asciiTheme="minorHAnsi" w:hAnsiTheme="minorHAnsi" w:cstheme="minorHAnsi"/>
                <w:b/>
                <w:bCs/>
                <w:color w:val="000000"/>
                <w:sz w:val="22"/>
                <w:szCs w:val="22"/>
              </w:rPr>
              <w:t xml:space="preserve"> -</w:t>
            </w:r>
            <w:r w:rsidR="000D4D17">
              <w:rPr>
                <w:rFonts w:asciiTheme="minorHAnsi" w:hAnsiTheme="minorHAnsi" w:cstheme="minorHAnsi"/>
                <w:b/>
                <w:bCs/>
                <w:color w:val="000000"/>
                <w:sz w:val="22"/>
                <w:szCs w:val="22"/>
              </w:rPr>
              <w:t xml:space="preserve"> all</w:t>
            </w:r>
            <w:r>
              <w:rPr>
                <w:rFonts w:asciiTheme="minorHAnsi" w:hAnsiTheme="minorHAnsi" w:cstheme="minorHAnsi"/>
                <w:b/>
                <w:bCs/>
                <w:color w:val="000000"/>
                <w:sz w:val="22"/>
                <w:szCs w:val="22"/>
              </w:rPr>
              <w:t xml:space="preserve"> </w:t>
            </w:r>
            <w:r w:rsidRPr="00677316">
              <w:rPr>
                <w:rFonts w:asciiTheme="minorHAnsi" w:hAnsiTheme="minorHAnsi" w:cstheme="minorHAnsi"/>
                <w:b/>
                <w:bCs/>
                <w:color w:val="000000"/>
                <w:sz w:val="22"/>
                <w:szCs w:val="22"/>
              </w:rPr>
              <w:t>attributable to equity holders of parent</w:t>
            </w:r>
          </w:p>
        </w:tc>
        <w:tc>
          <w:tcPr>
            <w:tcW w:w="607" w:type="pct"/>
            <w:tcBorders>
              <w:bottom w:val="single" w:sz="4" w:space="0" w:color="auto"/>
            </w:tcBorders>
            <w:shd w:val="clear" w:color="auto" w:fill="FFFF00"/>
          </w:tcPr>
          <w:p w14:paraId="34E87DCC" w14:textId="27566A54" w:rsidR="00D72D0A" w:rsidRPr="00677316" w:rsidRDefault="00A03B73"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(341.4)</w:t>
            </w:r>
          </w:p>
        </w:tc>
        <w:tc>
          <w:tcPr>
            <w:tcW w:w="541" w:type="pct"/>
            <w:tcBorders>
              <w:bottom w:val="single" w:sz="4" w:space="0" w:color="auto"/>
            </w:tcBorders>
            <w:shd w:val="solid" w:color="FFFFFF" w:fill="auto"/>
          </w:tcPr>
          <w:p w14:paraId="562EBFD1" w14:textId="084D549A" w:rsidR="00D72D0A" w:rsidRPr="002F64DB" w:rsidRDefault="00583551" w:rsidP="00B06D81">
            <w:pPr>
              <w:autoSpaceDE w:val="0"/>
              <w:autoSpaceDN w:val="0"/>
              <w:adjustRightInd w:val="0"/>
              <w:jc w:val="right"/>
              <w:rPr>
                <w:rFonts w:asciiTheme="minorHAnsi" w:hAnsiTheme="minorHAnsi" w:cstheme="minorHAnsi"/>
                <w:b/>
                <w:color w:val="000000"/>
                <w:sz w:val="22"/>
                <w:szCs w:val="22"/>
              </w:rPr>
            </w:pPr>
            <w:r>
              <w:rPr>
                <w:rFonts w:asciiTheme="minorHAnsi" w:hAnsiTheme="minorHAnsi" w:cstheme="minorHAnsi"/>
                <w:b/>
                <w:color w:val="000000"/>
                <w:sz w:val="22"/>
                <w:szCs w:val="22"/>
              </w:rPr>
              <w:t>1,369.2</w:t>
            </w:r>
          </w:p>
        </w:tc>
      </w:tr>
    </w:tbl>
    <w:p w14:paraId="3A8D8180" w14:textId="0F422B6C" w:rsidR="00D72D0A" w:rsidRDefault="00D72D0A" w:rsidP="00D72D0A">
      <w:pPr>
        <w:rPr>
          <w:rFonts w:asciiTheme="minorHAnsi" w:hAnsiTheme="minorHAnsi" w:cstheme="minorHAnsi"/>
          <w:b/>
          <w:bCs/>
          <w:color w:val="000000"/>
        </w:rPr>
      </w:pPr>
    </w:p>
    <w:p w14:paraId="78888B99" w14:textId="77777777" w:rsidR="00226493" w:rsidRDefault="00226493" w:rsidP="00D72D0A">
      <w:pPr>
        <w:rPr>
          <w:rFonts w:asciiTheme="minorHAnsi" w:hAnsiTheme="minorHAnsi" w:cstheme="minorHAnsi"/>
          <w:b/>
          <w:bCs/>
          <w:color w:val="000000"/>
        </w:rPr>
      </w:pPr>
    </w:p>
    <w:p w14:paraId="740A4188" w14:textId="77777777" w:rsidR="00AC0EBC" w:rsidRDefault="00AC0EBC" w:rsidP="00AC0EBC">
      <w:pPr>
        <w:rPr>
          <w:rFonts w:asciiTheme="minorHAnsi" w:hAnsiTheme="minorHAnsi" w:cstheme="minorHAnsi"/>
          <w:b/>
          <w:bCs/>
          <w:color w:val="000000"/>
        </w:rPr>
      </w:pPr>
      <w:r w:rsidRPr="00991F11">
        <w:rPr>
          <w:rFonts w:asciiTheme="minorHAnsi" w:hAnsiTheme="minorHAnsi" w:cstheme="minorHAnsi"/>
          <w:b/>
          <w:bCs/>
          <w:color w:val="000000"/>
        </w:rPr>
        <w:t>Ryanair Holdings plc and Subsidiaries</w:t>
      </w:r>
    </w:p>
    <w:p w14:paraId="4880FE4F" w14:textId="1A0F03C2" w:rsidR="00AC0EBC" w:rsidRPr="007F299C" w:rsidRDefault="00AC0EBC" w:rsidP="00AC0EBC">
      <w:pPr>
        <w:widowControl w:val="0"/>
        <w:rPr>
          <w:rFonts w:ascii="Calibri" w:hAnsi="Calibri" w:cs="Calibri"/>
          <w:b/>
          <w:bCs/>
          <w:i/>
          <w:iCs/>
          <w:color w:val="000000"/>
        </w:rPr>
      </w:pPr>
      <w:r w:rsidRPr="00DB22BA">
        <w:rPr>
          <w:rFonts w:ascii="Calibri" w:hAnsi="Calibri" w:cs="Calibri"/>
          <w:b/>
          <w:bCs/>
          <w:i/>
          <w:iCs/>
          <w:color w:val="000000"/>
        </w:rPr>
        <w:t xml:space="preserve">Condensed Consolidated </w:t>
      </w:r>
      <w:r w:rsidR="00A20A73">
        <w:rPr>
          <w:rFonts w:ascii="Calibri" w:hAnsi="Calibri" w:cs="Calibri"/>
          <w:b/>
          <w:bCs/>
          <w:i/>
          <w:iCs/>
          <w:color w:val="000000"/>
        </w:rPr>
        <w:t>Interim</w:t>
      </w:r>
      <w:r w:rsidRPr="00DB22BA">
        <w:rPr>
          <w:rFonts w:ascii="Calibri" w:hAnsi="Calibri" w:cs="Calibri"/>
          <w:b/>
          <w:bCs/>
          <w:i/>
          <w:iCs/>
          <w:color w:val="000000"/>
        </w:rPr>
        <w:t xml:space="preserve"> Statement of Comprehensive Income for the </w:t>
      </w:r>
      <w:r>
        <w:rPr>
          <w:rFonts w:ascii="Calibri" w:hAnsi="Calibri" w:cs="Calibri"/>
          <w:b/>
          <w:bCs/>
          <w:i/>
          <w:iCs/>
          <w:color w:val="000000"/>
        </w:rPr>
        <w:t>quarter e</w:t>
      </w:r>
      <w:r w:rsidRPr="00DB22BA">
        <w:rPr>
          <w:rFonts w:ascii="Calibri" w:hAnsi="Calibri" w:cs="Calibri"/>
          <w:b/>
          <w:bCs/>
          <w:i/>
          <w:iCs/>
          <w:color w:val="000000"/>
        </w:rPr>
        <w:t xml:space="preserve">nded </w:t>
      </w:r>
      <w:r>
        <w:rPr>
          <w:rFonts w:ascii="Calibri" w:hAnsi="Calibri" w:cs="Calibri"/>
          <w:b/>
          <w:bCs/>
          <w:i/>
          <w:iCs/>
          <w:color w:val="000000"/>
        </w:rPr>
        <w:t>September 30</w:t>
      </w:r>
      <w:r w:rsidRPr="00DB22BA">
        <w:rPr>
          <w:rFonts w:ascii="Calibri" w:hAnsi="Calibri" w:cs="Calibri"/>
          <w:b/>
          <w:bCs/>
          <w:i/>
          <w:iCs/>
          <w:color w:val="000000"/>
        </w:rPr>
        <w:t>, 20</w:t>
      </w:r>
      <w:r>
        <w:rPr>
          <w:rFonts w:ascii="Calibri" w:hAnsi="Calibri" w:cs="Calibri"/>
          <w:b/>
          <w:bCs/>
          <w:i/>
          <w:iCs/>
          <w:color w:val="000000"/>
        </w:rPr>
        <w:t>20</w:t>
      </w:r>
      <w:r w:rsidRPr="00DB22BA">
        <w:rPr>
          <w:rFonts w:ascii="Calibri" w:hAnsi="Calibri" w:cs="Calibri"/>
          <w:b/>
          <w:bCs/>
          <w:i/>
          <w:iCs/>
          <w:color w:val="000000"/>
        </w:rPr>
        <w:t xml:space="preserve"> (unaudited</w:t>
      </w:r>
      <w:r w:rsidRPr="00DB22BA">
        <w:rPr>
          <w:rFonts w:ascii="Calibri" w:hAnsi="Calibri" w:cs="Calibri"/>
          <w:b/>
          <w:bCs/>
          <w:i/>
          <w:iCs/>
          <w:color w:val="000000"/>
          <w:sz w:val="22"/>
          <w:szCs w:val="22"/>
        </w:rPr>
        <w:t>)</w:t>
      </w:r>
    </w:p>
    <w:tbl>
      <w:tblPr>
        <w:tblW w:w="10490" w:type="dxa"/>
        <w:tblLook w:val="0000" w:firstRow="0" w:lastRow="0" w:firstColumn="0" w:lastColumn="0" w:noHBand="0" w:noVBand="0"/>
      </w:tblPr>
      <w:tblGrid>
        <w:gridCol w:w="3376"/>
        <w:gridCol w:w="4706"/>
        <w:gridCol w:w="1273"/>
        <w:gridCol w:w="1135"/>
      </w:tblGrid>
      <w:tr w:rsidR="00AC0EBC" w:rsidRPr="00677316" w14:paraId="625DE2C8" w14:textId="77777777" w:rsidTr="007A2AC9">
        <w:trPr>
          <w:trHeight w:val="259"/>
        </w:trPr>
        <w:tc>
          <w:tcPr>
            <w:tcW w:w="3852" w:type="pct"/>
            <w:gridSpan w:val="2"/>
            <w:shd w:val="solid" w:color="FFFFFF" w:fill="auto"/>
          </w:tcPr>
          <w:p w14:paraId="17A8F8F0" w14:textId="77777777" w:rsidR="00AC0EBC" w:rsidRPr="00677316" w:rsidRDefault="00AC0EBC" w:rsidP="00B83D66">
            <w:pPr>
              <w:autoSpaceDE w:val="0"/>
              <w:autoSpaceDN w:val="0"/>
              <w:adjustRightInd w:val="0"/>
              <w:rPr>
                <w:rFonts w:asciiTheme="minorHAnsi" w:hAnsiTheme="minorHAnsi" w:cstheme="minorHAnsi"/>
                <w:b/>
                <w:bCs/>
                <w:i/>
                <w:iCs/>
                <w:color w:val="000000"/>
                <w:sz w:val="22"/>
                <w:szCs w:val="22"/>
              </w:rPr>
            </w:pPr>
          </w:p>
        </w:tc>
        <w:tc>
          <w:tcPr>
            <w:tcW w:w="607" w:type="pct"/>
            <w:shd w:val="clear" w:color="auto" w:fill="FFFF00"/>
          </w:tcPr>
          <w:p w14:paraId="4862D9AB" w14:textId="77777777" w:rsidR="00AC0EBC" w:rsidRPr="00677316" w:rsidRDefault="00AC0EBC" w:rsidP="00B83D66">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p>
        </w:tc>
        <w:tc>
          <w:tcPr>
            <w:tcW w:w="541" w:type="pct"/>
            <w:shd w:val="solid" w:color="FFFFFF" w:fill="auto"/>
          </w:tcPr>
          <w:p w14:paraId="13453DBB" w14:textId="77777777" w:rsidR="00AC0EBC" w:rsidRPr="00677316" w:rsidRDefault="00AC0EBC" w:rsidP="00B83D66">
            <w:pPr>
              <w:autoSpaceDE w:val="0"/>
              <w:autoSpaceDN w:val="0"/>
              <w:adjustRightInd w:val="0"/>
              <w:jc w:val="right"/>
              <w:rPr>
                <w:rFonts w:asciiTheme="minorHAnsi" w:hAnsiTheme="minorHAnsi" w:cstheme="minorHAnsi"/>
                <w:color w:val="000000"/>
                <w:sz w:val="22"/>
                <w:szCs w:val="22"/>
              </w:rPr>
            </w:pPr>
          </w:p>
        </w:tc>
      </w:tr>
      <w:tr w:rsidR="00AC0EBC" w:rsidRPr="00677316" w14:paraId="5DF46BB2" w14:textId="77777777" w:rsidTr="007A2AC9">
        <w:trPr>
          <w:trHeight w:val="211"/>
        </w:trPr>
        <w:tc>
          <w:tcPr>
            <w:tcW w:w="3852" w:type="pct"/>
            <w:gridSpan w:val="2"/>
          </w:tcPr>
          <w:p w14:paraId="46D2072B" w14:textId="77777777" w:rsidR="00AC0EBC" w:rsidRPr="00677316" w:rsidRDefault="00AC0EBC" w:rsidP="00B83D66">
            <w:pPr>
              <w:autoSpaceDE w:val="0"/>
              <w:autoSpaceDN w:val="0"/>
              <w:adjustRightInd w:val="0"/>
              <w:rPr>
                <w:rFonts w:asciiTheme="minorHAnsi" w:hAnsiTheme="minorHAnsi" w:cstheme="minorHAnsi"/>
                <w:b/>
                <w:color w:val="000000"/>
                <w:sz w:val="22"/>
                <w:szCs w:val="22"/>
              </w:rPr>
            </w:pPr>
          </w:p>
        </w:tc>
        <w:tc>
          <w:tcPr>
            <w:tcW w:w="607" w:type="pct"/>
            <w:shd w:val="clear" w:color="auto" w:fill="FFFF00"/>
          </w:tcPr>
          <w:p w14:paraId="0269E7C6" w14:textId="71652ADF" w:rsidR="00AC0EBC" w:rsidRDefault="00AC0EBC" w:rsidP="00B83D66">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Quarter</w:t>
            </w:r>
          </w:p>
          <w:p w14:paraId="33ED40AA" w14:textId="77777777" w:rsidR="00AC0EBC" w:rsidRDefault="00AC0EBC" w:rsidP="00B83D66">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Ended</w:t>
            </w:r>
          </w:p>
          <w:p w14:paraId="2FD69A45" w14:textId="77777777" w:rsidR="00AC0EBC" w:rsidRPr="00677316" w:rsidRDefault="00AC0EBC" w:rsidP="00B83D66">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Sep 30,</w:t>
            </w:r>
          </w:p>
        </w:tc>
        <w:tc>
          <w:tcPr>
            <w:tcW w:w="541" w:type="pct"/>
            <w:shd w:val="solid" w:color="FFFFFF" w:fill="auto"/>
          </w:tcPr>
          <w:p w14:paraId="56E911BF" w14:textId="096AA1AF" w:rsidR="00AC0EBC" w:rsidRDefault="00AC0EBC" w:rsidP="00B83D66">
            <w:pPr>
              <w:autoSpaceDE w:val="0"/>
              <w:autoSpaceDN w:val="0"/>
              <w:adjustRightInd w:val="0"/>
              <w:ind w:left="-109"/>
              <w:jc w:val="right"/>
              <w:rPr>
                <w:rFonts w:asciiTheme="minorHAnsi" w:hAnsiTheme="minorHAnsi" w:cstheme="minorHAnsi"/>
                <w:color w:val="000000"/>
                <w:sz w:val="22"/>
                <w:szCs w:val="22"/>
              </w:rPr>
            </w:pPr>
            <w:r>
              <w:rPr>
                <w:rFonts w:asciiTheme="minorHAnsi" w:hAnsiTheme="minorHAnsi" w:cstheme="minorHAnsi"/>
                <w:color w:val="000000"/>
                <w:sz w:val="22"/>
                <w:szCs w:val="22"/>
              </w:rPr>
              <w:t>Quarter</w:t>
            </w:r>
          </w:p>
          <w:p w14:paraId="465AAD92" w14:textId="77777777" w:rsidR="00AC0EBC" w:rsidRDefault="00AC0EBC" w:rsidP="00B83D66">
            <w:pPr>
              <w:autoSpaceDE w:val="0"/>
              <w:autoSpaceDN w:val="0"/>
              <w:adjustRightInd w:val="0"/>
              <w:ind w:left="-109"/>
              <w:jc w:val="right"/>
              <w:rPr>
                <w:rFonts w:asciiTheme="minorHAnsi" w:hAnsiTheme="minorHAnsi" w:cstheme="minorHAnsi"/>
                <w:color w:val="000000"/>
                <w:sz w:val="22"/>
                <w:szCs w:val="22"/>
              </w:rPr>
            </w:pPr>
            <w:r>
              <w:rPr>
                <w:rFonts w:asciiTheme="minorHAnsi" w:hAnsiTheme="minorHAnsi" w:cstheme="minorHAnsi"/>
                <w:color w:val="000000"/>
                <w:sz w:val="22"/>
                <w:szCs w:val="22"/>
              </w:rPr>
              <w:t>Ended</w:t>
            </w:r>
          </w:p>
          <w:p w14:paraId="1FC18412" w14:textId="77777777" w:rsidR="00AC0EBC" w:rsidRPr="005178C7" w:rsidRDefault="00AC0EBC" w:rsidP="00B83D66">
            <w:pPr>
              <w:autoSpaceDE w:val="0"/>
              <w:autoSpaceDN w:val="0"/>
              <w:adjustRightInd w:val="0"/>
              <w:ind w:left="-109"/>
              <w:jc w:val="right"/>
              <w:rPr>
                <w:rFonts w:asciiTheme="minorHAnsi" w:hAnsiTheme="minorHAnsi" w:cstheme="minorHAnsi"/>
                <w:color w:val="000000"/>
                <w:sz w:val="22"/>
                <w:szCs w:val="22"/>
              </w:rPr>
            </w:pPr>
            <w:r>
              <w:rPr>
                <w:rFonts w:asciiTheme="minorHAnsi" w:hAnsiTheme="minorHAnsi" w:cstheme="minorHAnsi"/>
                <w:color w:val="000000"/>
                <w:sz w:val="22"/>
                <w:szCs w:val="22"/>
              </w:rPr>
              <w:t>Sep 30,</w:t>
            </w:r>
          </w:p>
        </w:tc>
      </w:tr>
      <w:tr w:rsidR="00AC0EBC" w:rsidRPr="00677316" w14:paraId="63CFF30B" w14:textId="77777777" w:rsidTr="007A2AC9">
        <w:trPr>
          <w:trHeight w:val="211"/>
        </w:trPr>
        <w:tc>
          <w:tcPr>
            <w:tcW w:w="3852" w:type="pct"/>
            <w:gridSpan w:val="2"/>
          </w:tcPr>
          <w:p w14:paraId="04D47E9C" w14:textId="77777777" w:rsidR="00AC0EBC" w:rsidRPr="00677316" w:rsidRDefault="00AC0EBC" w:rsidP="00B83D66">
            <w:pPr>
              <w:autoSpaceDE w:val="0"/>
              <w:autoSpaceDN w:val="0"/>
              <w:adjustRightInd w:val="0"/>
              <w:rPr>
                <w:rFonts w:asciiTheme="minorHAnsi" w:hAnsiTheme="minorHAnsi" w:cstheme="minorHAnsi"/>
                <w:b/>
                <w:color w:val="000000"/>
                <w:sz w:val="22"/>
                <w:szCs w:val="22"/>
              </w:rPr>
            </w:pPr>
          </w:p>
        </w:tc>
        <w:tc>
          <w:tcPr>
            <w:tcW w:w="607" w:type="pct"/>
            <w:shd w:val="clear" w:color="auto" w:fill="FFFF00"/>
          </w:tcPr>
          <w:p w14:paraId="6709CC35" w14:textId="77777777" w:rsidR="00AC0EBC" w:rsidRPr="00677316" w:rsidRDefault="00AC0EBC" w:rsidP="00B83D66">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2020</w:t>
            </w:r>
          </w:p>
        </w:tc>
        <w:tc>
          <w:tcPr>
            <w:tcW w:w="541" w:type="pct"/>
            <w:shd w:val="solid" w:color="FFFFFF" w:fill="auto"/>
          </w:tcPr>
          <w:p w14:paraId="7DEC0D87" w14:textId="77777777" w:rsidR="00AC0EBC" w:rsidRPr="00677316" w:rsidRDefault="00AC0EBC" w:rsidP="00B83D66">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2019</w:t>
            </w:r>
          </w:p>
        </w:tc>
      </w:tr>
      <w:tr w:rsidR="00AC0EBC" w:rsidRPr="00677316" w14:paraId="70FEE96D" w14:textId="77777777" w:rsidTr="007A2AC9">
        <w:trPr>
          <w:trHeight w:val="211"/>
        </w:trPr>
        <w:tc>
          <w:tcPr>
            <w:tcW w:w="3852" w:type="pct"/>
            <w:gridSpan w:val="2"/>
          </w:tcPr>
          <w:p w14:paraId="3BABE8B4" w14:textId="77777777" w:rsidR="00AC0EBC" w:rsidRPr="00677316" w:rsidRDefault="00AC0EBC" w:rsidP="00B83D66">
            <w:pPr>
              <w:autoSpaceDE w:val="0"/>
              <w:autoSpaceDN w:val="0"/>
              <w:adjustRightInd w:val="0"/>
              <w:rPr>
                <w:rFonts w:asciiTheme="minorHAnsi" w:hAnsiTheme="minorHAnsi" w:cstheme="minorHAnsi"/>
                <w:b/>
                <w:color w:val="000000"/>
                <w:sz w:val="22"/>
                <w:szCs w:val="22"/>
              </w:rPr>
            </w:pPr>
          </w:p>
        </w:tc>
        <w:tc>
          <w:tcPr>
            <w:tcW w:w="607" w:type="pct"/>
            <w:shd w:val="clear" w:color="auto" w:fill="FFFF00"/>
          </w:tcPr>
          <w:p w14:paraId="4D0B16F5" w14:textId="77777777" w:rsidR="00AC0EBC" w:rsidRPr="00677316" w:rsidRDefault="00AC0EBC" w:rsidP="00B83D66">
            <w:pPr>
              <w:autoSpaceDE w:val="0"/>
              <w:autoSpaceDN w:val="0"/>
              <w:adjustRightInd w:val="0"/>
              <w:jc w:val="right"/>
              <w:rPr>
                <w:rFonts w:asciiTheme="minorHAnsi" w:hAnsiTheme="minorHAnsi" w:cstheme="minorHAnsi"/>
                <w:b/>
                <w:bCs/>
                <w:color w:val="000000"/>
                <w:sz w:val="22"/>
                <w:szCs w:val="22"/>
                <w:u w:val="single"/>
              </w:rPr>
            </w:pPr>
            <w:r w:rsidRPr="00677316">
              <w:rPr>
                <w:rFonts w:asciiTheme="minorHAnsi" w:hAnsiTheme="minorHAnsi" w:cstheme="minorHAnsi"/>
                <w:b/>
                <w:bCs/>
                <w:color w:val="000000"/>
                <w:sz w:val="22"/>
                <w:szCs w:val="22"/>
                <w:u w:val="single"/>
              </w:rPr>
              <w:t>€</w:t>
            </w:r>
            <w:r>
              <w:rPr>
                <w:rFonts w:asciiTheme="minorHAnsi" w:hAnsiTheme="minorHAnsi" w:cstheme="minorHAnsi"/>
                <w:b/>
                <w:bCs/>
                <w:color w:val="000000"/>
                <w:sz w:val="22"/>
                <w:szCs w:val="22"/>
                <w:u w:val="single"/>
              </w:rPr>
              <w:t>M</w:t>
            </w:r>
          </w:p>
        </w:tc>
        <w:tc>
          <w:tcPr>
            <w:tcW w:w="541" w:type="pct"/>
            <w:shd w:val="solid" w:color="FFFFFF" w:fill="auto"/>
          </w:tcPr>
          <w:p w14:paraId="3D7C9F7A" w14:textId="77777777" w:rsidR="00AC0EBC" w:rsidRPr="00677316" w:rsidRDefault="00AC0EBC" w:rsidP="00B83D66">
            <w:pPr>
              <w:autoSpaceDE w:val="0"/>
              <w:autoSpaceDN w:val="0"/>
              <w:adjustRightInd w:val="0"/>
              <w:jc w:val="right"/>
              <w:rPr>
                <w:rFonts w:asciiTheme="minorHAnsi" w:hAnsiTheme="minorHAnsi" w:cstheme="minorHAnsi"/>
                <w:color w:val="000000"/>
                <w:sz w:val="22"/>
                <w:szCs w:val="22"/>
                <w:u w:val="single"/>
              </w:rPr>
            </w:pPr>
            <w:r w:rsidRPr="00677316">
              <w:rPr>
                <w:rFonts w:asciiTheme="minorHAnsi" w:hAnsiTheme="minorHAnsi" w:cstheme="minorHAnsi"/>
                <w:color w:val="000000"/>
                <w:sz w:val="22"/>
                <w:szCs w:val="22"/>
                <w:u w:val="single"/>
              </w:rPr>
              <w:t>€</w:t>
            </w:r>
            <w:r>
              <w:rPr>
                <w:rFonts w:asciiTheme="minorHAnsi" w:hAnsiTheme="minorHAnsi" w:cstheme="minorHAnsi"/>
                <w:color w:val="000000"/>
                <w:sz w:val="22"/>
                <w:szCs w:val="22"/>
                <w:u w:val="single"/>
              </w:rPr>
              <w:t>M</w:t>
            </w:r>
          </w:p>
        </w:tc>
      </w:tr>
      <w:tr w:rsidR="00AC0EBC" w:rsidRPr="00677316" w14:paraId="685A21F6" w14:textId="77777777" w:rsidTr="007A2AC9">
        <w:trPr>
          <w:trHeight w:val="211"/>
        </w:trPr>
        <w:tc>
          <w:tcPr>
            <w:tcW w:w="3852" w:type="pct"/>
            <w:gridSpan w:val="2"/>
          </w:tcPr>
          <w:p w14:paraId="7E4E0031" w14:textId="77777777" w:rsidR="00AC0EBC" w:rsidRPr="00677316" w:rsidRDefault="00AC0EBC" w:rsidP="00B83D66">
            <w:pPr>
              <w:autoSpaceDE w:val="0"/>
              <w:autoSpaceDN w:val="0"/>
              <w:adjustRightInd w:val="0"/>
              <w:rPr>
                <w:rFonts w:asciiTheme="minorHAnsi" w:hAnsiTheme="minorHAnsi" w:cstheme="minorHAnsi"/>
                <w:b/>
                <w:color w:val="000000"/>
                <w:sz w:val="22"/>
                <w:szCs w:val="22"/>
              </w:rPr>
            </w:pPr>
          </w:p>
        </w:tc>
        <w:tc>
          <w:tcPr>
            <w:tcW w:w="607" w:type="pct"/>
            <w:shd w:val="clear" w:color="auto" w:fill="FFFF00"/>
          </w:tcPr>
          <w:p w14:paraId="116A52E9" w14:textId="77777777" w:rsidR="00AC0EBC" w:rsidRPr="00677316" w:rsidRDefault="00AC0EBC" w:rsidP="00B83D66">
            <w:pPr>
              <w:autoSpaceDE w:val="0"/>
              <w:autoSpaceDN w:val="0"/>
              <w:adjustRightInd w:val="0"/>
              <w:jc w:val="right"/>
              <w:rPr>
                <w:rFonts w:asciiTheme="minorHAnsi" w:hAnsiTheme="minorHAnsi" w:cstheme="minorHAnsi"/>
                <w:b/>
                <w:bCs/>
                <w:color w:val="000000"/>
                <w:sz w:val="22"/>
                <w:szCs w:val="22"/>
                <w:u w:val="single"/>
              </w:rPr>
            </w:pPr>
          </w:p>
        </w:tc>
        <w:tc>
          <w:tcPr>
            <w:tcW w:w="541" w:type="pct"/>
            <w:shd w:val="solid" w:color="FFFFFF" w:fill="auto"/>
          </w:tcPr>
          <w:p w14:paraId="36FB78E8" w14:textId="77777777" w:rsidR="00AC0EBC" w:rsidRPr="00677316" w:rsidRDefault="00AC0EBC" w:rsidP="00B83D66">
            <w:pPr>
              <w:autoSpaceDE w:val="0"/>
              <w:autoSpaceDN w:val="0"/>
              <w:adjustRightInd w:val="0"/>
              <w:jc w:val="right"/>
              <w:rPr>
                <w:rFonts w:asciiTheme="minorHAnsi" w:hAnsiTheme="minorHAnsi" w:cstheme="minorHAnsi"/>
                <w:color w:val="000000"/>
                <w:sz w:val="22"/>
                <w:szCs w:val="22"/>
                <w:u w:val="single"/>
              </w:rPr>
            </w:pPr>
          </w:p>
        </w:tc>
      </w:tr>
      <w:tr w:rsidR="00AC0EBC" w:rsidRPr="00677316" w14:paraId="621EA8D2" w14:textId="77777777" w:rsidTr="007A2AC9">
        <w:trPr>
          <w:trHeight w:val="211"/>
        </w:trPr>
        <w:tc>
          <w:tcPr>
            <w:tcW w:w="3852" w:type="pct"/>
            <w:gridSpan w:val="2"/>
            <w:shd w:val="solid" w:color="FFFFFF" w:fill="auto"/>
          </w:tcPr>
          <w:p w14:paraId="64D5D7B8" w14:textId="1E0E83A3" w:rsidR="00AC0EBC" w:rsidRPr="00677316" w:rsidRDefault="00AC0EBC" w:rsidP="00B83D66">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(Loss)/profit for the quarter</w:t>
            </w:r>
          </w:p>
        </w:tc>
        <w:tc>
          <w:tcPr>
            <w:tcW w:w="607" w:type="pct"/>
            <w:tcBorders>
              <w:bottom w:val="single" w:sz="4" w:space="0" w:color="auto"/>
            </w:tcBorders>
            <w:shd w:val="clear" w:color="auto" w:fill="FFFF00"/>
          </w:tcPr>
          <w:p w14:paraId="7AC1A99F" w14:textId="7D105E0A" w:rsidR="00AC0EBC" w:rsidRPr="00677316" w:rsidRDefault="00A03B73" w:rsidP="00B83D66">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(225.5)</w:t>
            </w:r>
          </w:p>
        </w:tc>
        <w:tc>
          <w:tcPr>
            <w:tcW w:w="541" w:type="pct"/>
            <w:tcBorders>
              <w:bottom w:val="single" w:sz="4" w:space="0" w:color="auto"/>
            </w:tcBorders>
            <w:shd w:val="solid" w:color="FFFFFF" w:fill="auto"/>
          </w:tcPr>
          <w:p w14:paraId="72953BA9" w14:textId="126CA40C" w:rsidR="00AC0EBC" w:rsidRPr="00677316" w:rsidRDefault="00AC0EBC" w:rsidP="00B83D66">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910.2</w:t>
            </w:r>
          </w:p>
        </w:tc>
      </w:tr>
      <w:tr w:rsidR="00AC0EBC" w:rsidRPr="00677316" w14:paraId="2E87A5E1" w14:textId="77777777" w:rsidTr="007A2AC9">
        <w:trPr>
          <w:trHeight w:val="211"/>
        </w:trPr>
        <w:tc>
          <w:tcPr>
            <w:tcW w:w="3852" w:type="pct"/>
            <w:gridSpan w:val="2"/>
            <w:shd w:val="solid" w:color="FFFFFF" w:fill="auto"/>
          </w:tcPr>
          <w:p w14:paraId="4D3F65D1" w14:textId="77777777" w:rsidR="00AC0EBC" w:rsidRPr="00677316" w:rsidRDefault="00AC0EBC" w:rsidP="00B83D66">
            <w:pPr>
              <w:autoSpaceDE w:val="0"/>
              <w:autoSpaceDN w:val="0"/>
              <w:adjustRightInd w:val="0"/>
              <w:rPr>
                <w:rFonts w:asciiTheme="minorHAnsi" w:hAnsiTheme="minorHAnsi" w:cstheme="minorHAnsi"/>
                <w:color w:val="000000"/>
                <w:sz w:val="22"/>
                <w:szCs w:val="22"/>
              </w:rPr>
            </w:pPr>
          </w:p>
        </w:tc>
        <w:tc>
          <w:tcPr>
            <w:tcW w:w="607" w:type="pct"/>
            <w:tcBorders>
              <w:top w:val="single" w:sz="4" w:space="0" w:color="auto"/>
            </w:tcBorders>
            <w:shd w:val="clear" w:color="auto" w:fill="FFFF00"/>
          </w:tcPr>
          <w:p w14:paraId="1431E17D" w14:textId="77777777" w:rsidR="00AC0EBC" w:rsidRPr="00677316" w:rsidRDefault="00AC0EBC" w:rsidP="00B83D66">
            <w:pPr>
              <w:autoSpaceDE w:val="0"/>
              <w:autoSpaceDN w:val="0"/>
              <w:adjustRightInd w:val="0"/>
              <w:jc w:val="right"/>
              <w:rPr>
                <w:rFonts w:asciiTheme="minorHAnsi" w:hAnsiTheme="minorHAnsi" w:cstheme="minorHAnsi"/>
                <w:b/>
                <w:bCs/>
                <w:color w:val="000000"/>
                <w:sz w:val="22"/>
                <w:szCs w:val="22"/>
              </w:rPr>
            </w:pPr>
          </w:p>
        </w:tc>
        <w:tc>
          <w:tcPr>
            <w:tcW w:w="541" w:type="pct"/>
            <w:tcBorders>
              <w:top w:val="single" w:sz="4" w:space="0" w:color="auto"/>
            </w:tcBorders>
            <w:shd w:val="solid" w:color="FFFFFF" w:fill="auto"/>
          </w:tcPr>
          <w:p w14:paraId="58A434BA" w14:textId="77777777" w:rsidR="00AC0EBC" w:rsidRPr="00677316" w:rsidRDefault="00AC0EBC" w:rsidP="00B83D66">
            <w:pPr>
              <w:autoSpaceDE w:val="0"/>
              <w:autoSpaceDN w:val="0"/>
              <w:adjustRightInd w:val="0"/>
              <w:jc w:val="right"/>
              <w:rPr>
                <w:rFonts w:asciiTheme="minorHAnsi" w:hAnsiTheme="minorHAnsi" w:cstheme="minorHAnsi"/>
                <w:color w:val="000000"/>
                <w:sz w:val="22"/>
                <w:szCs w:val="22"/>
              </w:rPr>
            </w:pPr>
          </w:p>
        </w:tc>
      </w:tr>
      <w:tr w:rsidR="00AC0EBC" w:rsidRPr="00677316" w14:paraId="5400211E" w14:textId="77777777" w:rsidTr="007A2AC9">
        <w:trPr>
          <w:trHeight w:val="211"/>
        </w:trPr>
        <w:tc>
          <w:tcPr>
            <w:tcW w:w="3852" w:type="pct"/>
            <w:gridSpan w:val="2"/>
            <w:shd w:val="solid" w:color="FFFFFF" w:fill="auto"/>
          </w:tcPr>
          <w:p w14:paraId="24F36834" w14:textId="77777777" w:rsidR="00AC0EBC" w:rsidRPr="00677316" w:rsidRDefault="00AC0EBC" w:rsidP="00B83D66">
            <w:pPr>
              <w:autoSpaceDE w:val="0"/>
              <w:autoSpaceDN w:val="0"/>
              <w:adjustRightInd w:val="0"/>
              <w:spacing w:after="120"/>
              <w:rPr>
                <w:rFonts w:asciiTheme="minorHAnsi" w:hAnsiTheme="minorHAnsi" w:cstheme="minorHAnsi"/>
                <w:b/>
                <w:color w:val="000000"/>
                <w:sz w:val="22"/>
                <w:szCs w:val="22"/>
              </w:rPr>
            </w:pPr>
            <w:r w:rsidRPr="00677316">
              <w:rPr>
                <w:rFonts w:asciiTheme="minorHAnsi" w:hAnsiTheme="minorHAnsi" w:cstheme="minorHAnsi"/>
                <w:b/>
                <w:color w:val="000000"/>
                <w:sz w:val="22"/>
                <w:szCs w:val="22"/>
              </w:rPr>
              <w:t>Other comprehensive income:</w:t>
            </w:r>
          </w:p>
        </w:tc>
        <w:tc>
          <w:tcPr>
            <w:tcW w:w="607" w:type="pct"/>
            <w:shd w:val="clear" w:color="auto" w:fill="FFFF00"/>
          </w:tcPr>
          <w:p w14:paraId="28F166F6" w14:textId="77777777" w:rsidR="00AC0EBC" w:rsidRPr="00677316" w:rsidRDefault="00AC0EBC" w:rsidP="00B83D66">
            <w:pPr>
              <w:autoSpaceDE w:val="0"/>
              <w:autoSpaceDN w:val="0"/>
              <w:adjustRightInd w:val="0"/>
              <w:spacing w:after="120"/>
              <w:jc w:val="right"/>
              <w:rPr>
                <w:rFonts w:asciiTheme="minorHAnsi" w:hAnsiTheme="minorHAnsi" w:cstheme="minorHAnsi"/>
                <w:b/>
                <w:bCs/>
                <w:color w:val="000000"/>
                <w:sz w:val="22"/>
                <w:szCs w:val="22"/>
              </w:rPr>
            </w:pPr>
          </w:p>
        </w:tc>
        <w:tc>
          <w:tcPr>
            <w:tcW w:w="541" w:type="pct"/>
          </w:tcPr>
          <w:p w14:paraId="5007BD90" w14:textId="77777777" w:rsidR="00AC0EBC" w:rsidRPr="00677316" w:rsidRDefault="00AC0EBC" w:rsidP="00B83D66">
            <w:pPr>
              <w:autoSpaceDE w:val="0"/>
              <w:autoSpaceDN w:val="0"/>
              <w:adjustRightInd w:val="0"/>
              <w:spacing w:after="120"/>
              <w:jc w:val="right"/>
              <w:rPr>
                <w:rFonts w:asciiTheme="minorHAnsi" w:hAnsiTheme="minorHAnsi" w:cstheme="minorHAnsi"/>
                <w:color w:val="000000"/>
                <w:sz w:val="22"/>
                <w:szCs w:val="22"/>
              </w:rPr>
            </w:pPr>
          </w:p>
        </w:tc>
      </w:tr>
      <w:tr w:rsidR="00AC0EBC" w:rsidRPr="00677316" w14:paraId="4FA7CA9D" w14:textId="77777777" w:rsidTr="007A2AC9">
        <w:trPr>
          <w:trHeight w:val="211"/>
        </w:trPr>
        <w:tc>
          <w:tcPr>
            <w:tcW w:w="3852" w:type="pct"/>
            <w:gridSpan w:val="2"/>
            <w:shd w:val="solid" w:color="FFFFFF" w:fill="auto"/>
          </w:tcPr>
          <w:p w14:paraId="240353A4" w14:textId="77777777" w:rsidR="00AC0EBC" w:rsidRPr="00502966" w:rsidRDefault="00AC0EBC" w:rsidP="00B83D66">
            <w:pPr>
              <w:autoSpaceDE w:val="0"/>
              <w:autoSpaceDN w:val="0"/>
              <w:adjustRightInd w:val="0"/>
              <w:spacing w:after="60"/>
              <w:rPr>
                <w:rFonts w:asciiTheme="minorHAnsi" w:hAnsiTheme="minorHAnsi" w:cstheme="minorHAnsi"/>
                <w:b/>
                <w:i/>
                <w:sz w:val="22"/>
                <w:szCs w:val="22"/>
                <w:lang w:val="en-US"/>
              </w:rPr>
            </w:pPr>
            <w:r w:rsidRPr="00502966">
              <w:rPr>
                <w:rFonts w:asciiTheme="minorHAnsi" w:hAnsiTheme="minorHAnsi" w:cstheme="minorHAnsi"/>
                <w:b/>
                <w:i/>
                <w:lang w:val="en-US"/>
              </w:rPr>
              <w:t>Items that are or may be reclassified to profit or loss:</w:t>
            </w:r>
          </w:p>
        </w:tc>
        <w:tc>
          <w:tcPr>
            <w:tcW w:w="607" w:type="pct"/>
            <w:shd w:val="clear" w:color="auto" w:fill="FFFF00"/>
          </w:tcPr>
          <w:p w14:paraId="2EAC88F4" w14:textId="77777777" w:rsidR="00AC0EBC" w:rsidRPr="00677316" w:rsidRDefault="00AC0EBC" w:rsidP="00B83D66">
            <w:pPr>
              <w:autoSpaceDE w:val="0"/>
              <w:autoSpaceDN w:val="0"/>
              <w:adjustRightInd w:val="0"/>
              <w:jc w:val="right"/>
              <w:rPr>
                <w:rFonts w:asciiTheme="minorHAnsi" w:hAnsiTheme="minorHAnsi" w:cstheme="minorHAnsi"/>
                <w:b/>
                <w:bCs/>
                <w:color w:val="000000"/>
                <w:sz w:val="22"/>
                <w:szCs w:val="22"/>
              </w:rPr>
            </w:pPr>
          </w:p>
        </w:tc>
        <w:tc>
          <w:tcPr>
            <w:tcW w:w="541" w:type="pct"/>
          </w:tcPr>
          <w:p w14:paraId="2C0ED255" w14:textId="77777777" w:rsidR="00AC0EBC" w:rsidRPr="00677316" w:rsidRDefault="00AC0EBC" w:rsidP="00B83D66">
            <w:pPr>
              <w:autoSpaceDE w:val="0"/>
              <w:autoSpaceDN w:val="0"/>
              <w:adjustRightInd w:val="0"/>
              <w:jc w:val="right"/>
              <w:rPr>
                <w:rFonts w:asciiTheme="minorHAnsi" w:hAnsiTheme="minorHAnsi" w:cstheme="minorHAnsi"/>
                <w:color w:val="000000"/>
                <w:sz w:val="22"/>
                <w:szCs w:val="22"/>
              </w:rPr>
            </w:pPr>
          </w:p>
        </w:tc>
      </w:tr>
      <w:tr w:rsidR="00AC0EBC" w:rsidRPr="00677316" w14:paraId="437A5EE1" w14:textId="77777777" w:rsidTr="007A2AC9">
        <w:trPr>
          <w:trHeight w:val="211"/>
        </w:trPr>
        <w:tc>
          <w:tcPr>
            <w:tcW w:w="3852" w:type="pct"/>
            <w:gridSpan w:val="2"/>
            <w:shd w:val="solid" w:color="FFFFFF" w:fill="auto"/>
          </w:tcPr>
          <w:p w14:paraId="7314CAAA" w14:textId="76B28DED" w:rsidR="00AC0EBC" w:rsidRPr="00677316" w:rsidRDefault="00A20A73" w:rsidP="00B83D66">
            <w:pPr>
              <w:autoSpaceDE w:val="0"/>
              <w:autoSpaceDN w:val="0"/>
              <w:adjustRightInd w:val="0"/>
              <w:rPr>
                <w:rFonts w:asciiTheme="minorHAnsi" w:hAnsiTheme="minorHAnsi" w:cstheme="minorHAnsi"/>
                <w:b/>
                <w:sz w:val="22"/>
                <w:szCs w:val="22"/>
                <w:lang w:val="en-US"/>
              </w:rPr>
            </w:pPr>
            <w:r>
              <w:rPr>
                <w:rFonts w:asciiTheme="minorHAnsi" w:hAnsiTheme="minorHAnsi" w:cstheme="minorHAnsi"/>
                <w:b/>
                <w:sz w:val="22"/>
                <w:szCs w:val="22"/>
                <w:lang w:val="en-US"/>
              </w:rPr>
              <w:t xml:space="preserve">Movements in hedging </w:t>
            </w:r>
            <w:r w:rsidR="00AC0EBC" w:rsidRPr="00677316">
              <w:rPr>
                <w:rFonts w:asciiTheme="minorHAnsi" w:hAnsiTheme="minorHAnsi" w:cstheme="minorHAnsi"/>
                <w:b/>
                <w:sz w:val="22"/>
                <w:szCs w:val="22"/>
                <w:lang w:val="en-US"/>
              </w:rPr>
              <w:t>reserve</w:t>
            </w:r>
            <w:r>
              <w:rPr>
                <w:rFonts w:asciiTheme="minorHAnsi" w:hAnsiTheme="minorHAnsi" w:cstheme="minorHAnsi"/>
                <w:b/>
                <w:sz w:val="22"/>
                <w:szCs w:val="22"/>
                <w:lang w:val="en-US"/>
              </w:rPr>
              <w:t>, net of tax</w:t>
            </w:r>
            <w:r w:rsidR="00AC0EBC" w:rsidRPr="00677316">
              <w:rPr>
                <w:rFonts w:asciiTheme="minorHAnsi" w:hAnsiTheme="minorHAnsi" w:cstheme="minorHAnsi"/>
                <w:b/>
                <w:sz w:val="22"/>
                <w:szCs w:val="22"/>
                <w:lang w:val="en-US"/>
              </w:rPr>
              <w:t>:</w:t>
            </w:r>
          </w:p>
        </w:tc>
        <w:tc>
          <w:tcPr>
            <w:tcW w:w="607" w:type="pct"/>
            <w:shd w:val="clear" w:color="auto" w:fill="FFFF00"/>
          </w:tcPr>
          <w:p w14:paraId="7FAFCF98" w14:textId="77777777" w:rsidR="00AC0EBC" w:rsidRPr="00677316" w:rsidRDefault="00AC0EBC" w:rsidP="00B83D66">
            <w:pPr>
              <w:autoSpaceDE w:val="0"/>
              <w:autoSpaceDN w:val="0"/>
              <w:adjustRightInd w:val="0"/>
              <w:jc w:val="right"/>
              <w:rPr>
                <w:rFonts w:asciiTheme="minorHAnsi" w:hAnsiTheme="minorHAnsi" w:cstheme="minorHAnsi"/>
                <w:b/>
                <w:bCs/>
                <w:color w:val="000000"/>
                <w:sz w:val="22"/>
                <w:szCs w:val="22"/>
              </w:rPr>
            </w:pPr>
          </w:p>
        </w:tc>
        <w:tc>
          <w:tcPr>
            <w:tcW w:w="541" w:type="pct"/>
          </w:tcPr>
          <w:p w14:paraId="16BBF388" w14:textId="77777777" w:rsidR="00AC0EBC" w:rsidRPr="00677316" w:rsidRDefault="00AC0EBC" w:rsidP="00B83D66">
            <w:pPr>
              <w:autoSpaceDE w:val="0"/>
              <w:autoSpaceDN w:val="0"/>
              <w:adjustRightInd w:val="0"/>
              <w:jc w:val="right"/>
              <w:rPr>
                <w:rFonts w:asciiTheme="minorHAnsi" w:hAnsiTheme="minorHAnsi" w:cstheme="minorHAnsi"/>
                <w:color w:val="000000"/>
                <w:sz w:val="22"/>
                <w:szCs w:val="22"/>
              </w:rPr>
            </w:pPr>
          </w:p>
        </w:tc>
      </w:tr>
      <w:tr w:rsidR="00AC0EBC" w:rsidRPr="00677316" w14:paraId="1892E6F8" w14:textId="77777777" w:rsidTr="007A2AC9">
        <w:trPr>
          <w:trHeight w:val="223"/>
        </w:trPr>
        <w:tc>
          <w:tcPr>
            <w:tcW w:w="3852" w:type="pct"/>
            <w:gridSpan w:val="2"/>
            <w:shd w:val="solid" w:color="FFFFFF" w:fill="auto"/>
          </w:tcPr>
          <w:p w14:paraId="4896B99A" w14:textId="66BC832A" w:rsidR="00AC0EBC" w:rsidRPr="00677316" w:rsidRDefault="00AC0EBC" w:rsidP="00B83D66">
            <w:pPr>
              <w:autoSpaceDE w:val="0"/>
              <w:autoSpaceDN w:val="0"/>
              <w:adjustRightInd w:val="0"/>
              <w:rPr>
                <w:rFonts w:asciiTheme="minorHAnsi" w:hAnsiTheme="minorHAnsi" w:cstheme="minorHAnsi"/>
                <w:b/>
                <w:sz w:val="22"/>
                <w:szCs w:val="22"/>
                <w:lang w:val="en-US"/>
              </w:rPr>
            </w:pPr>
            <w:r w:rsidRPr="00677316">
              <w:rPr>
                <w:rFonts w:asciiTheme="minorHAnsi" w:hAnsiTheme="minorHAnsi" w:cstheme="minorHAnsi"/>
                <w:sz w:val="22"/>
                <w:szCs w:val="22"/>
                <w:lang w:val="en-US"/>
              </w:rPr>
              <w:t>Net movement in cash</w:t>
            </w:r>
            <w:r w:rsidR="00A20A73">
              <w:rPr>
                <w:rFonts w:asciiTheme="minorHAnsi" w:hAnsiTheme="minorHAnsi" w:cstheme="minorHAnsi"/>
                <w:sz w:val="22"/>
                <w:szCs w:val="22"/>
                <w:lang w:val="en-US"/>
              </w:rPr>
              <w:t>-</w:t>
            </w:r>
            <w:r w:rsidRPr="00677316">
              <w:rPr>
                <w:rFonts w:asciiTheme="minorHAnsi" w:hAnsiTheme="minorHAnsi" w:cstheme="minorHAnsi"/>
                <w:sz w:val="22"/>
                <w:szCs w:val="22"/>
                <w:lang w:val="en-US"/>
              </w:rPr>
              <w:t>flow hedge reserve</w:t>
            </w:r>
          </w:p>
        </w:tc>
        <w:tc>
          <w:tcPr>
            <w:tcW w:w="607" w:type="pct"/>
            <w:shd w:val="clear" w:color="auto" w:fill="FFFF00"/>
          </w:tcPr>
          <w:p w14:paraId="595B16F2" w14:textId="2E2526D9" w:rsidR="00AC0EBC" w:rsidRPr="00677316" w:rsidRDefault="003D2272" w:rsidP="00B83D66">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103.1</w:t>
            </w:r>
          </w:p>
        </w:tc>
        <w:tc>
          <w:tcPr>
            <w:tcW w:w="541" w:type="pct"/>
            <w:shd w:val="solid" w:color="FFFFFF" w:fill="auto"/>
          </w:tcPr>
          <w:p w14:paraId="168C1F21" w14:textId="1C75A559" w:rsidR="00AC0EBC" w:rsidRPr="00677316" w:rsidRDefault="00AC0EBC" w:rsidP="00B83D66">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293.2</w:t>
            </w:r>
          </w:p>
        </w:tc>
      </w:tr>
      <w:tr w:rsidR="00AC0EBC" w:rsidRPr="00677316" w14:paraId="0FF9550D" w14:textId="77777777" w:rsidTr="007A2AC9">
        <w:trPr>
          <w:trHeight w:val="211"/>
        </w:trPr>
        <w:tc>
          <w:tcPr>
            <w:tcW w:w="1609" w:type="pct"/>
            <w:shd w:val="solid" w:color="FFFFFF" w:fill="auto"/>
          </w:tcPr>
          <w:p w14:paraId="56B3717D" w14:textId="77777777" w:rsidR="00AC0EBC" w:rsidRPr="00677316" w:rsidRDefault="00AC0EBC" w:rsidP="00B83D66">
            <w:pPr>
              <w:autoSpaceDE w:val="0"/>
              <w:autoSpaceDN w:val="0"/>
              <w:adjustRightInd w:val="0"/>
              <w:jc w:val="right"/>
              <w:rPr>
                <w:rFonts w:asciiTheme="minorHAnsi" w:hAnsiTheme="minorHAnsi" w:cstheme="minorHAnsi"/>
                <w:b/>
                <w:bCs/>
                <w:color w:val="000000"/>
                <w:sz w:val="22"/>
                <w:szCs w:val="22"/>
              </w:rPr>
            </w:pPr>
          </w:p>
        </w:tc>
        <w:tc>
          <w:tcPr>
            <w:tcW w:w="2243" w:type="pct"/>
            <w:shd w:val="solid" w:color="FFFFFF" w:fill="auto"/>
          </w:tcPr>
          <w:p w14:paraId="3D15A77F" w14:textId="77777777" w:rsidR="00AC0EBC" w:rsidRPr="00677316" w:rsidRDefault="00AC0EBC" w:rsidP="00B83D66">
            <w:pPr>
              <w:autoSpaceDE w:val="0"/>
              <w:autoSpaceDN w:val="0"/>
              <w:adjustRightInd w:val="0"/>
              <w:jc w:val="right"/>
              <w:rPr>
                <w:rFonts w:asciiTheme="minorHAnsi" w:hAnsiTheme="minorHAnsi" w:cstheme="minorHAnsi"/>
                <w:color w:val="000000"/>
                <w:sz w:val="22"/>
                <w:szCs w:val="22"/>
              </w:rPr>
            </w:pPr>
          </w:p>
        </w:tc>
        <w:tc>
          <w:tcPr>
            <w:tcW w:w="607" w:type="pct"/>
            <w:tcBorders>
              <w:top w:val="single" w:sz="4" w:space="0" w:color="auto"/>
            </w:tcBorders>
            <w:shd w:val="clear" w:color="auto" w:fill="FFFF00"/>
          </w:tcPr>
          <w:p w14:paraId="02C779E0" w14:textId="77777777" w:rsidR="00AC0EBC" w:rsidRPr="00677316" w:rsidRDefault="00AC0EBC" w:rsidP="00B83D66">
            <w:pPr>
              <w:autoSpaceDE w:val="0"/>
              <w:autoSpaceDN w:val="0"/>
              <w:adjustRightInd w:val="0"/>
              <w:rPr>
                <w:rFonts w:asciiTheme="minorHAnsi" w:hAnsiTheme="minorHAnsi" w:cstheme="minorHAnsi"/>
                <w:b/>
                <w:bCs/>
                <w:color w:val="000000"/>
                <w:sz w:val="22"/>
                <w:szCs w:val="22"/>
              </w:rPr>
            </w:pPr>
          </w:p>
        </w:tc>
        <w:tc>
          <w:tcPr>
            <w:tcW w:w="541" w:type="pct"/>
            <w:tcBorders>
              <w:top w:val="single" w:sz="4" w:space="0" w:color="auto"/>
            </w:tcBorders>
            <w:shd w:val="solid" w:color="FFFFFF" w:fill="auto"/>
          </w:tcPr>
          <w:p w14:paraId="399B2579" w14:textId="77777777" w:rsidR="00AC0EBC" w:rsidRPr="00677316" w:rsidRDefault="00AC0EBC" w:rsidP="00B83D66">
            <w:pPr>
              <w:autoSpaceDE w:val="0"/>
              <w:autoSpaceDN w:val="0"/>
              <w:adjustRightInd w:val="0"/>
              <w:jc w:val="right"/>
              <w:rPr>
                <w:rFonts w:asciiTheme="minorHAnsi" w:hAnsiTheme="minorHAnsi" w:cstheme="minorHAnsi"/>
                <w:color w:val="000000"/>
                <w:sz w:val="22"/>
                <w:szCs w:val="22"/>
              </w:rPr>
            </w:pPr>
          </w:p>
        </w:tc>
      </w:tr>
      <w:tr w:rsidR="00AC0EBC" w:rsidRPr="00677316" w14:paraId="64989364" w14:textId="77777777" w:rsidTr="007A2AC9">
        <w:trPr>
          <w:trHeight w:val="211"/>
        </w:trPr>
        <w:tc>
          <w:tcPr>
            <w:tcW w:w="3852" w:type="pct"/>
            <w:gridSpan w:val="2"/>
            <w:shd w:val="solid" w:color="FFFFFF" w:fill="auto"/>
          </w:tcPr>
          <w:p w14:paraId="6B407FC7" w14:textId="5CA07847" w:rsidR="00AC0EBC" w:rsidRPr="00677316" w:rsidRDefault="00AC0EBC" w:rsidP="00B83D66">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Other </w:t>
            </w:r>
            <w:r w:rsidRPr="00FA6972">
              <w:rPr>
                <w:rFonts w:asciiTheme="minorHAnsi" w:hAnsiTheme="minorHAnsi" w:cstheme="minorHAnsi"/>
                <w:b/>
                <w:bCs/>
                <w:color w:val="000000"/>
                <w:sz w:val="22"/>
                <w:szCs w:val="22"/>
              </w:rPr>
              <w:t>comprehensive income</w:t>
            </w:r>
            <w:r>
              <w:rPr>
                <w:rFonts w:asciiTheme="minorHAnsi" w:hAnsiTheme="minorHAnsi" w:cstheme="minorHAnsi"/>
                <w:b/>
                <w:bCs/>
                <w:color w:val="000000"/>
                <w:sz w:val="22"/>
                <w:szCs w:val="22"/>
              </w:rPr>
              <w:t xml:space="preserve"> </w:t>
            </w:r>
            <w:r w:rsidRPr="00677316">
              <w:rPr>
                <w:rFonts w:asciiTheme="minorHAnsi" w:hAnsiTheme="minorHAnsi" w:cstheme="minorHAnsi"/>
                <w:b/>
                <w:bCs/>
                <w:color w:val="000000"/>
                <w:sz w:val="22"/>
                <w:szCs w:val="22"/>
              </w:rPr>
              <w:t xml:space="preserve">for the </w:t>
            </w:r>
            <w:r>
              <w:rPr>
                <w:rFonts w:asciiTheme="minorHAnsi" w:hAnsiTheme="minorHAnsi" w:cstheme="minorHAnsi"/>
                <w:b/>
                <w:bCs/>
                <w:color w:val="000000"/>
                <w:sz w:val="22"/>
                <w:szCs w:val="22"/>
              </w:rPr>
              <w:t>quarter</w:t>
            </w:r>
            <w:r w:rsidRPr="00677316">
              <w:rPr>
                <w:rFonts w:asciiTheme="minorHAnsi" w:hAnsiTheme="minorHAnsi" w:cstheme="minorHAnsi"/>
                <w:b/>
                <w:bCs/>
                <w:color w:val="000000"/>
                <w:sz w:val="22"/>
                <w:szCs w:val="22"/>
              </w:rPr>
              <w:t>, net of income tax</w:t>
            </w:r>
          </w:p>
        </w:tc>
        <w:tc>
          <w:tcPr>
            <w:tcW w:w="607" w:type="pct"/>
            <w:tcBorders>
              <w:bottom w:val="single" w:sz="4" w:space="0" w:color="auto"/>
            </w:tcBorders>
            <w:shd w:val="clear" w:color="auto" w:fill="FFFF00"/>
          </w:tcPr>
          <w:p w14:paraId="2472EE01" w14:textId="78EA9B01" w:rsidR="00AC0EBC" w:rsidRPr="00677316" w:rsidRDefault="003D2272" w:rsidP="00B83D66">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103.1</w:t>
            </w:r>
          </w:p>
        </w:tc>
        <w:tc>
          <w:tcPr>
            <w:tcW w:w="541" w:type="pct"/>
            <w:tcBorders>
              <w:bottom w:val="single" w:sz="4" w:space="0" w:color="auto"/>
            </w:tcBorders>
            <w:shd w:val="solid" w:color="FFFFFF" w:fill="auto"/>
          </w:tcPr>
          <w:p w14:paraId="682167D0" w14:textId="3BC5325E" w:rsidR="00AC0EBC" w:rsidRPr="00677316" w:rsidRDefault="00AC0EBC" w:rsidP="00B83D66">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293.2</w:t>
            </w:r>
          </w:p>
        </w:tc>
      </w:tr>
      <w:tr w:rsidR="00AC0EBC" w:rsidRPr="00677316" w14:paraId="15CA651D" w14:textId="77777777" w:rsidTr="007A2AC9">
        <w:trPr>
          <w:trHeight w:val="211"/>
        </w:trPr>
        <w:tc>
          <w:tcPr>
            <w:tcW w:w="3852" w:type="pct"/>
            <w:gridSpan w:val="2"/>
            <w:shd w:val="solid" w:color="FFFFFF" w:fill="auto"/>
          </w:tcPr>
          <w:p w14:paraId="4C5B54B2" w14:textId="77777777" w:rsidR="00AC0EBC" w:rsidRPr="00677316" w:rsidRDefault="00AC0EBC" w:rsidP="00B83D66">
            <w:pPr>
              <w:autoSpaceDE w:val="0"/>
              <w:autoSpaceDN w:val="0"/>
              <w:adjustRightInd w:val="0"/>
              <w:rPr>
                <w:rFonts w:asciiTheme="minorHAnsi" w:hAnsiTheme="minorHAnsi" w:cstheme="minorHAnsi"/>
                <w:b/>
                <w:bCs/>
                <w:color w:val="000000"/>
                <w:sz w:val="22"/>
                <w:szCs w:val="22"/>
              </w:rPr>
            </w:pPr>
          </w:p>
        </w:tc>
        <w:tc>
          <w:tcPr>
            <w:tcW w:w="607" w:type="pct"/>
            <w:tcBorders>
              <w:top w:val="single" w:sz="4" w:space="0" w:color="auto"/>
            </w:tcBorders>
            <w:shd w:val="clear" w:color="auto" w:fill="FFFF00"/>
          </w:tcPr>
          <w:p w14:paraId="66CD03AF" w14:textId="77777777" w:rsidR="00AC0EBC" w:rsidRPr="00677316" w:rsidRDefault="00AC0EBC" w:rsidP="00B83D66">
            <w:pPr>
              <w:autoSpaceDE w:val="0"/>
              <w:autoSpaceDN w:val="0"/>
              <w:adjustRightInd w:val="0"/>
              <w:jc w:val="right"/>
              <w:rPr>
                <w:rFonts w:asciiTheme="minorHAnsi" w:hAnsiTheme="minorHAnsi" w:cstheme="minorHAnsi"/>
                <w:b/>
                <w:bCs/>
                <w:color w:val="000000"/>
                <w:sz w:val="22"/>
                <w:szCs w:val="22"/>
              </w:rPr>
            </w:pPr>
          </w:p>
        </w:tc>
        <w:tc>
          <w:tcPr>
            <w:tcW w:w="541" w:type="pct"/>
            <w:tcBorders>
              <w:top w:val="single" w:sz="4" w:space="0" w:color="auto"/>
            </w:tcBorders>
            <w:shd w:val="solid" w:color="FFFFFF" w:fill="auto"/>
          </w:tcPr>
          <w:p w14:paraId="6213344D" w14:textId="77777777" w:rsidR="00AC0EBC" w:rsidRPr="00677316" w:rsidRDefault="00AC0EBC" w:rsidP="00B83D66">
            <w:pPr>
              <w:autoSpaceDE w:val="0"/>
              <w:autoSpaceDN w:val="0"/>
              <w:adjustRightInd w:val="0"/>
              <w:jc w:val="right"/>
              <w:rPr>
                <w:rFonts w:asciiTheme="minorHAnsi" w:hAnsiTheme="minorHAnsi" w:cstheme="minorHAnsi"/>
                <w:color w:val="000000"/>
                <w:sz w:val="22"/>
                <w:szCs w:val="22"/>
              </w:rPr>
            </w:pPr>
          </w:p>
        </w:tc>
      </w:tr>
      <w:tr w:rsidR="00AC0EBC" w:rsidRPr="00677316" w14:paraId="4F0690C9" w14:textId="77777777" w:rsidTr="007A2AC9">
        <w:trPr>
          <w:trHeight w:val="211"/>
        </w:trPr>
        <w:tc>
          <w:tcPr>
            <w:tcW w:w="3852" w:type="pct"/>
            <w:gridSpan w:val="2"/>
            <w:shd w:val="solid" w:color="FFFFFF" w:fill="auto"/>
          </w:tcPr>
          <w:p w14:paraId="1095B5AC" w14:textId="19419FAC" w:rsidR="00AC0EBC" w:rsidRPr="00677316" w:rsidRDefault="00AC0EBC" w:rsidP="00B83D66">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Total comprehensive </w:t>
            </w:r>
            <w:r>
              <w:rPr>
                <w:rFonts w:asciiTheme="minorHAnsi" w:hAnsiTheme="minorHAnsi" w:cstheme="minorHAnsi"/>
                <w:b/>
                <w:bCs/>
                <w:color w:val="000000"/>
                <w:sz w:val="22"/>
                <w:szCs w:val="22"/>
              </w:rPr>
              <w:t>(loss)/</w:t>
            </w:r>
            <w:r w:rsidRPr="00677316">
              <w:rPr>
                <w:rFonts w:asciiTheme="minorHAnsi" w:hAnsiTheme="minorHAnsi" w:cstheme="minorHAnsi"/>
                <w:b/>
                <w:bCs/>
                <w:color w:val="000000"/>
                <w:sz w:val="22"/>
                <w:szCs w:val="22"/>
              </w:rPr>
              <w:t>income for th</w:t>
            </w:r>
            <w:r>
              <w:rPr>
                <w:rFonts w:asciiTheme="minorHAnsi" w:hAnsiTheme="minorHAnsi" w:cstheme="minorHAnsi"/>
                <w:b/>
                <w:bCs/>
                <w:color w:val="000000"/>
                <w:sz w:val="22"/>
                <w:szCs w:val="22"/>
              </w:rPr>
              <w:t>e quarter -</w:t>
            </w:r>
            <w:r w:rsidR="000D4D17">
              <w:rPr>
                <w:rFonts w:asciiTheme="minorHAnsi" w:hAnsiTheme="minorHAnsi" w:cstheme="minorHAnsi"/>
                <w:b/>
                <w:bCs/>
                <w:color w:val="000000"/>
                <w:sz w:val="22"/>
                <w:szCs w:val="22"/>
              </w:rPr>
              <w:t xml:space="preserve"> all</w:t>
            </w:r>
            <w:r>
              <w:rPr>
                <w:rFonts w:asciiTheme="minorHAnsi" w:hAnsiTheme="minorHAnsi" w:cstheme="minorHAnsi"/>
                <w:b/>
                <w:bCs/>
                <w:color w:val="000000"/>
                <w:sz w:val="22"/>
                <w:szCs w:val="22"/>
              </w:rPr>
              <w:t xml:space="preserve"> </w:t>
            </w:r>
            <w:r w:rsidRPr="00677316">
              <w:rPr>
                <w:rFonts w:asciiTheme="minorHAnsi" w:hAnsiTheme="minorHAnsi" w:cstheme="minorHAnsi"/>
                <w:b/>
                <w:bCs/>
                <w:color w:val="000000"/>
                <w:sz w:val="22"/>
                <w:szCs w:val="22"/>
              </w:rPr>
              <w:t>attributable to equity holders of parent</w:t>
            </w:r>
          </w:p>
        </w:tc>
        <w:tc>
          <w:tcPr>
            <w:tcW w:w="607" w:type="pct"/>
            <w:tcBorders>
              <w:bottom w:val="single" w:sz="4" w:space="0" w:color="auto"/>
            </w:tcBorders>
            <w:shd w:val="clear" w:color="auto" w:fill="FFFF00"/>
          </w:tcPr>
          <w:p w14:paraId="5A673A6F" w14:textId="3F37548D" w:rsidR="00AC0EBC" w:rsidRPr="00677316" w:rsidRDefault="003D2272" w:rsidP="00B83D66">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(122.4)</w:t>
            </w:r>
          </w:p>
        </w:tc>
        <w:tc>
          <w:tcPr>
            <w:tcW w:w="541" w:type="pct"/>
            <w:tcBorders>
              <w:bottom w:val="single" w:sz="4" w:space="0" w:color="auto"/>
            </w:tcBorders>
            <w:shd w:val="solid" w:color="FFFFFF" w:fill="auto"/>
          </w:tcPr>
          <w:p w14:paraId="4539A1F2" w14:textId="58B76CAF" w:rsidR="00AC0EBC" w:rsidRPr="00677316" w:rsidRDefault="00AC0EBC" w:rsidP="00B83D66">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1,203.4</w:t>
            </w:r>
          </w:p>
        </w:tc>
      </w:tr>
    </w:tbl>
    <w:p w14:paraId="30AF6179" w14:textId="74E0CF27" w:rsidR="00AC0EBC" w:rsidRDefault="00AC0EBC" w:rsidP="00D72D0A">
      <w:pPr>
        <w:autoSpaceDE w:val="0"/>
        <w:autoSpaceDN w:val="0"/>
        <w:adjustRightInd w:val="0"/>
        <w:rPr>
          <w:rFonts w:asciiTheme="minorHAnsi" w:hAnsiTheme="minorHAnsi" w:cstheme="minorHAnsi"/>
          <w:b/>
          <w:bCs/>
          <w:color w:val="000000"/>
        </w:rPr>
      </w:pPr>
    </w:p>
    <w:p w14:paraId="6F77F411" w14:textId="77777777" w:rsidR="00F14775" w:rsidRDefault="00F14775" w:rsidP="00D72D0A">
      <w:pPr>
        <w:autoSpaceDE w:val="0"/>
        <w:autoSpaceDN w:val="0"/>
        <w:adjustRightInd w:val="0"/>
        <w:rPr>
          <w:rFonts w:asciiTheme="minorHAnsi" w:hAnsiTheme="minorHAnsi" w:cstheme="minorHAnsi"/>
          <w:b/>
          <w:bCs/>
          <w:color w:val="000000"/>
        </w:rPr>
      </w:pPr>
    </w:p>
    <w:p w14:paraId="35F169BE" w14:textId="7BC43197" w:rsidR="00D72D0A" w:rsidRPr="006D0437" w:rsidRDefault="00D72D0A" w:rsidP="00D72D0A">
      <w:pPr>
        <w:autoSpaceDE w:val="0"/>
        <w:autoSpaceDN w:val="0"/>
        <w:adjustRightInd w:val="0"/>
        <w:rPr>
          <w:rFonts w:asciiTheme="minorHAnsi" w:hAnsiTheme="minorHAnsi" w:cstheme="minorHAnsi"/>
          <w:b/>
          <w:bCs/>
          <w:color w:val="000000"/>
        </w:rPr>
      </w:pPr>
      <w:r w:rsidRPr="006D0437">
        <w:rPr>
          <w:rFonts w:asciiTheme="minorHAnsi" w:hAnsiTheme="minorHAnsi" w:cstheme="minorHAnsi"/>
          <w:b/>
          <w:bCs/>
          <w:color w:val="000000"/>
        </w:rPr>
        <w:lastRenderedPageBreak/>
        <w:t>Ryanair Holdings plc and Subsidiaries</w:t>
      </w:r>
    </w:p>
    <w:p w14:paraId="097269A1" w14:textId="173F3984" w:rsidR="00D72D0A" w:rsidRPr="00DB22BA" w:rsidRDefault="00D72D0A" w:rsidP="00D72D0A">
      <w:pPr>
        <w:ind w:right="-279"/>
        <w:rPr>
          <w:rFonts w:ascii="Calibri" w:hAnsi="Calibri" w:cs="Calibri"/>
        </w:rPr>
      </w:pPr>
      <w:r w:rsidRPr="00DB22BA">
        <w:rPr>
          <w:rFonts w:ascii="Calibri" w:hAnsi="Calibri" w:cs="Calibri"/>
          <w:b/>
          <w:bCs/>
          <w:i/>
          <w:iCs/>
          <w:color w:val="000000"/>
        </w:rPr>
        <w:t xml:space="preserve">Condensed Consolidated </w:t>
      </w:r>
      <w:r w:rsidR="00A20A73">
        <w:rPr>
          <w:rFonts w:ascii="Calibri" w:hAnsi="Calibri" w:cs="Calibri"/>
          <w:b/>
          <w:bCs/>
          <w:i/>
          <w:iCs/>
          <w:color w:val="000000"/>
        </w:rPr>
        <w:t>Interim</w:t>
      </w:r>
      <w:r>
        <w:rPr>
          <w:rFonts w:ascii="Calibri" w:hAnsi="Calibri" w:cs="Calibri"/>
          <w:b/>
          <w:bCs/>
          <w:i/>
          <w:iCs/>
          <w:color w:val="000000"/>
        </w:rPr>
        <w:t xml:space="preserve"> </w:t>
      </w:r>
      <w:r w:rsidRPr="00DB22BA">
        <w:rPr>
          <w:rFonts w:ascii="Calibri" w:hAnsi="Calibri" w:cs="Calibri"/>
          <w:b/>
          <w:bCs/>
          <w:i/>
          <w:iCs/>
          <w:color w:val="000000"/>
        </w:rPr>
        <w:t>Statement of Cash Flows for th</w:t>
      </w:r>
      <w:r>
        <w:rPr>
          <w:rFonts w:ascii="Calibri" w:hAnsi="Calibri" w:cs="Calibri"/>
          <w:b/>
          <w:bCs/>
          <w:i/>
          <w:iCs/>
          <w:color w:val="000000"/>
        </w:rPr>
        <w:t xml:space="preserve">e </w:t>
      </w:r>
      <w:r w:rsidR="00A24B23">
        <w:rPr>
          <w:rFonts w:ascii="Calibri" w:hAnsi="Calibri" w:cs="Calibri"/>
          <w:b/>
          <w:bCs/>
          <w:i/>
          <w:iCs/>
          <w:color w:val="000000"/>
        </w:rPr>
        <w:t>Half-Year</w:t>
      </w:r>
      <w:r w:rsidRPr="00DB22BA">
        <w:rPr>
          <w:rFonts w:ascii="Calibri" w:hAnsi="Calibri" w:cs="Calibri"/>
          <w:b/>
          <w:bCs/>
          <w:i/>
          <w:iCs/>
          <w:color w:val="000000"/>
        </w:rPr>
        <w:t xml:space="preserve"> ended</w:t>
      </w:r>
      <w:r>
        <w:rPr>
          <w:rFonts w:ascii="Calibri" w:hAnsi="Calibri" w:cs="Calibri"/>
          <w:b/>
          <w:bCs/>
          <w:i/>
          <w:iCs/>
          <w:color w:val="000000"/>
        </w:rPr>
        <w:t xml:space="preserve"> </w:t>
      </w:r>
      <w:r w:rsidR="00FC32D7">
        <w:rPr>
          <w:rFonts w:ascii="Calibri" w:hAnsi="Calibri" w:cs="Calibri"/>
          <w:b/>
          <w:bCs/>
          <w:i/>
          <w:iCs/>
          <w:color w:val="000000"/>
        </w:rPr>
        <w:t>September</w:t>
      </w:r>
      <w:r>
        <w:rPr>
          <w:rFonts w:ascii="Calibri" w:hAnsi="Calibri" w:cs="Calibri"/>
          <w:b/>
          <w:bCs/>
          <w:i/>
          <w:iCs/>
          <w:color w:val="000000"/>
        </w:rPr>
        <w:t xml:space="preserve"> 3</w:t>
      </w:r>
      <w:r w:rsidR="00EB66A3">
        <w:rPr>
          <w:rFonts w:ascii="Calibri" w:hAnsi="Calibri" w:cs="Calibri"/>
          <w:b/>
          <w:bCs/>
          <w:i/>
          <w:iCs/>
          <w:color w:val="000000"/>
        </w:rPr>
        <w:t>0</w:t>
      </w:r>
      <w:r w:rsidRPr="00DB22BA">
        <w:rPr>
          <w:rFonts w:ascii="Calibri" w:hAnsi="Calibri" w:cs="Calibri"/>
          <w:b/>
          <w:bCs/>
          <w:i/>
          <w:iCs/>
          <w:color w:val="000000"/>
        </w:rPr>
        <w:t>, 20</w:t>
      </w:r>
      <w:r w:rsidR="00527A9A">
        <w:rPr>
          <w:rFonts w:ascii="Calibri" w:hAnsi="Calibri" w:cs="Calibri"/>
          <w:b/>
          <w:bCs/>
          <w:i/>
          <w:iCs/>
          <w:color w:val="000000"/>
        </w:rPr>
        <w:t>20</w:t>
      </w:r>
      <w:r>
        <w:rPr>
          <w:rFonts w:ascii="Calibri" w:hAnsi="Calibri" w:cs="Calibri"/>
          <w:b/>
          <w:bCs/>
          <w:i/>
          <w:iCs/>
          <w:color w:val="000000"/>
        </w:rPr>
        <w:t xml:space="preserve"> </w:t>
      </w:r>
      <w:r w:rsidRPr="00DB22BA">
        <w:rPr>
          <w:rFonts w:ascii="Calibri" w:hAnsi="Calibri" w:cs="Calibri"/>
          <w:b/>
          <w:bCs/>
          <w:i/>
          <w:iCs/>
          <w:color w:val="000000"/>
        </w:rPr>
        <w:t>(unaudited)</w:t>
      </w:r>
    </w:p>
    <w:tbl>
      <w:tblPr>
        <w:tblW w:w="11199" w:type="dxa"/>
        <w:tblLook w:val="0000" w:firstRow="0" w:lastRow="0" w:firstColumn="0" w:lastColumn="0" w:noHBand="0" w:noVBand="0"/>
      </w:tblPr>
      <w:tblGrid>
        <w:gridCol w:w="275"/>
        <w:gridCol w:w="7665"/>
        <w:gridCol w:w="746"/>
        <w:gridCol w:w="1205"/>
        <w:gridCol w:w="1308"/>
      </w:tblGrid>
      <w:tr w:rsidR="00D72D0A" w:rsidRPr="00677316" w14:paraId="4E0D10D3" w14:textId="77777777" w:rsidTr="007A2AC9">
        <w:trPr>
          <w:trHeight w:val="247"/>
        </w:trPr>
        <w:tc>
          <w:tcPr>
            <w:tcW w:w="123" w:type="pct"/>
          </w:tcPr>
          <w:p w14:paraId="054B0388"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29D33B2B" w14:textId="77777777" w:rsidR="00D72D0A" w:rsidRPr="00677316" w:rsidRDefault="00D72D0A" w:rsidP="00B06D81">
            <w:pPr>
              <w:autoSpaceDE w:val="0"/>
              <w:autoSpaceDN w:val="0"/>
              <w:adjustRightInd w:val="0"/>
              <w:jc w:val="right"/>
              <w:rPr>
                <w:rFonts w:asciiTheme="minorHAnsi" w:hAnsiTheme="minorHAnsi" w:cstheme="minorHAnsi"/>
                <w:b/>
                <w:color w:val="000000"/>
                <w:sz w:val="22"/>
                <w:szCs w:val="22"/>
                <w:u w:val="single"/>
              </w:rPr>
            </w:pPr>
          </w:p>
        </w:tc>
        <w:tc>
          <w:tcPr>
            <w:tcW w:w="333" w:type="pct"/>
          </w:tcPr>
          <w:p w14:paraId="2791B465"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1BC23D04" w14:textId="77777777" w:rsidR="00D72D0A" w:rsidRDefault="00D72D0A" w:rsidP="00B06D81">
            <w:pPr>
              <w:autoSpaceDE w:val="0"/>
              <w:autoSpaceDN w:val="0"/>
              <w:adjustRightInd w:val="0"/>
              <w:jc w:val="center"/>
              <w:rPr>
                <w:rFonts w:asciiTheme="minorHAnsi" w:hAnsiTheme="minorHAnsi" w:cstheme="minorHAnsi"/>
                <w:b/>
                <w:bCs/>
                <w:color w:val="000000"/>
                <w:sz w:val="22"/>
                <w:szCs w:val="22"/>
              </w:rPr>
            </w:pPr>
          </w:p>
          <w:p w14:paraId="05AB9062" w14:textId="11D8B6A7" w:rsidR="00D72D0A" w:rsidRPr="00677316" w:rsidRDefault="00A24B23"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Half-</w:t>
            </w:r>
            <w:r w:rsidR="00527A9A">
              <w:rPr>
                <w:rFonts w:asciiTheme="minorHAnsi" w:hAnsiTheme="minorHAnsi" w:cstheme="minorHAnsi"/>
                <w:b/>
                <w:bCs/>
                <w:color w:val="000000"/>
                <w:sz w:val="22"/>
                <w:szCs w:val="22"/>
              </w:rPr>
              <w:t>Year</w:t>
            </w:r>
          </w:p>
        </w:tc>
        <w:tc>
          <w:tcPr>
            <w:tcW w:w="584" w:type="pct"/>
            <w:shd w:val="clear" w:color="auto" w:fill="auto"/>
          </w:tcPr>
          <w:p w14:paraId="21CEAF7C" w14:textId="77777777" w:rsidR="00D72D0A" w:rsidRDefault="00D72D0A" w:rsidP="00B06D81">
            <w:pPr>
              <w:autoSpaceDE w:val="0"/>
              <w:autoSpaceDN w:val="0"/>
              <w:adjustRightInd w:val="0"/>
              <w:jc w:val="right"/>
              <w:rPr>
                <w:rFonts w:asciiTheme="minorHAnsi" w:hAnsiTheme="minorHAnsi" w:cstheme="minorHAnsi"/>
                <w:bCs/>
                <w:color w:val="000000"/>
                <w:sz w:val="22"/>
                <w:szCs w:val="22"/>
              </w:rPr>
            </w:pPr>
          </w:p>
          <w:p w14:paraId="112EDE26" w14:textId="6A0973CC" w:rsidR="00D72D0A" w:rsidRPr="005178C7" w:rsidRDefault="00A24B23"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Half-</w:t>
            </w:r>
            <w:r w:rsidR="00527A9A">
              <w:rPr>
                <w:rFonts w:asciiTheme="minorHAnsi" w:hAnsiTheme="minorHAnsi" w:cstheme="minorHAnsi"/>
                <w:color w:val="000000"/>
                <w:sz w:val="22"/>
                <w:szCs w:val="22"/>
              </w:rPr>
              <w:t>Year</w:t>
            </w:r>
          </w:p>
        </w:tc>
      </w:tr>
      <w:tr w:rsidR="00D72D0A" w:rsidRPr="00677316" w14:paraId="1138017E" w14:textId="77777777" w:rsidTr="007A2AC9">
        <w:trPr>
          <w:trHeight w:val="247"/>
        </w:trPr>
        <w:tc>
          <w:tcPr>
            <w:tcW w:w="123" w:type="pct"/>
          </w:tcPr>
          <w:p w14:paraId="664B5142"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72792C50"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c>
          <w:tcPr>
            <w:tcW w:w="333" w:type="pct"/>
          </w:tcPr>
          <w:p w14:paraId="2DA5E303"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5002BDEF"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Ended</w:t>
            </w:r>
          </w:p>
        </w:tc>
        <w:tc>
          <w:tcPr>
            <w:tcW w:w="584" w:type="pct"/>
            <w:shd w:val="clear" w:color="auto" w:fill="auto"/>
          </w:tcPr>
          <w:p w14:paraId="143D5D7B" w14:textId="77777777" w:rsidR="00D72D0A" w:rsidRPr="00677316" w:rsidRDefault="00D72D0A" w:rsidP="00B06D81">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Ended</w:t>
            </w:r>
          </w:p>
        </w:tc>
      </w:tr>
      <w:tr w:rsidR="00D72D0A" w:rsidRPr="00677316" w14:paraId="67D1DD25" w14:textId="77777777" w:rsidTr="007A2AC9">
        <w:trPr>
          <w:trHeight w:val="247"/>
        </w:trPr>
        <w:tc>
          <w:tcPr>
            <w:tcW w:w="123" w:type="pct"/>
          </w:tcPr>
          <w:p w14:paraId="2C9DEF07"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41E7B87C"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c>
          <w:tcPr>
            <w:tcW w:w="333" w:type="pct"/>
          </w:tcPr>
          <w:p w14:paraId="719D37D3"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37737E22" w14:textId="31B2AB6E" w:rsidR="00D72D0A" w:rsidRPr="00677316" w:rsidRDefault="00A24B23"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Sep</w:t>
            </w:r>
            <w:r w:rsidR="00D72D0A">
              <w:rPr>
                <w:rFonts w:asciiTheme="minorHAnsi" w:hAnsiTheme="minorHAnsi" w:cstheme="minorHAnsi"/>
                <w:b/>
                <w:bCs/>
                <w:color w:val="000000"/>
                <w:sz w:val="22"/>
                <w:szCs w:val="22"/>
              </w:rPr>
              <w:t xml:space="preserve"> 3</w:t>
            </w:r>
            <w:r w:rsidR="00EB66A3">
              <w:rPr>
                <w:rFonts w:asciiTheme="minorHAnsi" w:hAnsiTheme="minorHAnsi" w:cstheme="minorHAnsi"/>
                <w:b/>
                <w:bCs/>
                <w:color w:val="000000"/>
                <w:sz w:val="22"/>
                <w:szCs w:val="22"/>
              </w:rPr>
              <w:t>0</w:t>
            </w:r>
            <w:r w:rsidR="00D72D0A">
              <w:rPr>
                <w:rFonts w:asciiTheme="minorHAnsi" w:hAnsiTheme="minorHAnsi" w:cstheme="minorHAnsi"/>
                <w:b/>
                <w:bCs/>
                <w:color w:val="000000"/>
                <w:sz w:val="22"/>
                <w:szCs w:val="22"/>
              </w:rPr>
              <w:t>,</w:t>
            </w:r>
          </w:p>
        </w:tc>
        <w:tc>
          <w:tcPr>
            <w:tcW w:w="584" w:type="pct"/>
            <w:shd w:val="clear" w:color="auto" w:fill="auto"/>
          </w:tcPr>
          <w:p w14:paraId="64BAA827" w14:textId="009E180F" w:rsidR="00D72D0A" w:rsidRPr="00677316" w:rsidRDefault="00A24B23" w:rsidP="00B06D81">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Sep</w:t>
            </w:r>
            <w:r w:rsidR="00D72D0A">
              <w:rPr>
                <w:rFonts w:asciiTheme="minorHAnsi" w:hAnsiTheme="minorHAnsi" w:cstheme="minorHAnsi"/>
                <w:bCs/>
                <w:color w:val="000000"/>
                <w:sz w:val="22"/>
                <w:szCs w:val="22"/>
              </w:rPr>
              <w:t xml:space="preserve"> 3</w:t>
            </w:r>
            <w:r w:rsidR="00EB66A3">
              <w:rPr>
                <w:rFonts w:asciiTheme="minorHAnsi" w:hAnsiTheme="minorHAnsi" w:cstheme="minorHAnsi"/>
                <w:bCs/>
                <w:color w:val="000000"/>
                <w:sz w:val="22"/>
                <w:szCs w:val="22"/>
              </w:rPr>
              <w:t>0</w:t>
            </w:r>
            <w:r w:rsidR="00D72D0A" w:rsidRPr="00677316">
              <w:rPr>
                <w:rFonts w:asciiTheme="minorHAnsi" w:hAnsiTheme="minorHAnsi" w:cstheme="minorHAnsi"/>
                <w:bCs/>
                <w:color w:val="000000"/>
                <w:sz w:val="22"/>
                <w:szCs w:val="22"/>
              </w:rPr>
              <w:t>,</w:t>
            </w:r>
          </w:p>
        </w:tc>
      </w:tr>
      <w:tr w:rsidR="00D72D0A" w:rsidRPr="00677316" w14:paraId="75167B49" w14:textId="77777777" w:rsidTr="007A2AC9">
        <w:trPr>
          <w:trHeight w:val="247"/>
        </w:trPr>
        <w:tc>
          <w:tcPr>
            <w:tcW w:w="123" w:type="pct"/>
          </w:tcPr>
          <w:p w14:paraId="791DD3BE"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0851112B"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c>
          <w:tcPr>
            <w:tcW w:w="333" w:type="pct"/>
          </w:tcPr>
          <w:p w14:paraId="290C5CE3"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5A544821" w14:textId="4D6D39FC"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20</w:t>
            </w:r>
            <w:r w:rsidR="00527A9A">
              <w:rPr>
                <w:rFonts w:asciiTheme="minorHAnsi" w:hAnsiTheme="minorHAnsi" w:cstheme="minorHAnsi"/>
                <w:b/>
                <w:bCs/>
                <w:color w:val="000000"/>
                <w:sz w:val="22"/>
                <w:szCs w:val="22"/>
              </w:rPr>
              <w:t>20</w:t>
            </w:r>
          </w:p>
        </w:tc>
        <w:tc>
          <w:tcPr>
            <w:tcW w:w="584" w:type="pct"/>
            <w:shd w:val="clear" w:color="auto" w:fill="auto"/>
          </w:tcPr>
          <w:p w14:paraId="5736DAE7" w14:textId="50D5252A" w:rsidR="00D72D0A" w:rsidRDefault="00D72D0A" w:rsidP="00B06D81">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20</w:t>
            </w:r>
            <w:r w:rsidR="00527A9A">
              <w:rPr>
                <w:rFonts w:asciiTheme="minorHAnsi" w:hAnsiTheme="minorHAnsi" w:cstheme="minorHAnsi"/>
                <w:bCs/>
                <w:color w:val="000000"/>
                <w:sz w:val="22"/>
                <w:szCs w:val="22"/>
              </w:rPr>
              <w:t>19</w:t>
            </w:r>
          </w:p>
          <w:p w14:paraId="1BFFA337" w14:textId="77777777" w:rsidR="00B47F14" w:rsidRDefault="00B47F14" w:rsidP="00B06D81">
            <w:pPr>
              <w:autoSpaceDE w:val="0"/>
              <w:autoSpaceDN w:val="0"/>
              <w:adjustRightInd w:val="0"/>
              <w:jc w:val="right"/>
              <w:rPr>
                <w:rFonts w:asciiTheme="minorHAnsi" w:hAnsiTheme="minorHAnsi" w:cstheme="minorHAnsi"/>
                <w:bCs/>
                <w:color w:val="000000"/>
                <w:sz w:val="22"/>
                <w:szCs w:val="22"/>
              </w:rPr>
            </w:pPr>
          </w:p>
          <w:p w14:paraId="6E6007C1" w14:textId="0131068E" w:rsidR="00B47F14" w:rsidRPr="00677316" w:rsidRDefault="00B47F14" w:rsidP="00B06D81">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*Restated</w:t>
            </w:r>
          </w:p>
        </w:tc>
      </w:tr>
      <w:tr w:rsidR="00D72D0A" w:rsidRPr="00677316" w14:paraId="6A4A2EA7" w14:textId="77777777" w:rsidTr="007A2AC9">
        <w:trPr>
          <w:trHeight w:val="247"/>
        </w:trPr>
        <w:tc>
          <w:tcPr>
            <w:tcW w:w="123" w:type="pct"/>
          </w:tcPr>
          <w:p w14:paraId="7A84893D"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4991F4C0"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c>
          <w:tcPr>
            <w:tcW w:w="333" w:type="pct"/>
          </w:tcPr>
          <w:p w14:paraId="7F6752DF"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u w:val="single"/>
              </w:rPr>
            </w:pPr>
            <w:r w:rsidRPr="00677316">
              <w:rPr>
                <w:rFonts w:asciiTheme="minorHAnsi" w:hAnsiTheme="minorHAnsi" w:cstheme="minorHAnsi"/>
                <w:b/>
                <w:bCs/>
                <w:color w:val="000000"/>
                <w:sz w:val="22"/>
                <w:szCs w:val="22"/>
                <w:u w:val="single"/>
              </w:rPr>
              <w:t>Note</w:t>
            </w:r>
          </w:p>
        </w:tc>
        <w:tc>
          <w:tcPr>
            <w:tcW w:w="538" w:type="pct"/>
            <w:shd w:val="clear" w:color="auto" w:fill="FFFF00"/>
          </w:tcPr>
          <w:p w14:paraId="39E32F25"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u w:val="single"/>
              </w:rPr>
            </w:pPr>
            <w:r w:rsidRPr="00677316">
              <w:rPr>
                <w:rFonts w:asciiTheme="minorHAnsi" w:hAnsiTheme="minorHAnsi" w:cstheme="minorHAnsi"/>
                <w:b/>
                <w:bCs/>
                <w:color w:val="000000"/>
                <w:sz w:val="22"/>
                <w:szCs w:val="22"/>
                <w:u w:val="single"/>
              </w:rPr>
              <w:t>€</w:t>
            </w:r>
            <w:r>
              <w:rPr>
                <w:rFonts w:asciiTheme="minorHAnsi" w:hAnsiTheme="minorHAnsi" w:cstheme="minorHAnsi"/>
                <w:b/>
                <w:bCs/>
                <w:color w:val="000000"/>
                <w:sz w:val="22"/>
                <w:szCs w:val="22"/>
                <w:u w:val="single"/>
              </w:rPr>
              <w:t>M</w:t>
            </w:r>
          </w:p>
        </w:tc>
        <w:tc>
          <w:tcPr>
            <w:tcW w:w="584" w:type="pct"/>
            <w:shd w:val="clear" w:color="auto" w:fill="auto"/>
          </w:tcPr>
          <w:p w14:paraId="5B947B47" w14:textId="77777777" w:rsidR="00D72D0A" w:rsidRPr="00677316" w:rsidRDefault="00D72D0A" w:rsidP="00B06D81">
            <w:pPr>
              <w:autoSpaceDE w:val="0"/>
              <w:autoSpaceDN w:val="0"/>
              <w:adjustRightInd w:val="0"/>
              <w:jc w:val="right"/>
              <w:rPr>
                <w:rFonts w:asciiTheme="minorHAnsi" w:hAnsiTheme="minorHAnsi" w:cstheme="minorHAnsi"/>
                <w:bCs/>
                <w:color w:val="000000"/>
                <w:sz w:val="22"/>
                <w:szCs w:val="22"/>
                <w:u w:val="single"/>
              </w:rPr>
            </w:pPr>
            <w:r w:rsidRPr="00677316">
              <w:rPr>
                <w:rFonts w:asciiTheme="minorHAnsi" w:hAnsiTheme="minorHAnsi" w:cstheme="minorHAnsi"/>
                <w:bCs/>
                <w:color w:val="000000"/>
                <w:sz w:val="22"/>
                <w:szCs w:val="22"/>
                <w:u w:val="single"/>
              </w:rPr>
              <w:t>€</w:t>
            </w:r>
            <w:r>
              <w:rPr>
                <w:rFonts w:asciiTheme="minorHAnsi" w:hAnsiTheme="minorHAnsi" w:cstheme="minorHAnsi"/>
                <w:bCs/>
                <w:color w:val="000000"/>
                <w:sz w:val="22"/>
                <w:szCs w:val="22"/>
                <w:u w:val="single"/>
              </w:rPr>
              <w:t>M</w:t>
            </w:r>
          </w:p>
        </w:tc>
      </w:tr>
      <w:tr w:rsidR="00D72D0A" w:rsidRPr="00677316" w14:paraId="57B34D74" w14:textId="77777777" w:rsidTr="007A2AC9">
        <w:trPr>
          <w:trHeight w:val="247"/>
        </w:trPr>
        <w:tc>
          <w:tcPr>
            <w:tcW w:w="3545" w:type="pct"/>
            <w:gridSpan w:val="2"/>
          </w:tcPr>
          <w:p w14:paraId="3AECB108"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Operating activities</w:t>
            </w:r>
          </w:p>
        </w:tc>
        <w:tc>
          <w:tcPr>
            <w:tcW w:w="333" w:type="pct"/>
          </w:tcPr>
          <w:p w14:paraId="25505D1E"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1711203E"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shd w:val="clear" w:color="auto" w:fill="auto"/>
          </w:tcPr>
          <w:p w14:paraId="070EA3EC"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1ABB8055" w14:textId="77777777" w:rsidTr="007A2AC9">
        <w:trPr>
          <w:trHeight w:val="247"/>
        </w:trPr>
        <w:tc>
          <w:tcPr>
            <w:tcW w:w="123" w:type="pct"/>
          </w:tcPr>
          <w:p w14:paraId="14AF483D"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2373119F" w14:textId="7C3031B1" w:rsidR="00D72D0A" w:rsidRPr="00677316" w:rsidRDefault="00EB66A3"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(Loss)/p</w:t>
            </w:r>
            <w:r w:rsidR="00D72D0A" w:rsidRPr="00677316">
              <w:rPr>
                <w:rFonts w:asciiTheme="minorHAnsi" w:hAnsiTheme="minorHAnsi" w:cstheme="minorHAnsi"/>
                <w:color w:val="000000"/>
                <w:sz w:val="22"/>
                <w:szCs w:val="22"/>
              </w:rPr>
              <w:t>rofit after tax</w:t>
            </w:r>
          </w:p>
        </w:tc>
        <w:tc>
          <w:tcPr>
            <w:tcW w:w="333" w:type="pct"/>
          </w:tcPr>
          <w:p w14:paraId="1077C2DA"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5D7AE09D" w14:textId="70C2CD23" w:rsidR="00D72D0A" w:rsidRPr="00154F4C" w:rsidRDefault="003D2272"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(410.5)</w:t>
            </w:r>
          </w:p>
        </w:tc>
        <w:tc>
          <w:tcPr>
            <w:tcW w:w="584" w:type="pct"/>
          </w:tcPr>
          <w:p w14:paraId="4E07C272" w14:textId="424DF668" w:rsidR="00D72D0A" w:rsidRPr="00677316" w:rsidRDefault="000608BE" w:rsidP="00B06D81">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1,152.7</w:t>
            </w:r>
          </w:p>
        </w:tc>
      </w:tr>
      <w:tr w:rsidR="00D72D0A" w:rsidRPr="00677316" w14:paraId="1D614F2B" w14:textId="77777777" w:rsidTr="007A2AC9">
        <w:trPr>
          <w:trHeight w:val="247"/>
        </w:trPr>
        <w:tc>
          <w:tcPr>
            <w:tcW w:w="123" w:type="pct"/>
          </w:tcPr>
          <w:p w14:paraId="26370C74"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28E5943C"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c>
          <w:tcPr>
            <w:tcW w:w="333" w:type="pct"/>
          </w:tcPr>
          <w:p w14:paraId="0A749053"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34D1816A" w14:textId="77777777" w:rsidR="00D72D0A" w:rsidRPr="00154F4C"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tcPr>
          <w:p w14:paraId="645EA15D" w14:textId="77777777" w:rsidR="00D72D0A" w:rsidRPr="00677316" w:rsidRDefault="00D72D0A" w:rsidP="00B06D81">
            <w:pPr>
              <w:autoSpaceDE w:val="0"/>
              <w:autoSpaceDN w:val="0"/>
              <w:adjustRightInd w:val="0"/>
              <w:jc w:val="right"/>
              <w:rPr>
                <w:rFonts w:asciiTheme="minorHAnsi" w:hAnsiTheme="minorHAnsi" w:cstheme="minorHAnsi"/>
                <w:bCs/>
                <w:color w:val="000000"/>
                <w:sz w:val="22"/>
                <w:szCs w:val="22"/>
              </w:rPr>
            </w:pPr>
          </w:p>
        </w:tc>
      </w:tr>
      <w:tr w:rsidR="00D72D0A" w:rsidRPr="00677316" w14:paraId="5E91A276" w14:textId="77777777" w:rsidTr="007A2AC9">
        <w:trPr>
          <w:trHeight w:val="262"/>
        </w:trPr>
        <w:tc>
          <w:tcPr>
            <w:tcW w:w="3545" w:type="pct"/>
            <w:gridSpan w:val="2"/>
          </w:tcPr>
          <w:p w14:paraId="3926EB0E" w14:textId="34E0CE77" w:rsidR="00D72D0A" w:rsidRPr="00677316" w:rsidRDefault="00D72D0A" w:rsidP="00B06D81">
            <w:pPr>
              <w:autoSpaceDE w:val="0"/>
              <w:autoSpaceDN w:val="0"/>
              <w:adjustRightInd w:val="0"/>
              <w:rPr>
                <w:rFonts w:asciiTheme="minorHAnsi" w:hAnsiTheme="minorHAnsi" w:cstheme="minorHAnsi"/>
                <w:b/>
                <w:bCs/>
                <w:i/>
                <w:iCs/>
                <w:color w:val="000000"/>
                <w:sz w:val="22"/>
                <w:szCs w:val="22"/>
              </w:rPr>
            </w:pPr>
            <w:r w:rsidRPr="00677316">
              <w:rPr>
                <w:rFonts w:asciiTheme="minorHAnsi" w:hAnsiTheme="minorHAnsi" w:cstheme="minorHAnsi"/>
                <w:b/>
                <w:bCs/>
                <w:i/>
                <w:iCs/>
                <w:color w:val="000000"/>
                <w:sz w:val="22"/>
                <w:szCs w:val="22"/>
              </w:rPr>
              <w:t xml:space="preserve">Adjustments to reconcile profit </w:t>
            </w:r>
            <w:r>
              <w:rPr>
                <w:rFonts w:asciiTheme="minorHAnsi" w:hAnsiTheme="minorHAnsi" w:cstheme="minorHAnsi"/>
                <w:b/>
                <w:bCs/>
                <w:i/>
                <w:iCs/>
                <w:color w:val="000000"/>
                <w:sz w:val="22"/>
                <w:szCs w:val="22"/>
              </w:rPr>
              <w:t>after</w:t>
            </w:r>
            <w:r w:rsidRPr="00677316">
              <w:rPr>
                <w:rFonts w:asciiTheme="minorHAnsi" w:hAnsiTheme="minorHAnsi" w:cstheme="minorHAnsi"/>
                <w:b/>
                <w:bCs/>
                <w:i/>
                <w:iCs/>
                <w:color w:val="000000"/>
                <w:sz w:val="22"/>
                <w:szCs w:val="22"/>
              </w:rPr>
              <w:t xml:space="preserve"> tax to net cash </w:t>
            </w:r>
            <w:r w:rsidR="00A20A73">
              <w:rPr>
                <w:rFonts w:asciiTheme="minorHAnsi" w:hAnsiTheme="minorHAnsi" w:cstheme="minorHAnsi"/>
                <w:b/>
                <w:bCs/>
                <w:i/>
                <w:iCs/>
                <w:color w:val="000000"/>
                <w:sz w:val="22"/>
                <w:szCs w:val="22"/>
              </w:rPr>
              <w:t>from</w:t>
            </w:r>
            <w:r w:rsidRPr="00677316">
              <w:rPr>
                <w:rFonts w:asciiTheme="minorHAnsi" w:hAnsiTheme="minorHAnsi" w:cstheme="minorHAnsi"/>
                <w:b/>
                <w:bCs/>
                <w:i/>
                <w:iCs/>
                <w:color w:val="000000"/>
                <w:sz w:val="22"/>
                <w:szCs w:val="22"/>
              </w:rPr>
              <w:t xml:space="preserve"> operating activities</w:t>
            </w:r>
          </w:p>
        </w:tc>
        <w:tc>
          <w:tcPr>
            <w:tcW w:w="333" w:type="pct"/>
          </w:tcPr>
          <w:p w14:paraId="25144809"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161C53D8" w14:textId="77777777" w:rsidR="00D72D0A" w:rsidRPr="00154F4C"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tcPr>
          <w:p w14:paraId="57C93F63"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C663B5" w:rsidRPr="00677316" w14:paraId="18489EA6" w14:textId="77777777" w:rsidTr="007A2AC9">
        <w:trPr>
          <w:trHeight w:val="247"/>
        </w:trPr>
        <w:tc>
          <w:tcPr>
            <w:tcW w:w="123" w:type="pct"/>
          </w:tcPr>
          <w:p w14:paraId="14127F7B" w14:textId="77777777" w:rsidR="00C663B5" w:rsidRPr="00677316" w:rsidRDefault="00C663B5" w:rsidP="00C663B5">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24B159C4" w14:textId="77777777" w:rsidR="00C663B5" w:rsidRPr="00677316" w:rsidRDefault="00C663B5" w:rsidP="00C663B5">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Depreciation</w:t>
            </w:r>
          </w:p>
        </w:tc>
        <w:tc>
          <w:tcPr>
            <w:tcW w:w="333" w:type="pct"/>
          </w:tcPr>
          <w:p w14:paraId="42CD8400" w14:textId="77777777" w:rsidR="00C663B5" w:rsidRPr="00677316" w:rsidRDefault="00C663B5" w:rsidP="00C663B5">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614DDEFF" w14:textId="3B68C218" w:rsidR="00C663B5" w:rsidRPr="00AD46D8" w:rsidRDefault="003D2272" w:rsidP="00C663B5">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296.5</w:t>
            </w:r>
          </w:p>
        </w:tc>
        <w:tc>
          <w:tcPr>
            <w:tcW w:w="584" w:type="pct"/>
          </w:tcPr>
          <w:p w14:paraId="0370C52A" w14:textId="2FECF101" w:rsidR="00C663B5" w:rsidRPr="00DB22BA" w:rsidRDefault="000608BE" w:rsidP="00C663B5">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381.1</w:t>
            </w:r>
          </w:p>
        </w:tc>
      </w:tr>
      <w:tr w:rsidR="00C663B5" w:rsidRPr="00677316" w14:paraId="297F3058" w14:textId="77777777" w:rsidTr="007A2AC9">
        <w:trPr>
          <w:trHeight w:val="247"/>
        </w:trPr>
        <w:tc>
          <w:tcPr>
            <w:tcW w:w="123" w:type="pct"/>
          </w:tcPr>
          <w:p w14:paraId="34FAF73C" w14:textId="77777777" w:rsidR="00C663B5" w:rsidRPr="00677316" w:rsidRDefault="00C663B5" w:rsidP="00C663B5">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1AEB83BA" w14:textId="180F3FCF" w:rsidR="00C663B5" w:rsidRPr="00677316" w:rsidRDefault="00EB66A3" w:rsidP="00C663B5">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Increase</w:t>
            </w:r>
            <w:r w:rsidR="00C663B5">
              <w:rPr>
                <w:rFonts w:asciiTheme="minorHAnsi" w:hAnsiTheme="minorHAnsi" w:cstheme="minorHAnsi"/>
                <w:color w:val="000000"/>
                <w:sz w:val="22"/>
                <w:szCs w:val="22"/>
              </w:rPr>
              <w:t xml:space="preserve"> in inventories</w:t>
            </w:r>
          </w:p>
        </w:tc>
        <w:tc>
          <w:tcPr>
            <w:tcW w:w="333" w:type="pct"/>
          </w:tcPr>
          <w:p w14:paraId="5829429F" w14:textId="77777777" w:rsidR="00C663B5" w:rsidRPr="00677316" w:rsidRDefault="00C663B5" w:rsidP="00C663B5">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41EDB59D" w14:textId="3BDB574E" w:rsidR="00C663B5" w:rsidRPr="00AD46D8" w:rsidRDefault="003D2272" w:rsidP="00C663B5">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(0.4)</w:t>
            </w:r>
          </w:p>
        </w:tc>
        <w:tc>
          <w:tcPr>
            <w:tcW w:w="584" w:type="pct"/>
          </w:tcPr>
          <w:p w14:paraId="575D186F" w14:textId="09D5FF1C" w:rsidR="00C663B5" w:rsidRPr="00DB22BA" w:rsidRDefault="00EB66A3" w:rsidP="00C663B5">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r w:rsidR="000608BE">
              <w:rPr>
                <w:rFonts w:ascii="Calibri" w:hAnsi="Calibri" w:cs="Calibri"/>
                <w:bCs/>
                <w:color w:val="000000"/>
                <w:sz w:val="22"/>
                <w:szCs w:val="22"/>
              </w:rPr>
              <w:t>2.0</w:t>
            </w:r>
            <w:r>
              <w:rPr>
                <w:rFonts w:ascii="Calibri" w:hAnsi="Calibri" w:cs="Calibri"/>
                <w:bCs/>
                <w:color w:val="000000"/>
                <w:sz w:val="22"/>
                <w:szCs w:val="22"/>
              </w:rPr>
              <w:t>)</w:t>
            </w:r>
          </w:p>
        </w:tc>
      </w:tr>
      <w:tr w:rsidR="00C663B5" w:rsidRPr="00677316" w14:paraId="2050F879" w14:textId="77777777" w:rsidTr="007A2AC9">
        <w:trPr>
          <w:trHeight w:val="247"/>
        </w:trPr>
        <w:tc>
          <w:tcPr>
            <w:tcW w:w="123" w:type="pct"/>
          </w:tcPr>
          <w:p w14:paraId="0F6E6787" w14:textId="77777777" w:rsidR="00C663B5" w:rsidRPr="00677316" w:rsidRDefault="00C663B5" w:rsidP="00C663B5">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19866B6E" w14:textId="54CBC28F" w:rsidR="00C663B5" w:rsidRPr="00677316" w:rsidRDefault="00C663B5" w:rsidP="00C663B5">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 xml:space="preserve">Tax </w:t>
            </w:r>
            <w:r w:rsidR="00EB66A3">
              <w:rPr>
                <w:rFonts w:asciiTheme="minorHAnsi" w:hAnsiTheme="minorHAnsi" w:cstheme="minorHAnsi"/>
                <w:color w:val="000000"/>
                <w:sz w:val="22"/>
                <w:szCs w:val="22"/>
              </w:rPr>
              <w:t>(credit)/</w:t>
            </w:r>
            <w:r w:rsidRPr="00677316">
              <w:rPr>
                <w:rFonts w:asciiTheme="minorHAnsi" w:hAnsiTheme="minorHAnsi" w:cstheme="minorHAnsi"/>
                <w:color w:val="000000"/>
                <w:sz w:val="22"/>
                <w:szCs w:val="22"/>
              </w:rPr>
              <w:t>expense on profit</w:t>
            </w:r>
          </w:p>
        </w:tc>
        <w:tc>
          <w:tcPr>
            <w:tcW w:w="333" w:type="pct"/>
          </w:tcPr>
          <w:p w14:paraId="54D41614" w14:textId="4D748AC6" w:rsidR="00C663B5" w:rsidRPr="00677316" w:rsidRDefault="00C663B5" w:rsidP="00C663B5">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675FE32B" w14:textId="3A9E8A9D" w:rsidR="00C663B5" w:rsidRPr="00AD46D8" w:rsidRDefault="003D2272" w:rsidP="00C663B5">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(21.8)</w:t>
            </w:r>
          </w:p>
        </w:tc>
        <w:tc>
          <w:tcPr>
            <w:tcW w:w="584" w:type="pct"/>
          </w:tcPr>
          <w:p w14:paraId="649AC3A8" w14:textId="6ECD3637" w:rsidR="00C663B5" w:rsidRPr="00DB22BA" w:rsidRDefault="00EB66A3" w:rsidP="00C663B5">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1</w:t>
            </w:r>
            <w:r w:rsidR="000608BE">
              <w:rPr>
                <w:rFonts w:ascii="Calibri" w:hAnsi="Calibri" w:cs="Calibri"/>
                <w:bCs/>
                <w:color w:val="000000"/>
                <w:sz w:val="22"/>
                <w:szCs w:val="22"/>
              </w:rPr>
              <w:t>06.8</w:t>
            </w:r>
          </w:p>
        </w:tc>
      </w:tr>
      <w:tr w:rsidR="00C663B5" w:rsidRPr="00677316" w14:paraId="2E9F59DB" w14:textId="77777777" w:rsidTr="007A2AC9">
        <w:trPr>
          <w:trHeight w:val="247"/>
        </w:trPr>
        <w:tc>
          <w:tcPr>
            <w:tcW w:w="123" w:type="pct"/>
          </w:tcPr>
          <w:p w14:paraId="5D58F7C5" w14:textId="77777777" w:rsidR="00C663B5" w:rsidRPr="00677316" w:rsidRDefault="00C663B5" w:rsidP="00C663B5">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39263B26" w14:textId="77777777" w:rsidR="00C663B5" w:rsidRPr="00677316" w:rsidRDefault="00C663B5" w:rsidP="00C663B5">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Share based payments</w:t>
            </w:r>
          </w:p>
        </w:tc>
        <w:tc>
          <w:tcPr>
            <w:tcW w:w="333" w:type="pct"/>
          </w:tcPr>
          <w:p w14:paraId="0AB800F1" w14:textId="77777777" w:rsidR="00C663B5" w:rsidRPr="00677316" w:rsidRDefault="00C663B5" w:rsidP="00C663B5">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5008D2C0" w14:textId="48431B66" w:rsidR="00C663B5" w:rsidRPr="00AD46D8" w:rsidRDefault="003D2272" w:rsidP="00C663B5">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2.1</w:t>
            </w:r>
          </w:p>
        </w:tc>
        <w:tc>
          <w:tcPr>
            <w:tcW w:w="584" w:type="pct"/>
          </w:tcPr>
          <w:p w14:paraId="7D89E83D" w14:textId="3F2E25EA" w:rsidR="00C663B5" w:rsidRPr="004043D3" w:rsidRDefault="000608BE" w:rsidP="00C663B5">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4.0</w:t>
            </w:r>
          </w:p>
        </w:tc>
      </w:tr>
      <w:tr w:rsidR="00C663B5" w:rsidRPr="00677316" w14:paraId="2DA3378C" w14:textId="77777777" w:rsidTr="007A2AC9">
        <w:trPr>
          <w:trHeight w:val="247"/>
        </w:trPr>
        <w:tc>
          <w:tcPr>
            <w:tcW w:w="123" w:type="pct"/>
          </w:tcPr>
          <w:p w14:paraId="5B81B9CB" w14:textId="77777777" w:rsidR="00C663B5" w:rsidRPr="00677316" w:rsidRDefault="00C663B5" w:rsidP="00C663B5">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1AC183CE" w14:textId="2A41D47B" w:rsidR="00C663B5" w:rsidRPr="00677316" w:rsidRDefault="00EB66A3" w:rsidP="00C663B5">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Decrease/(</w:t>
            </w:r>
            <w:r w:rsidR="00BD06E5">
              <w:rPr>
                <w:rFonts w:asciiTheme="minorHAnsi" w:hAnsiTheme="minorHAnsi" w:cstheme="minorHAnsi"/>
                <w:color w:val="000000"/>
                <w:sz w:val="22"/>
                <w:szCs w:val="22"/>
              </w:rPr>
              <w:t>i</w:t>
            </w:r>
            <w:r w:rsidR="00C663B5">
              <w:rPr>
                <w:rFonts w:asciiTheme="minorHAnsi" w:hAnsiTheme="minorHAnsi" w:cstheme="minorHAnsi"/>
                <w:color w:val="000000"/>
                <w:sz w:val="22"/>
                <w:szCs w:val="22"/>
              </w:rPr>
              <w:t>ncrease</w:t>
            </w:r>
            <w:r>
              <w:rPr>
                <w:rFonts w:asciiTheme="minorHAnsi" w:hAnsiTheme="minorHAnsi" w:cstheme="minorHAnsi"/>
                <w:color w:val="000000"/>
                <w:sz w:val="22"/>
                <w:szCs w:val="22"/>
              </w:rPr>
              <w:t>)</w:t>
            </w:r>
            <w:r w:rsidR="00C663B5">
              <w:rPr>
                <w:rFonts w:asciiTheme="minorHAnsi" w:hAnsiTheme="minorHAnsi" w:cstheme="minorHAnsi"/>
                <w:color w:val="000000"/>
                <w:sz w:val="22"/>
                <w:szCs w:val="22"/>
              </w:rPr>
              <w:t xml:space="preserve"> in trade receivables</w:t>
            </w:r>
          </w:p>
        </w:tc>
        <w:tc>
          <w:tcPr>
            <w:tcW w:w="333" w:type="pct"/>
          </w:tcPr>
          <w:p w14:paraId="0CEA2E43" w14:textId="77777777" w:rsidR="00C663B5" w:rsidRPr="00677316" w:rsidRDefault="00C663B5" w:rsidP="00C663B5">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0EFD6B34" w14:textId="027322DE" w:rsidR="00C663B5" w:rsidRPr="00AD46D8" w:rsidRDefault="003D2272" w:rsidP="00C663B5">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34.5</w:t>
            </w:r>
          </w:p>
        </w:tc>
        <w:tc>
          <w:tcPr>
            <w:tcW w:w="584" w:type="pct"/>
          </w:tcPr>
          <w:p w14:paraId="2B065979" w14:textId="64C2EBBF" w:rsidR="00C663B5" w:rsidRDefault="000608BE" w:rsidP="00C663B5">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(16.1)</w:t>
            </w:r>
          </w:p>
        </w:tc>
      </w:tr>
      <w:tr w:rsidR="00C663B5" w:rsidRPr="00677316" w14:paraId="68BBC72D" w14:textId="77777777" w:rsidTr="007A2AC9">
        <w:trPr>
          <w:trHeight w:val="247"/>
        </w:trPr>
        <w:tc>
          <w:tcPr>
            <w:tcW w:w="123" w:type="pct"/>
          </w:tcPr>
          <w:p w14:paraId="3246FD67" w14:textId="77777777" w:rsidR="00C663B5" w:rsidRPr="00677316" w:rsidRDefault="00C663B5" w:rsidP="00C663B5">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68741FE6" w14:textId="0C396FAD" w:rsidR="00C663B5" w:rsidRPr="00677316" w:rsidRDefault="00C663B5" w:rsidP="00C663B5">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Decrease/(</w:t>
            </w:r>
            <w:r w:rsidR="00BD06E5">
              <w:rPr>
                <w:rFonts w:asciiTheme="minorHAnsi" w:hAnsiTheme="minorHAnsi" w:cstheme="minorHAnsi"/>
                <w:color w:val="000000"/>
                <w:sz w:val="22"/>
                <w:szCs w:val="22"/>
              </w:rPr>
              <w:t>i</w:t>
            </w:r>
            <w:r>
              <w:rPr>
                <w:rFonts w:asciiTheme="minorHAnsi" w:hAnsiTheme="minorHAnsi" w:cstheme="minorHAnsi"/>
                <w:color w:val="000000"/>
                <w:sz w:val="22"/>
                <w:szCs w:val="22"/>
              </w:rPr>
              <w:t>ncrease) in other assets</w:t>
            </w:r>
          </w:p>
        </w:tc>
        <w:tc>
          <w:tcPr>
            <w:tcW w:w="333" w:type="pct"/>
          </w:tcPr>
          <w:p w14:paraId="49F89F55" w14:textId="77777777" w:rsidR="00C663B5" w:rsidRPr="00677316" w:rsidRDefault="00C663B5" w:rsidP="00C663B5">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6205657B" w14:textId="2301F067" w:rsidR="00C663B5" w:rsidRPr="00AD46D8" w:rsidRDefault="003D2272" w:rsidP="00C663B5">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19.1</w:t>
            </w:r>
          </w:p>
        </w:tc>
        <w:tc>
          <w:tcPr>
            <w:tcW w:w="584" w:type="pct"/>
          </w:tcPr>
          <w:p w14:paraId="04130537" w14:textId="5F2EA6F3" w:rsidR="00C663B5" w:rsidRDefault="00EB66A3" w:rsidP="00C663B5">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r w:rsidR="000608BE">
              <w:rPr>
                <w:rFonts w:ascii="Calibri" w:hAnsi="Calibri" w:cs="Calibri"/>
                <w:bCs/>
                <w:color w:val="000000"/>
                <w:sz w:val="22"/>
                <w:szCs w:val="22"/>
              </w:rPr>
              <w:t>27.4</w:t>
            </w:r>
            <w:r>
              <w:rPr>
                <w:rFonts w:ascii="Calibri" w:hAnsi="Calibri" w:cs="Calibri"/>
                <w:bCs/>
                <w:color w:val="000000"/>
                <w:sz w:val="22"/>
                <w:szCs w:val="22"/>
              </w:rPr>
              <w:t>)</w:t>
            </w:r>
          </w:p>
        </w:tc>
      </w:tr>
      <w:tr w:rsidR="00C663B5" w:rsidRPr="00677316" w14:paraId="010C5F68" w14:textId="77777777" w:rsidTr="007A2AC9">
        <w:trPr>
          <w:trHeight w:val="247"/>
        </w:trPr>
        <w:tc>
          <w:tcPr>
            <w:tcW w:w="123" w:type="pct"/>
          </w:tcPr>
          <w:p w14:paraId="06D4EC08" w14:textId="77777777" w:rsidR="00C663B5" w:rsidRPr="00677316" w:rsidRDefault="00C663B5" w:rsidP="00C663B5">
            <w:pPr>
              <w:autoSpaceDE w:val="0"/>
              <w:autoSpaceDN w:val="0"/>
              <w:adjustRightInd w:val="0"/>
              <w:jc w:val="center"/>
              <w:rPr>
                <w:rFonts w:asciiTheme="minorHAnsi" w:hAnsiTheme="minorHAnsi" w:cstheme="minorHAnsi"/>
                <w:color w:val="000000"/>
                <w:sz w:val="22"/>
                <w:szCs w:val="22"/>
                <w:highlight w:val="yellow"/>
              </w:rPr>
            </w:pPr>
          </w:p>
        </w:tc>
        <w:tc>
          <w:tcPr>
            <w:tcW w:w="3422" w:type="pct"/>
          </w:tcPr>
          <w:p w14:paraId="316FAADA" w14:textId="7CDDB931" w:rsidR="00C663B5" w:rsidRPr="00677316" w:rsidRDefault="00EB66A3" w:rsidP="00C663B5">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(Decrease)/</w:t>
            </w:r>
            <w:r w:rsidR="004C236B">
              <w:rPr>
                <w:rFonts w:asciiTheme="minorHAnsi" w:hAnsiTheme="minorHAnsi" w:cstheme="minorHAnsi"/>
                <w:color w:val="000000"/>
                <w:sz w:val="22"/>
                <w:szCs w:val="22"/>
              </w:rPr>
              <w:t>increase</w:t>
            </w:r>
            <w:r w:rsidR="00C663B5">
              <w:rPr>
                <w:rFonts w:asciiTheme="minorHAnsi" w:hAnsiTheme="minorHAnsi" w:cstheme="minorHAnsi"/>
                <w:color w:val="000000"/>
                <w:sz w:val="22"/>
                <w:szCs w:val="22"/>
              </w:rPr>
              <w:t xml:space="preserve"> </w:t>
            </w:r>
            <w:r w:rsidR="00C663B5" w:rsidRPr="00677316">
              <w:rPr>
                <w:rFonts w:asciiTheme="minorHAnsi" w:hAnsiTheme="minorHAnsi" w:cstheme="minorHAnsi"/>
                <w:color w:val="000000"/>
                <w:sz w:val="22"/>
                <w:szCs w:val="22"/>
              </w:rPr>
              <w:t xml:space="preserve">in trade </w:t>
            </w:r>
            <w:r w:rsidR="00C663B5">
              <w:rPr>
                <w:rFonts w:asciiTheme="minorHAnsi" w:hAnsiTheme="minorHAnsi" w:cstheme="minorHAnsi"/>
                <w:color w:val="000000"/>
                <w:sz w:val="22"/>
                <w:szCs w:val="22"/>
              </w:rPr>
              <w:t>payables</w:t>
            </w:r>
          </w:p>
        </w:tc>
        <w:tc>
          <w:tcPr>
            <w:tcW w:w="333" w:type="pct"/>
          </w:tcPr>
          <w:p w14:paraId="23FA2CA9" w14:textId="77777777" w:rsidR="00C663B5" w:rsidRPr="00677316" w:rsidRDefault="00C663B5" w:rsidP="00C663B5">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4F902377" w14:textId="17C460F0" w:rsidR="00C663B5" w:rsidRPr="00AD46D8" w:rsidRDefault="005C3BCE" w:rsidP="00C663B5">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(108.6)</w:t>
            </w:r>
          </w:p>
        </w:tc>
        <w:tc>
          <w:tcPr>
            <w:tcW w:w="584" w:type="pct"/>
          </w:tcPr>
          <w:p w14:paraId="67AD5E6D" w14:textId="39F19355" w:rsidR="00C663B5" w:rsidRPr="00DB22BA" w:rsidRDefault="00E60FD3" w:rsidP="00C663B5">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168</w:t>
            </w:r>
            <w:r w:rsidR="000608BE">
              <w:rPr>
                <w:rFonts w:ascii="Calibri" w:hAnsi="Calibri" w:cs="Calibri"/>
                <w:bCs/>
                <w:color w:val="000000"/>
                <w:sz w:val="22"/>
                <w:szCs w:val="22"/>
              </w:rPr>
              <w:t>.6</w:t>
            </w:r>
          </w:p>
        </w:tc>
      </w:tr>
      <w:tr w:rsidR="00C663B5" w:rsidRPr="00677316" w14:paraId="3592F788" w14:textId="77777777" w:rsidTr="007A2AC9">
        <w:trPr>
          <w:trHeight w:val="247"/>
        </w:trPr>
        <w:tc>
          <w:tcPr>
            <w:tcW w:w="123" w:type="pct"/>
          </w:tcPr>
          <w:p w14:paraId="52B4CA28" w14:textId="77777777" w:rsidR="00C663B5" w:rsidRPr="00677316" w:rsidRDefault="00C663B5" w:rsidP="00C663B5">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7CBC5544" w14:textId="4923EAB1" w:rsidR="00C663B5" w:rsidRPr="00677316" w:rsidRDefault="00C663B5" w:rsidP="00C663B5">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(Decrease) in accrued expenses</w:t>
            </w:r>
          </w:p>
        </w:tc>
        <w:tc>
          <w:tcPr>
            <w:tcW w:w="333" w:type="pct"/>
          </w:tcPr>
          <w:p w14:paraId="60201D38" w14:textId="77777777" w:rsidR="00C663B5" w:rsidRPr="00677316" w:rsidRDefault="00C663B5" w:rsidP="00C663B5">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4B0DCF93" w14:textId="3C97C95E" w:rsidR="00C663B5" w:rsidRPr="00AD46D8" w:rsidRDefault="003D2272" w:rsidP="00C663B5">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(868.8)</w:t>
            </w:r>
          </w:p>
        </w:tc>
        <w:tc>
          <w:tcPr>
            <w:tcW w:w="584" w:type="pct"/>
          </w:tcPr>
          <w:p w14:paraId="6BE11942" w14:textId="085D6D9B" w:rsidR="00C663B5" w:rsidRPr="00DB22BA" w:rsidRDefault="000608BE" w:rsidP="00C663B5">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(909.1)</w:t>
            </w:r>
          </w:p>
        </w:tc>
      </w:tr>
      <w:tr w:rsidR="00D72D0A" w:rsidRPr="00677316" w14:paraId="72DB6FB4" w14:textId="77777777" w:rsidTr="007A2AC9">
        <w:trPr>
          <w:trHeight w:val="247"/>
        </w:trPr>
        <w:tc>
          <w:tcPr>
            <w:tcW w:w="123" w:type="pct"/>
          </w:tcPr>
          <w:p w14:paraId="16A293E6"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7610A19D" w14:textId="67B1F180" w:rsidR="00D72D0A" w:rsidRPr="00677316" w:rsidRDefault="00EB66A3"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Increase</w:t>
            </w:r>
            <w:r w:rsidR="00D72D0A" w:rsidRPr="00677316">
              <w:rPr>
                <w:rFonts w:asciiTheme="minorHAnsi" w:hAnsiTheme="minorHAnsi" w:cstheme="minorHAnsi"/>
                <w:color w:val="000000"/>
                <w:sz w:val="22"/>
                <w:szCs w:val="22"/>
              </w:rPr>
              <w:t xml:space="preserve"> in </w:t>
            </w:r>
            <w:r w:rsidR="002706C0">
              <w:rPr>
                <w:rFonts w:asciiTheme="minorHAnsi" w:hAnsiTheme="minorHAnsi" w:cstheme="minorHAnsi"/>
                <w:color w:val="000000"/>
                <w:sz w:val="22"/>
                <w:szCs w:val="22"/>
              </w:rPr>
              <w:t>provisions</w:t>
            </w:r>
            <w:r w:rsidR="00D72D0A" w:rsidRPr="00677316">
              <w:rPr>
                <w:rFonts w:asciiTheme="minorHAnsi" w:hAnsiTheme="minorHAnsi" w:cstheme="minorHAnsi"/>
                <w:color w:val="000000"/>
                <w:sz w:val="22"/>
                <w:szCs w:val="22"/>
              </w:rPr>
              <w:t xml:space="preserve"> </w:t>
            </w:r>
          </w:p>
        </w:tc>
        <w:tc>
          <w:tcPr>
            <w:tcW w:w="333" w:type="pct"/>
          </w:tcPr>
          <w:p w14:paraId="7714F3AD"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79D5268F" w14:textId="5E8FAA06" w:rsidR="00D72D0A" w:rsidRPr="00AD46D8" w:rsidRDefault="003D2272"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11.1</w:t>
            </w:r>
          </w:p>
        </w:tc>
        <w:tc>
          <w:tcPr>
            <w:tcW w:w="584" w:type="pct"/>
          </w:tcPr>
          <w:p w14:paraId="01353FC1" w14:textId="32BE5445" w:rsidR="00D72D0A" w:rsidRPr="00DB22BA" w:rsidRDefault="000608BE"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0.7</w:t>
            </w:r>
          </w:p>
        </w:tc>
      </w:tr>
      <w:tr w:rsidR="000E3827" w:rsidRPr="00677316" w14:paraId="109444AB" w14:textId="77777777" w:rsidTr="007A2AC9">
        <w:trPr>
          <w:trHeight w:val="247"/>
        </w:trPr>
        <w:tc>
          <w:tcPr>
            <w:tcW w:w="123" w:type="pct"/>
          </w:tcPr>
          <w:p w14:paraId="086056DB" w14:textId="77777777" w:rsidR="000E3827" w:rsidRPr="00677316" w:rsidRDefault="000E3827"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72F0C1C2" w14:textId="188F010A" w:rsidR="000E3827" w:rsidRDefault="000E3827"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Decrease in </w:t>
            </w:r>
            <w:r w:rsidR="00D067E0">
              <w:rPr>
                <w:rFonts w:asciiTheme="minorHAnsi" w:hAnsiTheme="minorHAnsi" w:cstheme="minorHAnsi"/>
                <w:color w:val="000000"/>
                <w:sz w:val="22"/>
                <w:szCs w:val="22"/>
              </w:rPr>
              <w:t>f</w:t>
            </w:r>
            <w:r>
              <w:rPr>
                <w:rFonts w:asciiTheme="minorHAnsi" w:hAnsiTheme="minorHAnsi" w:cstheme="minorHAnsi"/>
                <w:color w:val="000000"/>
                <w:sz w:val="22"/>
                <w:szCs w:val="22"/>
              </w:rPr>
              <w:t xml:space="preserve">inance </w:t>
            </w:r>
            <w:r w:rsidR="00D067E0">
              <w:rPr>
                <w:rFonts w:asciiTheme="minorHAnsi" w:hAnsiTheme="minorHAnsi" w:cstheme="minorHAnsi"/>
                <w:color w:val="000000"/>
                <w:sz w:val="22"/>
                <w:szCs w:val="22"/>
              </w:rPr>
              <w:t>i</w:t>
            </w:r>
            <w:r>
              <w:rPr>
                <w:rFonts w:asciiTheme="minorHAnsi" w:hAnsiTheme="minorHAnsi" w:cstheme="minorHAnsi"/>
                <w:color w:val="000000"/>
                <w:sz w:val="22"/>
                <w:szCs w:val="22"/>
              </w:rPr>
              <w:t>ncome</w:t>
            </w:r>
          </w:p>
        </w:tc>
        <w:tc>
          <w:tcPr>
            <w:tcW w:w="333" w:type="pct"/>
          </w:tcPr>
          <w:p w14:paraId="19462425" w14:textId="77777777" w:rsidR="000E3827" w:rsidRPr="00677316" w:rsidRDefault="000E3827"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32E54BE0" w14:textId="3EE83418" w:rsidR="000E3827" w:rsidRDefault="000E3827"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2.2</w:t>
            </w:r>
          </w:p>
        </w:tc>
        <w:tc>
          <w:tcPr>
            <w:tcW w:w="584" w:type="pct"/>
          </w:tcPr>
          <w:p w14:paraId="219C9F34" w14:textId="6D236218" w:rsidR="000E3827" w:rsidRDefault="000E3827"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p>
        </w:tc>
      </w:tr>
      <w:tr w:rsidR="00D72D0A" w:rsidRPr="00677316" w14:paraId="3E24E0E5" w14:textId="77777777" w:rsidTr="007A2AC9">
        <w:trPr>
          <w:trHeight w:val="247"/>
        </w:trPr>
        <w:tc>
          <w:tcPr>
            <w:tcW w:w="123" w:type="pct"/>
          </w:tcPr>
          <w:p w14:paraId="67594D1E"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67F05F86" w14:textId="6D204397" w:rsidR="00D72D0A" w:rsidRPr="00677316" w:rsidRDefault="00C843F8"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Increase</w:t>
            </w:r>
            <w:r w:rsidR="00936361">
              <w:rPr>
                <w:rFonts w:asciiTheme="minorHAnsi" w:hAnsiTheme="minorHAnsi" w:cstheme="minorHAnsi"/>
                <w:color w:val="000000"/>
                <w:sz w:val="22"/>
                <w:szCs w:val="22"/>
              </w:rPr>
              <w:t xml:space="preserve"> </w:t>
            </w:r>
            <w:r w:rsidR="002706C0">
              <w:rPr>
                <w:rFonts w:asciiTheme="minorHAnsi" w:hAnsiTheme="minorHAnsi" w:cstheme="minorHAnsi"/>
                <w:color w:val="000000"/>
                <w:sz w:val="22"/>
                <w:szCs w:val="22"/>
              </w:rPr>
              <w:t>in</w:t>
            </w:r>
            <w:r w:rsidR="00C663B5">
              <w:rPr>
                <w:rFonts w:asciiTheme="minorHAnsi" w:hAnsiTheme="minorHAnsi" w:cstheme="minorHAnsi"/>
                <w:color w:val="000000"/>
                <w:sz w:val="22"/>
                <w:szCs w:val="22"/>
              </w:rPr>
              <w:t xml:space="preserve"> </w:t>
            </w:r>
            <w:r w:rsidR="002706C0">
              <w:rPr>
                <w:rFonts w:asciiTheme="minorHAnsi" w:hAnsiTheme="minorHAnsi" w:cstheme="minorHAnsi"/>
                <w:color w:val="000000"/>
                <w:sz w:val="22"/>
                <w:szCs w:val="22"/>
              </w:rPr>
              <w:t>finance expense</w:t>
            </w:r>
          </w:p>
        </w:tc>
        <w:tc>
          <w:tcPr>
            <w:tcW w:w="333" w:type="pct"/>
          </w:tcPr>
          <w:p w14:paraId="0B8D798A"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4D7C5F26" w14:textId="4CF608FB" w:rsidR="00D72D0A" w:rsidRPr="00AD46D8" w:rsidRDefault="003D2272"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(14.9)</w:t>
            </w:r>
          </w:p>
        </w:tc>
        <w:tc>
          <w:tcPr>
            <w:tcW w:w="584" w:type="pct"/>
          </w:tcPr>
          <w:p w14:paraId="375B219A" w14:textId="38781C67" w:rsidR="00D72D0A" w:rsidRPr="00DB22BA" w:rsidRDefault="00EB66A3"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r w:rsidR="000608BE">
              <w:rPr>
                <w:rFonts w:ascii="Calibri" w:hAnsi="Calibri" w:cs="Calibri"/>
                <w:bCs/>
                <w:color w:val="000000"/>
                <w:sz w:val="22"/>
                <w:szCs w:val="22"/>
              </w:rPr>
              <w:t>6.9</w:t>
            </w:r>
            <w:r>
              <w:rPr>
                <w:rFonts w:ascii="Calibri" w:hAnsi="Calibri" w:cs="Calibri"/>
                <w:bCs/>
                <w:color w:val="000000"/>
                <w:sz w:val="22"/>
                <w:szCs w:val="22"/>
              </w:rPr>
              <w:t>)</w:t>
            </w:r>
          </w:p>
        </w:tc>
      </w:tr>
      <w:tr w:rsidR="00D72D0A" w:rsidRPr="00677316" w14:paraId="6BEB317C" w14:textId="77777777" w:rsidTr="007A2AC9">
        <w:trPr>
          <w:trHeight w:val="247"/>
        </w:trPr>
        <w:tc>
          <w:tcPr>
            <w:tcW w:w="123" w:type="pct"/>
          </w:tcPr>
          <w:p w14:paraId="27D483C4"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1ECFB020" w14:textId="28CFD151" w:rsidR="00D72D0A" w:rsidRPr="00677316" w:rsidRDefault="003D2272"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Hedge </w:t>
            </w:r>
            <w:r w:rsidR="00D067E0">
              <w:rPr>
                <w:rFonts w:asciiTheme="minorHAnsi" w:hAnsiTheme="minorHAnsi" w:cstheme="minorHAnsi"/>
                <w:color w:val="000000"/>
                <w:sz w:val="22"/>
                <w:szCs w:val="22"/>
              </w:rPr>
              <w:t>i</w:t>
            </w:r>
            <w:r>
              <w:rPr>
                <w:rFonts w:asciiTheme="minorHAnsi" w:hAnsiTheme="minorHAnsi" w:cstheme="minorHAnsi"/>
                <w:color w:val="000000"/>
                <w:sz w:val="22"/>
                <w:szCs w:val="22"/>
              </w:rPr>
              <w:t>neffectiveness</w:t>
            </w:r>
          </w:p>
        </w:tc>
        <w:tc>
          <w:tcPr>
            <w:tcW w:w="333" w:type="pct"/>
          </w:tcPr>
          <w:p w14:paraId="20A47EC3"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619FCF16" w14:textId="20519AA1" w:rsidR="00D72D0A" w:rsidRPr="00AD46D8" w:rsidRDefault="003D2272"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(97.4)</w:t>
            </w:r>
          </w:p>
        </w:tc>
        <w:tc>
          <w:tcPr>
            <w:tcW w:w="584" w:type="pct"/>
          </w:tcPr>
          <w:p w14:paraId="4AD86D70" w14:textId="4C2032E2" w:rsidR="00D72D0A" w:rsidRPr="00DB22BA" w:rsidRDefault="00EB66A3"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p>
        </w:tc>
      </w:tr>
      <w:tr w:rsidR="00D72D0A" w:rsidRPr="00677316" w14:paraId="21787D09" w14:textId="77777777" w:rsidTr="007A2AC9">
        <w:trPr>
          <w:trHeight w:val="247"/>
        </w:trPr>
        <w:tc>
          <w:tcPr>
            <w:tcW w:w="123" w:type="pct"/>
          </w:tcPr>
          <w:p w14:paraId="3DE74363"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6C10F259" w14:textId="4745941F" w:rsidR="00D72D0A" w:rsidRPr="00677316" w:rsidRDefault="002706C0"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Income t</w:t>
            </w:r>
            <w:r w:rsidR="00D72D0A" w:rsidRPr="00677316">
              <w:rPr>
                <w:rFonts w:asciiTheme="minorHAnsi" w:hAnsiTheme="minorHAnsi" w:cstheme="minorHAnsi"/>
                <w:color w:val="000000"/>
                <w:sz w:val="22"/>
                <w:szCs w:val="22"/>
              </w:rPr>
              <w:t>ax paid</w:t>
            </w:r>
          </w:p>
        </w:tc>
        <w:tc>
          <w:tcPr>
            <w:tcW w:w="333" w:type="pct"/>
          </w:tcPr>
          <w:p w14:paraId="612E21D0"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41D40E8A" w14:textId="745195A5" w:rsidR="00D72D0A" w:rsidRPr="00AD46D8" w:rsidRDefault="003D2272"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(1.0)</w:t>
            </w:r>
          </w:p>
        </w:tc>
        <w:tc>
          <w:tcPr>
            <w:tcW w:w="584" w:type="pct"/>
          </w:tcPr>
          <w:p w14:paraId="7F3EA623" w14:textId="34540B3F" w:rsidR="00D72D0A" w:rsidRDefault="00EB66A3"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r w:rsidR="000608BE">
              <w:rPr>
                <w:rFonts w:ascii="Calibri" w:hAnsi="Calibri" w:cs="Calibri"/>
                <w:bCs/>
                <w:color w:val="000000"/>
                <w:sz w:val="22"/>
                <w:szCs w:val="22"/>
              </w:rPr>
              <w:t>49.3</w:t>
            </w:r>
            <w:r>
              <w:rPr>
                <w:rFonts w:ascii="Calibri" w:hAnsi="Calibri" w:cs="Calibri"/>
                <w:bCs/>
                <w:color w:val="000000"/>
                <w:sz w:val="22"/>
                <w:szCs w:val="22"/>
              </w:rPr>
              <w:t>)</w:t>
            </w:r>
          </w:p>
        </w:tc>
      </w:tr>
      <w:tr w:rsidR="00D72D0A" w:rsidRPr="00677316" w14:paraId="661E6DC4" w14:textId="77777777" w:rsidTr="007A2AC9">
        <w:trPr>
          <w:trHeight w:val="262"/>
        </w:trPr>
        <w:tc>
          <w:tcPr>
            <w:tcW w:w="3545" w:type="pct"/>
            <w:gridSpan w:val="2"/>
          </w:tcPr>
          <w:p w14:paraId="26618089" w14:textId="25731EAC"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Net cash </w:t>
            </w:r>
            <w:r w:rsidR="003D5225">
              <w:rPr>
                <w:rFonts w:asciiTheme="minorHAnsi" w:hAnsiTheme="minorHAnsi" w:cstheme="minorHAnsi"/>
                <w:b/>
                <w:bCs/>
                <w:color w:val="000000"/>
                <w:sz w:val="22"/>
                <w:szCs w:val="22"/>
              </w:rPr>
              <w:t>(outflow)/inflow from</w:t>
            </w:r>
            <w:r w:rsidRPr="00677316">
              <w:rPr>
                <w:rFonts w:asciiTheme="minorHAnsi" w:hAnsiTheme="minorHAnsi" w:cstheme="minorHAnsi"/>
                <w:b/>
                <w:bCs/>
                <w:color w:val="000000"/>
                <w:sz w:val="22"/>
                <w:szCs w:val="22"/>
              </w:rPr>
              <w:t xml:space="preserve"> operating activities</w:t>
            </w:r>
          </w:p>
        </w:tc>
        <w:tc>
          <w:tcPr>
            <w:tcW w:w="333" w:type="pct"/>
          </w:tcPr>
          <w:p w14:paraId="058CDF71"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tcBorders>
              <w:top w:val="single" w:sz="4" w:space="0" w:color="auto"/>
              <w:bottom w:val="single" w:sz="4" w:space="0" w:color="auto"/>
            </w:tcBorders>
            <w:shd w:val="clear" w:color="auto" w:fill="FFFF00"/>
          </w:tcPr>
          <w:p w14:paraId="08649319" w14:textId="73903E2F" w:rsidR="00D72D0A" w:rsidRPr="00154F4C" w:rsidRDefault="003D2272"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r w:rsidR="005C3BCE">
              <w:rPr>
                <w:rFonts w:asciiTheme="minorHAnsi" w:hAnsiTheme="minorHAnsi" w:cstheme="minorHAnsi"/>
                <w:b/>
                <w:bCs/>
                <w:color w:val="000000"/>
                <w:sz w:val="22"/>
                <w:szCs w:val="22"/>
              </w:rPr>
              <w:t>1,157.9</w:t>
            </w:r>
            <w:r>
              <w:rPr>
                <w:rFonts w:asciiTheme="minorHAnsi" w:hAnsiTheme="minorHAnsi" w:cstheme="minorHAnsi"/>
                <w:b/>
                <w:bCs/>
                <w:color w:val="000000"/>
                <w:sz w:val="22"/>
                <w:szCs w:val="22"/>
              </w:rPr>
              <w:t>)</w:t>
            </w:r>
          </w:p>
        </w:tc>
        <w:tc>
          <w:tcPr>
            <w:tcW w:w="584" w:type="pct"/>
            <w:tcBorders>
              <w:top w:val="single" w:sz="4" w:space="0" w:color="auto"/>
              <w:bottom w:val="single" w:sz="4" w:space="0" w:color="auto"/>
            </w:tcBorders>
          </w:tcPr>
          <w:p w14:paraId="156BDD88" w14:textId="442E63E4" w:rsidR="00D72D0A" w:rsidRPr="003F5731" w:rsidRDefault="00E60FD3"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sz w:val="22"/>
                <w:szCs w:val="22"/>
              </w:rPr>
              <w:t>803</w:t>
            </w:r>
            <w:r w:rsidR="000608BE" w:rsidRPr="003F5731">
              <w:rPr>
                <w:rFonts w:asciiTheme="minorHAnsi" w:hAnsiTheme="minorHAnsi" w:cstheme="minorHAnsi"/>
                <w:sz w:val="22"/>
                <w:szCs w:val="22"/>
              </w:rPr>
              <w:t>.1</w:t>
            </w:r>
          </w:p>
        </w:tc>
      </w:tr>
      <w:tr w:rsidR="00D72D0A" w:rsidRPr="00677316" w14:paraId="1CAAF410" w14:textId="77777777" w:rsidTr="007A2AC9">
        <w:trPr>
          <w:trHeight w:val="247"/>
        </w:trPr>
        <w:tc>
          <w:tcPr>
            <w:tcW w:w="123" w:type="pct"/>
          </w:tcPr>
          <w:p w14:paraId="3865DD5B"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36E9CE24"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c>
          <w:tcPr>
            <w:tcW w:w="333" w:type="pct"/>
          </w:tcPr>
          <w:p w14:paraId="42960C00"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11573C70" w14:textId="77777777" w:rsidR="00D72D0A" w:rsidRPr="00154F4C"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tcBorders>
              <w:top w:val="single" w:sz="4" w:space="0" w:color="auto"/>
            </w:tcBorders>
          </w:tcPr>
          <w:p w14:paraId="5AB63F65" w14:textId="77777777" w:rsidR="00D72D0A" w:rsidRPr="00677316" w:rsidRDefault="00D72D0A" w:rsidP="00B06D81">
            <w:pPr>
              <w:autoSpaceDE w:val="0"/>
              <w:autoSpaceDN w:val="0"/>
              <w:adjustRightInd w:val="0"/>
              <w:jc w:val="right"/>
              <w:rPr>
                <w:rFonts w:asciiTheme="minorHAnsi" w:hAnsiTheme="minorHAnsi" w:cstheme="minorHAnsi"/>
                <w:bCs/>
                <w:color w:val="000000"/>
                <w:sz w:val="22"/>
                <w:szCs w:val="22"/>
              </w:rPr>
            </w:pPr>
          </w:p>
        </w:tc>
      </w:tr>
      <w:tr w:rsidR="00D72D0A" w:rsidRPr="00677316" w14:paraId="579E2204" w14:textId="77777777" w:rsidTr="007A2AC9">
        <w:trPr>
          <w:trHeight w:val="247"/>
        </w:trPr>
        <w:tc>
          <w:tcPr>
            <w:tcW w:w="3545" w:type="pct"/>
            <w:gridSpan w:val="2"/>
          </w:tcPr>
          <w:p w14:paraId="6561D2A4"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Investing activities</w:t>
            </w:r>
          </w:p>
        </w:tc>
        <w:tc>
          <w:tcPr>
            <w:tcW w:w="333" w:type="pct"/>
          </w:tcPr>
          <w:p w14:paraId="74DACCB2"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08EBB0D1"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tcPr>
          <w:p w14:paraId="54EB07FC"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3CA65C87" w14:textId="77777777" w:rsidTr="007A2AC9">
        <w:trPr>
          <w:trHeight w:val="247"/>
        </w:trPr>
        <w:tc>
          <w:tcPr>
            <w:tcW w:w="123" w:type="pct"/>
          </w:tcPr>
          <w:p w14:paraId="688BDAA1"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584F30E6" w14:textId="34958C0A" w:rsidR="00D72D0A" w:rsidRPr="00677316" w:rsidRDefault="00D72D0A" w:rsidP="00B06D81">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Capital expenditure purchase of property, plant and equipment</w:t>
            </w:r>
            <w:r w:rsidR="005C3BCE">
              <w:rPr>
                <w:rFonts w:asciiTheme="minorHAnsi" w:hAnsiTheme="minorHAnsi" w:cstheme="minorHAnsi"/>
                <w:color w:val="000000"/>
                <w:sz w:val="22"/>
                <w:szCs w:val="22"/>
              </w:rPr>
              <w:t xml:space="preserve"> net of supplier proceeds</w:t>
            </w:r>
          </w:p>
        </w:tc>
        <w:tc>
          <w:tcPr>
            <w:tcW w:w="333" w:type="pct"/>
          </w:tcPr>
          <w:p w14:paraId="7113BC4C" w14:textId="1B04B37F"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1D2B9A29" w14:textId="76D6B5DE" w:rsidR="00D72D0A" w:rsidRPr="00DB22BA" w:rsidRDefault="003D2272"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w:t>
            </w:r>
            <w:r w:rsidR="005C3BCE">
              <w:rPr>
                <w:rFonts w:ascii="Calibri" w:hAnsi="Calibri" w:cs="Calibri"/>
                <w:b/>
                <w:bCs/>
                <w:color w:val="000000"/>
                <w:sz w:val="22"/>
                <w:szCs w:val="22"/>
              </w:rPr>
              <w:t>42.5</w:t>
            </w:r>
          </w:p>
        </w:tc>
        <w:tc>
          <w:tcPr>
            <w:tcW w:w="584" w:type="pct"/>
          </w:tcPr>
          <w:p w14:paraId="2CC5D5C3" w14:textId="24A47E3D" w:rsidR="00D72D0A" w:rsidRPr="00DB22BA" w:rsidRDefault="00D72D0A" w:rsidP="00B06D81">
            <w:pPr>
              <w:autoSpaceDE w:val="0"/>
              <w:autoSpaceDN w:val="0"/>
              <w:adjustRightInd w:val="0"/>
              <w:jc w:val="right"/>
              <w:rPr>
                <w:rFonts w:ascii="Calibri" w:hAnsi="Calibri" w:cs="Calibri"/>
                <w:bCs/>
                <w:color w:val="000000"/>
                <w:sz w:val="22"/>
                <w:szCs w:val="22"/>
              </w:rPr>
            </w:pPr>
            <w:r w:rsidRPr="00DB22BA">
              <w:rPr>
                <w:rFonts w:ascii="Calibri" w:hAnsi="Calibri" w:cs="Calibri"/>
                <w:bCs/>
                <w:color w:val="000000"/>
                <w:sz w:val="22"/>
                <w:szCs w:val="22"/>
              </w:rPr>
              <w:t>(</w:t>
            </w:r>
            <w:r w:rsidR="00E60FD3">
              <w:rPr>
                <w:rFonts w:ascii="Calibri" w:hAnsi="Calibri" w:cs="Calibri"/>
                <w:bCs/>
                <w:color w:val="000000"/>
                <w:sz w:val="22"/>
                <w:szCs w:val="22"/>
              </w:rPr>
              <w:t>334</w:t>
            </w:r>
            <w:r w:rsidR="000608BE">
              <w:rPr>
                <w:rFonts w:ascii="Calibri" w:hAnsi="Calibri" w:cs="Calibri"/>
                <w:bCs/>
                <w:color w:val="000000"/>
                <w:sz w:val="22"/>
                <w:szCs w:val="22"/>
              </w:rPr>
              <w:t>.2</w:t>
            </w:r>
            <w:r w:rsidRPr="00DB22BA">
              <w:rPr>
                <w:rFonts w:ascii="Calibri" w:hAnsi="Calibri" w:cs="Calibri"/>
                <w:bCs/>
                <w:color w:val="000000"/>
                <w:sz w:val="22"/>
                <w:szCs w:val="22"/>
              </w:rPr>
              <w:t>)</w:t>
            </w:r>
          </w:p>
        </w:tc>
      </w:tr>
      <w:tr w:rsidR="00D72D0A" w:rsidRPr="00677316" w14:paraId="75B22E66" w14:textId="77777777" w:rsidTr="007A2AC9">
        <w:trPr>
          <w:trHeight w:val="247"/>
        </w:trPr>
        <w:tc>
          <w:tcPr>
            <w:tcW w:w="123" w:type="pct"/>
          </w:tcPr>
          <w:p w14:paraId="553873D8"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71C10646" w14:textId="5CE534C8" w:rsidR="00D72D0A" w:rsidRPr="00677316" w:rsidRDefault="00D72D0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Decrease in restricted cash</w:t>
            </w:r>
          </w:p>
        </w:tc>
        <w:tc>
          <w:tcPr>
            <w:tcW w:w="333" w:type="pct"/>
          </w:tcPr>
          <w:p w14:paraId="151A9F59"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395FCCCF" w14:textId="7BA43DB6" w:rsidR="00D72D0A" w:rsidRDefault="003D2272"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0.3</w:t>
            </w:r>
          </w:p>
        </w:tc>
        <w:tc>
          <w:tcPr>
            <w:tcW w:w="584" w:type="pct"/>
          </w:tcPr>
          <w:p w14:paraId="2B40F2DF" w14:textId="292A5488" w:rsidR="00D72D0A" w:rsidRPr="00DB22BA" w:rsidRDefault="00FE6997"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0.5</w:t>
            </w:r>
          </w:p>
        </w:tc>
      </w:tr>
      <w:tr w:rsidR="00D72D0A" w:rsidRPr="00677316" w14:paraId="799D0E89" w14:textId="77777777" w:rsidTr="007A2AC9">
        <w:trPr>
          <w:trHeight w:val="247"/>
        </w:trPr>
        <w:tc>
          <w:tcPr>
            <w:tcW w:w="123" w:type="pct"/>
          </w:tcPr>
          <w:p w14:paraId="4FAAF3A4"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6C51CCB1" w14:textId="7932F50E" w:rsidR="00D72D0A" w:rsidRPr="00DB22BA" w:rsidRDefault="00FE6997" w:rsidP="00B06D81">
            <w:pPr>
              <w:autoSpaceDE w:val="0"/>
              <w:autoSpaceDN w:val="0"/>
              <w:adjustRightInd w:val="0"/>
              <w:rPr>
                <w:rFonts w:ascii="Calibri" w:hAnsi="Calibri" w:cs="Calibri"/>
                <w:color w:val="000000"/>
                <w:sz w:val="22"/>
                <w:szCs w:val="22"/>
              </w:rPr>
            </w:pPr>
            <w:r>
              <w:rPr>
                <w:rFonts w:ascii="Calibri" w:hAnsi="Calibri" w:cs="Calibri"/>
                <w:color w:val="000000"/>
                <w:sz w:val="22"/>
                <w:szCs w:val="22"/>
              </w:rPr>
              <w:t>(</w:t>
            </w:r>
            <w:r w:rsidR="004C236B">
              <w:rPr>
                <w:rFonts w:ascii="Calibri" w:hAnsi="Calibri" w:cs="Calibri"/>
                <w:color w:val="000000"/>
                <w:sz w:val="22"/>
                <w:szCs w:val="22"/>
              </w:rPr>
              <w:t>I</w:t>
            </w:r>
            <w:r>
              <w:rPr>
                <w:rFonts w:ascii="Calibri" w:hAnsi="Calibri" w:cs="Calibri"/>
                <w:color w:val="000000"/>
                <w:sz w:val="22"/>
                <w:szCs w:val="22"/>
              </w:rPr>
              <w:t>ncrease)</w:t>
            </w:r>
            <w:r w:rsidR="00D72D0A">
              <w:rPr>
                <w:rFonts w:ascii="Calibri" w:hAnsi="Calibri" w:cs="Calibri"/>
                <w:color w:val="000000"/>
                <w:sz w:val="22"/>
                <w:szCs w:val="22"/>
              </w:rPr>
              <w:t xml:space="preserve"> in financial assets: cash &gt; 3 months</w:t>
            </w:r>
          </w:p>
        </w:tc>
        <w:tc>
          <w:tcPr>
            <w:tcW w:w="333" w:type="pct"/>
          </w:tcPr>
          <w:p w14:paraId="192694A5"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7821389B" w14:textId="1DEE0880" w:rsidR="00D72D0A" w:rsidRPr="00DB22BA" w:rsidRDefault="003D2272"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(308.9)</w:t>
            </w:r>
          </w:p>
        </w:tc>
        <w:tc>
          <w:tcPr>
            <w:tcW w:w="584" w:type="pct"/>
          </w:tcPr>
          <w:p w14:paraId="2D859B21" w14:textId="02ABEC2B" w:rsidR="00D72D0A" w:rsidRPr="00DB22BA" w:rsidRDefault="00FE6997"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r w:rsidR="000608BE">
              <w:rPr>
                <w:rFonts w:ascii="Calibri" w:hAnsi="Calibri" w:cs="Calibri"/>
                <w:bCs/>
                <w:color w:val="000000"/>
                <w:sz w:val="22"/>
                <w:szCs w:val="22"/>
              </w:rPr>
              <w:t>295.5</w:t>
            </w:r>
            <w:r>
              <w:rPr>
                <w:rFonts w:ascii="Calibri" w:hAnsi="Calibri" w:cs="Calibri"/>
                <w:bCs/>
                <w:color w:val="000000"/>
                <w:sz w:val="22"/>
                <w:szCs w:val="22"/>
              </w:rPr>
              <w:t>)</w:t>
            </w:r>
          </w:p>
        </w:tc>
      </w:tr>
      <w:tr w:rsidR="00D72D0A" w:rsidRPr="00677316" w14:paraId="362E7798" w14:textId="77777777" w:rsidTr="007A2AC9">
        <w:trPr>
          <w:trHeight w:val="262"/>
        </w:trPr>
        <w:tc>
          <w:tcPr>
            <w:tcW w:w="3545" w:type="pct"/>
            <w:gridSpan w:val="2"/>
          </w:tcPr>
          <w:p w14:paraId="7CE1D541" w14:textId="1EF0947A"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Net cash </w:t>
            </w:r>
            <w:r>
              <w:rPr>
                <w:rFonts w:asciiTheme="minorHAnsi" w:hAnsiTheme="minorHAnsi" w:cstheme="minorHAnsi"/>
                <w:b/>
                <w:bCs/>
                <w:color w:val="000000"/>
                <w:sz w:val="22"/>
                <w:szCs w:val="22"/>
              </w:rPr>
              <w:t>(</w:t>
            </w:r>
            <w:r w:rsidRPr="00677316">
              <w:rPr>
                <w:rFonts w:asciiTheme="minorHAnsi" w:hAnsiTheme="minorHAnsi" w:cstheme="minorHAnsi"/>
                <w:b/>
                <w:bCs/>
                <w:color w:val="000000"/>
                <w:sz w:val="22"/>
                <w:szCs w:val="22"/>
              </w:rPr>
              <w:t>used</w:t>
            </w:r>
            <w:r w:rsidR="00975BD3">
              <w:rPr>
                <w:rFonts w:asciiTheme="minorHAnsi" w:hAnsiTheme="minorHAnsi" w:cstheme="minorHAnsi"/>
                <w:b/>
                <w:bCs/>
                <w:color w:val="000000"/>
                <w:sz w:val="22"/>
                <w:szCs w:val="22"/>
              </w:rPr>
              <w:t xml:space="preserve"> in</w:t>
            </w:r>
            <w:r w:rsidR="000D4D17">
              <w:rPr>
                <w:rFonts w:asciiTheme="minorHAnsi" w:hAnsiTheme="minorHAnsi" w:cstheme="minorHAnsi"/>
                <w:b/>
                <w:bCs/>
                <w:color w:val="000000"/>
                <w:sz w:val="22"/>
                <w:szCs w:val="22"/>
              </w:rPr>
              <w:t>)</w:t>
            </w:r>
            <w:r w:rsidRPr="00677316">
              <w:rPr>
                <w:rFonts w:asciiTheme="minorHAnsi" w:hAnsiTheme="minorHAnsi" w:cstheme="minorHAnsi"/>
                <w:b/>
                <w:bCs/>
                <w:color w:val="000000"/>
                <w:sz w:val="22"/>
                <w:szCs w:val="22"/>
              </w:rPr>
              <w:t xml:space="preserve"> investing activities</w:t>
            </w:r>
          </w:p>
        </w:tc>
        <w:tc>
          <w:tcPr>
            <w:tcW w:w="333" w:type="pct"/>
          </w:tcPr>
          <w:p w14:paraId="7EBF0D21"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tcBorders>
              <w:top w:val="single" w:sz="4" w:space="0" w:color="auto"/>
              <w:bottom w:val="single" w:sz="4" w:space="0" w:color="auto"/>
            </w:tcBorders>
            <w:shd w:val="clear" w:color="auto" w:fill="FFFF00"/>
          </w:tcPr>
          <w:p w14:paraId="0267A833" w14:textId="6C9B25BC" w:rsidR="00D72D0A" w:rsidRPr="00DB22BA" w:rsidRDefault="003D2272"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w:t>
            </w:r>
            <w:r w:rsidR="005C3BCE">
              <w:rPr>
                <w:rFonts w:ascii="Calibri" w:hAnsi="Calibri" w:cs="Calibri"/>
                <w:b/>
                <w:bCs/>
                <w:color w:val="000000"/>
                <w:sz w:val="22"/>
                <w:szCs w:val="22"/>
              </w:rPr>
              <w:t>16</w:t>
            </w:r>
            <w:r>
              <w:rPr>
                <w:rFonts w:ascii="Calibri" w:hAnsi="Calibri" w:cs="Calibri"/>
                <w:b/>
                <w:bCs/>
                <w:color w:val="000000"/>
                <w:sz w:val="22"/>
                <w:szCs w:val="22"/>
              </w:rPr>
              <w:t>6.</w:t>
            </w:r>
            <w:r w:rsidR="005C3BCE">
              <w:rPr>
                <w:rFonts w:ascii="Calibri" w:hAnsi="Calibri" w:cs="Calibri"/>
                <w:b/>
                <w:bCs/>
                <w:color w:val="000000"/>
                <w:sz w:val="22"/>
                <w:szCs w:val="22"/>
              </w:rPr>
              <w:t>1</w:t>
            </w:r>
            <w:r>
              <w:rPr>
                <w:rFonts w:ascii="Calibri" w:hAnsi="Calibri" w:cs="Calibri"/>
                <w:b/>
                <w:bCs/>
                <w:color w:val="000000"/>
                <w:sz w:val="22"/>
                <w:szCs w:val="22"/>
              </w:rPr>
              <w:t>)</w:t>
            </w:r>
          </w:p>
        </w:tc>
        <w:tc>
          <w:tcPr>
            <w:tcW w:w="584" w:type="pct"/>
            <w:tcBorders>
              <w:top w:val="single" w:sz="4" w:space="0" w:color="auto"/>
              <w:bottom w:val="single" w:sz="4" w:space="0" w:color="auto"/>
            </w:tcBorders>
          </w:tcPr>
          <w:p w14:paraId="5DAC4DB8" w14:textId="5536C780" w:rsidR="00D72D0A" w:rsidRPr="00DB22BA" w:rsidRDefault="00FE6997" w:rsidP="00B06D8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w:t>
            </w:r>
            <w:r w:rsidR="00E60FD3">
              <w:rPr>
                <w:rFonts w:ascii="Calibri" w:hAnsi="Calibri" w:cs="Calibri"/>
                <w:color w:val="000000"/>
                <w:sz w:val="22"/>
                <w:szCs w:val="22"/>
              </w:rPr>
              <w:t>629</w:t>
            </w:r>
            <w:r w:rsidR="000608BE">
              <w:rPr>
                <w:rFonts w:ascii="Calibri" w:hAnsi="Calibri" w:cs="Calibri"/>
                <w:color w:val="000000"/>
                <w:sz w:val="22"/>
                <w:szCs w:val="22"/>
              </w:rPr>
              <w:t>.2</w:t>
            </w:r>
            <w:r>
              <w:rPr>
                <w:rFonts w:ascii="Calibri" w:hAnsi="Calibri" w:cs="Calibri"/>
                <w:color w:val="000000"/>
                <w:sz w:val="22"/>
                <w:szCs w:val="22"/>
              </w:rPr>
              <w:t>)</w:t>
            </w:r>
          </w:p>
        </w:tc>
      </w:tr>
      <w:tr w:rsidR="00D72D0A" w:rsidRPr="00677316" w14:paraId="2BE8A766" w14:textId="77777777" w:rsidTr="007A2AC9">
        <w:trPr>
          <w:trHeight w:val="247"/>
        </w:trPr>
        <w:tc>
          <w:tcPr>
            <w:tcW w:w="123" w:type="pct"/>
          </w:tcPr>
          <w:p w14:paraId="2FAED457"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highlight w:val="yellow"/>
              </w:rPr>
            </w:pPr>
          </w:p>
        </w:tc>
        <w:tc>
          <w:tcPr>
            <w:tcW w:w="3422" w:type="pct"/>
          </w:tcPr>
          <w:p w14:paraId="6114EA71"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333" w:type="pct"/>
          </w:tcPr>
          <w:p w14:paraId="7A72CCE9"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212BFB03" w14:textId="77777777" w:rsidR="00D72D0A" w:rsidRPr="00F278E4"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tcBorders>
              <w:top w:val="single" w:sz="4" w:space="0" w:color="auto"/>
            </w:tcBorders>
          </w:tcPr>
          <w:p w14:paraId="2F495903" w14:textId="77777777" w:rsidR="00D72D0A" w:rsidRPr="00F278E4" w:rsidRDefault="00D72D0A" w:rsidP="00B06D81">
            <w:pPr>
              <w:autoSpaceDE w:val="0"/>
              <w:autoSpaceDN w:val="0"/>
              <w:adjustRightInd w:val="0"/>
              <w:jc w:val="right"/>
              <w:rPr>
                <w:rFonts w:asciiTheme="minorHAnsi" w:hAnsiTheme="minorHAnsi" w:cstheme="minorHAnsi"/>
                <w:bCs/>
                <w:color w:val="000000"/>
                <w:sz w:val="22"/>
                <w:szCs w:val="22"/>
              </w:rPr>
            </w:pPr>
          </w:p>
        </w:tc>
      </w:tr>
      <w:tr w:rsidR="00D72D0A" w:rsidRPr="00677316" w14:paraId="7D949A61" w14:textId="77777777" w:rsidTr="007A2AC9">
        <w:trPr>
          <w:trHeight w:val="247"/>
        </w:trPr>
        <w:tc>
          <w:tcPr>
            <w:tcW w:w="3545" w:type="pct"/>
            <w:gridSpan w:val="2"/>
          </w:tcPr>
          <w:p w14:paraId="176ACFB2" w14:textId="77777777"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Financing activities</w:t>
            </w:r>
          </w:p>
        </w:tc>
        <w:tc>
          <w:tcPr>
            <w:tcW w:w="333" w:type="pct"/>
          </w:tcPr>
          <w:p w14:paraId="77AE98C2"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0027340E" w14:textId="77777777" w:rsidR="00D72D0A" w:rsidRPr="00F278E4"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tcPr>
          <w:p w14:paraId="7B04AE03"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rPr>
            </w:pPr>
          </w:p>
        </w:tc>
      </w:tr>
      <w:tr w:rsidR="00D72D0A" w:rsidRPr="00677316" w14:paraId="170D273E" w14:textId="77777777" w:rsidTr="007A2AC9">
        <w:trPr>
          <w:trHeight w:val="262"/>
        </w:trPr>
        <w:tc>
          <w:tcPr>
            <w:tcW w:w="123" w:type="pct"/>
          </w:tcPr>
          <w:p w14:paraId="48F37C0A"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3FEA6EC3" w14:textId="4F4EA098" w:rsidR="00D72D0A" w:rsidRDefault="00D72D0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Shareholder returns</w:t>
            </w:r>
            <w:r w:rsidR="00A3268A">
              <w:rPr>
                <w:rFonts w:asciiTheme="minorHAnsi" w:hAnsiTheme="minorHAnsi" w:cstheme="minorHAnsi"/>
                <w:color w:val="000000"/>
                <w:sz w:val="22"/>
                <w:szCs w:val="22"/>
              </w:rPr>
              <w:t xml:space="preserve"> (net of tax)</w:t>
            </w:r>
          </w:p>
        </w:tc>
        <w:tc>
          <w:tcPr>
            <w:tcW w:w="333" w:type="pct"/>
          </w:tcPr>
          <w:p w14:paraId="1FA81498" w14:textId="6B892190" w:rsidR="00D72D0A"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0E2AD853" w14:textId="5A7E2109" w:rsidR="00D72D0A" w:rsidRDefault="002A16B6"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p>
        </w:tc>
        <w:tc>
          <w:tcPr>
            <w:tcW w:w="584" w:type="pct"/>
          </w:tcPr>
          <w:p w14:paraId="1CB9981C" w14:textId="64BF3BFB" w:rsidR="00D72D0A" w:rsidRDefault="00FE6997" w:rsidP="00B06D81">
            <w:pPr>
              <w:autoSpaceDE w:val="0"/>
              <w:autoSpaceDN w:val="0"/>
              <w:adjustRightInd w:val="0"/>
              <w:jc w:val="right"/>
              <w:rPr>
                <w:rFonts w:asciiTheme="minorHAnsi" w:hAnsiTheme="minorHAnsi" w:cstheme="minorHAnsi"/>
                <w:bCs/>
                <w:color w:val="000000"/>
                <w:sz w:val="22"/>
                <w:szCs w:val="22"/>
              </w:rPr>
            </w:pPr>
            <w:r>
              <w:rPr>
                <w:rFonts w:ascii="Calibri" w:hAnsi="Calibri" w:cs="Calibri"/>
                <w:bCs/>
                <w:color w:val="000000"/>
                <w:sz w:val="22"/>
                <w:szCs w:val="22"/>
              </w:rPr>
              <w:t>(</w:t>
            </w:r>
            <w:r w:rsidR="000608BE">
              <w:rPr>
                <w:rFonts w:ascii="Calibri" w:hAnsi="Calibri" w:cs="Calibri"/>
                <w:bCs/>
                <w:color w:val="000000"/>
                <w:sz w:val="22"/>
                <w:szCs w:val="22"/>
              </w:rPr>
              <w:t>226.0</w:t>
            </w:r>
            <w:r>
              <w:rPr>
                <w:rFonts w:ascii="Calibri" w:hAnsi="Calibri" w:cs="Calibri"/>
                <w:bCs/>
                <w:color w:val="000000"/>
                <w:sz w:val="22"/>
                <w:szCs w:val="22"/>
              </w:rPr>
              <w:t>)</w:t>
            </w:r>
          </w:p>
        </w:tc>
      </w:tr>
      <w:tr w:rsidR="00D72D0A" w:rsidRPr="00677316" w14:paraId="511C316E" w14:textId="77777777" w:rsidTr="007A2AC9">
        <w:trPr>
          <w:trHeight w:val="262"/>
        </w:trPr>
        <w:tc>
          <w:tcPr>
            <w:tcW w:w="123" w:type="pct"/>
          </w:tcPr>
          <w:p w14:paraId="6EA72A6C"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1E135438" w14:textId="77777777" w:rsidR="00D72D0A" w:rsidRDefault="00D72D0A" w:rsidP="00B06D81">
            <w:pPr>
              <w:autoSpaceDE w:val="0"/>
              <w:autoSpaceDN w:val="0"/>
              <w:adjustRightInd w:val="0"/>
              <w:rPr>
                <w:rFonts w:asciiTheme="minorHAnsi" w:hAnsiTheme="minorHAnsi" w:cstheme="minorHAnsi"/>
                <w:color w:val="000000"/>
                <w:sz w:val="22"/>
                <w:szCs w:val="22"/>
              </w:rPr>
            </w:pPr>
            <w:r>
              <w:rPr>
                <w:rFonts w:ascii="Calibri" w:hAnsi="Calibri" w:cs="Calibri"/>
                <w:color w:val="000000"/>
                <w:sz w:val="22"/>
                <w:szCs w:val="22"/>
              </w:rPr>
              <w:t>Net proceeds from shares issued</w:t>
            </w:r>
          </w:p>
        </w:tc>
        <w:tc>
          <w:tcPr>
            <w:tcW w:w="333" w:type="pct"/>
          </w:tcPr>
          <w:p w14:paraId="669299DF" w14:textId="4541335B" w:rsidR="00D72D0A" w:rsidRDefault="00EB583C"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14</w:t>
            </w:r>
          </w:p>
        </w:tc>
        <w:tc>
          <w:tcPr>
            <w:tcW w:w="538" w:type="pct"/>
            <w:shd w:val="clear" w:color="auto" w:fill="FFFF00"/>
          </w:tcPr>
          <w:p w14:paraId="2125DC53" w14:textId="6E439BED" w:rsidR="00D72D0A" w:rsidRDefault="002A16B6" w:rsidP="00B06D81">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403.5</w:t>
            </w:r>
          </w:p>
        </w:tc>
        <w:tc>
          <w:tcPr>
            <w:tcW w:w="584" w:type="pct"/>
          </w:tcPr>
          <w:p w14:paraId="44822D99" w14:textId="5CB48397" w:rsidR="00D72D0A" w:rsidRPr="00DB22BA" w:rsidRDefault="000608BE" w:rsidP="00B06D81">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3.6</w:t>
            </w:r>
          </w:p>
        </w:tc>
      </w:tr>
      <w:tr w:rsidR="00D72D0A" w:rsidRPr="00677316" w14:paraId="7D6C55ED" w14:textId="77777777" w:rsidTr="007A2AC9">
        <w:trPr>
          <w:trHeight w:val="262"/>
        </w:trPr>
        <w:tc>
          <w:tcPr>
            <w:tcW w:w="123" w:type="pct"/>
          </w:tcPr>
          <w:p w14:paraId="41A1238D"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5DDDA2DA" w14:textId="59D649C8" w:rsidR="00D72D0A" w:rsidRDefault="00A3268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Proceeds from l</w:t>
            </w:r>
            <w:r w:rsidR="00D72D0A">
              <w:rPr>
                <w:rFonts w:asciiTheme="minorHAnsi" w:hAnsiTheme="minorHAnsi" w:cstheme="minorHAnsi"/>
                <w:color w:val="000000"/>
                <w:sz w:val="22"/>
                <w:szCs w:val="22"/>
              </w:rPr>
              <w:t>ong term borrowings</w:t>
            </w:r>
          </w:p>
        </w:tc>
        <w:tc>
          <w:tcPr>
            <w:tcW w:w="333" w:type="pct"/>
          </w:tcPr>
          <w:p w14:paraId="1ABD5BBD" w14:textId="77777777" w:rsidR="00D72D0A"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6D7533A1" w14:textId="608659E6" w:rsidR="00D72D0A" w:rsidRDefault="002A16B6"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1,540.0</w:t>
            </w:r>
          </w:p>
        </w:tc>
        <w:tc>
          <w:tcPr>
            <w:tcW w:w="584" w:type="pct"/>
          </w:tcPr>
          <w:p w14:paraId="444A9CC0" w14:textId="007AD2D7" w:rsidR="00D72D0A" w:rsidRDefault="00FE6997" w:rsidP="00B06D81">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750.0</w:t>
            </w:r>
          </w:p>
        </w:tc>
      </w:tr>
      <w:tr w:rsidR="00D72D0A" w:rsidRPr="00677316" w14:paraId="5B73AF4E" w14:textId="77777777" w:rsidTr="007A2AC9">
        <w:trPr>
          <w:trHeight w:val="262"/>
        </w:trPr>
        <w:tc>
          <w:tcPr>
            <w:tcW w:w="123" w:type="pct"/>
          </w:tcPr>
          <w:p w14:paraId="40295FAE"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0E487659" w14:textId="77777777" w:rsidR="00D72D0A" w:rsidRDefault="00D72D0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Repayments of long term borrowings</w:t>
            </w:r>
          </w:p>
        </w:tc>
        <w:tc>
          <w:tcPr>
            <w:tcW w:w="333" w:type="pct"/>
          </w:tcPr>
          <w:p w14:paraId="0CF0E989" w14:textId="77777777" w:rsidR="00D72D0A"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113BDEE6" w14:textId="1233E483" w:rsidR="00D72D0A" w:rsidRDefault="002A16B6"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(132.3)</w:t>
            </w:r>
          </w:p>
        </w:tc>
        <w:tc>
          <w:tcPr>
            <w:tcW w:w="584" w:type="pct"/>
          </w:tcPr>
          <w:p w14:paraId="40E2E4E3" w14:textId="4E80B6F2" w:rsidR="00D72D0A" w:rsidRPr="009251E3" w:rsidRDefault="00FE6997" w:rsidP="00B06D81">
            <w:pPr>
              <w:autoSpaceDE w:val="0"/>
              <w:autoSpaceDN w:val="0"/>
              <w:adjustRightInd w:val="0"/>
              <w:jc w:val="right"/>
              <w:rPr>
                <w:rFonts w:asciiTheme="minorHAnsi" w:hAnsiTheme="minorHAnsi" w:cstheme="minorHAnsi"/>
                <w:bCs/>
                <w:color w:val="000000"/>
                <w:sz w:val="22"/>
                <w:szCs w:val="22"/>
              </w:rPr>
            </w:pPr>
            <w:r w:rsidRPr="009251E3">
              <w:rPr>
                <w:rFonts w:ascii="Calibri" w:hAnsi="Calibri" w:cs="Calibri"/>
                <w:bCs/>
                <w:sz w:val="22"/>
                <w:szCs w:val="22"/>
              </w:rPr>
              <w:t>(</w:t>
            </w:r>
            <w:r w:rsidR="000608BE" w:rsidRPr="009251E3">
              <w:rPr>
                <w:rFonts w:ascii="Calibri" w:hAnsi="Calibri" w:cs="Calibri"/>
                <w:bCs/>
                <w:sz w:val="22"/>
                <w:szCs w:val="22"/>
              </w:rPr>
              <w:t>230.</w:t>
            </w:r>
            <w:r w:rsidR="00D067E0">
              <w:rPr>
                <w:rFonts w:ascii="Calibri" w:hAnsi="Calibri" w:cs="Calibri"/>
                <w:bCs/>
                <w:sz w:val="22"/>
                <w:szCs w:val="22"/>
              </w:rPr>
              <w:t>8</w:t>
            </w:r>
            <w:r w:rsidRPr="009251E3">
              <w:rPr>
                <w:rFonts w:ascii="Calibri" w:hAnsi="Calibri" w:cs="Calibri"/>
                <w:bCs/>
                <w:sz w:val="22"/>
                <w:szCs w:val="22"/>
              </w:rPr>
              <w:t>)</w:t>
            </w:r>
          </w:p>
        </w:tc>
      </w:tr>
      <w:tr w:rsidR="00D72D0A" w:rsidRPr="00677316" w14:paraId="105613CA" w14:textId="77777777" w:rsidTr="007A2AC9">
        <w:trPr>
          <w:trHeight w:val="262"/>
        </w:trPr>
        <w:tc>
          <w:tcPr>
            <w:tcW w:w="123" w:type="pct"/>
          </w:tcPr>
          <w:p w14:paraId="0019312F" w14:textId="77777777" w:rsidR="00D72D0A" w:rsidRPr="00677316" w:rsidRDefault="00D72D0A" w:rsidP="00B06D81">
            <w:pPr>
              <w:autoSpaceDE w:val="0"/>
              <w:autoSpaceDN w:val="0"/>
              <w:adjustRightInd w:val="0"/>
              <w:jc w:val="right"/>
              <w:rPr>
                <w:rFonts w:asciiTheme="minorHAnsi" w:hAnsiTheme="minorHAnsi" w:cstheme="minorHAnsi"/>
                <w:color w:val="000000"/>
                <w:sz w:val="22"/>
                <w:szCs w:val="22"/>
                <w:highlight w:val="yellow"/>
              </w:rPr>
            </w:pPr>
          </w:p>
        </w:tc>
        <w:tc>
          <w:tcPr>
            <w:tcW w:w="3422" w:type="pct"/>
          </w:tcPr>
          <w:p w14:paraId="6180967D"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r>
              <w:rPr>
                <w:rFonts w:ascii="Calibri" w:hAnsi="Calibri" w:cs="Calibri"/>
                <w:color w:val="000000"/>
                <w:sz w:val="22"/>
                <w:szCs w:val="22"/>
              </w:rPr>
              <w:t>Lease liabilities paid</w:t>
            </w:r>
          </w:p>
        </w:tc>
        <w:tc>
          <w:tcPr>
            <w:tcW w:w="333" w:type="pct"/>
          </w:tcPr>
          <w:p w14:paraId="1D1A1F04"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0E24A942" w14:textId="39BA696A" w:rsidR="00D72D0A" w:rsidRPr="00F278E4" w:rsidRDefault="002A16B6" w:rsidP="00B06D81">
            <w:pPr>
              <w:autoSpaceDE w:val="0"/>
              <w:autoSpaceDN w:val="0"/>
              <w:adjustRightInd w:val="0"/>
              <w:jc w:val="right"/>
              <w:rPr>
                <w:rFonts w:asciiTheme="minorHAnsi" w:hAnsiTheme="minorHAnsi" w:cstheme="minorHAnsi"/>
                <w:b/>
                <w:bCs/>
                <w:color w:val="000000"/>
                <w:sz w:val="22"/>
                <w:szCs w:val="22"/>
                <w:highlight w:val="yellow"/>
              </w:rPr>
            </w:pPr>
            <w:r w:rsidRPr="00226493">
              <w:rPr>
                <w:rFonts w:asciiTheme="minorHAnsi" w:hAnsiTheme="minorHAnsi" w:cstheme="minorHAnsi"/>
                <w:b/>
                <w:bCs/>
                <w:color w:val="000000"/>
                <w:sz w:val="22"/>
                <w:szCs w:val="22"/>
              </w:rPr>
              <w:t>(38.2)</w:t>
            </w:r>
          </w:p>
        </w:tc>
        <w:tc>
          <w:tcPr>
            <w:tcW w:w="584" w:type="pct"/>
          </w:tcPr>
          <w:p w14:paraId="2F7E036C" w14:textId="0AAF3C65" w:rsidR="00D72D0A" w:rsidRPr="00677316" w:rsidRDefault="00FE6997" w:rsidP="00B06D81">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000608BE">
              <w:rPr>
                <w:rFonts w:asciiTheme="minorHAnsi" w:hAnsiTheme="minorHAnsi" w:cstheme="minorHAnsi"/>
                <w:bCs/>
                <w:color w:val="000000"/>
                <w:sz w:val="22"/>
                <w:szCs w:val="22"/>
              </w:rPr>
              <w:t>28.1</w:t>
            </w:r>
            <w:r>
              <w:rPr>
                <w:rFonts w:asciiTheme="minorHAnsi" w:hAnsiTheme="minorHAnsi" w:cstheme="minorHAnsi"/>
                <w:bCs/>
                <w:color w:val="000000"/>
                <w:sz w:val="22"/>
                <w:szCs w:val="22"/>
              </w:rPr>
              <w:t>)</w:t>
            </w:r>
          </w:p>
        </w:tc>
      </w:tr>
      <w:tr w:rsidR="00D72D0A" w:rsidRPr="00677316" w14:paraId="7B0CBDEF" w14:textId="77777777" w:rsidTr="007A2AC9">
        <w:trPr>
          <w:trHeight w:val="262"/>
        </w:trPr>
        <w:tc>
          <w:tcPr>
            <w:tcW w:w="3545" w:type="pct"/>
            <w:gridSpan w:val="2"/>
          </w:tcPr>
          <w:p w14:paraId="5141DFC8" w14:textId="1E95A24C"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Net cash </w:t>
            </w:r>
            <w:r w:rsidR="003D5225">
              <w:rPr>
                <w:rFonts w:asciiTheme="minorHAnsi" w:hAnsiTheme="minorHAnsi" w:cstheme="minorHAnsi"/>
                <w:b/>
                <w:bCs/>
                <w:color w:val="000000"/>
                <w:sz w:val="22"/>
                <w:szCs w:val="22"/>
              </w:rPr>
              <w:t>from</w:t>
            </w:r>
            <w:r w:rsidR="004C236B">
              <w:rPr>
                <w:rFonts w:asciiTheme="minorHAnsi" w:hAnsiTheme="minorHAnsi" w:cstheme="minorHAnsi"/>
                <w:b/>
                <w:bCs/>
                <w:color w:val="000000"/>
                <w:sz w:val="22"/>
                <w:szCs w:val="22"/>
              </w:rPr>
              <w:t xml:space="preserve"> in</w:t>
            </w:r>
            <w:r w:rsidR="003D5225">
              <w:rPr>
                <w:rFonts w:asciiTheme="minorHAnsi" w:hAnsiTheme="minorHAnsi" w:cstheme="minorHAnsi"/>
                <w:b/>
                <w:bCs/>
                <w:color w:val="000000"/>
                <w:sz w:val="22"/>
                <w:szCs w:val="22"/>
              </w:rPr>
              <w:t xml:space="preserve"> </w:t>
            </w:r>
            <w:r w:rsidRPr="00677316">
              <w:rPr>
                <w:rFonts w:asciiTheme="minorHAnsi" w:hAnsiTheme="minorHAnsi" w:cstheme="minorHAnsi"/>
                <w:b/>
                <w:bCs/>
                <w:color w:val="000000"/>
                <w:sz w:val="22"/>
                <w:szCs w:val="22"/>
              </w:rPr>
              <w:t>financing activities</w:t>
            </w:r>
          </w:p>
        </w:tc>
        <w:tc>
          <w:tcPr>
            <w:tcW w:w="333" w:type="pct"/>
          </w:tcPr>
          <w:p w14:paraId="6732ECB9"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tcBorders>
              <w:top w:val="single" w:sz="4" w:space="0" w:color="auto"/>
              <w:bottom w:val="single" w:sz="4" w:space="0" w:color="auto"/>
            </w:tcBorders>
            <w:shd w:val="clear" w:color="auto" w:fill="FFFF00"/>
          </w:tcPr>
          <w:p w14:paraId="27B052B8" w14:textId="1B28D61A" w:rsidR="00D72D0A" w:rsidRPr="00677316" w:rsidRDefault="002A16B6"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1,773.0</w:t>
            </w:r>
          </w:p>
        </w:tc>
        <w:tc>
          <w:tcPr>
            <w:tcW w:w="584" w:type="pct"/>
            <w:tcBorders>
              <w:top w:val="single" w:sz="4" w:space="0" w:color="auto"/>
              <w:bottom w:val="single" w:sz="4" w:space="0" w:color="auto"/>
            </w:tcBorders>
          </w:tcPr>
          <w:p w14:paraId="32622AB2" w14:textId="64729548" w:rsidR="00D72D0A" w:rsidRPr="009251E3" w:rsidRDefault="000608BE" w:rsidP="00B06D81">
            <w:pPr>
              <w:autoSpaceDE w:val="0"/>
              <w:autoSpaceDN w:val="0"/>
              <w:adjustRightInd w:val="0"/>
              <w:jc w:val="right"/>
              <w:rPr>
                <w:rFonts w:asciiTheme="minorHAnsi" w:hAnsiTheme="minorHAnsi" w:cstheme="minorHAnsi"/>
                <w:color w:val="000000"/>
                <w:sz w:val="22"/>
                <w:szCs w:val="22"/>
              </w:rPr>
            </w:pPr>
            <w:r w:rsidRPr="009251E3">
              <w:rPr>
                <w:rFonts w:asciiTheme="minorHAnsi" w:hAnsiTheme="minorHAnsi" w:cstheme="minorHAnsi"/>
                <w:sz w:val="22"/>
                <w:szCs w:val="22"/>
              </w:rPr>
              <w:t>26</w:t>
            </w:r>
            <w:r w:rsidR="00D067E0">
              <w:rPr>
                <w:rFonts w:asciiTheme="minorHAnsi" w:hAnsiTheme="minorHAnsi" w:cstheme="minorHAnsi"/>
                <w:sz w:val="22"/>
                <w:szCs w:val="22"/>
              </w:rPr>
              <w:t>8</w:t>
            </w:r>
            <w:r w:rsidRPr="009251E3">
              <w:rPr>
                <w:rFonts w:asciiTheme="minorHAnsi" w:hAnsiTheme="minorHAnsi" w:cstheme="minorHAnsi"/>
                <w:sz w:val="22"/>
                <w:szCs w:val="22"/>
              </w:rPr>
              <w:t>.</w:t>
            </w:r>
            <w:r w:rsidR="00D067E0">
              <w:rPr>
                <w:rFonts w:asciiTheme="minorHAnsi" w:hAnsiTheme="minorHAnsi" w:cstheme="minorHAnsi"/>
                <w:sz w:val="22"/>
                <w:szCs w:val="22"/>
              </w:rPr>
              <w:t>7</w:t>
            </w:r>
          </w:p>
        </w:tc>
      </w:tr>
      <w:tr w:rsidR="00D72D0A" w:rsidRPr="00677316" w14:paraId="46336E6F" w14:textId="77777777" w:rsidTr="007A2AC9">
        <w:trPr>
          <w:trHeight w:val="247"/>
        </w:trPr>
        <w:tc>
          <w:tcPr>
            <w:tcW w:w="123" w:type="pct"/>
          </w:tcPr>
          <w:p w14:paraId="32DF80C5"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highlight w:val="yellow"/>
              </w:rPr>
            </w:pPr>
          </w:p>
        </w:tc>
        <w:tc>
          <w:tcPr>
            <w:tcW w:w="3422" w:type="pct"/>
          </w:tcPr>
          <w:p w14:paraId="435BE4A7" w14:textId="77777777" w:rsidR="00D72D0A" w:rsidRPr="00677316" w:rsidRDefault="00D72D0A" w:rsidP="00B06D81">
            <w:pPr>
              <w:autoSpaceDE w:val="0"/>
              <w:autoSpaceDN w:val="0"/>
              <w:adjustRightInd w:val="0"/>
              <w:ind w:right="-200"/>
              <w:jc w:val="right"/>
              <w:rPr>
                <w:rFonts w:asciiTheme="minorHAnsi" w:hAnsiTheme="minorHAnsi" w:cstheme="minorHAnsi"/>
                <w:color w:val="000000"/>
                <w:sz w:val="22"/>
                <w:szCs w:val="22"/>
              </w:rPr>
            </w:pPr>
          </w:p>
        </w:tc>
        <w:tc>
          <w:tcPr>
            <w:tcW w:w="333" w:type="pct"/>
          </w:tcPr>
          <w:p w14:paraId="375FA167"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6ABFB1E0"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84" w:type="pct"/>
            <w:tcBorders>
              <w:top w:val="single" w:sz="4" w:space="0" w:color="auto"/>
            </w:tcBorders>
          </w:tcPr>
          <w:p w14:paraId="5717C6D3" w14:textId="77777777" w:rsidR="00D72D0A" w:rsidRPr="00677316" w:rsidRDefault="00D72D0A" w:rsidP="00B06D81">
            <w:pPr>
              <w:autoSpaceDE w:val="0"/>
              <w:autoSpaceDN w:val="0"/>
              <w:adjustRightInd w:val="0"/>
              <w:jc w:val="right"/>
              <w:rPr>
                <w:rFonts w:asciiTheme="minorHAnsi" w:hAnsiTheme="minorHAnsi" w:cstheme="minorHAnsi"/>
                <w:bCs/>
                <w:color w:val="000000"/>
                <w:sz w:val="22"/>
                <w:szCs w:val="22"/>
              </w:rPr>
            </w:pPr>
          </w:p>
        </w:tc>
      </w:tr>
      <w:tr w:rsidR="00D72D0A" w:rsidRPr="00677316" w14:paraId="3C37D37A" w14:textId="77777777" w:rsidTr="007A2AC9">
        <w:trPr>
          <w:trHeight w:val="247"/>
        </w:trPr>
        <w:tc>
          <w:tcPr>
            <w:tcW w:w="3545" w:type="pct"/>
            <w:gridSpan w:val="2"/>
          </w:tcPr>
          <w:p w14:paraId="3E2073BD" w14:textId="4AE83B33" w:rsidR="00D72D0A" w:rsidRPr="00677316" w:rsidRDefault="00D72D0A" w:rsidP="00B06D81">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Increase</w:t>
            </w:r>
            <w:r w:rsidR="000A412B">
              <w:rPr>
                <w:rFonts w:asciiTheme="minorHAnsi" w:hAnsiTheme="minorHAnsi" w:cstheme="minorHAnsi"/>
                <w:b/>
                <w:bCs/>
                <w:color w:val="000000"/>
                <w:sz w:val="22"/>
                <w:szCs w:val="22"/>
              </w:rPr>
              <w:t xml:space="preserve"> </w:t>
            </w:r>
            <w:r w:rsidRPr="00677316">
              <w:rPr>
                <w:rFonts w:asciiTheme="minorHAnsi" w:hAnsiTheme="minorHAnsi" w:cstheme="minorHAnsi"/>
                <w:b/>
                <w:bCs/>
                <w:color w:val="000000"/>
                <w:sz w:val="22"/>
                <w:szCs w:val="22"/>
              </w:rPr>
              <w:t>in cash and cash equivalents</w:t>
            </w:r>
          </w:p>
        </w:tc>
        <w:tc>
          <w:tcPr>
            <w:tcW w:w="333" w:type="pct"/>
          </w:tcPr>
          <w:p w14:paraId="7E04E436"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shd w:val="clear" w:color="auto" w:fill="FFFF00"/>
          </w:tcPr>
          <w:p w14:paraId="1CB3E18F" w14:textId="7BB7FDDF" w:rsidR="00D72D0A" w:rsidRPr="00677316" w:rsidRDefault="002F64DB"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449.0</w:t>
            </w:r>
          </w:p>
        </w:tc>
        <w:tc>
          <w:tcPr>
            <w:tcW w:w="584" w:type="pct"/>
            <w:shd w:val="clear" w:color="auto" w:fill="auto"/>
          </w:tcPr>
          <w:p w14:paraId="3BE0DAD4" w14:textId="5E352E5F" w:rsidR="00D72D0A" w:rsidRPr="009251E3" w:rsidRDefault="00D067E0" w:rsidP="00B06D81">
            <w:pPr>
              <w:autoSpaceDE w:val="0"/>
              <w:autoSpaceDN w:val="0"/>
              <w:adjustRightInd w:val="0"/>
              <w:jc w:val="right"/>
              <w:rPr>
                <w:rFonts w:ascii="Calibri" w:hAnsi="Calibri" w:cs="Calibri"/>
                <w:sz w:val="22"/>
                <w:szCs w:val="22"/>
              </w:rPr>
            </w:pPr>
            <w:r>
              <w:rPr>
                <w:rFonts w:ascii="Calibri" w:hAnsi="Calibri" w:cs="Calibri"/>
                <w:sz w:val="22"/>
                <w:szCs w:val="22"/>
              </w:rPr>
              <w:t>442</w:t>
            </w:r>
            <w:r w:rsidR="000E3827">
              <w:rPr>
                <w:rFonts w:ascii="Calibri" w:hAnsi="Calibri" w:cs="Calibri"/>
                <w:sz w:val="22"/>
                <w:szCs w:val="22"/>
              </w:rPr>
              <w:t>.</w:t>
            </w:r>
            <w:r>
              <w:rPr>
                <w:rFonts w:ascii="Calibri" w:hAnsi="Calibri" w:cs="Calibri"/>
                <w:sz w:val="22"/>
                <w:szCs w:val="22"/>
              </w:rPr>
              <w:t>6</w:t>
            </w:r>
          </w:p>
        </w:tc>
      </w:tr>
      <w:tr w:rsidR="00FE6997" w:rsidRPr="00677316" w14:paraId="1CB568F8" w14:textId="77777777" w:rsidTr="007A2AC9">
        <w:trPr>
          <w:trHeight w:val="247"/>
        </w:trPr>
        <w:tc>
          <w:tcPr>
            <w:tcW w:w="3545" w:type="pct"/>
            <w:gridSpan w:val="2"/>
          </w:tcPr>
          <w:p w14:paraId="68FDA76B" w14:textId="576700CA" w:rsidR="00FE6997" w:rsidRDefault="00FE6997" w:rsidP="00B06D81">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      </w:t>
            </w:r>
            <w:r w:rsidRPr="00FE6997">
              <w:rPr>
                <w:rFonts w:asciiTheme="minorHAnsi" w:hAnsiTheme="minorHAnsi" w:cstheme="minorHAnsi"/>
                <w:color w:val="000000"/>
                <w:sz w:val="22"/>
                <w:szCs w:val="22"/>
              </w:rPr>
              <w:t>Net foreign exchange differences</w:t>
            </w:r>
          </w:p>
        </w:tc>
        <w:tc>
          <w:tcPr>
            <w:tcW w:w="333" w:type="pct"/>
          </w:tcPr>
          <w:p w14:paraId="660CAE87" w14:textId="77777777" w:rsidR="00FE6997" w:rsidRPr="00677316" w:rsidRDefault="00FE6997" w:rsidP="00B06D81">
            <w:pPr>
              <w:autoSpaceDE w:val="0"/>
              <w:autoSpaceDN w:val="0"/>
              <w:adjustRightInd w:val="0"/>
              <w:jc w:val="right"/>
              <w:rPr>
                <w:rFonts w:asciiTheme="minorHAnsi" w:hAnsiTheme="minorHAnsi" w:cstheme="minorHAnsi"/>
                <w:b/>
                <w:bCs/>
                <w:color w:val="000000"/>
                <w:sz w:val="22"/>
                <w:szCs w:val="22"/>
              </w:rPr>
            </w:pPr>
          </w:p>
        </w:tc>
        <w:tc>
          <w:tcPr>
            <w:tcW w:w="538" w:type="pct"/>
            <w:tcBorders>
              <w:bottom w:val="single" w:sz="4" w:space="0" w:color="auto"/>
            </w:tcBorders>
            <w:shd w:val="clear" w:color="auto" w:fill="FFFF00"/>
          </w:tcPr>
          <w:p w14:paraId="0F905826" w14:textId="4615549B" w:rsidR="00FE6997" w:rsidRDefault="002F64DB"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(63.3)</w:t>
            </w:r>
          </w:p>
        </w:tc>
        <w:tc>
          <w:tcPr>
            <w:tcW w:w="584" w:type="pct"/>
            <w:tcBorders>
              <w:bottom w:val="single" w:sz="4" w:space="0" w:color="auto"/>
            </w:tcBorders>
            <w:shd w:val="clear" w:color="auto" w:fill="auto"/>
          </w:tcPr>
          <w:p w14:paraId="2F925AE2" w14:textId="2EA4D402" w:rsidR="00FE6997" w:rsidRPr="009251E3" w:rsidRDefault="000E3827" w:rsidP="00B06D81">
            <w:pPr>
              <w:autoSpaceDE w:val="0"/>
              <w:autoSpaceDN w:val="0"/>
              <w:adjustRightInd w:val="0"/>
              <w:jc w:val="right"/>
              <w:rPr>
                <w:rFonts w:ascii="Calibri" w:hAnsi="Calibri" w:cs="Calibri"/>
                <w:sz w:val="22"/>
                <w:szCs w:val="22"/>
              </w:rPr>
            </w:pPr>
            <w:r>
              <w:rPr>
                <w:rFonts w:ascii="Calibri" w:hAnsi="Calibri" w:cs="Calibri"/>
                <w:sz w:val="22"/>
                <w:szCs w:val="22"/>
              </w:rPr>
              <w:t>-</w:t>
            </w:r>
          </w:p>
        </w:tc>
      </w:tr>
      <w:tr w:rsidR="00D72D0A" w:rsidRPr="00677316" w14:paraId="103E5505" w14:textId="77777777" w:rsidTr="007A2AC9">
        <w:trPr>
          <w:trHeight w:val="247"/>
        </w:trPr>
        <w:tc>
          <w:tcPr>
            <w:tcW w:w="3545" w:type="pct"/>
            <w:gridSpan w:val="2"/>
          </w:tcPr>
          <w:p w14:paraId="44B8CEB4" w14:textId="77777777" w:rsidR="00D72D0A" w:rsidRPr="00677316" w:rsidRDefault="00D72D0A" w:rsidP="00B06D8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677316">
              <w:rPr>
                <w:rFonts w:asciiTheme="minorHAnsi" w:hAnsiTheme="minorHAnsi" w:cstheme="minorHAnsi"/>
                <w:color w:val="000000"/>
                <w:sz w:val="22"/>
                <w:szCs w:val="22"/>
              </w:rPr>
              <w:t xml:space="preserve">Cash and cash equivalents at beginning of </w:t>
            </w:r>
            <w:r>
              <w:rPr>
                <w:rFonts w:asciiTheme="minorHAnsi" w:hAnsiTheme="minorHAnsi" w:cstheme="minorHAnsi"/>
                <w:color w:val="000000"/>
                <w:sz w:val="22"/>
                <w:szCs w:val="22"/>
              </w:rPr>
              <w:t>the period</w:t>
            </w:r>
          </w:p>
        </w:tc>
        <w:tc>
          <w:tcPr>
            <w:tcW w:w="333" w:type="pct"/>
          </w:tcPr>
          <w:p w14:paraId="00DEB200"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tcBorders>
              <w:top w:val="single" w:sz="4" w:space="0" w:color="auto"/>
              <w:bottom w:val="single" w:sz="4" w:space="0" w:color="auto"/>
            </w:tcBorders>
            <w:shd w:val="clear" w:color="auto" w:fill="FFFF00"/>
          </w:tcPr>
          <w:p w14:paraId="7A5F5EF9" w14:textId="22A8983C" w:rsidR="00D72D0A" w:rsidRPr="00677316" w:rsidRDefault="002F64DB"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2,566.4</w:t>
            </w:r>
          </w:p>
        </w:tc>
        <w:tc>
          <w:tcPr>
            <w:tcW w:w="584" w:type="pct"/>
            <w:tcBorders>
              <w:top w:val="single" w:sz="4" w:space="0" w:color="auto"/>
              <w:bottom w:val="single" w:sz="4" w:space="0" w:color="auto"/>
            </w:tcBorders>
            <w:shd w:val="clear" w:color="auto" w:fill="auto"/>
          </w:tcPr>
          <w:p w14:paraId="37CB6068" w14:textId="39DD4425" w:rsidR="00D72D0A" w:rsidRPr="009251E3" w:rsidRDefault="000E3827" w:rsidP="00B06D8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sz w:val="22"/>
                <w:szCs w:val="22"/>
              </w:rPr>
              <w:t>1,675.6</w:t>
            </w:r>
          </w:p>
        </w:tc>
      </w:tr>
      <w:tr w:rsidR="00D72D0A" w:rsidRPr="00677316" w14:paraId="03594079" w14:textId="77777777" w:rsidTr="007A2AC9">
        <w:trPr>
          <w:trHeight w:val="262"/>
        </w:trPr>
        <w:tc>
          <w:tcPr>
            <w:tcW w:w="3545" w:type="pct"/>
            <w:gridSpan w:val="2"/>
          </w:tcPr>
          <w:p w14:paraId="42504F1F" w14:textId="7CD56702" w:rsidR="00D72D0A" w:rsidRPr="00677316" w:rsidRDefault="00D72D0A" w:rsidP="00B06D81">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Cash and cash equivalents at end of </w:t>
            </w:r>
            <w:r>
              <w:rPr>
                <w:rFonts w:asciiTheme="minorHAnsi" w:hAnsiTheme="minorHAnsi" w:cstheme="minorHAnsi"/>
                <w:b/>
                <w:bCs/>
                <w:color w:val="000000"/>
                <w:sz w:val="22"/>
                <w:szCs w:val="22"/>
              </w:rPr>
              <w:t xml:space="preserve">the </w:t>
            </w:r>
            <w:r w:rsidR="00E85D00">
              <w:rPr>
                <w:rFonts w:asciiTheme="minorHAnsi" w:hAnsiTheme="minorHAnsi" w:cstheme="minorHAnsi"/>
                <w:b/>
                <w:bCs/>
                <w:color w:val="000000"/>
                <w:sz w:val="22"/>
                <w:szCs w:val="22"/>
              </w:rPr>
              <w:t>period</w:t>
            </w:r>
          </w:p>
        </w:tc>
        <w:tc>
          <w:tcPr>
            <w:tcW w:w="333" w:type="pct"/>
          </w:tcPr>
          <w:p w14:paraId="1DF83BD8" w14:textId="77777777" w:rsidR="00D72D0A" w:rsidRPr="00677316" w:rsidRDefault="00D72D0A" w:rsidP="00B06D81">
            <w:pPr>
              <w:autoSpaceDE w:val="0"/>
              <w:autoSpaceDN w:val="0"/>
              <w:adjustRightInd w:val="0"/>
              <w:jc w:val="right"/>
              <w:rPr>
                <w:rFonts w:asciiTheme="minorHAnsi" w:hAnsiTheme="minorHAnsi" w:cstheme="minorHAnsi"/>
                <w:b/>
                <w:bCs/>
                <w:color w:val="000000"/>
                <w:sz w:val="22"/>
                <w:szCs w:val="22"/>
              </w:rPr>
            </w:pPr>
          </w:p>
        </w:tc>
        <w:tc>
          <w:tcPr>
            <w:tcW w:w="538" w:type="pct"/>
            <w:tcBorders>
              <w:top w:val="single" w:sz="4" w:space="0" w:color="auto"/>
              <w:bottom w:val="single" w:sz="4" w:space="0" w:color="auto"/>
            </w:tcBorders>
            <w:shd w:val="clear" w:color="auto" w:fill="FFFF00"/>
          </w:tcPr>
          <w:p w14:paraId="571C904E" w14:textId="12A26E1B" w:rsidR="00D72D0A" w:rsidRPr="00677316" w:rsidRDefault="002F64DB" w:rsidP="00B06D81">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2,952.1</w:t>
            </w:r>
          </w:p>
        </w:tc>
        <w:tc>
          <w:tcPr>
            <w:tcW w:w="584" w:type="pct"/>
            <w:tcBorders>
              <w:top w:val="single" w:sz="4" w:space="0" w:color="auto"/>
              <w:bottom w:val="single" w:sz="4" w:space="0" w:color="auto"/>
            </w:tcBorders>
            <w:shd w:val="clear" w:color="auto" w:fill="auto"/>
          </w:tcPr>
          <w:p w14:paraId="7DD8DB12" w14:textId="71A2359C" w:rsidR="00D72D0A" w:rsidRPr="002F64DB" w:rsidRDefault="000E3827" w:rsidP="00B06D81">
            <w:pPr>
              <w:autoSpaceDE w:val="0"/>
              <w:autoSpaceDN w:val="0"/>
              <w:adjustRightInd w:val="0"/>
              <w:jc w:val="right"/>
              <w:rPr>
                <w:rFonts w:asciiTheme="minorHAnsi" w:hAnsiTheme="minorHAnsi" w:cstheme="minorHAnsi"/>
                <w:b/>
                <w:color w:val="000000"/>
                <w:sz w:val="22"/>
                <w:szCs w:val="22"/>
              </w:rPr>
            </w:pPr>
            <w:r w:rsidRPr="009251E3">
              <w:rPr>
                <w:rFonts w:asciiTheme="minorHAnsi" w:hAnsiTheme="minorHAnsi" w:cstheme="minorHAnsi"/>
                <w:sz w:val="22"/>
                <w:szCs w:val="22"/>
              </w:rPr>
              <w:t>2,118.2</w:t>
            </w:r>
          </w:p>
        </w:tc>
      </w:tr>
    </w:tbl>
    <w:p w14:paraId="1C6D8A26" w14:textId="7C945F4E" w:rsidR="00002B68" w:rsidRPr="001A7A25" w:rsidRDefault="00002B68" w:rsidP="00002B68">
      <w:pPr>
        <w:tabs>
          <w:tab w:val="left" w:pos="7365"/>
        </w:tabs>
        <w:autoSpaceDE w:val="0"/>
        <w:autoSpaceDN w:val="0"/>
        <w:adjustRightInd w:val="0"/>
        <w:ind w:right="4"/>
        <w:rPr>
          <w:rFonts w:ascii="Calibri" w:hAnsi="Calibri" w:cs="Calibri"/>
          <w:b/>
          <w:bCs/>
          <w:color w:val="000000"/>
        </w:rPr>
      </w:pPr>
      <w:r w:rsidRPr="001A7A25">
        <w:rPr>
          <w:rFonts w:ascii="Calibri" w:hAnsi="Calibri" w:cs="Calibri"/>
          <w:color w:val="000000"/>
          <w:sz w:val="20"/>
          <w:szCs w:val="20"/>
        </w:rPr>
        <w:t>*</w:t>
      </w:r>
      <w:r>
        <w:rPr>
          <w:rFonts w:ascii="Calibri" w:hAnsi="Calibri" w:cs="Calibri"/>
          <w:color w:val="000000"/>
          <w:sz w:val="16"/>
          <w:szCs w:val="16"/>
        </w:rPr>
        <w:t>Includes reclassification between trade payables and capital expenditure</w:t>
      </w:r>
      <w:r w:rsidRPr="001A7A25">
        <w:rPr>
          <w:rFonts w:ascii="Calibri" w:hAnsi="Calibri" w:cs="Calibri"/>
          <w:color w:val="000000"/>
          <w:sz w:val="16"/>
          <w:szCs w:val="16"/>
        </w:rPr>
        <w:t xml:space="preserve">.  </w:t>
      </w:r>
      <w:r w:rsidR="00790F96">
        <w:rPr>
          <w:rFonts w:ascii="Calibri" w:hAnsi="Calibri" w:cs="Calibri"/>
          <w:color w:val="000000"/>
          <w:sz w:val="16"/>
          <w:szCs w:val="16"/>
        </w:rPr>
        <w:t>S</w:t>
      </w:r>
      <w:r w:rsidRPr="001A7A25">
        <w:rPr>
          <w:rFonts w:ascii="Calibri" w:hAnsi="Calibri" w:cs="Calibri"/>
          <w:color w:val="000000"/>
          <w:sz w:val="16"/>
          <w:szCs w:val="16"/>
        </w:rPr>
        <w:t>ee note 1 for further detail</w:t>
      </w:r>
      <w:r>
        <w:rPr>
          <w:rFonts w:ascii="Calibri" w:hAnsi="Calibri" w:cs="Calibri"/>
          <w:color w:val="000000"/>
          <w:sz w:val="16"/>
          <w:szCs w:val="16"/>
        </w:rPr>
        <w:t>.</w:t>
      </w:r>
      <w:r w:rsidRPr="001A7A25">
        <w:rPr>
          <w:rFonts w:ascii="Calibri" w:hAnsi="Calibri" w:cs="Calibri"/>
          <w:b/>
          <w:bCs/>
          <w:color w:val="000000"/>
        </w:rPr>
        <w:tab/>
      </w:r>
    </w:p>
    <w:p w14:paraId="2D3A8659" w14:textId="77777777" w:rsidR="00C214C6" w:rsidRPr="00677316" w:rsidRDefault="00C214C6" w:rsidP="00D72D0A">
      <w:pPr>
        <w:rPr>
          <w:rFonts w:asciiTheme="minorHAnsi" w:hAnsiTheme="minorHAnsi" w:cstheme="minorHAnsi"/>
          <w:sz w:val="22"/>
          <w:szCs w:val="22"/>
          <w:highlight w:val="yellow"/>
        </w:rPr>
      </w:pPr>
    </w:p>
    <w:p w14:paraId="0E8A55E9" w14:textId="43E631F2" w:rsidR="00D72D0A" w:rsidRPr="00C214C6" w:rsidRDefault="00D72D0A" w:rsidP="00D72D0A">
      <w:pPr>
        <w:autoSpaceDE w:val="0"/>
        <w:autoSpaceDN w:val="0"/>
        <w:adjustRightInd w:val="0"/>
        <w:ind w:left="-709" w:right="4"/>
        <w:rPr>
          <w:rFonts w:asciiTheme="minorHAnsi" w:hAnsiTheme="minorHAnsi" w:cstheme="minorHAnsi"/>
          <w:b/>
          <w:bCs/>
          <w:sz w:val="22"/>
          <w:szCs w:val="22"/>
        </w:rPr>
      </w:pPr>
      <w:r w:rsidRPr="00C214C6">
        <w:rPr>
          <w:rFonts w:asciiTheme="minorHAnsi" w:hAnsiTheme="minorHAnsi" w:cstheme="minorHAnsi"/>
          <w:b/>
          <w:bCs/>
          <w:sz w:val="22"/>
          <w:szCs w:val="22"/>
        </w:rPr>
        <w:t>Ryanair Holdings plc and Subsidiaries</w:t>
      </w:r>
    </w:p>
    <w:p w14:paraId="53DEDB4C" w14:textId="0A6A218B" w:rsidR="00D72D0A" w:rsidRPr="00C214C6" w:rsidRDefault="00D72D0A" w:rsidP="00D72D0A">
      <w:pPr>
        <w:tabs>
          <w:tab w:val="left" w:pos="7655"/>
        </w:tabs>
        <w:ind w:right="4"/>
        <w:rPr>
          <w:rFonts w:ascii="Calibri" w:hAnsi="Calibri" w:cs="Calibri"/>
          <w:b/>
          <w:bCs/>
          <w:i/>
          <w:iCs/>
          <w:sz w:val="22"/>
          <w:szCs w:val="22"/>
        </w:rPr>
      </w:pPr>
      <w:r w:rsidRPr="00C214C6">
        <w:rPr>
          <w:rFonts w:ascii="Calibri" w:hAnsi="Calibri" w:cs="Calibri"/>
          <w:b/>
          <w:bCs/>
          <w:i/>
          <w:iCs/>
          <w:sz w:val="22"/>
          <w:szCs w:val="22"/>
        </w:rPr>
        <w:t xml:space="preserve">Condensed Consolidated </w:t>
      </w:r>
      <w:r w:rsidR="003D5225">
        <w:rPr>
          <w:rFonts w:ascii="Calibri" w:hAnsi="Calibri" w:cs="Calibri"/>
          <w:b/>
          <w:bCs/>
          <w:i/>
          <w:iCs/>
          <w:sz w:val="22"/>
          <w:szCs w:val="22"/>
        </w:rPr>
        <w:t xml:space="preserve">Interim </w:t>
      </w:r>
      <w:r w:rsidRPr="00C214C6">
        <w:rPr>
          <w:rFonts w:ascii="Calibri" w:hAnsi="Calibri" w:cs="Calibri"/>
          <w:b/>
          <w:bCs/>
          <w:i/>
          <w:iCs/>
          <w:sz w:val="22"/>
          <w:szCs w:val="22"/>
        </w:rPr>
        <w:t xml:space="preserve"> Statement of Changes in Shareholders’ Equity for the </w:t>
      </w:r>
      <w:r w:rsidR="00A24B23" w:rsidRPr="00C214C6">
        <w:rPr>
          <w:rFonts w:ascii="Calibri" w:hAnsi="Calibri" w:cs="Calibri"/>
          <w:b/>
          <w:bCs/>
          <w:i/>
          <w:iCs/>
          <w:sz w:val="22"/>
          <w:szCs w:val="22"/>
        </w:rPr>
        <w:t>Half-</w:t>
      </w:r>
      <w:r w:rsidR="005D59CB">
        <w:rPr>
          <w:rFonts w:ascii="Calibri" w:hAnsi="Calibri" w:cs="Calibri"/>
          <w:b/>
          <w:bCs/>
          <w:i/>
          <w:iCs/>
          <w:sz w:val="22"/>
          <w:szCs w:val="22"/>
        </w:rPr>
        <w:t>Y</w:t>
      </w:r>
      <w:r w:rsidR="007F299C" w:rsidRPr="00C214C6">
        <w:rPr>
          <w:rFonts w:ascii="Calibri" w:hAnsi="Calibri" w:cs="Calibri"/>
          <w:b/>
          <w:bCs/>
          <w:i/>
          <w:iCs/>
          <w:sz w:val="22"/>
          <w:szCs w:val="22"/>
        </w:rPr>
        <w:t xml:space="preserve">ear ended </w:t>
      </w:r>
      <w:r w:rsidR="00FC5F14" w:rsidRPr="00C214C6">
        <w:rPr>
          <w:rFonts w:ascii="Calibri" w:hAnsi="Calibri" w:cs="Calibri"/>
          <w:b/>
          <w:bCs/>
          <w:i/>
          <w:iCs/>
          <w:sz w:val="22"/>
          <w:szCs w:val="22"/>
        </w:rPr>
        <w:t>September</w:t>
      </w:r>
      <w:r w:rsidRPr="00C214C6">
        <w:rPr>
          <w:rFonts w:ascii="Calibri" w:hAnsi="Calibri" w:cs="Calibri"/>
          <w:b/>
          <w:bCs/>
          <w:i/>
          <w:iCs/>
          <w:sz w:val="22"/>
          <w:szCs w:val="22"/>
        </w:rPr>
        <w:t xml:space="preserve"> 3</w:t>
      </w:r>
      <w:r w:rsidR="00073258" w:rsidRPr="00C214C6">
        <w:rPr>
          <w:rFonts w:ascii="Calibri" w:hAnsi="Calibri" w:cs="Calibri"/>
          <w:b/>
          <w:bCs/>
          <w:i/>
          <w:iCs/>
          <w:sz w:val="22"/>
          <w:szCs w:val="22"/>
        </w:rPr>
        <w:t>0</w:t>
      </w:r>
      <w:r w:rsidRPr="00C214C6">
        <w:rPr>
          <w:rFonts w:ascii="Calibri" w:hAnsi="Calibri" w:cs="Calibri"/>
          <w:b/>
          <w:bCs/>
          <w:i/>
          <w:iCs/>
          <w:sz w:val="22"/>
          <w:szCs w:val="22"/>
        </w:rPr>
        <w:t>, 20</w:t>
      </w:r>
      <w:r w:rsidR="008F6F90" w:rsidRPr="00C214C6">
        <w:rPr>
          <w:rFonts w:ascii="Calibri" w:hAnsi="Calibri" w:cs="Calibri"/>
          <w:b/>
          <w:bCs/>
          <w:i/>
          <w:iCs/>
          <w:sz w:val="22"/>
          <w:szCs w:val="22"/>
        </w:rPr>
        <w:t>20</w:t>
      </w:r>
      <w:r w:rsidRPr="00C214C6">
        <w:rPr>
          <w:rFonts w:ascii="Calibri" w:hAnsi="Calibri" w:cs="Calibri"/>
          <w:b/>
          <w:bCs/>
          <w:i/>
          <w:iCs/>
          <w:sz w:val="22"/>
          <w:szCs w:val="22"/>
        </w:rPr>
        <w:t xml:space="preserve"> (unaudited)</w:t>
      </w:r>
    </w:p>
    <w:p w14:paraId="665CC56A" w14:textId="100E7117" w:rsidR="00527C5C" w:rsidRDefault="00527C5C" w:rsidP="00D72D0A">
      <w:pPr>
        <w:tabs>
          <w:tab w:val="left" w:pos="7655"/>
        </w:tabs>
        <w:ind w:right="4"/>
        <w:rPr>
          <w:rFonts w:ascii="Calibri" w:hAnsi="Calibri" w:cs="Calibri"/>
          <w:b/>
          <w:bCs/>
          <w:i/>
          <w:iCs/>
          <w:color w:val="FF0000"/>
          <w:sz w:val="22"/>
          <w:szCs w:val="22"/>
        </w:rPr>
      </w:pPr>
    </w:p>
    <w:tbl>
      <w:tblPr>
        <w:tblW w:w="13183" w:type="dxa"/>
        <w:tblLook w:val="04A0" w:firstRow="1" w:lastRow="0" w:firstColumn="1" w:lastColumn="0" w:noHBand="0" w:noVBand="1"/>
      </w:tblPr>
      <w:tblGrid>
        <w:gridCol w:w="5500"/>
        <w:gridCol w:w="981"/>
        <w:gridCol w:w="737"/>
        <w:gridCol w:w="1005"/>
        <w:gridCol w:w="992"/>
        <w:gridCol w:w="1007"/>
        <w:gridCol w:w="978"/>
        <w:gridCol w:w="883"/>
        <w:gridCol w:w="1101"/>
      </w:tblGrid>
      <w:tr w:rsidR="0016178C" w:rsidRPr="0016178C" w14:paraId="644A228A" w14:textId="77777777" w:rsidTr="0016178C">
        <w:trPr>
          <w:trHeight w:val="300"/>
        </w:trPr>
        <w:tc>
          <w:tcPr>
            <w:tcW w:w="5500" w:type="dxa"/>
            <w:tcBorders>
              <w:top w:val="nil"/>
              <w:left w:val="nil"/>
              <w:bottom w:val="nil"/>
              <w:right w:val="nil"/>
            </w:tcBorders>
            <w:shd w:val="clear" w:color="auto" w:fill="auto"/>
            <w:noWrap/>
            <w:vAlign w:val="center"/>
            <w:hideMark/>
          </w:tcPr>
          <w:p w14:paraId="1D692878" w14:textId="77777777" w:rsidR="0016178C" w:rsidRPr="0016178C" w:rsidRDefault="0016178C" w:rsidP="0016178C">
            <w:pPr>
              <w:rPr>
                <w:sz w:val="20"/>
                <w:szCs w:val="20"/>
                <w:lang w:eastAsia="en-IE"/>
              </w:rPr>
            </w:pPr>
          </w:p>
        </w:tc>
        <w:tc>
          <w:tcPr>
            <w:tcW w:w="981" w:type="dxa"/>
            <w:tcBorders>
              <w:top w:val="single" w:sz="8" w:space="0" w:color="auto"/>
              <w:left w:val="single" w:sz="8" w:space="0" w:color="auto"/>
              <w:bottom w:val="nil"/>
              <w:right w:val="single" w:sz="8" w:space="0" w:color="auto"/>
            </w:tcBorders>
            <w:shd w:val="clear" w:color="auto" w:fill="auto"/>
            <w:noWrap/>
            <w:vAlign w:val="center"/>
            <w:hideMark/>
          </w:tcPr>
          <w:p w14:paraId="66424BE6"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w:t>
            </w:r>
          </w:p>
        </w:tc>
        <w:tc>
          <w:tcPr>
            <w:tcW w:w="736" w:type="dxa"/>
            <w:tcBorders>
              <w:top w:val="nil"/>
              <w:left w:val="nil"/>
              <w:bottom w:val="nil"/>
              <w:right w:val="nil"/>
            </w:tcBorders>
            <w:shd w:val="clear" w:color="auto" w:fill="auto"/>
            <w:noWrap/>
            <w:vAlign w:val="center"/>
            <w:hideMark/>
          </w:tcPr>
          <w:p w14:paraId="18669B43"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Issued</w:t>
            </w:r>
          </w:p>
        </w:tc>
        <w:tc>
          <w:tcPr>
            <w:tcW w:w="1005" w:type="dxa"/>
            <w:tcBorders>
              <w:top w:val="nil"/>
              <w:left w:val="nil"/>
              <w:bottom w:val="nil"/>
              <w:right w:val="nil"/>
            </w:tcBorders>
            <w:shd w:val="clear" w:color="auto" w:fill="auto"/>
            <w:noWrap/>
            <w:vAlign w:val="center"/>
            <w:hideMark/>
          </w:tcPr>
          <w:p w14:paraId="335F119D"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Share</w:t>
            </w:r>
          </w:p>
        </w:tc>
        <w:tc>
          <w:tcPr>
            <w:tcW w:w="992" w:type="dxa"/>
            <w:tcBorders>
              <w:top w:val="nil"/>
              <w:left w:val="nil"/>
              <w:bottom w:val="nil"/>
              <w:right w:val="nil"/>
            </w:tcBorders>
            <w:shd w:val="clear" w:color="auto" w:fill="auto"/>
            <w:noWrap/>
            <w:vAlign w:val="center"/>
            <w:hideMark/>
          </w:tcPr>
          <w:p w14:paraId="61337752" w14:textId="77777777" w:rsidR="0016178C" w:rsidRPr="0016178C" w:rsidRDefault="0016178C" w:rsidP="0016178C">
            <w:pPr>
              <w:jc w:val="right"/>
              <w:rPr>
                <w:rFonts w:ascii="Calibri" w:hAnsi="Calibri" w:cs="Calibri"/>
                <w:b/>
                <w:bCs/>
                <w:color w:val="000000"/>
                <w:sz w:val="18"/>
                <w:szCs w:val="18"/>
                <w:lang w:eastAsia="en-IE"/>
              </w:rPr>
            </w:pPr>
          </w:p>
        </w:tc>
        <w:tc>
          <w:tcPr>
            <w:tcW w:w="1007" w:type="dxa"/>
            <w:tcBorders>
              <w:top w:val="nil"/>
              <w:left w:val="nil"/>
              <w:bottom w:val="nil"/>
              <w:right w:val="nil"/>
            </w:tcBorders>
            <w:shd w:val="clear" w:color="auto" w:fill="auto"/>
            <w:noWrap/>
            <w:vAlign w:val="center"/>
            <w:hideMark/>
          </w:tcPr>
          <w:p w14:paraId="0E7562FA"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Other</w:t>
            </w:r>
          </w:p>
        </w:tc>
        <w:tc>
          <w:tcPr>
            <w:tcW w:w="978" w:type="dxa"/>
            <w:tcBorders>
              <w:top w:val="single" w:sz="8" w:space="0" w:color="auto"/>
              <w:left w:val="single" w:sz="8" w:space="0" w:color="auto"/>
              <w:bottom w:val="nil"/>
              <w:right w:val="nil"/>
            </w:tcBorders>
            <w:shd w:val="clear" w:color="auto" w:fill="auto"/>
            <w:noWrap/>
            <w:vAlign w:val="center"/>
            <w:hideMark/>
          </w:tcPr>
          <w:p w14:paraId="4862D0A9" w14:textId="77777777" w:rsidR="0016178C" w:rsidRPr="0016178C" w:rsidRDefault="0016178C" w:rsidP="0016178C">
            <w:pPr>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w:t>
            </w:r>
          </w:p>
        </w:tc>
        <w:tc>
          <w:tcPr>
            <w:tcW w:w="883" w:type="dxa"/>
            <w:tcBorders>
              <w:top w:val="single" w:sz="8" w:space="0" w:color="auto"/>
              <w:left w:val="nil"/>
              <w:bottom w:val="nil"/>
              <w:right w:val="single" w:sz="8" w:space="0" w:color="auto"/>
            </w:tcBorders>
            <w:shd w:val="clear" w:color="auto" w:fill="auto"/>
            <w:noWrap/>
            <w:vAlign w:val="center"/>
            <w:hideMark/>
          </w:tcPr>
          <w:p w14:paraId="11EBB3F2"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w:t>
            </w:r>
          </w:p>
        </w:tc>
        <w:tc>
          <w:tcPr>
            <w:tcW w:w="1101" w:type="dxa"/>
            <w:tcBorders>
              <w:top w:val="nil"/>
              <w:left w:val="nil"/>
              <w:bottom w:val="nil"/>
              <w:right w:val="nil"/>
            </w:tcBorders>
            <w:shd w:val="clear" w:color="auto" w:fill="auto"/>
            <w:noWrap/>
            <w:vAlign w:val="center"/>
            <w:hideMark/>
          </w:tcPr>
          <w:p w14:paraId="1A630882" w14:textId="77777777" w:rsidR="0016178C" w:rsidRPr="0016178C" w:rsidRDefault="0016178C" w:rsidP="0016178C">
            <w:pPr>
              <w:jc w:val="right"/>
              <w:rPr>
                <w:rFonts w:ascii="Calibri" w:hAnsi="Calibri" w:cs="Calibri"/>
                <w:b/>
                <w:bCs/>
                <w:color w:val="000000"/>
                <w:sz w:val="18"/>
                <w:szCs w:val="18"/>
                <w:lang w:eastAsia="en-IE"/>
              </w:rPr>
            </w:pPr>
          </w:p>
        </w:tc>
      </w:tr>
      <w:tr w:rsidR="0016178C" w:rsidRPr="0016178C" w14:paraId="2E767595" w14:textId="77777777" w:rsidTr="0016178C">
        <w:trPr>
          <w:trHeight w:val="300"/>
        </w:trPr>
        <w:tc>
          <w:tcPr>
            <w:tcW w:w="5500" w:type="dxa"/>
            <w:tcBorders>
              <w:top w:val="nil"/>
              <w:left w:val="nil"/>
              <w:bottom w:val="nil"/>
              <w:right w:val="nil"/>
            </w:tcBorders>
            <w:shd w:val="clear" w:color="auto" w:fill="auto"/>
            <w:noWrap/>
            <w:vAlign w:val="center"/>
            <w:hideMark/>
          </w:tcPr>
          <w:p w14:paraId="0B1BF4A2" w14:textId="77777777" w:rsidR="0016178C" w:rsidRPr="0016178C" w:rsidRDefault="0016178C" w:rsidP="0016178C">
            <w:pPr>
              <w:rPr>
                <w:sz w:val="20"/>
                <w:szCs w:val="20"/>
                <w:lang w:eastAsia="en-IE"/>
              </w:rPr>
            </w:pPr>
          </w:p>
        </w:tc>
        <w:tc>
          <w:tcPr>
            <w:tcW w:w="981" w:type="dxa"/>
            <w:tcBorders>
              <w:top w:val="nil"/>
              <w:left w:val="single" w:sz="8" w:space="0" w:color="auto"/>
              <w:bottom w:val="nil"/>
              <w:right w:val="single" w:sz="8" w:space="0" w:color="auto"/>
            </w:tcBorders>
            <w:shd w:val="clear" w:color="auto" w:fill="auto"/>
            <w:noWrap/>
            <w:vAlign w:val="center"/>
            <w:hideMark/>
          </w:tcPr>
          <w:p w14:paraId="4A849EED"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Ordinary</w:t>
            </w:r>
          </w:p>
        </w:tc>
        <w:tc>
          <w:tcPr>
            <w:tcW w:w="736" w:type="dxa"/>
            <w:tcBorders>
              <w:top w:val="nil"/>
              <w:left w:val="nil"/>
              <w:bottom w:val="nil"/>
              <w:right w:val="nil"/>
            </w:tcBorders>
            <w:shd w:val="clear" w:color="auto" w:fill="auto"/>
            <w:noWrap/>
            <w:vAlign w:val="center"/>
            <w:hideMark/>
          </w:tcPr>
          <w:p w14:paraId="5CD1CD27"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Share</w:t>
            </w:r>
          </w:p>
        </w:tc>
        <w:tc>
          <w:tcPr>
            <w:tcW w:w="1005" w:type="dxa"/>
            <w:tcBorders>
              <w:top w:val="nil"/>
              <w:left w:val="nil"/>
              <w:bottom w:val="nil"/>
              <w:right w:val="nil"/>
            </w:tcBorders>
            <w:shd w:val="clear" w:color="auto" w:fill="auto"/>
            <w:noWrap/>
            <w:vAlign w:val="center"/>
            <w:hideMark/>
          </w:tcPr>
          <w:p w14:paraId="77B82FF3"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Premium</w:t>
            </w:r>
          </w:p>
        </w:tc>
        <w:tc>
          <w:tcPr>
            <w:tcW w:w="992" w:type="dxa"/>
            <w:tcBorders>
              <w:top w:val="nil"/>
              <w:left w:val="nil"/>
              <w:bottom w:val="nil"/>
              <w:right w:val="nil"/>
            </w:tcBorders>
            <w:shd w:val="clear" w:color="auto" w:fill="auto"/>
            <w:noWrap/>
            <w:vAlign w:val="center"/>
            <w:hideMark/>
          </w:tcPr>
          <w:p w14:paraId="701474DC" w14:textId="77777777" w:rsidR="0016178C" w:rsidRPr="0016178C" w:rsidRDefault="0016178C" w:rsidP="0016178C">
            <w:pPr>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Retained</w:t>
            </w:r>
          </w:p>
        </w:tc>
        <w:tc>
          <w:tcPr>
            <w:tcW w:w="1007" w:type="dxa"/>
            <w:tcBorders>
              <w:top w:val="nil"/>
              <w:left w:val="nil"/>
              <w:bottom w:val="nil"/>
              <w:right w:val="nil"/>
            </w:tcBorders>
            <w:shd w:val="clear" w:color="auto" w:fill="auto"/>
            <w:noWrap/>
            <w:vAlign w:val="center"/>
            <w:hideMark/>
          </w:tcPr>
          <w:p w14:paraId="5BD4183A"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Undenom.</w:t>
            </w:r>
          </w:p>
        </w:tc>
        <w:tc>
          <w:tcPr>
            <w:tcW w:w="978" w:type="dxa"/>
            <w:tcBorders>
              <w:top w:val="nil"/>
              <w:left w:val="single" w:sz="8" w:space="0" w:color="auto"/>
              <w:bottom w:val="nil"/>
              <w:right w:val="nil"/>
            </w:tcBorders>
            <w:shd w:val="clear" w:color="auto" w:fill="auto"/>
            <w:noWrap/>
            <w:vAlign w:val="center"/>
            <w:hideMark/>
          </w:tcPr>
          <w:p w14:paraId="72B25018" w14:textId="77777777" w:rsidR="0016178C" w:rsidRPr="0016178C" w:rsidRDefault="0016178C" w:rsidP="0016178C">
            <w:pPr>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w:t>
            </w:r>
          </w:p>
        </w:tc>
        <w:tc>
          <w:tcPr>
            <w:tcW w:w="883" w:type="dxa"/>
            <w:tcBorders>
              <w:top w:val="nil"/>
              <w:left w:val="nil"/>
              <w:bottom w:val="nil"/>
              <w:right w:val="single" w:sz="8" w:space="0" w:color="auto"/>
            </w:tcBorders>
            <w:shd w:val="clear" w:color="auto" w:fill="auto"/>
            <w:noWrap/>
            <w:vAlign w:val="center"/>
            <w:hideMark/>
          </w:tcPr>
          <w:p w14:paraId="3DB79F8E"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Other</w:t>
            </w:r>
          </w:p>
        </w:tc>
        <w:tc>
          <w:tcPr>
            <w:tcW w:w="1101" w:type="dxa"/>
            <w:tcBorders>
              <w:top w:val="nil"/>
              <w:left w:val="nil"/>
              <w:bottom w:val="nil"/>
              <w:right w:val="nil"/>
            </w:tcBorders>
            <w:shd w:val="clear" w:color="auto" w:fill="auto"/>
            <w:noWrap/>
            <w:vAlign w:val="center"/>
            <w:hideMark/>
          </w:tcPr>
          <w:p w14:paraId="4870E7B9" w14:textId="77777777" w:rsidR="0016178C" w:rsidRPr="0016178C" w:rsidRDefault="0016178C" w:rsidP="0016178C">
            <w:pPr>
              <w:jc w:val="right"/>
              <w:rPr>
                <w:rFonts w:ascii="Calibri" w:hAnsi="Calibri" w:cs="Calibri"/>
                <w:b/>
                <w:bCs/>
                <w:color w:val="000000"/>
                <w:sz w:val="18"/>
                <w:szCs w:val="18"/>
                <w:lang w:eastAsia="en-IE"/>
              </w:rPr>
            </w:pPr>
          </w:p>
        </w:tc>
      </w:tr>
      <w:tr w:rsidR="0016178C" w:rsidRPr="0016178C" w14:paraId="02581812" w14:textId="77777777" w:rsidTr="0016178C">
        <w:trPr>
          <w:trHeight w:val="300"/>
        </w:trPr>
        <w:tc>
          <w:tcPr>
            <w:tcW w:w="5500" w:type="dxa"/>
            <w:tcBorders>
              <w:top w:val="nil"/>
              <w:left w:val="nil"/>
              <w:bottom w:val="nil"/>
              <w:right w:val="nil"/>
            </w:tcBorders>
            <w:shd w:val="clear" w:color="auto" w:fill="auto"/>
            <w:noWrap/>
            <w:vAlign w:val="center"/>
            <w:hideMark/>
          </w:tcPr>
          <w:p w14:paraId="118992A6" w14:textId="77777777" w:rsidR="0016178C" w:rsidRPr="0016178C" w:rsidRDefault="0016178C" w:rsidP="0016178C">
            <w:pPr>
              <w:rPr>
                <w:sz w:val="20"/>
                <w:szCs w:val="20"/>
                <w:lang w:eastAsia="en-IE"/>
              </w:rPr>
            </w:pPr>
          </w:p>
        </w:tc>
        <w:tc>
          <w:tcPr>
            <w:tcW w:w="981" w:type="dxa"/>
            <w:tcBorders>
              <w:top w:val="nil"/>
              <w:left w:val="single" w:sz="8" w:space="0" w:color="auto"/>
              <w:bottom w:val="nil"/>
              <w:right w:val="single" w:sz="8" w:space="0" w:color="auto"/>
            </w:tcBorders>
            <w:shd w:val="clear" w:color="auto" w:fill="auto"/>
            <w:noWrap/>
            <w:vAlign w:val="center"/>
            <w:hideMark/>
          </w:tcPr>
          <w:p w14:paraId="65CBA2A6"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Shares</w:t>
            </w:r>
          </w:p>
        </w:tc>
        <w:tc>
          <w:tcPr>
            <w:tcW w:w="736" w:type="dxa"/>
            <w:tcBorders>
              <w:top w:val="nil"/>
              <w:left w:val="nil"/>
              <w:bottom w:val="nil"/>
              <w:right w:val="nil"/>
            </w:tcBorders>
            <w:shd w:val="clear" w:color="auto" w:fill="auto"/>
            <w:noWrap/>
            <w:vAlign w:val="center"/>
            <w:hideMark/>
          </w:tcPr>
          <w:p w14:paraId="502BAAEC"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Capital</w:t>
            </w:r>
          </w:p>
        </w:tc>
        <w:tc>
          <w:tcPr>
            <w:tcW w:w="1005" w:type="dxa"/>
            <w:tcBorders>
              <w:top w:val="nil"/>
              <w:left w:val="nil"/>
              <w:bottom w:val="nil"/>
              <w:right w:val="nil"/>
            </w:tcBorders>
            <w:shd w:val="clear" w:color="auto" w:fill="auto"/>
            <w:noWrap/>
            <w:vAlign w:val="center"/>
            <w:hideMark/>
          </w:tcPr>
          <w:p w14:paraId="3648F9CD"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Account</w:t>
            </w:r>
          </w:p>
        </w:tc>
        <w:tc>
          <w:tcPr>
            <w:tcW w:w="992" w:type="dxa"/>
            <w:tcBorders>
              <w:top w:val="nil"/>
              <w:left w:val="nil"/>
              <w:bottom w:val="nil"/>
              <w:right w:val="nil"/>
            </w:tcBorders>
            <w:shd w:val="clear" w:color="auto" w:fill="auto"/>
            <w:noWrap/>
            <w:vAlign w:val="center"/>
            <w:hideMark/>
          </w:tcPr>
          <w:p w14:paraId="28A3EDB0"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Earnings</w:t>
            </w:r>
          </w:p>
        </w:tc>
        <w:tc>
          <w:tcPr>
            <w:tcW w:w="1007" w:type="dxa"/>
            <w:tcBorders>
              <w:top w:val="nil"/>
              <w:left w:val="nil"/>
              <w:bottom w:val="nil"/>
              <w:right w:val="nil"/>
            </w:tcBorders>
            <w:shd w:val="clear" w:color="auto" w:fill="auto"/>
            <w:noWrap/>
            <w:vAlign w:val="center"/>
            <w:hideMark/>
          </w:tcPr>
          <w:p w14:paraId="33E245F7"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Capital</w:t>
            </w:r>
          </w:p>
        </w:tc>
        <w:tc>
          <w:tcPr>
            <w:tcW w:w="978" w:type="dxa"/>
            <w:tcBorders>
              <w:top w:val="nil"/>
              <w:left w:val="single" w:sz="8" w:space="0" w:color="auto"/>
              <w:bottom w:val="nil"/>
              <w:right w:val="nil"/>
            </w:tcBorders>
            <w:shd w:val="clear" w:color="auto" w:fill="auto"/>
            <w:noWrap/>
            <w:vAlign w:val="center"/>
            <w:hideMark/>
          </w:tcPr>
          <w:p w14:paraId="0AA2E415"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Hedging</w:t>
            </w:r>
          </w:p>
        </w:tc>
        <w:tc>
          <w:tcPr>
            <w:tcW w:w="883" w:type="dxa"/>
            <w:tcBorders>
              <w:top w:val="nil"/>
              <w:left w:val="nil"/>
              <w:bottom w:val="nil"/>
              <w:right w:val="single" w:sz="8" w:space="0" w:color="auto"/>
            </w:tcBorders>
            <w:shd w:val="clear" w:color="auto" w:fill="auto"/>
            <w:noWrap/>
            <w:vAlign w:val="center"/>
            <w:hideMark/>
          </w:tcPr>
          <w:p w14:paraId="2614BAD2"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Reserves</w:t>
            </w:r>
          </w:p>
        </w:tc>
        <w:tc>
          <w:tcPr>
            <w:tcW w:w="1101" w:type="dxa"/>
            <w:tcBorders>
              <w:top w:val="nil"/>
              <w:left w:val="nil"/>
              <w:bottom w:val="nil"/>
              <w:right w:val="nil"/>
            </w:tcBorders>
            <w:shd w:val="clear" w:color="auto" w:fill="auto"/>
            <w:noWrap/>
            <w:vAlign w:val="center"/>
            <w:hideMark/>
          </w:tcPr>
          <w:p w14:paraId="044FBED1"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Total</w:t>
            </w:r>
          </w:p>
        </w:tc>
      </w:tr>
      <w:tr w:rsidR="0016178C" w:rsidRPr="0016178C" w14:paraId="3F0CA126" w14:textId="77777777" w:rsidTr="0016178C">
        <w:trPr>
          <w:trHeight w:val="300"/>
        </w:trPr>
        <w:tc>
          <w:tcPr>
            <w:tcW w:w="5500" w:type="dxa"/>
            <w:tcBorders>
              <w:top w:val="nil"/>
              <w:left w:val="nil"/>
              <w:bottom w:val="nil"/>
              <w:right w:val="nil"/>
            </w:tcBorders>
            <w:shd w:val="clear" w:color="auto" w:fill="auto"/>
            <w:noWrap/>
            <w:vAlign w:val="center"/>
            <w:hideMark/>
          </w:tcPr>
          <w:p w14:paraId="08A00A3D" w14:textId="77777777" w:rsidR="0016178C" w:rsidRPr="0016178C" w:rsidRDefault="0016178C" w:rsidP="0016178C">
            <w:pPr>
              <w:jc w:val="right"/>
              <w:rPr>
                <w:rFonts w:ascii="Calibri" w:hAnsi="Calibri" w:cs="Calibri"/>
                <w:b/>
                <w:bCs/>
                <w:color w:val="000000"/>
                <w:sz w:val="18"/>
                <w:szCs w:val="18"/>
                <w:lang w:eastAsia="en-IE"/>
              </w:rPr>
            </w:pPr>
          </w:p>
        </w:tc>
        <w:tc>
          <w:tcPr>
            <w:tcW w:w="981" w:type="dxa"/>
            <w:tcBorders>
              <w:top w:val="nil"/>
              <w:left w:val="single" w:sz="8" w:space="0" w:color="auto"/>
              <w:bottom w:val="nil"/>
              <w:right w:val="single" w:sz="8" w:space="0" w:color="auto"/>
            </w:tcBorders>
            <w:shd w:val="clear" w:color="auto" w:fill="auto"/>
            <w:noWrap/>
            <w:vAlign w:val="center"/>
            <w:hideMark/>
          </w:tcPr>
          <w:p w14:paraId="7EB57344" w14:textId="77777777" w:rsidR="0016178C" w:rsidRPr="0016178C" w:rsidRDefault="0016178C" w:rsidP="0016178C">
            <w:pPr>
              <w:jc w:val="right"/>
              <w:rPr>
                <w:rFonts w:ascii="Calibri" w:hAnsi="Calibri" w:cs="Calibri"/>
                <w:b/>
                <w:bCs/>
                <w:color w:val="000000"/>
                <w:sz w:val="18"/>
                <w:szCs w:val="18"/>
                <w:u w:val="single"/>
                <w:lang w:eastAsia="en-IE"/>
              </w:rPr>
            </w:pPr>
            <w:r w:rsidRPr="0016178C">
              <w:rPr>
                <w:rFonts w:ascii="Calibri" w:hAnsi="Calibri" w:cs="Calibri"/>
                <w:b/>
                <w:bCs/>
                <w:color w:val="000000"/>
                <w:sz w:val="18"/>
                <w:szCs w:val="18"/>
                <w:u w:val="single"/>
                <w:lang w:eastAsia="en-IE"/>
              </w:rPr>
              <w:t>M</w:t>
            </w:r>
          </w:p>
        </w:tc>
        <w:tc>
          <w:tcPr>
            <w:tcW w:w="736" w:type="dxa"/>
            <w:tcBorders>
              <w:top w:val="nil"/>
              <w:left w:val="nil"/>
              <w:bottom w:val="nil"/>
              <w:right w:val="nil"/>
            </w:tcBorders>
            <w:shd w:val="clear" w:color="auto" w:fill="auto"/>
            <w:noWrap/>
            <w:vAlign w:val="center"/>
            <w:hideMark/>
          </w:tcPr>
          <w:p w14:paraId="1213F5E0" w14:textId="77777777" w:rsidR="0016178C" w:rsidRPr="0016178C" w:rsidRDefault="0016178C" w:rsidP="0016178C">
            <w:pPr>
              <w:jc w:val="right"/>
              <w:rPr>
                <w:rFonts w:ascii="Calibri" w:hAnsi="Calibri" w:cs="Calibri"/>
                <w:b/>
                <w:bCs/>
                <w:color w:val="000000"/>
                <w:sz w:val="18"/>
                <w:szCs w:val="18"/>
                <w:u w:val="single"/>
                <w:lang w:eastAsia="en-IE"/>
              </w:rPr>
            </w:pPr>
            <w:r w:rsidRPr="0016178C">
              <w:rPr>
                <w:rFonts w:ascii="Calibri" w:hAnsi="Calibri" w:cs="Calibri"/>
                <w:b/>
                <w:bCs/>
                <w:color w:val="000000"/>
                <w:sz w:val="18"/>
                <w:szCs w:val="18"/>
                <w:u w:val="single"/>
                <w:lang w:eastAsia="en-IE"/>
              </w:rPr>
              <w:t>€M</w:t>
            </w:r>
          </w:p>
        </w:tc>
        <w:tc>
          <w:tcPr>
            <w:tcW w:w="1005" w:type="dxa"/>
            <w:tcBorders>
              <w:top w:val="nil"/>
              <w:left w:val="nil"/>
              <w:bottom w:val="nil"/>
              <w:right w:val="nil"/>
            </w:tcBorders>
            <w:shd w:val="clear" w:color="auto" w:fill="auto"/>
            <w:noWrap/>
            <w:vAlign w:val="center"/>
            <w:hideMark/>
          </w:tcPr>
          <w:p w14:paraId="22CC5896" w14:textId="77777777" w:rsidR="0016178C" w:rsidRPr="0016178C" w:rsidRDefault="0016178C" w:rsidP="0016178C">
            <w:pPr>
              <w:jc w:val="right"/>
              <w:rPr>
                <w:rFonts w:ascii="Calibri" w:hAnsi="Calibri" w:cs="Calibri"/>
                <w:b/>
                <w:bCs/>
                <w:color w:val="000000"/>
                <w:sz w:val="18"/>
                <w:szCs w:val="18"/>
                <w:u w:val="single"/>
                <w:lang w:eastAsia="en-IE"/>
              </w:rPr>
            </w:pPr>
            <w:r w:rsidRPr="0016178C">
              <w:rPr>
                <w:rFonts w:ascii="Calibri" w:hAnsi="Calibri" w:cs="Calibri"/>
                <w:b/>
                <w:bCs/>
                <w:color w:val="000000"/>
                <w:sz w:val="18"/>
                <w:szCs w:val="18"/>
                <w:u w:val="single"/>
                <w:lang w:eastAsia="en-IE"/>
              </w:rPr>
              <w:t>€M</w:t>
            </w:r>
          </w:p>
        </w:tc>
        <w:tc>
          <w:tcPr>
            <w:tcW w:w="992" w:type="dxa"/>
            <w:tcBorders>
              <w:top w:val="nil"/>
              <w:left w:val="nil"/>
              <w:bottom w:val="nil"/>
              <w:right w:val="nil"/>
            </w:tcBorders>
            <w:shd w:val="clear" w:color="auto" w:fill="auto"/>
            <w:noWrap/>
            <w:vAlign w:val="center"/>
            <w:hideMark/>
          </w:tcPr>
          <w:p w14:paraId="146F2D8A" w14:textId="77777777" w:rsidR="0016178C" w:rsidRPr="0016178C" w:rsidRDefault="0016178C" w:rsidP="0016178C">
            <w:pPr>
              <w:jc w:val="right"/>
              <w:rPr>
                <w:rFonts w:ascii="Calibri" w:hAnsi="Calibri" w:cs="Calibri"/>
                <w:b/>
                <w:bCs/>
                <w:color w:val="000000"/>
                <w:sz w:val="18"/>
                <w:szCs w:val="18"/>
                <w:u w:val="single"/>
                <w:lang w:eastAsia="en-IE"/>
              </w:rPr>
            </w:pPr>
            <w:r w:rsidRPr="0016178C">
              <w:rPr>
                <w:rFonts w:ascii="Calibri" w:hAnsi="Calibri" w:cs="Calibri"/>
                <w:b/>
                <w:bCs/>
                <w:color w:val="000000"/>
                <w:sz w:val="18"/>
                <w:szCs w:val="18"/>
                <w:u w:val="single"/>
                <w:lang w:eastAsia="en-IE"/>
              </w:rPr>
              <w:t>€M</w:t>
            </w:r>
          </w:p>
        </w:tc>
        <w:tc>
          <w:tcPr>
            <w:tcW w:w="1007" w:type="dxa"/>
            <w:tcBorders>
              <w:top w:val="nil"/>
              <w:left w:val="nil"/>
              <w:bottom w:val="nil"/>
              <w:right w:val="nil"/>
            </w:tcBorders>
            <w:shd w:val="clear" w:color="auto" w:fill="auto"/>
            <w:noWrap/>
            <w:vAlign w:val="center"/>
            <w:hideMark/>
          </w:tcPr>
          <w:p w14:paraId="0832BFB5" w14:textId="77777777" w:rsidR="0016178C" w:rsidRPr="0016178C" w:rsidRDefault="0016178C" w:rsidP="0016178C">
            <w:pPr>
              <w:jc w:val="right"/>
              <w:rPr>
                <w:rFonts w:ascii="Calibri" w:hAnsi="Calibri" w:cs="Calibri"/>
                <w:b/>
                <w:bCs/>
                <w:color w:val="000000"/>
                <w:sz w:val="18"/>
                <w:szCs w:val="18"/>
                <w:u w:val="single"/>
                <w:lang w:eastAsia="en-IE"/>
              </w:rPr>
            </w:pPr>
            <w:r w:rsidRPr="0016178C">
              <w:rPr>
                <w:rFonts w:ascii="Calibri" w:hAnsi="Calibri" w:cs="Calibri"/>
                <w:b/>
                <w:bCs/>
                <w:color w:val="000000"/>
                <w:sz w:val="18"/>
                <w:szCs w:val="18"/>
                <w:u w:val="single"/>
                <w:lang w:eastAsia="en-IE"/>
              </w:rPr>
              <w:t>€M</w:t>
            </w:r>
          </w:p>
        </w:tc>
        <w:tc>
          <w:tcPr>
            <w:tcW w:w="978" w:type="dxa"/>
            <w:tcBorders>
              <w:top w:val="nil"/>
              <w:left w:val="single" w:sz="8" w:space="0" w:color="auto"/>
              <w:bottom w:val="nil"/>
              <w:right w:val="nil"/>
            </w:tcBorders>
            <w:shd w:val="clear" w:color="auto" w:fill="auto"/>
            <w:noWrap/>
            <w:vAlign w:val="center"/>
            <w:hideMark/>
          </w:tcPr>
          <w:p w14:paraId="1DF13B8D" w14:textId="77777777" w:rsidR="0016178C" w:rsidRPr="0016178C" w:rsidRDefault="0016178C" w:rsidP="0016178C">
            <w:pPr>
              <w:jc w:val="right"/>
              <w:rPr>
                <w:rFonts w:ascii="Calibri" w:hAnsi="Calibri" w:cs="Calibri"/>
                <w:b/>
                <w:bCs/>
                <w:color w:val="000000"/>
                <w:sz w:val="18"/>
                <w:szCs w:val="18"/>
                <w:u w:val="single"/>
                <w:lang w:eastAsia="en-IE"/>
              </w:rPr>
            </w:pPr>
            <w:r w:rsidRPr="0016178C">
              <w:rPr>
                <w:rFonts w:ascii="Calibri" w:hAnsi="Calibri" w:cs="Calibri"/>
                <w:b/>
                <w:bCs/>
                <w:color w:val="000000"/>
                <w:sz w:val="18"/>
                <w:szCs w:val="18"/>
                <w:u w:val="single"/>
                <w:lang w:eastAsia="en-IE"/>
              </w:rPr>
              <w:t>€M</w:t>
            </w:r>
          </w:p>
        </w:tc>
        <w:tc>
          <w:tcPr>
            <w:tcW w:w="883" w:type="dxa"/>
            <w:tcBorders>
              <w:top w:val="nil"/>
              <w:left w:val="nil"/>
              <w:bottom w:val="nil"/>
              <w:right w:val="single" w:sz="8" w:space="0" w:color="auto"/>
            </w:tcBorders>
            <w:shd w:val="clear" w:color="auto" w:fill="auto"/>
            <w:noWrap/>
            <w:vAlign w:val="center"/>
            <w:hideMark/>
          </w:tcPr>
          <w:p w14:paraId="4A865DEC" w14:textId="77777777" w:rsidR="0016178C" w:rsidRPr="0016178C" w:rsidRDefault="0016178C" w:rsidP="0016178C">
            <w:pPr>
              <w:jc w:val="right"/>
              <w:rPr>
                <w:rFonts w:ascii="Calibri" w:hAnsi="Calibri" w:cs="Calibri"/>
                <w:b/>
                <w:bCs/>
                <w:color w:val="000000"/>
                <w:sz w:val="18"/>
                <w:szCs w:val="18"/>
                <w:u w:val="single"/>
                <w:lang w:eastAsia="en-IE"/>
              </w:rPr>
            </w:pPr>
            <w:r w:rsidRPr="0016178C">
              <w:rPr>
                <w:rFonts w:ascii="Calibri" w:hAnsi="Calibri" w:cs="Calibri"/>
                <w:b/>
                <w:bCs/>
                <w:color w:val="000000"/>
                <w:sz w:val="18"/>
                <w:szCs w:val="18"/>
                <w:u w:val="single"/>
                <w:lang w:eastAsia="en-IE"/>
              </w:rPr>
              <w:t>€M</w:t>
            </w:r>
          </w:p>
        </w:tc>
        <w:tc>
          <w:tcPr>
            <w:tcW w:w="1101" w:type="dxa"/>
            <w:tcBorders>
              <w:top w:val="nil"/>
              <w:left w:val="nil"/>
              <w:bottom w:val="nil"/>
              <w:right w:val="nil"/>
            </w:tcBorders>
            <w:shd w:val="clear" w:color="auto" w:fill="auto"/>
            <w:noWrap/>
            <w:vAlign w:val="center"/>
            <w:hideMark/>
          </w:tcPr>
          <w:p w14:paraId="1FCE0E70" w14:textId="77777777" w:rsidR="0016178C" w:rsidRPr="0016178C" w:rsidRDefault="0016178C" w:rsidP="0016178C">
            <w:pPr>
              <w:jc w:val="right"/>
              <w:rPr>
                <w:rFonts w:ascii="Calibri" w:hAnsi="Calibri" w:cs="Calibri"/>
                <w:b/>
                <w:bCs/>
                <w:color w:val="000000"/>
                <w:sz w:val="18"/>
                <w:szCs w:val="18"/>
                <w:u w:val="single"/>
                <w:lang w:eastAsia="en-IE"/>
              </w:rPr>
            </w:pPr>
            <w:r w:rsidRPr="0016178C">
              <w:rPr>
                <w:rFonts w:ascii="Calibri" w:hAnsi="Calibri" w:cs="Calibri"/>
                <w:b/>
                <w:bCs/>
                <w:color w:val="000000"/>
                <w:sz w:val="18"/>
                <w:szCs w:val="18"/>
                <w:u w:val="single"/>
                <w:lang w:eastAsia="en-IE"/>
              </w:rPr>
              <w:t>€M</w:t>
            </w:r>
          </w:p>
        </w:tc>
      </w:tr>
      <w:tr w:rsidR="0016178C" w:rsidRPr="0016178C" w14:paraId="1696A54B" w14:textId="77777777" w:rsidTr="0016178C">
        <w:trPr>
          <w:trHeight w:val="300"/>
        </w:trPr>
        <w:tc>
          <w:tcPr>
            <w:tcW w:w="5500" w:type="dxa"/>
            <w:tcBorders>
              <w:top w:val="nil"/>
              <w:left w:val="nil"/>
              <w:bottom w:val="nil"/>
              <w:right w:val="nil"/>
            </w:tcBorders>
            <w:shd w:val="clear" w:color="auto" w:fill="auto"/>
            <w:noWrap/>
            <w:vAlign w:val="center"/>
            <w:hideMark/>
          </w:tcPr>
          <w:p w14:paraId="628F0D10" w14:textId="77777777" w:rsidR="0016178C" w:rsidRPr="0016178C" w:rsidRDefault="0016178C" w:rsidP="0016178C">
            <w:pPr>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Balance at March 31, 2019</w:t>
            </w:r>
          </w:p>
        </w:tc>
        <w:tc>
          <w:tcPr>
            <w:tcW w:w="981" w:type="dxa"/>
            <w:tcBorders>
              <w:top w:val="nil"/>
              <w:left w:val="single" w:sz="8" w:space="0" w:color="auto"/>
              <w:bottom w:val="nil"/>
              <w:right w:val="single" w:sz="8" w:space="0" w:color="auto"/>
            </w:tcBorders>
            <w:shd w:val="clear" w:color="auto" w:fill="auto"/>
            <w:noWrap/>
            <w:vAlign w:val="center"/>
            <w:hideMark/>
          </w:tcPr>
          <w:p w14:paraId="24F50BFC"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1,133.4 </w:t>
            </w:r>
          </w:p>
        </w:tc>
        <w:tc>
          <w:tcPr>
            <w:tcW w:w="736" w:type="dxa"/>
            <w:tcBorders>
              <w:top w:val="nil"/>
              <w:left w:val="nil"/>
              <w:bottom w:val="nil"/>
              <w:right w:val="nil"/>
            </w:tcBorders>
            <w:shd w:val="clear" w:color="auto" w:fill="auto"/>
            <w:noWrap/>
            <w:vAlign w:val="center"/>
            <w:hideMark/>
          </w:tcPr>
          <w:p w14:paraId="67D98EF9"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6.8 </w:t>
            </w:r>
          </w:p>
        </w:tc>
        <w:tc>
          <w:tcPr>
            <w:tcW w:w="1005" w:type="dxa"/>
            <w:tcBorders>
              <w:top w:val="nil"/>
              <w:left w:val="nil"/>
              <w:bottom w:val="nil"/>
              <w:right w:val="nil"/>
            </w:tcBorders>
            <w:shd w:val="clear" w:color="auto" w:fill="auto"/>
            <w:noWrap/>
            <w:vAlign w:val="center"/>
            <w:hideMark/>
          </w:tcPr>
          <w:p w14:paraId="204ECACA"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719.4 </w:t>
            </w:r>
          </w:p>
        </w:tc>
        <w:tc>
          <w:tcPr>
            <w:tcW w:w="992" w:type="dxa"/>
            <w:tcBorders>
              <w:top w:val="nil"/>
              <w:left w:val="nil"/>
              <w:bottom w:val="nil"/>
              <w:right w:val="nil"/>
            </w:tcBorders>
            <w:shd w:val="clear" w:color="auto" w:fill="auto"/>
            <w:noWrap/>
            <w:vAlign w:val="center"/>
            <w:hideMark/>
          </w:tcPr>
          <w:p w14:paraId="09C6632E"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4,181.9 </w:t>
            </w:r>
          </w:p>
        </w:tc>
        <w:tc>
          <w:tcPr>
            <w:tcW w:w="1007" w:type="dxa"/>
            <w:tcBorders>
              <w:top w:val="nil"/>
              <w:left w:val="nil"/>
              <w:bottom w:val="nil"/>
              <w:right w:val="nil"/>
            </w:tcBorders>
            <w:shd w:val="clear" w:color="auto" w:fill="auto"/>
            <w:noWrap/>
            <w:vAlign w:val="center"/>
            <w:hideMark/>
          </w:tcPr>
          <w:p w14:paraId="1AD78D3E"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3.2 </w:t>
            </w:r>
          </w:p>
        </w:tc>
        <w:tc>
          <w:tcPr>
            <w:tcW w:w="978" w:type="dxa"/>
            <w:tcBorders>
              <w:top w:val="nil"/>
              <w:left w:val="single" w:sz="8" w:space="0" w:color="auto"/>
              <w:bottom w:val="nil"/>
              <w:right w:val="nil"/>
            </w:tcBorders>
            <w:shd w:val="clear" w:color="auto" w:fill="auto"/>
            <w:noWrap/>
            <w:vAlign w:val="center"/>
            <w:hideMark/>
          </w:tcPr>
          <w:p w14:paraId="5A523978"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274.6 </w:t>
            </w:r>
          </w:p>
        </w:tc>
        <w:tc>
          <w:tcPr>
            <w:tcW w:w="883" w:type="dxa"/>
            <w:tcBorders>
              <w:top w:val="nil"/>
              <w:left w:val="nil"/>
              <w:bottom w:val="nil"/>
              <w:right w:val="single" w:sz="8" w:space="0" w:color="auto"/>
            </w:tcBorders>
            <w:shd w:val="clear" w:color="auto" w:fill="auto"/>
            <w:noWrap/>
            <w:vAlign w:val="center"/>
            <w:hideMark/>
          </w:tcPr>
          <w:p w14:paraId="1F73A868"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29.0 </w:t>
            </w:r>
          </w:p>
        </w:tc>
        <w:tc>
          <w:tcPr>
            <w:tcW w:w="1101" w:type="dxa"/>
            <w:tcBorders>
              <w:top w:val="nil"/>
              <w:left w:val="nil"/>
              <w:bottom w:val="nil"/>
              <w:right w:val="nil"/>
            </w:tcBorders>
            <w:shd w:val="clear" w:color="auto" w:fill="auto"/>
            <w:noWrap/>
            <w:vAlign w:val="center"/>
            <w:hideMark/>
          </w:tcPr>
          <w:p w14:paraId="33106244"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5,214.9 </w:t>
            </w:r>
          </w:p>
        </w:tc>
      </w:tr>
      <w:tr w:rsidR="0016178C" w:rsidRPr="0016178C" w14:paraId="362632E9" w14:textId="77777777" w:rsidTr="0016178C">
        <w:trPr>
          <w:trHeight w:val="300"/>
        </w:trPr>
        <w:tc>
          <w:tcPr>
            <w:tcW w:w="5500" w:type="dxa"/>
            <w:tcBorders>
              <w:top w:val="nil"/>
              <w:left w:val="nil"/>
              <w:bottom w:val="nil"/>
              <w:right w:val="nil"/>
            </w:tcBorders>
            <w:shd w:val="clear" w:color="auto" w:fill="auto"/>
            <w:noWrap/>
            <w:vAlign w:val="center"/>
            <w:hideMark/>
          </w:tcPr>
          <w:p w14:paraId="2C4FF8E0"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bCs/>
                <w:color w:val="000000"/>
                <w:sz w:val="18"/>
                <w:szCs w:val="18"/>
                <w:lang w:eastAsia="en-IE"/>
              </w:rPr>
              <w:t>Adjustment on initial application of IFRS 16</w:t>
            </w:r>
          </w:p>
        </w:tc>
        <w:tc>
          <w:tcPr>
            <w:tcW w:w="981" w:type="dxa"/>
            <w:tcBorders>
              <w:top w:val="nil"/>
              <w:left w:val="single" w:sz="8" w:space="0" w:color="auto"/>
              <w:bottom w:val="nil"/>
              <w:right w:val="single" w:sz="8" w:space="0" w:color="auto"/>
            </w:tcBorders>
            <w:shd w:val="clear" w:color="auto" w:fill="auto"/>
            <w:noWrap/>
            <w:vAlign w:val="center"/>
            <w:hideMark/>
          </w:tcPr>
          <w:p w14:paraId="130B7FE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736" w:type="dxa"/>
            <w:tcBorders>
              <w:top w:val="nil"/>
              <w:left w:val="nil"/>
              <w:bottom w:val="nil"/>
              <w:right w:val="nil"/>
            </w:tcBorders>
            <w:shd w:val="clear" w:color="auto" w:fill="auto"/>
            <w:noWrap/>
            <w:vAlign w:val="center"/>
            <w:hideMark/>
          </w:tcPr>
          <w:p w14:paraId="3B372C58"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5" w:type="dxa"/>
            <w:tcBorders>
              <w:top w:val="nil"/>
              <w:left w:val="nil"/>
              <w:bottom w:val="nil"/>
              <w:right w:val="nil"/>
            </w:tcBorders>
            <w:shd w:val="clear" w:color="auto" w:fill="auto"/>
            <w:noWrap/>
            <w:vAlign w:val="center"/>
            <w:hideMark/>
          </w:tcPr>
          <w:p w14:paraId="4EACFAD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92" w:type="dxa"/>
            <w:tcBorders>
              <w:top w:val="nil"/>
              <w:left w:val="nil"/>
              <w:bottom w:val="nil"/>
              <w:right w:val="nil"/>
            </w:tcBorders>
            <w:shd w:val="clear" w:color="auto" w:fill="auto"/>
            <w:noWrap/>
            <w:vAlign w:val="center"/>
            <w:hideMark/>
          </w:tcPr>
          <w:p w14:paraId="5D20FAC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(9.7)</w:t>
            </w:r>
          </w:p>
        </w:tc>
        <w:tc>
          <w:tcPr>
            <w:tcW w:w="1007" w:type="dxa"/>
            <w:tcBorders>
              <w:top w:val="nil"/>
              <w:left w:val="nil"/>
              <w:bottom w:val="nil"/>
              <w:right w:val="nil"/>
            </w:tcBorders>
            <w:shd w:val="clear" w:color="auto" w:fill="auto"/>
            <w:noWrap/>
            <w:vAlign w:val="center"/>
            <w:hideMark/>
          </w:tcPr>
          <w:p w14:paraId="55408B5D"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78" w:type="dxa"/>
            <w:tcBorders>
              <w:top w:val="nil"/>
              <w:left w:val="single" w:sz="8" w:space="0" w:color="auto"/>
              <w:bottom w:val="nil"/>
              <w:right w:val="nil"/>
            </w:tcBorders>
            <w:shd w:val="clear" w:color="auto" w:fill="auto"/>
            <w:noWrap/>
            <w:vAlign w:val="center"/>
            <w:hideMark/>
          </w:tcPr>
          <w:p w14:paraId="282F530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883" w:type="dxa"/>
            <w:tcBorders>
              <w:top w:val="nil"/>
              <w:left w:val="nil"/>
              <w:bottom w:val="nil"/>
              <w:right w:val="single" w:sz="8" w:space="0" w:color="auto"/>
            </w:tcBorders>
            <w:shd w:val="clear" w:color="auto" w:fill="auto"/>
            <w:noWrap/>
            <w:vAlign w:val="center"/>
            <w:hideMark/>
          </w:tcPr>
          <w:p w14:paraId="3A9181D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101" w:type="dxa"/>
            <w:tcBorders>
              <w:top w:val="nil"/>
              <w:left w:val="nil"/>
              <w:bottom w:val="nil"/>
              <w:right w:val="nil"/>
            </w:tcBorders>
            <w:shd w:val="clear" w:color="auto" w:fill="auto"/>
            <w:noWrap/>
            <w:vAlign w:val="center"/>
            <w:hideMark/>
          </w:tcPr>
          <w:p w14:paraId="7B2E314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(9.7)</w:t>
            </w:r>
          </w:p>
        </w:tc>
      </w:tr>
      <w:tr w:rsidR="0016178C" w:rsidRPr="0016178C" w14:paraId="051E08D7" w14:textId="77777777" w:rsidTr="0016178C">
        <w:trPr>
          <w:trHeight w:val="300"/>
        </w:trPr>
        <w:tc>
          <w:tcPr>
            <w:tcW w:w="5500" w:type="dxa"/>
            <w:tcBorders>
              <w:top w:val="nil"/>
              <w:left w:val="nil"/>
              <w:bottom w:val="nil"/>
              <w:right w:val="nil"/>
            </w:tcBorders>
            <w:shd w:val="clear" w:color="auto" w:fill="auto"/>
            <w:noWrap/>
            <w:vAlign w:val="center"/>
            <w:hideMark/>
          </w:tcPr>
          <w:p w14:paraId="727BE9AF" w14:textId="77777777" w:rsidR="0016178C" w:rsidRPr="0016178C" w:rsidRDefault="0016178C" w:rsidP="0016178C">
            <w:pPr>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Adj. balance at March 31, 2019</w:t>
            </w:r>
          </w:p>
        </w:tc>
        <w:tc>
          <w:tcPr>
            <w:tcW w:w="981" w:type="dxa"/>
            <w:tcBorders>
              <w:top w:val="single" w:sz="4" w:space="0" w:color="auto"/>
              <w:left w:val="single" w:sz="8" w:space="0" w:color="auto"/>
              <w:bottom w:val="nil"/>
              <w:right w:val="single" w:sz="8" w:space="0" w:color="auto"/>
            </w:tcBorders>
            <w:shd w:val="clear" w:color="auto" w:fill="auto"/>
            <w:noWrap/>
            <w:vAlign w:val="center"/>
            <w:hideMark/>
          </w:tcPr>
          <w:p w14:paraId="16C0E500"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1,133.4 </w:t>
            </w:r>
          </w:p>
        </w:tc>
        <w:tc>
          <w:tcPr>
            <w:tcW w:w="736" w:type="dxa"/>
            <w:tcBorders>
              <w:top w:val="single" w:sz="4" w:space="0" w:color="auto"/>
              <w:left w:val="nil"/>
              <w:bottom w:val="nil"/>
              <w:right w:val="nil"/>
            </w:tcBorders>
            <w:shd w:val="clear" w:color="auto" w:fill="auto"/>
            <w:noWrap/>
            <w:vAlign w:val="center"/>
            <w:hideMark/>
          </w:tcPr>
          <w:p w14:paraId="011DDF63"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6.8 </w:t>
            </w:r>
          </w:p>
        </w:tc>
        <w:tc>
          <w:tcPr>
            <w:tcW w:w="1005" w:type="dxa"/>
            <w:tcBorders>
              <w:top w:val="single" w:sz="4" w:space="0" w:color="auto"/>
              <w:left w:val="nil"/>
              <w:bottom w:val="nil"/>
              <w:right w:val="nil"/>
            </w:tcBorders>
            <w:shd w:val="clear" w:color="auto" w:fill="auto"/>
            <w:noWrap/>
            <w:vAlign w:val="center"/>
            <w:hideMark/>
          </w:tcPr>
          <w:p w14:paraId="720F76C9"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719.4 </w:t>
            </w:r>
          </w:p>
        </w:tc>
        <w:tc>
          <w:tcPr>
            <w:tcW w:w="992" w:type="dxa"/>
            <w:tcBorders>
              <w:top w:val="single" w:sz="4" w:space="0" w:color="auto"/>
              <w:left w:val="nil"/>
              <w:bottom w:val="nil"/>
              <w:right w:val="nil"/>
            </w:tcBorders>
            <w:shd w:val="clear" w:color="auto" w:fill="auto"/>
            <w:noWrap/>
            <w:vAlign w:val="center"/>
            <w:hideMark/>
          </w:tcPr>
          <w:p w14:paraId="564CE219"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4,172.2 </w:t>
            </w:r>
          </w:p>
        </w:tc>
        <w:tc>
          <w:tcPr>
            <w:tcW w:w="1007" w:type="dxa"/>
            <w:tcBorders>
              <w:top w:val="single" w:sz="4" w:space="0" w:color="auto"/>
              <w:left w:val="nil"/>
              <w:bottom w:val="nil"/>
              <w:right w:val="nil"/>
            </w:tcBorders>
            <w:shd w:val="clear" w:color="auto" w:fill="auto"/>
            <w:noWrap/>
            <w:vAlign w:val="center"/>
            <w:hideMark/>
          </w:tcPr>
          <w:p w14:paraId="5E8ABFCF"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3.2 </w:t>
            </w:r>
          </w:p>
        </w:tc>
        <w:tc>
          <w:tcPr>
            <w:tcW w:w="978" w:type="dxa"/>
            <w:tcBorders>
              <w:top w:val="single" w:sz="4" w:space="0" w:color="auto"/>
              <w:left w:val="single" w:sz="8" w:space="0" w:color="auto"/>
              <w:bottom w:val="nil"/>
              <w:right w:val="nil"/>
            </w:tcBorders>
            <w:shd w:val="clear" w:color="auto" w:fill="auto"/>
            <w:noWrap/>
            <w:vAlign w:val="center"/>
            <w:hideMark/>
          </w:tcPr>
          <w:p w14:paraId="0BED432A"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274.6 </w:t>
            </w:r>
          </w:p>
        </w:tc>
        <w:tc>
          <w:tcPr>
            <w:tcW w:w="883" w:type="dxa"/>
            <w:tcBorders>
              <w:top w:val="single" w:sz="4" w:space="0" w:color="auto"/>
              <w:left w:val="nil"/>
              <w:bottom w:val="nil"/>
              <w:right w:val="single" w:sz="8" w:space="0" w:color="auto"/>
            </w:tcBorders>
            <w:shd w:val="clear" w:color="auto" w:fill="auto"/>
            <w:noWrap/>
            <w:vAlign w:val="center"/>
            <w:hideMark/>
          </w:tcPr>
          <w:p w14:paraId="2836695E"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29.0 </w:t>
            </w:r>
          </w:p>
        </w:tc>
        <w:tc>
          <w:tcPr>
            <w:tcW w:w="1101" w:type="dxa"/>
            <w:tcBorders>
              <w:top w:val="single" w:sz="4" w:space="0" w:color="auto"/>
              <w:left w:val="nil"/>
              <w:bottom w:val="nil"/>
              <w:right w:val="nil"/>
            </w:tcBorders>
            <w:shd w:val="clear" w:color="auto" w:fill="auto"/>
            <w:noWrap/>
            <w:vAlign w:val="center"/>
            <w:hideMark/>
          </w:tcPr>
          <w:p w14:paraId="4A74FD16"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5,205.2 </w:t>
            </w:r>
          </w:p>
        </w:tc>
      </w:tr>
      <w:tr w:rsidR="0016178C" w:rsidRPr="0016178C" w14:paraId="1A876BA2" w14:textId="77777777" w:rsidTr="0016178C">
        <w:trPr>
          <w:trHeight w:val="300"/>
        </w:trPr>
        <w:tc>
          <w:tcPr>
            <w:tcW w:w="5500" w:type="dxa"/>
            <w:tcBorders>
              <w:top w:val="nil"/>
              <w:left w:val="nil"/>
              <w:bottom w:val="nil"/>
              <w:right w:val="nil"/>
            </w:tcBorders>
            <w:shd w:val="clear" w:color="auto" w:fill="auto"/>
            <w:noWrap/>
            <w:vAlign w:val="center"/>
            <w:hideMark/>
          </w:tcPr>
          <w:p w14:paraId="6C45DD65"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Profit for the half-year</w:t>
            </w:r>
          </w:p>
        </w:tc>
        <w:tc>
          <w:tcPr>
            <w:tcW w:w="981" w:type="dxa"/>
            <w:tcBorders>
              <w:top w:val="nil"/>
              <w:left w:val="single" w:sz="8" w:space="0" w:color="auto"/>
              <w:bottom w:val="nil"/>
              <w:right w:val="single" w:sz="8" w:space="0" w:color="auto"/>
            </w:tcBorders>
            <w:shd w:val="clear" w:color="auto" w:fill="auto"/>
            <w:noWrap/>
            <w:vAlign w:val="center"/>
            <w:hideMark/>
          </w:tcPr>
          <w:p w14:paraId="4F4B5BD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 - </w:t>
            </w:r>
          </w:p>
        </w:tc>
        <w:tc>
          <w:tcPr>
            <w:tcW w:w="736" w:type="dxa"/>
            <w:tcBorders>
              <w:top w:val="nil"/>
              <w:left w:val="nil"/>
              <w:bottom w:val="nil"/>
              <w:right w:val="nil"/>
            </w:tcBorders>
            <w:shd w:val="clear" w:color="auto" w:fill="auto"/>
            <w:noWrap/>
            <w:vAlign w:val="center"/>
            <w:hideMark/>
          </w:tcPr>
          <w:p w14:paraId="190FDD9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 - </w:t>
            </w:r>
          </w:p>
        </w:tc>
        <w:tc>
          <w:tcPr>
            <w:tcW w:w="1005" w:type="dxa"/>
            <w:tcBorders>
              <w:top w:val="nil"/>
              <w:left w:val="nil"/>
              <w:bottom w:val="nil"/>
              <w:right w:val="nil"/>
            </w:tcBorders>
            <w:shd w:val="clear" w:color="auto" w:fill="auto"/>
            <w:noWrap/>
            <w:vAlign w:val="center"/>
            <w:hideMark/>
          </w:tcPr>
          <w:p w14:paraId="10B5AFF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 - </w:t>
            </w:r>
          </w:p>
        </w:tc>
        <w:tc>
          <w:tcPr>
            <w:tcW w:w="992" w:type="dxa"/>
            <w:tcBorders>
              <w:top w:val="nil"/>
              <w:left w:val="nil"/>
              <w:bottom w:val="nil"/>
              <w:right w:val="nil"/>
            </w:tcBorders>
            <w:shd w:val="clear" w:color="auto" w:fill="auto"/>
            <w:noWrap/>
            <w:vAlign w:val="center"/>
            <w:hideMark/>
          </w:tcPr>
          <w:p w14:paraId="252B9D93"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     1,152.7 </w:t>
            </w:r>
          </w:p>
        </w:tc>
        <w:tc>
          <w:tcPr>
            <w:tcW w:w="1007" w:type="dxa"/>
            <w:tcBorders>
              <w:top w:val="nil"/>
              <w:left w:val="nil"/>
              <w:bottom w:val="nil"/>
              <w:right w:val="nil"/>
            </w:tcBorders>
            <w:shd w:val="clear" w:color="auto" w:fill="auto"/>
            <w:noWrap/>
            <w:vAlign w:val="center"/>
            <w:hideMark/>
          </w:tcPr>
          <w:p w14:paraId="1548CEE5"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 - </w:t>
            </w:r>
          </w:p>
        </w:tc>
        <w:tc>
          <w:tcPr>
            <w:tcW w:w="978" w:type="dxa"/>
            <w:tcBorders>
              <w:top w:val="nil"/>
              <w:left w:val="single" w:sz="8" w:space="0" w:color="auto"/>
              <w:bottom w:val="nil"/>
              <w:right w:val="nil"/>
            </w:tcBorders>
            <w:shd w:val="clear" w:color="auto" w:fill="auto"/>
            <w:noWrap/>
            <w:vAlign w:val="center"/>
            <w:hideMark/>
          </w:tcPr>
          <w:p w14:paraId="2535ED67"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 - </w:t>
            </w:r>
          </w:p>
        </w:tc>
        <w:tc>
          <w:tcPr>
            <w:tcW w:w="883" w:type="dxa"/>
            <w:tcBorders>
              <w:top w:val="nil"/>
              <w:left w:val="nil"/>
              <w:bottom w:val="nil"/>
              <w:right w:val="single" w:sz="8" w:space="0" w:color="auto"/>
            </w:tcBorders>
            <w:shd w:val="clear" w:color="auto" w:fill="auto"/>
            <w:noWrap/>
            <w:vAlign w:val="center"/>
            <w:hideMark/>
          </w:tcPr>
          <w:p w14:paraId="20E14377"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 - </w:t>
            </w:r>
          </w:p>
        </w:tc>
        <w:tc>
          <w:tcPr>
            <w:tcW w:w="1101" w:type="dxa"/>
            <w:tcBorders>
              <w:top w:val="nil"/>
              <w:left w:val="nil"/>
              <w:bottom w:val="nil"/>
              <w:right w:val="nil"/>
            </w:tcBorders>
            <w:shd w:val="clear" w:color="auto" w:fill="auto"/>
            <w:noWrap/>
            <w:vAlign w:val="center"/>
            <w:hideMark/>
          </w:tcPr>
          <w:p w14:paraId="7CE5E4C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      1,152.7 </w:t>
            </w:r>
          </w:p>
        </w:tc>
      </w:tr>
      <w:tr w:rsidR="0016178C" w:rsidRPr="0016178C" w14:paraId="5ABF7A1C" w14:textId="77777777" w:rsidTr="0016178C">
        <w:trPr>
          <w:trHeight w:val="300"/>
        </w:trPr>
        <w:tc>
          <w:tcPr>
            <w:tcW w:w="5500" w:type="dxa"/>
            <w:tcBorders>
              <w:top w:val="nil"/>
              <w:left w:val="nil"/>
              <w:bottom w:val="nil"/>
              <w:right w:val="nil"/>
            </w:tcBorders>
            <w:shd w:val="clear" w:color="auto" w:fill="auto"/>
            <w:noWrap/>
            <w:vAlign w:val="center"/>
            <w:hideMark/>
          </w:tcPr>
          <w:p w14:paraId="5838F3B3" w14:textId="77777777" w:rsidR="0016178C" w:rsidRPr="0016178C" w:rsidRDefault="0016178C" w:rsidP="0016178C">
            <w:pPr>
              <w:rPr>
                <w:rFonts w:ascii="Calibri" w:hAnsi="Calibri" w:cs="Calibri"/>
                <w:i/>
                <w:iCs/>
                <w:color w:val="000000"/>
                <w:sz w:val="18"/>
                <w:szCs w:val="18"/>
                <w:lang w:eastAsia="en-IE"/>
              </w:rPr>
            </w:pPr>
            <w:r w:rsidRPr="0016178C">
              <w:rPr>
                <w:rFonts w:ascii="Calibri" w:hAnsi="Calibri" w:cs="Calibri"/>
                <w:i/>
                <w:iCs/>
                <w:color w:val="000000"/>
                <w:sz w:val="18"/>
                <w:szCs w:val="18"/>
                <w:lang w:eastAsia="en-IE"/>
              </w:rPr>
              <w:t>Other comprehensive income</w:t>
            </w:r>
          </w:p>
        </w:tc>
        <w:tc>
          <w:tcPr>
            <w:tcW w:w="981" w:type="dxa"/>
            <w:tcBorders>
              <w:top w:val="nil"/>
              <w:left w:val="single" w:sz="8" w:space="0" w:color="auto"/>
              <w:bottom w:val="nil"/>
              <w:right w:val="single" w:sz="8" w:space="0" w:color="auto"/>
            </w:tcBorders>
            <w:shd w:val="clear" w:color="auto" w:fill="auto"/>
            <w:noWrap/>
            <w:vAlign w:val="center"/>
            <w:hideMark/>
          </w:tcPr>
          <w:p w14:paraId="1BEA0FA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w:t>
            </w:r>
          </w:p>
        </w:tc>
        <w:tc>
          <w:tcPr>
            <w:tcW w:w="736" w:type="dxa"/>
            <w:tcBorders>
              <w:top w:val="nil"/>
              <w:left w:val="nil"/>
              <w:bottom w:val="nil"/>
              <w:right w:val="nil"/>
            </w:tcBorders>
            <w:shd w:val="clear" w:color="auto" w:fill="auto"/>
            <w:noWrap/>
            <w:vAlign w:val="center"/>
            <w:hideMark/>
          </w:tcPr>
          <w:p w14:paraId="7D67CD56" w14:textId="77777777" w:rsidR="0016178C" w:rsidRPr="0016178C" w:rsidRDefault="0016178C" w:rsidP="0016178C">
            <w:pPr>
              <w:jc w:val="right"/>
              <w:rPr>
                <w:rFonts w:ascii="Calibri" w:hAnsi="Calibri" w:cs="Calibri"/>
                <w:color w:val="000000"/>
                <w:sz w:val="18"/>
                <w:szCs w:val="18"/>
                <w:lang w:eastAsia="en-IE"/>
              </w:rPr>
            </w:pPr>
          </w:p>
        </w:tc>
        <w:tc>
          <w:tcPr>
            <w:tcW w:w="1005" w:type="dxa"/>
            <w:tcBorders>
              <w:top w:val="nil"/>
              <w:left w:val="nil"/>
              <w:bottom w:val="nil"/>
              <w:right w:val="nil"/>
            </w:tcBorders>
            <w:shd w:val="clear" w:color="auto" w:fill="auto"/>
            <w:noWrap/>
            <w:vAlign w:val="center"/>
            <w:hideMark/>
          </w:tcPr>
          <w:p w14:paraId="123D619E" w14:textId="77777777" w:rsidR="0016178C" w:rsidRPr="0016178C" w:rsidRDefault="0016178C" w:rsidP="0016178C">
            <w:pPr>
              <w:jc w:val="right"/>
              <w:rPr>
                <w:sz w:val="20"/>
                <w:szCs w:val="20"/>
                <w:lang w:eastAsia="en-IE"/>
              </w:rPr>
            </w:pPr>
          </w:p>
        </w:tc>
        <w:tc>
          <w:tcPr>
            <w:tcW w:w="992" w:type="dxa"/>
            <w:tcBorders>
              <w:top w:val="nil"/>
              <w:left w:val="nil"/>
              <w:bottom w:val="nil"/>
              <w:right w:val="nil"/>
            </w:tcBorders>
            <w:shd w:val="clear" w:color="auto" w:fill="auto"/>
            <w:noWrap/>
            <w:vAlign w:val="center"/>
            <w:hideMark/>
          </w:tcPr>
          <w:p w14:paraId="57D6AA29" w14:textId="77777777" w:rsidR="0016178C" w:rsidRPr="0016178C" w:rsidRDefault="0016178C" w:rsidP="0016178C">
            <w:pPr>
              <w:jc w:val="right"/>
              <w:rPr>
                <w:sz w:val="20"/>
                <w:szCs w:val="20"/>
                <w:lang w:eastAsia="en-IE"/>
              </w:rPr>
            </w:pPr>
          </w:p>
        </w:tc>
        <w:tc>
          <w:tcPr>
            <w:tcW w:w="1007" w:type="dxa"/>
            <w:tcBorders>
              <w:top w:val="nil"/>
              <w:left w:val="nil"/>
              <w:bottom w:val="nil"/>
              <w:right w:val="nil"/>
            </w:tcBorders>
            <w:shd w:val="clear" w:color="auto" w:fill="auto"/>
            <w:noWrap/>
            <w:vAlign w:val="center"/>
            <w:hideMark/>
          </w:tcPr>
          <w:p w14:paraId="614AD6D6" w14:textId="77777777" w:rsidR="0016178C" w:rsidRPr="0016178C" w:rsidRDefault="0016178C" w:rsidP="0016178C">
            <w:pPr>
              <w:jc w:val="right"/>
              <w:rPr>
                <w:sz w:val="20"/>
                <w:szCs w:val="20"/>
                <w:lang w:eastAsia="en-IE"/>
              </w:rPr>
            </w:pPr>
          </w:p>
        </w:tc>
        <w:tc>
          <w:tcPr>
            <w:tcW w:w="978" w:type="dxa"/>
            <w:tcBorders>
              <w:top w:val="nil"/>
              <w:left w:val="single" w:sz="8" w:space="0" w:color="auto"/>
              <w:bottom w:val="nil"/>
              <w:right w:val="nil"/>
            </w:tcBorders>
            <w:shd w:val="clear" w:color="auto" w:fill="auto"/>
            <w:noWrap/>
            <w:vAlign w:val="center"/>
            <w:hideMark/>
          </w:tcPr>
          <w:p w14:paraId="0F20B7D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w:t>
            </w:r>
          </w:p>
        </w:tc>
        <w:tc>
          <w:tcPr>
            <w:tcW w:w="883" w:type="dxa"/>
            <w:tcBorders>
              <w:top w:val="nil"/>
              <w:left w:val="nil"/>
              <w:bottom w:val="nil"/>
              <w:right w:val="single" w:sz="8" w:space="0" w:color="auto"/>
            </w:tcBorders>
            <w:shd w:val="clear" w:color="auto" w:fill="auto"/>
            <w:noWrap/>
            <w:vAlign w:val="center"/>
            <w:hideMark/>
          </w:tcPr>
          <w:p w14:paraId="7538B23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w:t>
            </w:r>
          </w:p>
        </w:tc>
        <w:tc>
          <w:tcPr>
            <w:tcW w:w="1101" w:type="dxa"/>
            <w:tcBorders>
              <w:top w:val="nil"/>
              <w:left w:val="nil"/>
              <w:bottom w:val="nil"/>
              <w:right w:val="nil"/>
            </w:tcBorders>
            <w:shd w:val="clear" w:color="auto" w:fill="auto"/>
            <w:noWrap/>
            <w:vAlign w:val="center"/>
            <w:hideMark/>
          </w:tcPr>
          <w:p w14:paraId="1B1A4B17" w14:textId="77777777" w:rsidR="0016178C" w:rsidRPr="0016178C" w:rsidRDefault="0016178C" w:rsidP="0016178C">
            <w:pPr>
              <w:jc w:val="right"/>
              <w:rPr>
                <w:rFonts w:ascii="Calibri" w:hAnsi="Calibri" w:cs="Calibri"/>
                <w:color w:val="000000"/>
                <w:sz w:val="18"/>
                <w:szCs w:val="18"/>
                <w:lang w:eastAsia="en-IE"/>
              </w:rPr>
            </w:pPr>
          </w:p>
        </w:tc>
      </w:tr>
      <w:tr w:rsidR="0016178C" w:rsidRPr="0016178C" w14:paraId="2B583FDE" w14:textId="77777777" w:rsidTr="0016178C">
        <w:trPr>
          <w:trHeight w:val="300"/>
        </w:trPr>
        <w:tc>
          <w:tcPr>
            <w:tcW w:w="5500" w:type="dxa"/>
            <w:tcBorders>
              <w:top w:val="nil"/>
              <w:left w:val="nil"/>
              <w:bottom w:val="nil"/>
              <w:right w:val="nil"/>
            </w:tcBorders>
            <w:shd w:val="clear" w:color="auto" w:fill="auto"/>
            <w:noWrap/>
            <w:vAlign w:val="center"/>
            <w:hideMark/>
          </w:tcPr>
          <w:p w14:paraId="7EBC6C52"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Net movements in cash flow reserve</w:t>
            </w:r>
          </w:p>
        </w:tc>
        <w:tc>
          <w:tcPr>
            <w:tcW w:w="981" w:type="dxa"/>
            <w:tcBorders>
              <w:top w:val="nil"/>
              <w:left w:val="single" w:sz="8" w:space="0" w:color="auto"/>
              <w:bottom w:val="nil"/>
              <w:right w:val="single" w:sz="8" w:space="0" w:color="auto"/>
            </w:tcBorders>
            <w:shd w:val="clear" w:color="auto" w:fill="auto"/>
            <w:noWrap/>
            <w:vAlign w:val="center"/>
            <w:hideMark/>
          </w:tcPr>
          <w:p w14:paraId="1D94721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736" w:type="dxa"/>
            <w:tcBorders>
              <w:top w:val="nil"/>
              <w:left w:val="nil"/>
              <w:bottom w:val="nil"/>
              <w:right w:val="nil"/>
            </w:tcBorders>
            <w:shd w:val="clear" w:color="auto" w:fill="auto"/>
            <w:noWrap/>
            <w:vAlign w:val="center"/>
            <w:hideMark/>
          </w:tcPr>
          <w:p w14:paraId="62E8956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5" w:type="dxa"/>
            <w:tcBorders>
              <w:top w:val="nil"/>
              <w:left w:val="nil"/>
              <w:bottom w:val="nil"/>
              <w:right w:val="nil"/>
            </w:tcBorders>
            <w:shd w:val="clear" w:color="auto" w:fill="auto"/>
            <w:noWrap/>
            <w:vAlign w:val="center"/>
            <w:hideMark/>
          </w:tcPr>
          <w:p w14:paraId="0FB92043"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92" w:type="dxa"/>
            <w:tcBorders>
              <w:top w:val="nil"/>
              <w:left w:val="nil"/>
              <w:bottom w:val="nil"/>
              <w:right w:val="nil"/>
            </w:tcBorders>
            <w:shd w:val="clear" w:color="auto" w:fill="auto"/>
            <w:noWrap/>
            <w:vAlign w:val="center"/>
            <w:hideMark/>
          </w:tcPr>
          <w:p w14:paraId="4C175D84"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7" w:type="dxa"/>
            <w:tcBorders>
              <w:top w:val="nil"/>
              <w:left w:val="nil"/>
              <w:bottom w:val="nil"/>
              <w:right w:val="nil"/>
            </w:tcBorders>
            <w:shd w:val="clear" w:color="auto" w:fill="auto"/>
            <w:noWrap/>
            <w:vAlign w:val="center"/>
            <w:hideMark/>
          </w:tcPr>
          <w:p w14:paraId="376B6D1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78" w:type="dxa"/>
            <w:tcBorders>
              <w:top w:val="nil"/>
              <w:left w:val="single" w:sz="8" w:space="0" w:color="auto"/>
              <w:bottom w:val="nil"/>
              <w:right w:val="nil"/>
            </w:tcBorders>
            <w:shd w:val="clear" w:color="auto" w:fill="auto"/>
            <w:noWrap/>
            <w:vAlign w:val="center"/>
            <w:hideMark/>
          </w:tcPr>
          <w:p w14:paraId="2F45DB69"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216.5 </w:t>
            </w:r>
          </w:p>
        </w:tc>
        <w:tc>
          <w:tcPr>
            <w:tcW w:w="883" w:type="dxa"/>
            <w:tcBorders>
              <w:top w:val="nil"/>
              <w:left w:val="nil"/>
              <w:bottom w:val="nil"/>
              <w:right w:val="single" w:sz="8" w:space="0" w:color="auto"/>
            </w:tcBorders>
            <w:shd w:val="clear" w:color="auto" w:fill="auto"/>
            <w:noWrap/>
            <w:vAlign w:val="center"/>
            <w:hideMark/>
          </w:tcPr>
          <w:p w14:paraId="25FF17DF"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101" w:type="dxa"/>
            <w:tcBorders>
              <w:top w:val="nil"/>
              <w:left w:val="nil"/>
              <w:bottom w:val="nil"/>
              <w:right w:val="nil"/>
            </w:tcBorders>
            <w:shd w:val="clear" w:color="auto" w:fill="auto"/>
            <w:noWrap/>
            <w:vAlign w:val="center"/>
            <w:hideMark/>
          </w:tcPr>
          <w:p w14:paraId="46439FD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216.5 </w:t>
            </w:r>
          </w:p>
        </w:tc>
      </w:tr>
      <w:tr w:rsidR="0016178C" w:rsidRPr="0016178C" w14:paraId="3C77E298" w14:textId="77777777" w:rsidTr="0016178C">
        <w:trPr>
          <w:trHeight w:val="300"/>
        </w:trPr>
        <w:tc>
          <w:tcPr>
            <w:tcW w:w="5500" w:type="dxa"/>
            <w:tcBorders>
              <w:top w:val="nil"/>
              <w:left w:val="nil"/>
              <w:bottom w:val="nil"/>
              <w:right w:val="nil"/>
            </w:tcBorders>
            <w:shd w:val="clear" w:color="auto" w:fill="auto"/>
            <w:noWrap/>
            <w:vAlign w:val="center"/>
            <w:hideMark/>
          </w:tcPr>
          <w:p w14:paraId="73970109"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lastRenderedPageBreak/>
              <w:t>Total other comprehensive income</w:t>
            </w:r>
          </w:p>
        </w:tc>
        <w:tc>
          <w:tcPr>
            <w:tcW w:w="981" w:type="dxa"/>
            <w:tcBorders>
              <w:top w:val="nil"/>
              <w:left w:val="single" w:sz="8" w:space="0" w:color="auto"/>
              <w:bottom w:val="nil"/>
              <w:right w:val="single" w:sz="8" w:space="0" w:color="auto"/>
            </w:tcBorders>
            <w:shd w:val="clear" w:color="auto" w:fill="auto"/>
            <w:noWrap/>
            <w:vAlign w:val="center"/>
            <w:hideMark/>
          </w:tcPr>
          <w:p w14:paraId="030FAADD"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736" w:type="dxa"/>
            <w:tcBorders>
              <w:top w:val="nil"/>
              <w:left w:val="nil"/>
              <w:bottom w:val="nil"/>
              <w:right w:val="nil"/>
            </w:tcBorders>
            <w:shd w:val="clear" w:color="auto" w:fill="auto"/>
            <w:noWrap/>
            <w:vAlign w:val="center"/>
            <w:hideMark/>
          </w:tcPr>
          <w:p w14:paraId="0B1A85A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5" w:type="dxa"/>
            <w:tcBorders>
              <w:top w:val="nil"/>
              <w:left w:val="nil"/>
              <w:bottom w:val="nil"/>
              <w:right w:val="nil"/>
            </w:tcBorders>
            <w:shd w:val="clear" w:color="auto" w:fill="auto"/>
            <w:noWrap/>
            <w:vAlign w:val="center"/>
            <w:hideMark/>
          </w:tcPr>
          <w:p w14:paraId="138709D5"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92" w:type="dxa"/>
            <w:tcBorders>
              <w:top w:val="nil"/>
              <w:left w:val="nil"/>
              <w:bottom w:val="nil"/>
              <w:right w:val="nil"/>
            </w:tcBorders>
            <w:shd w:val="clear" w:color="auto" w:fill="auto"/>
            <w:noWrap/>
            <w:vAlign w:val="center"/>
            <w:hideMark/>
          </w:tcPr>
          <w:p w14:paraId="3E90DB87"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7" w:type="dxa"/>
            <w:tcBorders>
              <w:top w:val="nil"/>
              <w:left w:val="nil"/>
              <w:bottom w:val="nil"/>
              <w:right w:val="nil"/>
            </w:tcBorders>
            <w:shd w:val="clear" w:color="auto" w:fill="auto"/>
            <w:noWrap/>
            <w:vAlign w:val="center"/>
            <w:hideMark/>
          </w:tcPr>
          <w:p w14:paraId="5642AC9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78" w:type="dxa"/>
            <w:tcBorders>
              <w:top w:val="nil"/>
              <w:left w:val="single" w:sz="8" w:space="0" w:color="auto"/>
              <w:bottom w:val="nil"/>
              <w:right w:val="nil"/>
            </w:tcBorders>
            <w:shd w:val="clear" w:color="auto" w:fill="auto"/>
            <w:noWrap/>
            <w:vAlign w:val="center"/>
            <w:hideMark/>
          </w:tcPr>
          <w:p w14:paraId="56E4C7A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216.5 </w:t>
            </w:r>
          </w:p>
        </w:tc>
        <w:tc>
          <w:tcPr>
            <w:tcW w:w="883" w:type="dxa"/>
            <w:tcBorders>
              <w:top w:val="nil"/>
              <w:left w:val="nil"/>
              <w:bottom w:val="nil"/>
              <w:right w:val="single" w:sz="8" w:space="0" w:color="auto"/>
            </w:tcBorders>
            <w:shd w:val="clear" w:color="auto" w:fill="auto"/>
            <w:noWrap/>
            <w:vAlign w:val="center"/>
            <w:hideMark/>
          </w:tcPr>
          <w:p w14:paraId="21CCD3A6"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101" w:type="dxa"/>
            <w:tcBorders>
              <w:top w:val="nil"/>
              <w:left w:val="nil"/>
              <w:bottom w:val="nil"/>
              <w:right w:val="nil"/>
            </w:tcBorders>
            <w:shd w:val="clear" w:color="auto" w:fill="auto"/>
            <w:noWrap/>
            <w:vAlign w:val="center"/>
            <w:hideMark/>
          </w:tcPr>
          <w:p w14:paraId="49E049B1"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216.5 </w:t>
            </w:r>
          </w:p>
        </w:tc>
      </w:tr>
      <w:tr w:rsidR="0016178C" w:rsidRPr="0016178C" w14:paraId="0CDFA066" w14:textId="77777777" w:rsidTr="0016178C">
        <w:trPr>
          <w:trHeight w:val="315"/>
        </w:trPr>
        <w:tc>
          <w:tcPr>
            <w:tcW w:w="5500" w:type="dxa"/>
            <w:tcBorders>
              <w:top w:val="nil"/>
              <w:left w:val="nil"/>
              <w:bottom w:val="nil"/>
              <w:right w:val="nil"/>
            </w:tcBorders>
            <w:shd w:val="clear" w:color="auto" w:fill="auto"/>
            <w:noWrap/>
            <w:vAlign w:val="center"/>
            <w:hideMark/>
          </w:tcPr>
          <w:p w14:paraId="5E3CAC25"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Total comprehensive income</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58A4F9D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736" w:type="dxa"/>
            <w:tcBorders>
              <w:top w:val="nil"/>
              <w:left w:val="nil"/>
              <w:bottom w:val="single" w:sz="8" w:space="0" w:color="auto"/>
              <w:right w:val="nil"/>
            </w:tcBorders>
            <w:shd w:val="clear" w:color="auto" w:fill="auto"/>
            <w:noWrap/>
            <w:vAlign w:val="center"/>
            <w:hideMark/>
          </w:tcPr>
          <w:p w14:paraId="4C122E69"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5" w:type="dxa"/>
            <w:tcBorders>
              <w:top w:val="nil"/>
              <w:left w:val="nil"/>
              <w:bottom w:val="single" w:sz="8" w:space="0" w:color="auto"/>
              <w:right w:val="nil"/>
            </w:tcBorders>
            <w:shd w:val="clear" w:color="auto" w:fill="auto"/>
            <w:noWrap/>
            <w:vAlign w:val="center"/>
            <w:hideMark/>
          </w:tcPr>
          <w:p w14:paraId="708B428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92" w:type="dxa"/>
            <w:tcBorders>
              <w:top w:val="nil"/>
              <w:left w:val="nil"/>
              <w:bottom w:val="single" w:sz="8" w:space="0" w:color="auto"/>
              <w:right w:val="nil"/>
            </w:tcBorders>
            <w:shd w:val="clear" w:color="auto" w:fill="auto"/>
            <w:noWrap/>
            <w:vAlign w:val="center"/>
            <w:hideMark/>
          </w:tcPr>
          <w:p w14:paraId="2984A484"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1,152.7 </w:t>
            </w:r>
          </w:p>
        </w:tc>
        <w:tc>
          <w:tcPr>
            <w:tcW w:w="1007" w:type="dxa"/>
            <w:tcBorders>
              <w:top w:val="nil"/>
              <w:left w:val="nil"/>
              <w:bottom w:val="single" w:sz="8" w:space="0" w:color="auto"/>
              <w:right w:val="nil"/>
            </w:tcBorders>
            <w:shd w:val="clear" w:color="auto" w:fill="auto"/>
            <w:noWrap/>
            <w:vAlign w:val="center"/>
            <w:hideMark/>
          </w:tcPr>
          <w:p w14:paraId="60A8238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78" w:type="dxa"/>
            <w:tcBorders>
              <w:top w:val="nil"/>
              <w:left w:val="single" w:sz="8" w:space="0" w:color="auto"/>
              <w:bottom w:val="single" w:sz="8" w:space="0" w:color="auto"/>
              <w:right w:val="nil"/>
            </w:tcBorders>
            <w:shd w:val="clear" w:color="auto" w:fill="auto"/>
            <w:noWrap/>
            <w:vAlign w:val="center"/>
            <w:hideMark/>
          </w:tcPr>
          <w:p w14:paraId="2D671DF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216.5 </w:t>
            </w:r>
          </w:p>
        </w:tc>
        <w:tc>
          <w:tcPr>
            <w:tcW w:w="883" w:type="dxa"/>
            <w:tcBorders>
              <w:top w:val="nil"/>
              <w:left w:val="nil"/>
              <w:bottom w:val="single" w:sz="8" w:space="0" w:color="auto"/>
              <w:right w:val="single" w:sz="8" w:space="0" w:color="auto"/>
            </w:tcBorders>
            <w:shd w:val="clear" w:color="auto" w:fill="auto"/>
            <w:noWrap/>
            <w:vAlign w:val="center"/>
            <w:hideMark/>
          </w:tcPr>
          <w:p w14:paraId="67F5BAF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101" w:type="dxa"/>
            <w:tcBorders>
              <w:top w:val="nil"/>
              <w:left w:val="nil"/>
              <w:bottom w:val="single" w:sz="8" w:space="0" w:color="auto"/>
              <w:right w:val="nil"/>
            </w:tcBorders>
            <w:shd w:val="clear" w:color="auto" w:fill="auto"/>
            <w:noWrap/>
            <w:vAlign w:val="center"/>
            <w:hideMark/>
          </w:tcPr>
          <w:p w14:paraId="59116F17"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1,369.2 </w:t>
            </w:r>
          </w:p>
        </w:tc>
      </w:tr>
      <w:tr w:rsidR="0016178C" w:rsidRPr="0016178C" w14:paraId="6A6D495D" w14:textId="77777777" w:rsidTr="0016178C">
        <w:trPr>
          <w:trHeight w:val="315"/>
        </w:trPr>
        <w:tc>
          <w:tcPr>
            <w:tcW w:w="5500" w:type="dxa"/>
            <w:tcBorders>
              <w:top w:val="nil"/>
              <w:left w:val="nil"/>
              <w:bottom w:val="nil"/>
              <w:right w:val="nil"/>
            </w:tcBorders>
            <w:shd w:val="clear" w:color="auto" w:fill="auto"/>
            <w:noWrap/>
            <w:vAlign w:val="center"/>
            <w:hideMark/>
          </w:tcPr>
          <w:p w14:paraId="7A1910C3" w14:textId="77777777" w:rsidR="0016178C" w:rsidRPr="0016178C" w:rsidRDefault="0016178C" w:rsidP="0016178C">
            <w:pPr>
              <w:rPr>
                <w:rFonts w:ascii="Calibri" w:hAnsi="Calibri" w:cs="Calibri"/>
                <w:i/>
                <w:iCs/>
                <w:color w:val="000000"/>
                <w:sz w:val="18"/>
                <w:szCs w:val="18"/>
                <w:lang w:eastAsia="en-IE"/>
              </w:rPr>
            </w:pPr>
            <w:r w:rsidRPr="0016178C">
              <w:rPr>
                <w:rFonts w:ascii="Calibri" w:hAnsi="Calibri" w:cs="Calibri"/>
                <w:i/>
                <w:iCs/>
                <w:color w:val="000000"/>
                <w:sz w:val="18"/>
                <w:szCs w:val="18"/>
                <w:lang w:eastAsia="en-IE"/>
              </w:rPr>
              <w:t>Transactions with owners of the Company recognised directly in equity</w:t>
            </w:r>
          </w:p>
        </w:tc>
        <w:tc>
          <w:tcPr>
            <w:tcW w:w="981" w:type="dxa"/>
            <w:tcBorders>
              <w:top w:val="nil"/>
              <w:left w:val="single" w:sz="8" w:space="0" w:color="auto"/>
              <w:bottom w:val="nil"/>
              <w:right w:val="single" w:sz="8" w:space="0" w:color="auto"/>
            </w:tcBorders>
            <w:shd w:val="clear" w:color="auto" w:fill="auto"/>
            <w:noWrap/>
            <w:vAlign w:val="center"/>
            <w:hideMark/>
          </w:tcPr>
          <w:p w14:paraId="2EA5136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w:t>
            </w:r>
          </w:p>
        </w:tc>
        <w:tc>
          <w:tcPr>
            <w:tcW w:w="736" w:type="dxa"/>
            <w:tcBorders>
              <w:top w:val="nil"/>
              <w:left w:val="nil"/>
              <w:bottom w:val="nil"/>
              <w:right w:val="nil"/>
            </w:tcBorders>
            <w:shd w:val="clear" w:color="auto" w:fill="auto"/>
            <w:noWrap/>
            <w:vAlign w:val="center"/>
            <w:hideMark/>
          </w:tcPr>
          <w:p w14:paraId="0DE56AE6" w14:textId="77777777" w:rsidR="0016178C" w:rsidRPr="0016178C" w:rsidRDefault="0016178C" w:rsidP="0016178C">
            <w:pPr>
              <w:jc w:val="right"/>
              <w:rPr>
                <w:rFonts w:ascii="Calibri" w:hAnsi="Calibri" w:cs="Calibri"/>
                <w:color w:val="000000"/>
                <w:sz w:val="18"/>
                <w:szCs w:val="18"/>
                <w:lang w:eastAsia="en-IE"/>
              </w:rPr>
            </w:pPr>
          </w:p>
        </w:tc>
        <w:tc>
          <w:tcPr>
            <w:tcW w:w="1005" w:type="dxa"/>
            <w:tcBorders>
              <w:top w:val="nil"/>
              <w:left w:val="nil"/>
              <w:bottom w:val="nil"/>
              <w:right w:val="nil"/>
            </w:tcBorders>
            <w:shd w:val="clear" w:color="auto" w:fill="auto"/>
            <w:noWrap/>
            <w:vAlign w:val="center"/>
            <w:hideMark/>
          </w:tcPr>
          <w:p w14:paraId="3542BA4B" w14:textId="77777777" w:rsidR="0016178C" w:rsidRPr="0016178C" w:rsidRDefault="0016178C" w:rsidP="0016178C">
            <w:pPr>
              <w:jc w:val="right"/>
              <w:rPr>
                <w:sz w:val="20"/>
                <w:szCs w:val="20"/>
                <w:lang w:eastAsia="en-IE"/>
              </w:rPr>
            </w:pPr>
          </w:p>
        </w:tc>
        <w:tc>
          <w:tcPr>
            <w:tcW w:w="992" w:type="dxa"/>
            <w:tcBorders>
              <w:top w:val="nil"/>
              <w:left w:val="nil"/>
              <w:bottom w:val="nil"/>
              <w:right w:val="nil"/>
            </w:tcBorders>
            <w:shd w:val="clear" w:color="auto" w:fill="auto"/>
            <w:noWrap/>
            <w:vAlign w:val="center"/>
            <w:hideMark/>
          </w:tcPr>
          <w:p w14:paraId="5BF1A6B0" w14:textId="77777777" w:rsidR="0016178C" w:rsidRPr="0016178C" w:rsidRDefault="0016178C" w:rsidP="0016178C">
            <w:pPr>
              <w:jc w:val="right"/>
              <w:rPr>
                <w:sz w:val="20"/>
                <w:szCs w:val="20"/>
                <w:lang w:eastAsia="en-IE"/>
              </w:rPr>
            </w:pPr>
          </w:p>
        </w:tc>
        <w:tc>
          <w:tcPr>
            <w:tcW w:w="1007" w:type="dxa"/>
            <w:tcBorders>
              <w:top w:val="nil"/>
              <w:left w:val="nil"/>
              <w:bottom w:val="nil"/>
              <w:right w:val="nil"/>
            </w:tcBorders>
            <w:shd w:val="clear" w:color="auto" w:fill="auto"/>
            <w:noWrap/>
            <w:vAlign w:val="center"/>
            <w:hideMark/>
          </w:tcPr>
          <w:p w14:paraId="609486CD" w14:textId="77777777" w:rsidR="0016178C" w:rsidRPr="0016178C" w:rsidRDefault="0016178C" w:rsidP="0016178C">
            <w:pPr>
              <w:jc w:val="right"/>
              <w:rPr>
                <w:sz w:val="20"/>
                <w:szCs w:val="20"/>
                <w:lang w:eastAsia="en-IE"/>
              </w:rPr>
            </w:pPr>
          </w:p>
        </w:tc>
        <w:tc>
          <w:tcPr>
            <w:tcW w:w="978" w:type="dxa"/>
            <w:tcBorders>
              <w:top w:val="nil"/>
              <w:left w:val="single" w:sz="8" w:space="0" w:color="auto"/>
              <w:bottom w:val="nil"/>
              <w:right w:val="nil"/>
            </w:tcBorders>
            <w:shd w:val="clear" w:color="auto" w:fill="auto"/>
            <w:noWrap/>
            <w:vAlign w:val="center"/>
            <w:hideMark/>
          </w:tcPr>
          <w:p w14:paraId="3D0450A6"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w:t>
            </w:r>
          </w:p>
        </w:tc>
        <w:tc>
          <w:tcPr>
            <w:tcW w:w="883" w:type="dxa"/>
            <w:tcBorders>
              <w:top w:val="nil"/>
              <w:left w:val="nil"/>
              <w:bottom w:val="nil"/>
              <w:right w:val="single" w:sz="8" w:space="0" w:color="auto"/>
            </w:tcBorders>
            <w:shd w:val="clear" w:color="auto" w:fill="auto"/>
            <w:noWrap/>
            <w:vAlign w:val="center"/>
            <w:hideMark/>
          </w:tcPr>
          <w:p w14:paraId="6996B28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w:t>
            </w:r>
          </w:p>
        </w:tc>
        <w:tc>
          <w:tcPr>
            <w:tcW w:w="1101" w:type="dxa"/>
            <w:tcBorders>
              <w:top w:val="nil"/>
              <w:left w:val="nil"/>
              <w:bottom w:val="nil"/>
              <w:right w:val="nil"/>
            </w:tcBorders>
            <w:shd w:val="clear" w:color="auto" w:fill="auto"/>
            <w:noWrap/>
            <w:vAlign w:val="center"/>
            <w:hideMark/>
          </w:tcPr>
          <w:p w14:paraId="554C47DA" w14:textId="77777777" w:rsidR="0016178C" w:rsidRPr="0016178C" w:rsidRDefault="0016178C" w:rsidP="0016178C">
            <w:pPr>
              <w:jc w:val="right"/>
              <w:rPr>
                <w:rFonts w:ascii="Calibri" w:hAnsi="Calibri" w:cs="Calibri"/>
                <w:color w:val="000000"/>
                <w:sz w:val="18"/>
                <w:szCs w:val="18"/>
                <w:lang w:eastAsia="en-IE"/>
              </w:rPr>
            </w:pPr>
          </w:p>
        </w:tc>
      </w:tr>
      <w:tr w:rsidR="0016178C" w:rsidRPr="0016178C" w14:paraId="19EFB7FC" w14:textId="77777777" w:rsidTr="0016178C">
        <w:trPr>
          <w:trHeight w:val="300"/>
        </w:trPr>
        <w:tc>
          <w:tcPr>
            <w:tcW w:w="5500" w:type="dxa"/>
            <w:tcBorders>
              <w:top w:val="nil"/>
              <w:left w:val="nil"/>
              <w:bottom w:val="nil"/>
              <w:right w:val="nil"/>
            </w:tcBorders>
            <w:shd w:val="clear" w:color="auto" w:fill="auto"/>
            <w:noWrap/>
            <w:vAlign w:val="center"/>
            <w:hideMark/>
          </w:tcPr>
          <w:p w14:paraId="7DA46673"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Issue of ordinary equity shares</w:t>
            </w:r>
          </w:p>
        </w:tc>
        <w:tc>
          <w:tcPr>
            <w:tcW w:w="981" w:type="dxa"/>
            <w:tcBorders>
              <w:top w:val="single" w:sz="8" w:space="0" w:color="auto"/>
              <w:left w:val="single" w:sz="8" w:space="0" w:color="auto"/>
              <w:bottom w:val="nil"/>
              <w:right w:val="single" w:sz="8" w:space="0" w:color="auto"/>
            </w:tcBorders>
            <w:shd w:val="clear" w:color="auto" w:fill="auto"/>
            <w:noWrap/>
            <w:vAlign w:val="center"/>
            <w:hideMark/>
          </w:tcPr>
          <w:p w14:paraId="26FB38A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            0.6 </w:t>
            </w:r>
          </w:p>
        </w:tc>
        <w:tc>
          <w:tcPr>
            <w:tcW w:w="736" w:type="dxa"/>
            <w:tcBorders>
              <w:top w:val="single" w:sz="8" w:space="0" w:color="auto"/>
              <w:left w:val="nil"/>
              <w:bottom w:val="nil"/>
              <w:right w:val="nil"/>
            </w:tcBorders>
            <w:shd w:val="clear" w:color="auto" w:fill="auto"/>
            <w:noWrap/>
            <w:vAlign w:val="center"/>
            <w:hideMark/>
          </w:tcPr>
          <w:p w14:paraId="0EB9F1B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 - </w:t>
            </w:r>
          </w:p>
        </w:tc>
        <w:tc>
          <w:tcPr>
            <w:tcW w:w="1005" w:type="dxa"/>
            <w:tcBorders>
              <w:top w:val="single" w:sz="8" w:space="0" w:color="auto"/>
              <w:left w:val="nil"/>
              <w:bottom w:val="nil"/>
              <w:right w:val="nil"/>
            </w:tcBorders>
            <w:shd w:val="clear" w:color="auto" w:fill="auto"/>
            <w:noWrap/>
            <w:vAlign w:val="center"/>
            <w:hideMark/>
          </w:tcPr>
          <w:p w14:paraId="0E7B6535"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            3.6 </w:t>
            </w:r>
          </w:p>
        </w:tc>
        <w:tc>
          <w:tcPr>
            <w:tcW w:w="992" w:type="dxa"/>
            <w:tcBorders>
              <w:top w:val="single" w:sz="8" w:space="0" w:color="auto"/>
              <w:left w:val="nil"/>
              <w:bottom w:val="nil"/>
              <w:right w:val="nil"/>
            </w:tcBorders>
            <w:shd w:val="clear" w:color="auto" w:fill="auto"/>
            <w:noWrap/>
            <w:vAlign w:val="center"/>
            <w:hideMark/>
          </w:tcPr>
          <w:p w14:paraId="2EE666A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 - </w:t>
            </w:r>
          </w:p>
        </w:tc>
        <w:tc>
          <w:tcPr>
            <w:tcW w:w="1007" w:type="dxa"/>
            <w:tcBorders>
              <w:top w:val="single" w:sz="8" w:space="0" w:color="auto"/>
              <w:left w:val="nil"/>
              <w:bottom w:val="nil"/>
              <w:right w:val="nil"/>
            </w:tcBorders>
            <w:shd w:val="clear" w:color="auto" w:fill="auto"/>
            <w:noWrap/>
            <w:vAlign w:val="center"/>
            <w:hideMark/>
          </w:tcPr>
          <w:p w14:paraId="57FD5B6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 - </w:t>
            </w:r>
          </w:p>
        </w:tc>
        <w:tc>
          <w:tcPr>
            <w:tcW w:w="978" w:type="dxa"/>
            <w:tcBorders>
              <w:top w:val="single" w:sz="8" w:space="0" w:color="auto"/>
              <w:left w:val="single" w:sz="8" w:space="0" w:color="auto"/>
              <w:bottom w:val="nil"/>
              <w:right w:val="nil"/>
            </w:tcBorders>
            <w:shd w:val="clear" w:color="auto" w:fill="auto"/>
            <w:noWrap/>
            <w:vAlign w:val="center"/>
            <w:hideMark/>
          </w:tcPr>
          <w:p w14:paraId="2DA766FD"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w:t>
            </w:r>
          </w:p>
        </w:tc>
        <w:tc>
          <w:tcPr>
            <w:tcW w:w="883" w:type="dxa"/>
            <w:tcBorders>
              <w:top w:val="single" w:sz="8" w:space="0" w:color="auto"/>
              <w:left w:val="nil"/>
              <w:bottom w:val="nil"/>
              <w:right w:val="single" w:sz="8" w:space="0" w:color="auto"/>
            </w:tcBorders>
            <w:shd w:val="clear" w:color="auto" w:fill="auto"/>
            <w:noWrap/>
            <w:vAlign w:val="center"/>
            <w:hideMark/>
          </w:tcPr>
          <w:p w14:paraId="0A26CE15"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 - </w:t>
            </w:r>
          </w:p>
        </w:tc>
        <w:tc>
          <w:tcPr>
            <w:tcW w:w="1101" w:type="dxa"/>
            <w:tcBorders>
              <w:top w:val="single" w:sz="8" w:space="0" w:color="auto"/>
              <w:left w:val="nil"/>
              <w:bottom w:val="nil"/>
              <w:right w:val="nil"/>
            </w:tcBorders>
            <w:shd w:val="clear" w:color="auto" w:fill="auto"/>
            <w:noWrap/>
            <w:vAlign w:val="center"/>
            <w:hideMark/>
          </w:tcPr>
          <w:p w14:paraId="0DBCAAC3"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             3.6 </w:t>
            </w:r>
          </w:p>
        </w:tc>
      </w:tr>
      <w:tr w:rsidR="0016178C" w:rsidRPr="0016178C" w14:paraId="30F92742" w14:textId="77777777" w:rsidTr="0016178C">
        <w:trPr>
          <w:trHeight w:val="300"/>
        </w:trPr>
        <w:tc>
          <w:tcPr>
            <w:tcW w:w="5500" w:type="dxa"/>
            <w:tcBorders>
              <w:top w:val="nil"/>
              <w:left w:val="nil"/>
              <w:bottom w:val="nil"/>
              <w:right w:val="nil"/>
            </w:tcBorders>
            <w:shd w:val="clear" w:color="auto" w:fill="auto"/>
            <w:noWrap/>
            <w:vAlign w:val="center"/>
            <w:hideMark/>
          </w:tcPr>
          <w:p w14:paraId="1C71FA6B"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Share-based payments </w:t>
            </w:r>
          </w:p>
        </w:tc>
        <w:tc>
          <w:tcPr>
            <w:tcW w:w="981" w:type="dxa"/>
            <w:tcBorders>
              <w:top w:val="nil"/>
              <w:left w:val="single" w:sz="8" w:space="0" w:color="auto"/>
              <w:bottom w:val="nil"/>
              <w:right w:val="single" w:sz="8" w:space="0" w:color="auto"/>
            </w:tcBorders>
            <w:shd w:val="clear" w:color="auto" w:fill="auto"/>
            <w:noWrap/>
            <w:vAlign w:val="center"/>
            <w:hideMark/>
          </w:tcPr>
          <w:p w14:paraId="5BA0935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736" w:type="dxa"/>
            <w:tcBorders>
              <w:top w:val="nil"/>
              <w:left w:val="nil"/>
              <w:bottom w:val="nil"/>
              <w:right w:val="nil"/>
            </w:tcBorders>
            <w:shd w:val="clear" w:color="auto" w:fill="auto"/>
            <w:noWrap/>
            <w:vAlign w:val="center"/>
            <w:hideMark/>
          </w:tcPr>
          <w:p w14:paraId="3A425557"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5" w:type="dxa"/>
            <w:tcBorders>
              <w:top w:val="nil"/>
              <w:left w:val="nil"/>
              <w:bottom w:val="nil"/>
              <w:right w:val="nil"/>
            </w:tcBorders>
            <w:shd w:val="clear" w:color="auto" w:fill="auto"/>
            <w:noWrap/>
            <w:vAlign w:val="center"/>
            <w:hideMark/>
          </w:tcPr>
          <w:p w14:paraId="1DD0BC6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92" w:type="dxa"/>
            <w:tcBorders>
              <w:top w:val="nil"/>
              <w:left w:val="nil"/>
              <w:bottom w:val="nil"/>
              <w:right w:val="nil"/>
            </w:tcBorders>
            <w:shd w:val="clear" w:color="auto" w:fill="auto"/>
            <w:noWrap/>
            <w:vAlign w:val="center"/>
            <w:hideMark/>
          </w:tcPr>
          <w:p w14:paraId="6BD988E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7" w:type="dxa"/>
            <w:tcBorders>
              <w:top w:val="nil"/>
              <w:left w:val="nil"/>
              <w:bottom w:val="nil"/>
              <w:right w:val="nil"/>
            </w:tcBorders>
            <w:shd w:val="clear" w:color="auto" w:fill="auto"/>
            <w:noWrap/>
            <w:vAlign w:val="center"/>
            <w:hideMark/>
          </w:tcPr>
          <w:p w14:paraId="1366B215"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78" w:type="dxa"/>
            <w:tcBorders>
              <w:top w:val="nil"/>
              <w:left w:val="single" w:sz="8" w:space="0" w:color="auto"/>
              <w:bottom w:val="nil"/>
              <w:right w:val="nil"/>
            </w:tcBorders>
            <w:shd w:val="clear" w:color="auto" w:fill="auto"/>
            <w:noWrap/>
            <w:vAlign w:val="center"/>
            <w:hideMark/>
          </w:tcPr>
          <w:p w14:paraId="65CA9C47"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883" w:type="dxa"/>
            <w:tcBorders>
              <w:top w:val="nil"/>
              <w:left w:val="nil"/>
              <w:bottom w:val="nil"/>
              <w:right w:val="single" w:sz="8" w:space="0" w:color="auto"/>
            </w:tcBorders>
            <w:shd w:val="clear" w:color="auto" w:fill="auto"/>
            <w:noWrap/>
            <w:vAlign w:val="center"/>
            <w:hideMark/>
          </w:tcPr>
          <w:p w14:paraId="28DA4907"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4.0 </w:t>
            </w:r>
          </w:p>
        </w:tc>
        <w:tc>
          <w:tcPr>
            <w:tcW w:w="1101" w:type="dxa"/>
            <w:tcBorders>
              <w:top w:val="nil"/>
              <w:left w:val="nil"/>
              <w:bottom w:val="nil"/>
              <w:right w:val="nil"/>
            </w:tcBorders>
            <w:shd w:val="clear" w:color="auto" w:fill="auto"/>
            <w:noWrap/>
            <w:vAlign w:val="center"/>
            <w:hideMark/>
          </w:tcPr>
          <w:p w14:paraId="59306756"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4.0 </w:t>
            </w:r>
          </w:p>
        </w:tc>
      </w:tr>
      <w:tr w:rsidR="0016178C" w:rsidRPr="0016178C" w14:paraId="1423D763" w14:textId="77777777" w:rsidTr="0016178C">
        <w:trPr>
          <w:trHeight w:val="300"/>
        </w:trPr>
        <w:tc>
          <w:tcPr>
            <w:tcW w:w="5500" w:type="dxa"/>
            <w:tcBorders>
              <w:top w:val="nil"/>
              <w:left w:val="nil"/>
              <w:bottom w:val="nil"/>
              <w:right w:val="nil"/>
            </w:tcBorders>
            <w:shd w:val="clear" w:color="auto" w:fill="auto"/>
            <w:noWrap/>
            <w:vAlign w:val="center"/>
            <w:hideMark/>
          </w:tcPr>
          <w:p w14:paraId="6163E0B9"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Repurchase of ordinary equity shares</w:t>
            </w:r>
          </w:p>
        </w:tc>
        <w:tc>
          <w:tcPr>
            <w:tcW w:w="981" w:type="dxa"/>
            <w:tcBorders>
              <w:top w:val="nil"/>
              <w:left w:val="single" w:sz="8" w:space="0" w:color="auto"/>
              <w:bottom w:val="nil"/>
              <w:right w:val="single" w:sz="8" w:space="0" w:color="auto"/>
            </w:tcBorders>
            <w:shd w:val="clear" w:color="auto" w:fill="auto"/>
            <w:noWrap/>
            <w:vAlign w:val="center"/>
            <w:hideMark/>
          </w:tcPr>
          <w:p w14:paraId="4FB0F99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736" w:type="dxa"/>
            <w:tcBorders>
              <w:top w:val="nil"/>
              <w:left w:val="nil"/>
              <w:bottom w:val="nil"/>
              <w:right w:val="nil"/>
            </w:tcBorders>
            <w:shd w:val="clear" w:color="auto" w:fill="auto"/>
            <w:noWrap/>
            <w:vAlign w:val="center"/>
            <w:hideMark/>
          </w:tcPr>
          <w:p w14:paraId="5362F9C7"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5" w:type="dxa"/>
            <w:tcBorders>
              <w:top w:val="nil"/>
              <w:left w:val="nil"/>
              <w:bottom w:val="nil"/>
              <w:right w:val="nil"/>
            </w:tcBorders>
            <w:shd w:val="clear" w:color="auto" w:fill="auto"/>
            <w:noWrap/>
            <w:vAlign w:val="center"/>
            <w:hideMark/>
          </w:tcPr>
          <w:p w14:paraId="171539C9"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92" w:type="dxa"/>
            <w:tcBorders>
              <w:top w:val="nil"/>
              <w:left w:val="nil"/>
              <w:bottom w:val="nil"/>
              <w:right w:val="nil"/>
            </w:tcBorders>
            <w:shd w:val="clear" w:color="auto" w:fill="auto"/>
            <w:noWrap/>
            <w:vAlign w:val="center"/>
            <w:hideMark/>
          </w:tcPr>
          <w:p w14:paraId="24569C7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(226.0)</w:t>
            </w:r>
          </w:p>
        </w:tc>
        <w:tc>
          <w:tcPr>
            <w:tcW w:w="1007" w:type="dxa"/>
            <w:tcBorders>
              <w:top w:val="nil"/>
              <w:left w:val="nil"/>
              <w:bottom w:val="nil"/>
              <w:right w:val="nil"/>
            </w:tcBorders>
            <w:shd w:val="clear" w:color="auto" w:fill="auto"/>
            <w:noWrap/>
            <w:vAlign w:val="center"/>
            <w:hideMark/>
          </w:tcPr>
          <w:p w14:paraId="29BDC099"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78" w:type="dxa"/>
            <w:tcBorders>
              <w:top w:val="nil"/>
              <w:left w:val="single" w:sz="8" w:space="0" w:color="auto"/>
              <w:bottom w:val="nil"/>
              <w:right w:val="nil"/>
            </w:tcBorders>
            <w:shd w:val="clear" w:color="auto" w:fill="auto"/>
            <w:noWrap/>
            <w:vAlign w:val="center"/>
            <w:hideMark/>
          </w:tcPr>
          <w:p w14:paraId="6F9283F9"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883" w:type="dxa"/>
            <w:tcBorders>
              <w:top w:val="nil"/>
              <w:left w:val="nil"/>
              <w:bottom w:val="nil"/>
              <w:right w:val="single" w:sz="8" w:space="0" w:color="auto"/>
            </w:tcBorders>
            <w:shd w:val="clear" w:color="auto" w:fill="auto"/>
            <w:noWrap/>
            <w:vAlign w:val="center"/>
            <w:hideMark/>
          </w:tcPr>
          <w:p w14:paraId="62DDD1D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101" w:type="dxa"/>
            <w:tcBorders>
              <w:top w:val="nil"/>
              <w:left w:val="nil"/>
              <w:bottom w:val="nil"/>
              <w:right w:val="nil"/>
            </w:tcBorders>
            <w:shd w:val="clear" w:color="auto" w:fill="auto"/>
            <w:noWrap/>
            <w:vAlign w:val="center"/>
            <w:hideMark/>
          </w:tcPr>
          <w:p w14:paraId="72C895B3"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(226.0)</w:t>
            </w:r>
          </w:p>
        </w:tc>
      </w:tr>
      <w:tr w:rsidR="0016178C" w:rsidRPr="0016178C" w14:paraId="43BD35B2" w14:textId="77777777" w:rsidTr="0016178C">
        <w:trPr>
          <w:trHeight w:val="300"/>
        </w:trPr>
        <w:tc>
          <w:tcPr>
            <w:tcW w:w="5500" w:type="dxa"/>
            <w:tcBorders>
              <w:top w:val="nil"/>
              <w:left w:val="nil"/>
              <w:bottom w:val="nil"/>
              <w:right w:val="nil"/>
            </w:tcBorders>
            <w:shd w:val="clear" w:color="auto" w:fill="auto"/>
            <w:noWrap/>
            <w:vAlign w:val="center"/>
            <w:hideMark/>
          </w:tcPr>
          <w:p w14:paraId="3E0A9F0C"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Other</w:t>
            </w:r>
          </w:p>
        </w:tc>
        <w:tc>
          <w:tcPr>
            <w:tcW w:w="981" w:type="dxa"/>
            <w:tcBorders>
              <w:top w:val="nil"/>
              <w:left w:val="single" w:sz="8" w:space="0" w:color="auto"/>
              <w:bottom w:val="nil"/>
              <w:right w:val="single" w:sz="8" w:space="0" w:color="auto"/>
            </w:tcBorders>
            <w:shd w:val="clear" w:color="auto" w:fill="auto"/>
            <w:noWrap/>
            <w:vAlign w:val="center"/>
            <w:hideMark/>
          </w:tcPr>
          <w:p w14:paraId="38845E09"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736" w:type="dxa"/>
            <w:tcBorders>
              <w:top w:val="nil"/>
              <w:left w:val="nil"/>
              <w:bottom w:val="nil"/>
              <w:right w:val="nil"/>
            </w:tcBorders>
            <w:shd w:val="clear" w:color="auto" w:fill="auto"/>
            <w:noWrap/>
            <w:vAlign w:val="center"/>
            <w:hideMark/>
          </w:tcPr>
          <w:p w14:paraId="49184E78" w14:textId="77777777" w:rsidR="0016178C" w:rsidRPr="0016178C" w:rsidRDefault="0016178C" w:rsidP="0016178C">
            <w:pPr>
              <w:jc w:val="right"/>
              <w:rPr>
                <w:rFonts w:ascii="Calibri" w:hAnsi="Calibri" w:cs="Calibri"/>
                <w:color w:val="000000"/>
                <w:sz w:val="18"/>
                <w:szCs w:val="18"/>
                <w:lang w:eastAsia="en-IE"/>
              </w:rPr>
            </w:pPr>
          </w:p>
        </w:tc>
        <w:tc>
          <w:tcPr>
            <w:tcW w:w="1005" w:type="dxa"/>
            <w:tcBorders>
              <w:top w:val="nil"/>
              <w:left w:val="nil"/>
              <w:bottom w:val="nil"/>
              <w:right w:val="nil"/>
            </w:tcBorders>
            <w:shd w:val="clear" w:color="auto" w:fill="auto"/>
            <w:noWrap/>
            <w:vAlign w:val="center"/>
            <w:hideMark/>
          </w:tcPr>
          <w:p w14:paraId="44872B35"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92" w:type="dxa"/>
            <w:tcBorders>
              <w:top w:val="nil"/>
              <w:left w:val="nil"/>
              <w:bottom w:val="nil"/>
              <w:right w:val="nil"/>
            </w:tcBorders>
            <w:shd w:val="clear" w:color="auto" w:fill="auto"/>
            <w:noWrap/>
            <w:vAlign w:val="center"/>
            <w:hideMark/>
          </w:tcPr>
          <w:p w14:paraId="10917363"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0.9 </w:t>
            </w:r>
          </w:p>
        </w:tc>
        <w:tc>
          <w:tcPr>
            <w:tcW w:w="1007" w:type="dxa"/>
            <w:tcBorders>
              <w:top w:val="nil"/>
              <w:left w:val="nil"/>
              <w:bottom w:val="nil"/>
              <w:right w:val="nil"/>
            </w:tcBorders>
            <w:shd w:val="clear" w:color="auto" w:fill="auto"/>
            <w:noWrap/>
            <w:vAlign w:val="center"/>
            <w:hideMark/>
          </w:tcPr>
          <w:p w14:paraId="37045C5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78" w:type="dxa"/>
            <w:tcBorders>
              <w:top w:val="nil"/>
              <w:left w:val="single" w:sz="8" w:space="0" w:color="auto"/>
              <w:bottom w:val="nil"/>
              <w:right w:val="nil"/>
            </w:tcBorders>
            <w:shd w:val="clear" w:color="auto" w:fill="auto"/>
            <w:noWrap/>
            <w:vAlign w:val="center"/>
            <w:hideMark/>
          </w:tcPr>
          <w:p w14:paraId="3D57DC29"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883" w:type="dxa"/>
            <w:tcBorders>
              <w:top w:val="nil"/>
              <w:left w:val="nil"/>
              <w:bottom w:val="nil"/>
              <w:right w:val="single" w:sz="8" w:space="0" w:color="auto"/>
            </w:tcBorders>
            <w:shd w:val="clear" w:color="auto" w:fill="auto"/>
            <w:noWrap/>
            <w:vAlign w:val="center"/>
            <w:hideMark/>
          </w:tcPr>
          <w:p w14:paraId="6EA5E736"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101" w:type="dxa"/>
            <w:tcBorders>
              <w:top w:val="nil"/>
              <w:left w:val="nil"/>
              <w:bottom w:val="nil"/>
              <w:right w:val="nil"/>
            </w:tcBorders>
            <w:shd w:val="clear" w:color="auto" w:fill="auto"/>
            <w:noWrap/>
            <w:vAlign w:val="center"/>
            <w:hideMark/>
          </w:tcPr>
          <w:p w14:paraId="6DA3E60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0.9 </w:t>
            </w:r>
          </w:p>
        </w:tc>
      </w:tr>
      <w:tr w:rsidR="0016178C" w:rsidRPr="0016178C" w14:paraId="6B91B4B8" w14:textId="77777777" w:rsidTr="0016178C">
        <w:trPr>
          <w:trHeight w:val="300"/>
        </w:trPr>
        <w:tc>
          <w:tcPr>
            <w:tcW w:w="5500" w:type="dxa"/>
            <w:tcBorders>
              <w:top w:val="nil"/>
              <w:left w:val="nil"/>
              <w:bottom w:val="nil"/>
              <w:right w:val="nil"/>
            </w:tcBorders>
            <w:shd w:val="clear" w:color="auto" w:fill="auto"/>
            <w:noWrap/>
            <w:vAlign w:val="center"/>
            <w:hideMark/>
          </w:tcPr>
          <w:p w14:paraId="4CC1D7B0"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Cancellation of repurchased ordinary shares</w:t>
            </w:r>
          </w:p>
        </w:tc>
        <w:tc>
          <w:tcPr>
            <w:tcW w:w="981" w:type="dxa"/>
            <w:tcBorders>
              <w:top w:val="nil"/>
              <w:left w:val="single" w:sz="8" w:space="0" w:color="auto"/>
              <w:bottom w:val="nil"/>
              <w:right w:val="single" w:sz="8" w:space="0" w:color="auto"/>
            </w:tcBorders>
            <w:shd w:val="clear" w:color="auto" w:fill="auto"/>
            <w:noWrap/>
            <w:vAlign w:val="center"/>
            <w:hideMark/>
          </w:tcPr>
          <w:p w14:paraId="437C559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(21.8)</w:t>
            </w:r>
          </w:p>
        </w:tc>
        <w:tc>
          <w:tcPr>
            <w:tcW w:w="736" w:type="dxa"/>
            <w:tcBorders>
              <w:top w:val="nil"/>
              <w:left w:val="nil"/>
              <w:bottom w:val="nil"/>
              <w:right w:val="nil"/>
            </w:tcBorders>
            <w:shd w:val="clear" w:color="auto" w:fill="auto"/>
            <w:noWrap/>
            <w:vAlign w:val="center"/>
            <w:hideMark/>
          </w:tcPr>
          <w:p w14:paraId="13ECC68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(0.1)</w:t>
            </w:r>
          </w:p>
        </w:tc>
        <w:tc>
          <w:tcPr>
            <w:tcW w:w="1005" w:type="dxa"/>
            <w:tcBorders>
              <w:top w:val="nil"/>
              <w:left w:val="nil"/>
              <w:bottom w:val="nil"/>
              <w:right w:val="nil"/>
            </w:tcBorders>
            <w:shd w:val="clear" w:color="auto" w:fill="auto"/>
            <w:noWrap/>
            <w:vAlign w:val="center"/>
            <w:hideMark/>
          </w:tcPr>
          <w:p w14:paraId="7D8994E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92" w:type="dxa"/>
            <w:tcBorders>
              <w:top w:val="nil"/>
              <w:left w:val="nil"/>
              <w:bottom w:val="nil"/>
              <w:right w:val="nil"/>
            </w:tcBorders>
            <w:shd w:val="clear" w:color="auto" w:fill="auto"/>
            <w:noWrap/>
            <w:vAlign w:val="center"/>
            <w:hideMark/>
          </w:tcPr>
          <w:p w14:paraId="2222CDB8"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7" w:type="dxa"/>
            <w:tcBorders>
              <w:top w:val="nil"/>
              <w:left w:val="nil"/>
              <w:bottom w:val="nil"/>
              <w:right w:val="nil"/>
            </w:tcBorders>
            <w:shd w:val="clear" w:color="auto" w:fill="auto"/>
            <w:noWrap/>
            <w:vAlign w:val="center"/>
            <w:hideMark/>
          </w:tcPr>
          <w:p w14:paraId="2C3AD74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0.1 </w:t>
            </w:r>
          </w:p>
        </w:tc>
        <w:tc>
          <w:tcPr>
            <w:tcW w:w="978" w:type="dxa"/>
            <w:tcBorders>
              <w:top w:val="nil"/>
              <w:left w:val="single" w:sz="8" w:space="0" w:color="auto"/>
              <w:bottom w:val="nil"/>
              <w:right w:val="nil"/>
            </w:tcBorders>
            <w:shd w:val="clear" w:color="auto" w:fill="auto"/>
            <w:noWrap/>
            <w:vAlign w:val="center"/>
            <w:hideMark/>
          </w:tcPr>
          <w:p w14:paraId="68625513"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883" w:type="dxa"/>
            <w:tcBorders>
              <w:top w:val="nil"/>
              <w:left w:val="nil"/>
              <w:bottom w:val="nil"/>
              <w:right w:val="single" w:sz="8" w:space="0" w:color="auto"/>
            </w:tcBorders>
            <w:shd w:val="clear" w:color="auto" w:fill="auto"/>
            <w:noWrap/>
            <w:vAlign w:val="center"/>
            <w:hideMark/>
          </w:tcPr>
          <w:p w14:paraId="1F66AB45"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101" w:type="dxa"/>
            <w:tcBorders>
              <w:top w:val="nil"/>
              <w:left w:val="nil"/>
              <w:bottom w:val="nil"/>
              <w:right w:val="nil"/>
            </w:tcBorders>
            <w:shd w:val="clear" w:color="auto" w:fill="auto"/>
            <w:noWrap/>
            <w:vAlign w:val="center"/>
            <w:hideMark/>
          </w:tcPr>
          <w:p w14:paraId="40C54916"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r>
      <w:tr w:rsidR="0016178C" w:rsidRPr="0016178C" w14:paraId="5C884B8D" w14:textId="77777777" w:rsidTr="0016178C">
        <w:trPr>
          <w:trHeight w:val="300"/>
        </w:trPr>
        <w:tc>
          <w:tcPr>
            <w:tcW w:w="5500" w:type="dxa"/>
            <w:tcBorders>
              <w:top w:val="nil"/>
              <w:left w:val="nil"/>
              <w:bottom w:val="nil"/>
              <w:right w:val="nil"/>
            </w:tcBorders>
            <w:shd w:val="clear" w:color="auto" w:fill="auto"/>
            <w:noWrap/>
            <w:vAlign w:val="center"/>
            <w:hideMark/>
          </w:tcPr>
          <w:p w14:paraId="4FCEEDFB"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Transfer of exercised and expired share based awards</w:t>
            </w:r>
          </w:p>
        </w:tc>
        <w:tc>
          <w:tcPr>
            <w:tcW w:w="981" w:type="dxa"/>
            <w:tcBorders>
              <w:top w:val="nil"/>
              <w:left w:val="single" w:sz="8" w:space="0" w:color="auto"/>
              <w:bottom w:val="nil"/>
              <w:right w:val="single" w:sz="8" w:space="0" w:color="auto"/>
            </w:tcBorders>
            <w:shd w:val="clear" w:color="auto" w:fill="auto"/>
            <w:noWrap/>
            <w:vAlign w:val="center"/>
            <w:hideMark/>
          </w:tcPr>
          <w:p w14:paraId="508C88D4" w14:textId="77777777" w:rsidR="0016178C" w:rsidRPr="0016178C" w:rsidRDefault="0016178C" w:rsidP="0016178C">
            <w:pPr>
              <w:jc w:val="right"/>
              <w:rPr>
                <w:rFonts w:ascii="Calibri" w:hAnsi="Calibri" w:cs="Calibri"/>
                <w:color w:val="000000"/>
                <w:sz w:val="18"/>
                <w:szCs w:val="18"/>
                <w:u w:val="single"/>
                <w:lang w:eastAsia="en-IE"/>
              </w:rPr>
            </w:pPr>
            <w:r w:rsidRPr="0016178C">
              <w:rPr>
                <w:rFonts w:ascii="Calibri" w:hAnsi="Calibri" w:cs="Calibri"/>
                <w:bCs/>
                <w:color w:val="000000"/>
                <w:sz w:val="18"/>
                <w:szCs w:val="18"/>
                <w:u w:val="single"/>
                <w:lang w:eastAsia="en-IE"/>
              </w:rPr>
              <w:t xml:space="preserve">                      -     </w:t>
            </w:r>
          </w:p>
        </w:tc>
        <w:tc>
          <w:tcPr>
            <w:tcW w:w="736" w:type="dxa"/>
            <w:tcBorders>
              <w:top w:val="nil"/>
              <w:left w:val="nil"/>
              <w:bottom w:val="nil"/>
              <w:right w:val="nil"/>
            </w:tcBorders>
            <w:shd w:val="clear" w:color="auto" w:fill="auto"/>
            <w:noWrap/>
            <w:vAlign w:val="center"/>
            <w:hideMark/>
          </w:tcPr>
          <w:p w14:paraId="3A6A1444"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5" w:type="dxa"/>
            <w:tcBorders>
              <w:top w:val="nil"/>
              <w:left w:val="nil"/>
              <w:bottom w:val="nil"/>
              <w:right w:val="nil"/>
            </w:tcBorders>
            <w:shd w:val="clear" w:color="auto" w:fill="auto"/>
            <w:noWrap/>
            <w:vAlign w:val="center"/>
            <w:hideMark/>
          </w:tcPr>
          <w:p w14:paraId="12985A16"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92" w:type="dxa"/>
            <w:tcBorders>
              <w:top w:val="nil"/>
              <w:left w:val="nil"/>
              <w:bottom w:val="nil"/>
              <w:right w:val="nil"/>
            </w:tcBorders>
            <w:shd w:val="clear" w:color="auto" w:fill="auto"/>
            <w:noWrap/>
            <w:vAlign w:val="center"/>
            <w:hideMark/>
          </w:tcPr>
          <w:p w14:paraId="79C4A84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0.5 </w:t>
            </w:r>
          </w:p>
        </w:tc>
        <w:tc>
          <w:tcPr>
            <w:tcW w:w="1007" w:type="dxa"/>
            <w:tcBorders>
              <w:top w:val="nil"/>
              <w:left w:val="nil"/>
              <w:bottom w:val="nil"/>
              <w:right w:val="nil"/>
            </w:tcBorders>
            <w:shd w:val="clear" w:color="auto" w:fill="auto"/>
            <w:noWrap/>
            <w:vAlign w:val="center"/>
            <w:hideMark/>
          </w:tcPr>
          <w:p w14:paraId="08778A2D"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78" w:type="dxa"/>
            <w:tcBorders>
              <w:top w:val="nil"/>
              <w:left w:val="single" w:sz="8" w:space="0" w:color="auto"/>
              <w:bottom w:val="nil"/>
              <w:right w:val="nil"/>
            </w:tcBorders>
            <w:shd w:val="clear" w:color="auto" w:fill="auto"/>
            <w:noWrap/>
            <w:vAlign w:val="center"/>
            <w:hideMark/>
          </w:tcPr>
          <w:p w14:paraId="6CFC9B9D"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883" w:type="dxa"/>
            <w:tcBorders>
              <w:top w:val="nil"/>
              <w:left w:val="nil"/>
              <w:bottom w:val="nil"/>
              <w:right w:val="single" w:sz="8" w:space="0" w:color="auto"/>
            </w:tcBorders>
            <w:shd w:val="clear" w:color="auto" w:fill="auto"/>
            <w:noWrap/>
            <w:vAlign w:val="center"/>
            <w:hideMark/>
          </w:tcPr>
          <w:p w14:paraId="31EAC9E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(0.5)</w:t>
            </w:r>
          </w:p>
        </w:tc>
        <w:tc>
          <w:tcPr>
            <w:tcW w:w="1101" w:type="dxa"/>
            <w:tcBorders>
              <w:top w:val="nil"/>
              <w:left w:val="nil"/>
              <w:bottom w:val="nil"/>
              <w:right w:val="nil"/>
            </w:tcBorders>
            <w:shd w:val="clear" w:color="auto" w:fill="auto"/>
            <w:noWrap/>
            <w:vAlign w:val="center"/>
            <w:hideMark/>
          </w:tcPr>
          <w:p w14:paraId="174F6953"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r>
      <w:tr w:rsidR="0016178C" w:rsidRPr="0016178C" w14:paraId="63854E7B" w14:textId="77777777" w:rsidTr="0016178C">
        <w:trPr>
          <w:trHeight w:val="300"/>
        </w:trPr>
        <w:tc>
          <w:tcPr>
            <w:tcW w:w="5500" w:type="dxa"/>
            <w:tcBorders>
              <w:top w:val="nil"/>
              <w:left w:val="nil"/>
              <w:bottom w:val="nil"/>
              <w:right w:val="nil"/>
            </w:tcBorders>
            <w:shd w:val="clear" w:color="auto" w:fill="auto"/>
            <w:noWrap/>
            <w:vAlign w:val="center"/>
            <w:hideMark/>
          </w:tcPr>
          <w:p w14:paraId="73C7351D" w14:textId="77777777" w:rsidR="0016178C" w:rsidRPr="0016178C" w:rsidRDefault="0016178C" w:rsidP="0016178C">
            <w:pPr>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Balance at September 30, 2019</w:t>
            </w:r>
          </w:p>
        </w:tc>
        <w:tc>
          <w:tcPr>
            <w:tcW w:w="981" w:type="dxa"/>
            <w:tcBorders>
              <w:top w:val="nil"/>
              <w:left w:val="single" w:sz="8" w:space="0" w:color="auto"/>
              <w:bottom w:val="nil"/>
              <w:right w:val="single" w:sz="8" w:space="0" w:color="auto"/>
            </w:tcBorders>
            <w:shd w:val="clear" w:color="auto" w:fill="auto"/>
            <w:noWrap/>
            <w:vAlign w:val="center"/>
            <w:hideMark/>
          </w:tcPr>
          <w:p w14:paraId="3C4D9205"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val="en-GB" w:eastAsia="en-IE"/>
              </w:rPr>
              <w:t xml:space="preserve">     1,112.2 </w:t>
            </w:r>
          </w:p>
        </w:tc>
        <w:tc>
          <w:tcPr>
            <w:tcW w:w="736" w:type="dxa"/>
            <w:tcBorders>
              <w:top w:val="nil"/>
              <w:left w:val="nil"/>
              <w:bottom w:val="nil"/>
              <w:right w:val="nil"/>
            </w:tcBorders>
            <w:shd w:val="clear" w:color="auto" w:fill="auto"/>
            <w:noWrap/>
            <w:vAlign w:val="center"/>
            <w:hideMark/>
          </w:tcPr>
          <w:p w14:paraId="06E7A6A8"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val="en-GB" w:eastAsia="en-IE"/>
              </w:rPr>
              <w:t xml:space="preserve">      6.7 </w:t>
            </w:r>
          </w:p>
        </w:tc>
        <w:tc>
          <w:tcPr>
            <w:tcW w:w="1005" w:type="dxa"/>
            <w:tcBorders>
              <w:top w:val="nil"/>
              <w:left w:val="nil"/>
              <w:bottom w:val="nil"/>
              <w:right w:val="nil"/>
            </w:tcBorders>
            <w:shd w:val="clear" w:color="auto" w:fill="auto"/>
            <w:noWrap/>
            <w:vAlign w:val="center"/>
            <w:hideMark/>
          </w:tcPr>
          <w:p w14:paraId="7FF13087"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val="en-GB" w:eastAsia="en-IE"/>
              </w:rPr>
              <w:t xml:space="preserve">        723.0 </w:t>
            </w:r>
          </w:p>
        </w:tc>
        <w:tc>
          <w:tcPr>
            <w:tcW w:w="992" w:type="dxa"/>
            <w:tcBorders>
              <w:top w:val="nil"/>
              <w:left w:val="nil"/>
              <w:bottom w:val="nil"/>
              <w:right w:val="nil"/>
            </w:tcBorders>
            <w:shd w:val="clear" w:color="auto" w:fill="auto"/>
            <w:noWrap/>
            <w:vAlign w:val="center"/>
            <w:hideMark/>
          </w:tcPr>
          <w:p w14:paraId="62DF9F68"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val="en-GB" w:eastAsia="en-IE"/>
              </w:rPr>
              <w:t xml:space="preserve">     5,100.3 </w:t>
            </w:r>
          </w:p>
        </w:tc>
        <w:tc>
          <w:tcPr>
            <w:tcW w:w="1007" w:type="dxa"/>
            <w:tcBorders>
              <w:top w:val="nil"/>
              <w:left w:val="nil"/>
              <w:bottom w:val="nil"/>
              <w:right w:val="nil"/>
            </w:tcBorders>
            <w:shd w:val="clear" w:color="auto" w:fill="auto"/>
            <w:noWrap/>
            <w:vAlign w:val="center"/>
            <w:hideMark/>
          </w:tcPr>
          <w:p w14:paraId="37F33611"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val="en-GB" w:eastAsia="en-IE"/>
              </w:rPr>
              <w:t xml:space="preserve">            3.3 </w:t>
            </w:r>
          </w:p>
        </w:tc>
        <w:tc>
          <w:tcPr>
            <w:tcW w:w="978" w:type="dxa"/>
            <w:tcBorders>
              <w:top w:val="nil"/>
              <w:left w:val="single" w:sz="8" w:space="0" w:color="auto"/>
              <w:bottom w:val="nil"/>
              <w:right w:val="nil"/>
            </w:tcBorders>
            <w:shd w:val="clear" w:color="auto" w:fill="auto"/>
            <w:noWrap/>
            <w:vAlign w:val="center"/>
            <w:hideMark/>
          </w:tcPr>
          <w:p w14:paraId="086E097D"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val="en-GB" w:eastAsia="en-IE"/>
              </w:rPr>
              <w:t xml:space="preserve">      491.1 </w:t>
            </w:r>
          </w:p>
        </w:tc>
        <w:tc>
          <w:tcPr>
            <w:tcW w:w="883" w:type="dxa"/>
            <w:tcBorders>
              <w:top w:val="nil"/>
              <w:left w:val="nil"/>
              <w:bottom w:val="nil"/>
              <w:right w:val="single" w:sz="8" w:space="0" w:color="auto"/>
            </w:tcBorders>
            <w:shd w:val="clear" w:color="auto" w:fill="auto"/>
            <w:noWrap/>
            <w:vAlign w:val="center"/>
            <w:hideMark/>
          </w:tcPr>
          <w:p w14:paraId="006EB5B0"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val="en-GB" w:eastAsia="en-IE"/>
              </w:rPr>
              <w:t xml:space="preserve">        32.5 </w:t>
            </w:r>
          </w:p>
        </w:tc>
        <w:tc>
          <w:tcPr>
            <w:tcW w:w="1101" w:type="dxa"/>
            <w:tcBorders>
              <w:top w:val="nil"/>
              <w:left w:val="nil"/>
              <w:bottom w:val="nil"/>
              <w:right w:val="nil"/>
            </w:tcBorders>
            <w:shd w:val="clear" w:color="auto" w:fill="auto"/>
            <w:noWrap/>
            <w:vAlign w:val="center"/>
            <w:hideMark/>
          </w:tcPr>
          <w:p w14:paraId="323CDA09"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val="en-GB" w:eastAsia="en-IE"/>
              </w:rPr>
              <w:t xml:space="preserve">      6,356.9 </w:t>
            </w:r>
          </w:p>
        </w:tc>
      </w:tr>
      <w:tr w:rsidR="0016178C" w:rsidRPr="0016178C" w14:paraId="4F7CFF8B" w14:textId="77777777" w:rsidTr="0016178C">
        <w:trPr>
          <w:trHeight w:val="300"/>
        </w:trPr>
        <w:tc>
          <w:tcPr>
            <w:tcW w:w="5500" w:type="dxa"/>
            <w:tcBorders>
              <w:top w:val="nil"/>
              <w:left w:val="nil"/>
              <w:bottom w:val="nil"/>
              <w:right w:val="nil"/>
            </w:tcBorders>
            <w:shd w:val="clear" w:color="auto" w:fill="auto"/>
            <w:noWrap/>
            <w:vAlign w:val="center"/>
            <w:hideMark/>
          </w:tcPr>
          <w:p w14:paraId="0C20A768"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Loss for the half-year</w:t>
            </w:r>
          </w:p>
        </w:tc>
        <w:tc>
          <w:tcPr>
            <w:tcW w:w="981" w:type="dxa"/>
            <w:tcBorders>
              <w:top w:val="nil"/>
              <w:left w:val="single" w:sz="8" w:space="0" w:color="auto"/>
              <w:bottom w:val="nil"/>
              <w:right w:val="single" w:sz="8" w:space="0" w:color="auto"/>
            </w:tcBorders>
            <w:shd w:val="clear" w:color="auto" w:fill="auto"/>
            <w:noWrap/>
            <w:vAlign w:val="center"/>
            <w:hideMark/>
          </w:tcPr>
          <w:p w14:paraId="5BC2ECFD"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736" w:type="dxa"/>
            <w:tcBorders>
              <w:top w:val="nil"/>
              <w:left w:val="nil"/>
              <w:bottom w:val="nil"/>
              <w:right w:val="nil"/>
            </w:tcBorders>
            <w:shd w:val="clear" w:color="auto" w:fill="auto"/>
            <w:noWrap/>
            <w:vAlign w:val="center"/>
            <w:hideMark/>
          </w:tcPr>
          <w:p w14:paraId="600A8631"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005" w:type="dxa"/>
            <w:tcBorders>
              <w:top w:val="nil"/>
              <w:left w:val="nil"/>
              <w:bottom w:val="nil"/>
              <w:right w:val="nil"/>
            </w:tcBorders>
            <w:shd w:val="clear" w:color="auto" w:fill="auto"/>
            <w:noWrap/>
            <w:vAlign w:val="center"/>
            <w:hideMark/>
          </w:tcPr>
          <w:p w14:paraId="0ECAEF4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992" w:type="dxa"/>
            <w:tcBorders>
              <w:top w:val="nil"/>
              <w:left w:val="nil"/>
              <w:bottom w:val="nil"/>
              <w:right w:val="nil"/>
            </w:tcBorders>
            <w:shd w:val="clear" w:color="auto" w:fill="auto"/>
            <w:noWrap/>
            <w:vAlign w:val="center"/>
            <w:hideMark/>
          </w:tcPr>
          <w:p w14:paraId="1A4B2D39"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(504.0)</w:t>
            </w:r>
          </w:p>
        </w:tc>
        <w:tc>
          <w:tcPr>
            <w:tcW w:w="1007" w:type="dxa"/>
            <w:tcBorders>
              <w:top w:val="nil"/>
              <w:left w:val="nil"/>
              <w:bottom w:val="nil"/>
              <w:right w:val="nil"/>
            </w:tcBorders>
            <w:shd w:val="clear" w:color="auto" w:fill="auto"/>
            <w:noWrap/>
            <w:vAlign w:val="center"/>
            <w:hideMark/>
          </w:tcPr>
          <w:p w14:paraId="5112ABC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978" w:type="dxa"/>
            <w:tcBorders>
              <w:top w:val="nil"/>
              <w:left w:val="single" w:sz="8" w:space="0" w:color="auto"/>
              <w:bottom w:val="nil"/>
              <w:right w:val="nil"/>
            </w:tcBorders>
            <w:shd w:val="clear" w:color="auto" w:fill="auto"/>
            <w:noWrap/>
            <w:vAlign w:val="center"/>
            <w:hideMark/>
          </w:tcPr>
          <w:p w14:paraId="5455342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883" w:type="dxa"/>
            <w:tcBorders>
              <w:top w:val="nil"/>
              <w:left w:val="nil"/>
              <w:bottom w:val="nil"/>
              <w:right w:val="single" w:sz="8" w:space="0" w:color="auto"/>
            </w:tcBorders>
            <w:shd w:val="clear" w:color="auto" w:fill="auto"/>
            <w:noWrap/>
            <w:vAlign w:val="center"/>
            <w:hideMark/>
          </w:tcPr>
          <w:p w14:paraId="63BFB3B5"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101" w:type="dxa"/>
            <w:tcBorders>
              <w:top w:val="nil"/>
              <w:left w:val="nil"/>
              <w:bottom w:val="nil"/>
              <w:right w:val="nil"/>
            </w:tcBorders>
            <w:shd w:val="clear" w:color="auto" w:fill="auto"/>
            <w:noWrap/>
            <w:vAlign w:val="center"/>
            <w:hideMark/>
          </w:tcPr>
          <w:p w14:paraId="4C5E0F47"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(504.0)</w:t>
            </w:r>
          </w:p>
        </w:tc>
      </w:tr>
      <w:tr w:rsidR="0016178C" w:rsidRPr="0016178C" w14:paraId="47327951" w14:textId="77777777" w:rsidTr="0016178C">
        <w:trPr>
          <w:trHeight w:val="300"/>
        </w:trPr>
        <w:tc>
          <w:tcPr>
            <w:tcW w:w="5500" w:type="dxa"/>
            <w:tcBorders>
              <w:top w:val="nil"/>
              <w:left w:val="nil"/>
              <w:bottom w:val="nil"/>
              <w:right w:val="nil"/>
            </w:tcBorders>
            <w:shd w:val="clear" w:color="auto" w:fill="auto"/>
            <w:noWrap/>
            <w:vAlign w:val="center"/>
            <w:hideMark/>
          </w:tcPr>
          <w:p w14:paraId="09644ECB" w14:textId="77777777" w:rsidR="0016178C" w:rsidRPr="0016178C" w:rsidRDefault="0016178C" w:rsidP="0016178C">
            <w:pPr>
              <w:rPr>
                <w:rFonts w:ascii="Calibri" w:hAnsi="Calibri" w:cs="Calibri"/>
                <w:i/>
                <w:iCs/>
                <w:color w:val="000000"/>
                <w:sz w:val="18"/>
                <w:szCs w:val="18"/>
                <w:lang w:eastAsia="en-IE"/>
              </w:rPr>
            </w:pPr>
            <w:r w:rsidRPr="0016178C">
              <w:rPr>
                <w:rFonts w:ascii="Calibri" w:hAnsi="Calibri" w:cs="Calibri"/>
                <w:i/>
                <w:iCs/>
                <w:color w:val="000000"/>
                <w:sz w:val="18"/>
                <w:szCs w:val="18"/>
                <w:lang w:eastAsia="en-IE"/>
              </w:rPr>
              <w:t>Other comprehensive income</w:t>
            </w:r>
          </w:p>
        </w:tc>
        <w:tc>
          <w:tcPr>
            <w:tcW w:w="981" w:type="dxa"/>
            <w:tcBorders>
              <w:top w:val="nil"/>
              <w:left w:val="single" w:sz="8" w:space="0" w:color="auto"/>
              <w:bottom w:val="nil"/>
              <w:right w:val="single" w:sz="8" w:space="0" w:color="auto"/>
            </w:tcBorders>
            <w:shd w:val="clear" w:color="auto" w:fill="auto"/>
            <w:noWrap/>
            <w:vAlign w:val="center"/>
            <w:hideMark/>
          </w:tcPr>
          <w:p w14:paraId="682F664F"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w:t>
            </w:r>
          </w:p>
        </w:tc>
        <w:tc>
          <w:tcPr>
            <w:tcW w:w="736" w:type="dxa"/>
            <w:tcBorders>
              <w:top w:val="nil"/>
              <w:left w:val="nil"/>
              <w:bottom w:val="nil"/>
              <w:right w:val="nil"/>
            </w:tcBorders>
            <w:shd w:val="clear" w:color="auto" w:fill="auto"/>
            <w:noWrap/>
            <w:vAlign w:val="center"/>
            <w:hideMark/>
          </w:tcPr>
          <w:p w14:paraId="7D74D71C" w14:textId="77777777" w:rsidR="0016178C" w:rsidRPr="0016178C" w:rsidRDefault="0016178C" w:rsidP="0016178C">
            <w:pPr>
              <w:jc w:val="right"/>
              <w:rPr>
                <w:rFonts w:ascii="Calibri" w:hAnsi="Calibri" w:cs="Calibri"/>
                <w:color w:val="000000"/>
                <w:sz w:val="18"/>
                <w:szCs w:val="18"/>
                <w:lang w:eastAsia="en-IE"/>
              </w:rPr>
            </w:pPr>
          </w:p>
        </w:tc>
        <w:tc>
          <w:tcPr>
            <w:tcW w:w="1005" w:type="dxa"/>
            <w:tcBorders>
              <w:top w:val="nil"/>
              <w:left w:val="nil"/>
              <w:bottom w:val="nil"/>
              <w:right w:val="nil"/>
            </w:tcBorders>
            <w:shd w:val="clear" w:color="auto" w:fill="auto"/>
            <w:noWrap/>
            <w:vAlign w:val="center"/>
            <w:hideMark/>
          </w:tcPr>
          <w:p w14:paraId="066D5B64" w14:textId="77777777" w:rsidR="0016178C" w:rsidRPr="0016178C" w:rsidRDefault="0016178C" w:rsidP="0016178C">
            <w:pPr>
              <w:jc w:val="right"/>
              <w:rPr>
                <w:sz w:val="20"/>
                <w:szCs w:val="20"/>
                <w:lang w:eastAsia="en-IE"/>
              </w:rPr>
            </w:pPr>
          </w:p>
        </w:tc>
        <w:tc>
          <w:tcPr>
            <w:tcW w:w="992" w:type="dxa"/>
            <w:tcBorders>
              <w:top w:val="nil"/>
              <w:left w:val="nil"/>
              <w:bottom w:val="nil"/>
              <w:right w:val="nil"/>
            </w:tcBorders>
            <w:shd w:val="clear" w:color="auto" w:fill="auto"/>
            <w:noWrap/>
            <w:vAlign w:val="center"/>
            <w:hideMark/>
          </w:tcPr>
          <w:p w14:paraId="2C57B584" w14:textId="77777777" w:rsidR="0016178C" w:rsidRPr="0016178C" w:rsidRDefault="0016178C" w:rsidP="0016178C">
            <w:pPr>
              <w:jc w:val="right"/>
              <w:rPr>
                <w:sz w:val="20"/>
                <w:szCs w:val="20"/>
                <w:lang w:eastAsia="en-IE"/>
              </w:rPr>
            </w:pPr>
          </w:p>
        </w:tc>
        <w:tc>
          <w:tcPr>
            <w:tcW w:w="1007" w:type="dxa"/>
            <w:tcBorders>
              <w:top w:val="nil"/>
              <w:left w:val="nil"/>
              <w:bottom w:val="nil"/>
              <w:right w:val="nil"/>
            </w:tcBorders>
            <w:shd w:val="clear" w:color="auto" w:fill="auto"/>
            <w:noWrap/>
            <w:vAlign w:val="center"/>
            <w:hideMark/>
          </w:tcPr>
          <w:p w14:paraId="3BDB468B" w14:textId="77777777" w:rsidR="0016178C" w:rsidRPr="0016178C" w:rsidRDefault="0016178C" w:rsidP="0016178C">
            <w:pPr>
              <w:jc w:val="right"/>
              <w:rPr>
                <w:sz w:val="20"/>
                <w:szCs w:val="20"/>
                <w:lang w:eastAsia="en-IE"/>
              </w:rPr>
            </w:pPr>
          </w:p>
        </w:tc>
        <w:tc>
          <w:tcPr>
            <w:tcW w:w="978" w:type="dxa"/>
            <w:tcBorders>
              <w:top w:val="nil"/>
              <w:left w:val="single" w:sz="8" w:space="0" w:color="auto"/>
              <w:bottom w:val="nil"/>
              <w:right w:val="nil"/>
            </w:tcBorders>
            <w:shd w:val="clear" w:color="auto" w:fill="auto"/>
            <w:noWrap/>
            <w:vAlign w:val="center"/>
            <w:hideMark/>
          </w:tcPr>
          <w:p w14:paraId="662E282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w:t>
            </w:r>
          </w:p>
        </w:tc>
        <w:tc>
          <w:tcPr>
            <w:tcW w:w="883" w:type="dxa"/>
            <w:tcBorders>
              <w:top w:val="nil"/>
              <w:left w:val="nil"/>
              <w:bottom w:val="nil"/>
              <w:right w:val="single" w:sz="8" w:space="0" w:color="auto"/>
            </w:tcBorders>
            <w:shd w:val="clear" w:color="auto" w:fill="auto"/>
            <w:noWrap/>
            <w:vAlign w:val="center"/>
            <w:hideMark/>
          </w:tcPr>
          <w:p w14:paraId="13C80C7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w:t>
            </w:r>
          </w:p>
        </w:tc>
        <w:tc>
          <w:tcPr>
            <w:tcW w:w="1101" w:type="dxa"/>
            <w:tcBorders>
              <w:top w:val="nil"/>
              <w:left w:val="nil"/>
              <w:bottom w:val="nil"/>
              <w:right w:val="nil"/>
            </w:tcBorders>
            <w:shd w:val="clear" w:color="auto" w:fill="auto"/>
            <w:noWrap/>
            <w:vAlign w:val="center"/>
            <w:hideMark/>
          </w:tcPr>
          <w:p w14:paraId="7C93A51E" w14:textId="77777777" w:rsidR="0016178C" w:rsidRPr="0016178C" w:rsidRDefault="0016178C" w:rsidP="0016178C">
            <w:pPr>
              <w:jc w:val="right"/>
              <w:rPr>
                <w:rFonts w:ascii="Calibri" w:hAnsi="Calibri" w:cs="Calibri"/>
                <w:color w:val="000000"/>
                <w:sz w:val="18"/>
                <w:szCs w:val="18"/>
                <w:lang w:eastAsia="en-IE"/>
              </w:rPr>
            </w:pPr>
          </w:p>
        </w:tc>
      </w:tr>
      <w:tr w:rsidR="0016178C" w:rsidRPr="0016178C" w14:paraId="49AEAA0E" w14:textId="77777777" w:rsidTr="0016178C">
        <w:trPr>
          <w:trHeight w:val="300"/>
        </w:trPr>
        <w:tc>
          <w:tcPr>
            <w:tcW w:w="5500" w:type="dxa"/>
            <w:tcBorders>
              <w:top w:val="nil"/>
              <w:left w:val="nil"/>
              <w:bottom w:val="nil"/>
              <w:right w:val="nil"/>
            </w:tcBorders>
            <w:shd w:val="clear" w:color="auto" w:fill="auto"/>
            <w:noWrap/>
            <w:vAlign w:val="center"/>
            <w:hideMark/>
          </w:tcPr>
          <w:p w14:paraId="7664F75B"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Net movements in cash flow reserve</w:t>
            </w:r>
          </w:p>
        </w:tc>
        <w:tc>
          <w:tcPr>
            <w:tcW w:w="981" w:type="dxa"/>
            <w:tcBorders>
              <w:top w:val="nil"/>
              <w:left w:val="single" w:sz="8" w:space="0" w:color="auto"/>
              <w:bottom w:val="nil"/>
              <w:right w:val="single" w:sz="8" w:space="0" w:color="auto"/>
            </w:tcBorders>
            <w:shd w:val="clear" w:color="auto" w:fill="auto"/>
            <w:noWrap/>
            <w:vAlign w:val="center"/>
            <w:hideMark/>
          </w:tcPr>
          <w:p w14:paraId="1A726395"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736" w:type="dxa"/>
            <w:tcBorders>
              <w:top w:val="nil"/>
              <w:left w:val="nil"/>
              <w:bottom w:val="nil"/>
              <w:right w:val="nil"/>
            </w:tcBorders>
            <w:shd w:val="clear" w:color="auto" w:fill="auto"/>
            <w:noWrap/>
            <w:vAlign w:val="center"/>
            <w:hideMark/>
          </w:tcPr>
          <w:p w14:paraId="316318F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005" w:type="dxa"/>
            <w:tcBorders>
              <w:top w:val="nil"/>
              <w:left w:val="nil"/>
              <w:bottom w:val="nil"/>
              <w:right w:val="nil"/>
            </w:tcBorders>
            <w:shd w:val="clear" w:color="auto" w:fill="auto"/>
            <w:noWrap/>
            <w:vAlign w:val="center"/>
            <w:hideMark/>
          </w:tcPr>
          <w:p w14:paraId="41C22475"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992" w:type="dxa"/>
            <w:tcBorders>
              <w:top w:val="nil"/>
              <w:left w:val="nil"/>
              <w:bottom w:val="nil"/>
              <w:right w:val="nil"/>
            </w:tcBorders>
            <w:shd w:val="clear" w:color="auto" w:fill="auto"/>
            <w:noWrap/>
            <w:vAlign w:val="center"/>
            <w:hideMark/>
          </w:tcPr>
          <w:p w14:paraId="4FFD7D16"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007" w:type="dxa"/>
            <w:tcBorders>
              <w:top w:val="nil"/>
              <w:left w:val="nil"/>
              <w:bottom w:val="nil"/>
              <w:right w:val="nil"/>
            </w:tcBorders>
            <w:shd w:val="clear" w:color="auto" w:fill="auto"/>
            <w:noWrap/>
            <w:vAlign w:val="center"/>
            <w:hideMark/>
          </w:tcPr>
          <w:p w14:paraId="4AB4940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978" w:type="dxa"/>
            <w:tcBorders>
              <w:top w:val="nil"/>
              <w:left w:val="single" w:sz="8" w:space="0" w:color="auto"/>
              <w:bottom w:val="nil"/>
              <w:right w:val="nil"/>
            </w:tcBorders>
            <w:shd w:val="clear" w:color="auto" w:fill="auto"/>
            <w:noWrap/>
            <w:vAlign w:val="center"/>
            <w:hideMark/>
          </w:tcPr>
          <w:p w14:paraId="0C9EAA21"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(602.4)</w:t>
            </w:r>
          </w:p>
        </w:tc>
        <w:tc>
          <w:tcPr>
            <w:tcW w:w="883" w:type="dxa"/>
            <w:tcBorders>
              <w:top w:val="nil"/>
              <w:left w:val="nil"/>
              <w:bottom w:val="nil"/>
              <w:right w:val="single" w:sz="8" w:space="0" w:color="auto"/>
            </w:tcBorders>
            <w:shd w:val="clear" w:color="auto" w:fill="auto"/>
            <w:noWrap/>
            <w:vAlign w:val="center"/>
            <w:hideMark/>
          </w:tcPr>
          <w:p w14:paraId="3DF17D91"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101" w:type="dxa"/>
            <w:tcBorders>
              <w:top w:val="nil"/>
              <w:left w:val="nil"/>
              <w:bottom w:val="nil"/>
              <w:right w:val="nil"/>
            </w:tcBorders>
            <w:shd w:val="clear" w:color="auto" w:fill="auto"/>
            <w:noWrap/>
            <w:vAlign w:val="center"/>
            <w:hideMark/>
          </w:tcPr>
          <w:p w14:paraId="746B0BC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(602.4)</w:t>
            </w:r>
          </w:p>
        </w:tc>
      </w:tr>
      <w:tr w:rsidR="0016178C" w:rsidRPr="0016178C" w14:paraId="5E23DDB5" w14:textId="77777777" w:rsidTr="0016178C">
        <w:trPr>
          <w:trHeight w:val="300"/>
        </w:trPr>
        <w:tc>
          <w:tcPr>
            <w:tcW w:w="5500" w:type="dxa"/>
            <w:tcBorders>
              <w:top w:val="nil"/>
              <w:left w:val="nil"/>
              <w:bottom w:val="nil"/>
              <w:right w:val="nil"/>
            </w:tcBorders>
            <w:shd w:val="clear" w:color="auto" w:fill="auto"/>
            <w:noWrap/>
            <w:vAlign w:val="center"/>
            <w:hideMark/>
          </w:tcPr>
          <w:p w14:paraId="4CBEA4BD"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Total other comprehensive income</w:t>
            </w:r>
          </w:p>
        </w:tc>
        <w:tc>
          <w:tcPr>
            <w:tcW w:w="981" w:type="dxa"/>
            <w:tcBorders>
              <w:top w:val="single" w:sz="4" w:space="0" w:color="auto"/>
              <w:left w:val="single" w:sz="8" w:space="0" w:color="auto"/>
              <w:bottom w:val="nil"/>
              <w:right w:val="single" w:sz="8" w:space="0" w:color="auto"/>
            </w:tcBorders>
            <w:shd w:val="clear" w:color="auto" w:fill="auto"/>
            <w:noWrap/>
            <w:vAlign w:val="center"/>
            <w:hideMark/>
          </w:tcPr>
          <w:p w14:paraId="48C2D5B4"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736" w:type="dxa"/>
            <w:tcBorders>
              <w:top w:val="single" w:sz="4" w:space="0" w:color="auto"/>
              <w:left w:val="nil"/>
              <w:bottom w:val="nil"/>
              <w:right w:val="nil"/>
            </w:tcBorders>
            <w:shd w:val="clear" w:color="auto" w:fill="auto"/>
            <w:noWrap/>
            <w:vAlign w:val="center"/>
            <w:hideMark/>
          </w:tcPr>
          <w:p w14:paraId="758D3B9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005" w:type="dxa"/>
            <w:tcBorders>
              <w:top w:val="single" w:sz="4" w:space="0" w:color="auto"/>
              <w:left w:val="nil"/>
              <w:bottom w:val="nil"/>
              <w:right w:val="nil"/>
            </w:tcBorders>
            <w:shd w:val="clear" w:color="auto" w:fill="auto"/>
            <w:noWrap/>
            <w:vAlign w:val="center"/>
            <w:hideMark/>
          </w:tcPr>
          <w:p w14:paraId="4633406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992" w:type="dxa"/>
            <w:tcBorders>
              <w:top w:val="single" w:sz="4" w:space="0" w:color="auto"/>
              <w:left w:val="nil"/>
              <w:bottom w:val="nil"/>
              <w:right w:val="nil"/>
            </w:tcBorders>
            <w:shd w:val="clear" w:color="auto" w:fill="auto"/>
            <w:noWrap/>
            <w:vAlign w:val="center"/>
            <w:hideMark/>
          </w:tcPr>
          <w:p w14:paraId="373BA77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007" w:type="dxa"/>
            <w:tcBorders>
              <w:top w:val="single" w:sz="4" w:space="0" w:color="auto"/>
              <w:left w:val="nil"/>
              <w:bottom w:val="nil"/>
              <w:right w:val="nil"/>
            </w:tcBorders>
            <w:shd w:val="clear" w:color="auto" w:fill="auto"/>
            <w:noWrap/>
            <w:vAlign w:val="center"/>
            <w:hideMark/>
          </w:tcPr>
          <w:p w14:paraId="06950CA1"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978" w:type="dxa"/>
            <w:tcBorders>
              <w:top w:val="single" w:sz="4" w:space="0" w:color="auto"/>
              <w:left w:val="single" w:sz="8" w:space="0" w:color="auto"/>
              <w:bottom w:val="nil"/>
              <w:right w:val="nil"/>
            </w:tcBorders>
            <w:shd w:val="clear" w:color="auto" w:fill="auto"/>
            <w:noWrap/>
            <w:vAlign w:val="center"/>
            <w:hideMark/>
          </w:tcPr>
          <w:p w14:paraId="1F122208"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(602.4)</w:t>
            </w:r>
          </w:p>
        </w:tc>
        <w:tc>
          <w:tcPr>
            <w:tcW w:w="883" w:type="dxa"/>
            <w:tcBorders>
              <w:top w:val="single" w:sz="4" w:space="0" w:color="auto"/>
              <w:left w:val="nil"/>
              <w:bottom w:val="nil"/>
              <w:right w:val="single" w:sz="8" w:space="0" w:color="auto"/>
            </w:tcBorders>
            <w:shd w:val="clear" w:color="auto" w:fill="auto"/>
            <w:noWrap/>
            <w:vAlign w:val="center"/>
            <w:hideMark/>
          </w:tcPr>
          <w:p w14:paraId="15B04076"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101" w:type="dxa"/>
            <w:tcBorders>
              <w:top w:val="single" w:sz="4" w:space="0" w:color="auto"/>
              <w:left w:val="nil"/>
              <w:bottom w:val="nil"/>
              <w:right w:val="nil"/>
            </w:tcBorders>
            <w:shd w:val="clear" w:color="auto" w:fill="auto"/>
            <w:noWrap/>
            <w:vAlign w:val="center"/>
            <w:hideMark/>
          </w:tcPr>
          <w:p w14:paraId="25A5A125"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(602.4)</w:t>
            </w:r>
          </w:p>
        </w:tc>
      </w:tr>
      <w:tr w:rsidR="0016178C" w:rsidRPr="0016178C" w14:paraId="04AEFCD0" w14:textId="77777777" w:rsidTr="0016178C">
        <w:trPr>
          <w:trHeight w:val="315"/>
        </w:trPr>
        <w:tc>
          <w:tcPr>
            <w:tcW w:w="5500" w:type="dxa"/>
            <w:tcBorders>
              <w:top w:val="nil"/>
              <w:left w:val="nil"/>
              <w:bottom w:val="nil"/>
              <w:right w:val="nil"/>
            </w:tcBorders>
            <w:shd w:val="clear" w:color="auto" w:fill="auto"/>
            <w:noWrap/>
            <w:vAlign w:val="center"/>
            <w:hideMark/>
          </w:tcPr>
          <w:p w14:paraId="20FD5DB8"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Total comprehensive income</w:t>
            </w:r>
          </w:p>
        </w:tc>
        <w:tc>
          <w:tcPr>
            <w:tcW w:w="98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3012413"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736" w:type="dxa"/>
            <w:tcBorders>
              <w:top w:val="single" w:sz="4" w:space="0" w:color="auto"/>
              <w:left w:val="nil"/>
              <w:bottom w:val="single" w:sz="8" w:space="0" w:color="auto"/>
              <w:right w:val="nil"/>
            </w:tcBorders>
            <w:shd w:val="clear" w:color="auto" w:fill="auto"/>
            <w:noWrap/>
            <w:vAlign w:val="center"/>
            <w:hideMark/>
          </w:tcPr>
          <w:p w14:paraId="4DD1CAA3"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005" w:type="dxa"/>
            <w:tcBorders>
              <w:top w:val="single" w:sz="4" w:space="0" w:color="auto"/>
              <w:left w:val="nil"/>
              <w:bottom w:val="single" w:sz="8" w:space="0" w:color="auto"/>
              <w:right w:val="nil"/>
            </w:tcBorders>
            <w:shd w:val="clear" w:color="auto" w:fill="auto"/>
            <w:noWrap/>
            <w:vAlign w:val="center"/>
            <w:hideMark/>
          </w:tcPr>
          <w:p w14:paraId="0457B1F9"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992" w:type="dxa"/>
            <w:tcBorders>
              <w:top w:val="single" w:sz="4" w:space="0" w:color="auto"/>
              <w:left w:val="nil"/>
              <w:bottom w:val="single" w:sz="8" w:space="0" w:color="auto"/>
              <w:right w:val="nil"/>
            </w:tcBorders>
            <w:shd w:val="clear" w:color="auto" w:fill="auto"/>
            <w:noWrap/>
            <w:vAlign w:val="center"/>
            <w:hideMark/>
          </w:tcPr>
          <w:p w14:paraId="3353605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(504.0)</w:t>
            </w:r>
          </w:p>
        </w:tc>
        <w:tc>
          <w:tcPr>
            <w:tcW w:w="1007" w:type="dxa"/>
            <w:tcBorders>
              <w:top w:val="single" w:sz="4" w:space="0" w:color="auto"/>
              <w:left w:val="nil"/>
              <w:bottom w:val="single" w:sz="8" w:space="0" w:color="auto"/>
              <w:right w:val="nil"/>
            </w:tcBorders>
            <w:shd w:val="clear" w:color="auto" w:fill="auto"/>
            <w:noWrap/>
            <w:vAlign w:val="center"/>
            <w:hideMark/>
          </w:tcPr>
          <w:p w14:paraId="20A4D7D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978" w:type="dxa"/>
            <w:tcBorders>
              <w:top w:val="single" w:sz="4" w:space="0" w:color="auto"/>
              <w:left w:val="single" w:sz="8" w:space="0" w:color="auto"/>
              <w:bottom w:val="single" w:sz="8" w:space="0" w:color="auto"/>
              <w:right w:val="nil"/>
            </w:tcBorders>
            <w:shd w:val="clear" w:color="auto" w:fill="auto"/>
            <w:noWrap/>
            <w:vAlign w:val="center"/>
            <w:hideMark/>
          </w:tcPr>
          <w:p w14:paraId="6EF9C10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(602.4)</w:t>
            </w:r>
          </w:p>
        </w:tc>
        <w:tc>
          <w:tcPr>
            <w:tcW w:w="883" w:type="dxa"/>
            <w:tcBorders>
              <w:top w:val="single" w:sz="4" w:space="0" w:color="auto"/>
              <w:left w:val="nil"/>
              <w:bottom w:val="single" w:sz="8" w:space="0" w:color="auto"/>
              <w:right w:val="single" w:sz="8" w:space="0" w:color="auto"/>
            </w:tcBorders>
            <w:shd w:val="clear" w:color="auto" w:fill="auto"/>
            <w:noWrap/>
            <w:vAlign w:val="center"/>
            <w:hideMark/>
          </w:tcPr>
          <w:p w14:paraId="7E6E1209"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101" w:type="dxa"/>
            <w:tcBorders>
              <w:top w:val="single" w:sz="4" w:space="0" w:color="auto"/>
              <w:left w:val="nil"/>
              <w:bottom w:val="single" w:sz="8" w:space="0" w:color="auto"/>
              <w:right w:val="nil"/>
            </w:tcBorders>
            <w:shd w:val="clear" w:color="auto" w:fill="auto"/>
            <w:noWrap/>
            <w:vAlign w:val="center"/>
            <w:hideMark/>
          </w:tcPr>
          <w:p w14:paraId="5FB6D8F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(1,106.4)</w:t>
            </w:r>
          </w:p>
        </w:tc>
      </w:tr>
      <w:tr w:rsidR="0016178C" w:rsidRPr="0016178C" w14:paraId="37BDFF6E" w14:textId="77777777" w:rsidTr="0016178C">
        <w:trPr>
          <w:trHeight w:val="315"/>
        </w:trPr>
        <w:tc>
          <w:tcPr>
            <w:tcW w:w="5500" w:type="dxa"/>
            <w:tcBorders>
              <w:top w:val="nil"/>
              <w:left w:val="nil"/>
              <w:bottom w:val="nil"/>
              <w:right w:val="nil"/>
            </w:tcBorders>
            <w:shd w:val="clear" w:color="auto" w:fill="auto"/>
            <w:noWrap/>
            <w:vAlign w:val="center"/>
            <w:hideMark/>
          </w:tcPr>
          <w:p w14:paraId="4825730E" w14:textId="77777777" w:rsidR="0016178C" w:rsidRPr="0016178C" w:rsidRDefault="0016178C" w:rsidP="0016178C">
            <w:pPr>
              <w:rPr>
                <w:rFonts w:ascii="Calibri" w:hAnsi="Calibri" w:cs="Calibri"/>
                <w:i/>
                <w:iCs/>
                <w:color w:val="000000"/>
                <w:sz w:val="18"/>
                <w:szCs w:val="18"/>
                <w:lang w:eastAsia="en-IE"/>
              </w:rPr>
            </w:pPr>
            <w:r w:rsidRPr="0016178C">
              <w:rPr>
                <w:rFonts w:ascii="Calibri" w:hAnsi="Calibri" w:cs="Calibri"/>
                <w:i/>
                <w:iCs/>
                <w:color w:val="000000"/>
                <w:sz w:val="18"/>
                <w:szCs w:val="18"/>
                <w:lang w:eastAsia="en-IE"/>
              </w:rPr>
              <w:t>Transactions with owners of the Company recognised directly in equity</w:t>
            </w:r>
          </w:p>
        </w:tc>
        <w:tc>
          <w:tcPr>
            <w:tcW w:w="981" w:type="dxa"/>
            <w:tcBorders>
              <w:top w:val="nil"/>
              <w:left w:val="single" w:sz="8" w:space="0" w:color="auto"/>
              <w:bottom w:val="nil"/>
              <w:right w:val="single" w:sz="8" w:space="0" w:color="auto"/>
            </w:tcBorders>
            <w:shd w:val="clear" w:color="auto" w:fill="auto"/>
            <w:noWrap/>
            <w:vAlign w:val="center"/>
            <w:hideMark/>
          </w:tcPr>
          <w:p w14:paraId="5FBBC277"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w:t>
            </w:r>
          </w:p>
        </w:tc>
        <w:tc>
          <w:tcPr>
            <w:tcW w:w="736" w:type="dxa"/>
            <w:tcBorders>
              <w:top w:val="nil"/>
              <w:left w:val="nil"/>
              <w:bottom w:val="nil"/>
              <w:right w:val="nil"/>
            </w:tcBorders>
            <w:shd w:val="clear" w:color="auto" w:fill="auto"/>
            <w:noWrap/>
            <w:vAlign w:val="center"/>
            <w:hideMark/>
          </w:tcPr>
          <w:p w14:paraId="41203C07" w14:textId="77777777" w:rsidR="0016178C" w:rsidRPr="0016178C" w:rsidRDefault="0016178C" w:rsidP="0016178C">
            <w:pPr>
              <w:jc w:val="right"/>
              <w:rPr>
                <w:rFonts w:ascii="Calibri" w:hAnsi="Calibri" w:cs="Calibri"/>
                <w:color w:val="000000"/>
                <w:sz w:val="18"/>
                <w:szCs w:val="18"/>
                <w:lang w:eastAsia="en-IE"/>
              </w:rPr>
            </w:pPr>
          </w:p>
        </w:tc>
        <w:tc>
          <w:tcPr>
            <w:tcW w:w="1005" w:type="dxa"/>
            <w:tcBorders>
              <w:top w:val="nil"/>
              <w:left w:val="nil"/>
              <w:bottom w:val="nil"/>
              <w:right w:val="nil"/>
            </w:tcBorders>
            <w:shd w:val="clear" w:color="auto" w:fill="auto"/>
            <w:noWrap/>
            <w:vAlign w:val="center"/>
            <w:hideMark/>
          </w:tcPr>
          <w:p w14:paraId="0CABA87F" w14:textId="77777777" w:rsidR="0016178C" w:rsidRPr="0016178C" w:rsidRDefault="0016178C" w:rsidP="0016178C">
            <w:pPr>
              <w:jc w:val="right"/>
              <w:rPr>
                <w:sz w:val="20"/>
                <w:szCs w:val="20"/>
                <w:lang w:eastAsia="en-IE"/>
              </w:rPr>
            </w:pPr>
          </w:p>
        </w:tc>
        <w:tc>
          <w:tcPr>
            <w:tcW w:w="992" w:type="dxa"/>
            <w:tcBorders>
              <w:top w:val="nil"/>
              <w:left w:val="nil"/>
              <w:bottom w:val="nil"/>
              <w:right w:val="nil"/>
            </w:tcBorders>
            <w:shd w:val="clear" w:color="auto" w:fill="auto"/>
            <w:noWrap/>
            <w:vAlign w:val="center"/>
            <w:hideMark/>
          </w:tcPr>
          <w:p w14:paraId="306BBC58" w14:textId="77777777" w:rsidR="0016178C" w:rsidRPr="0016178C" w:rsidRDefault="0016178C" w:rsidP="0016178C">
            <w:pPr>
              <w:jc w:val="right"/>
              <w:rPr>
                <w:sz w:val="20"/>
                <w:szCs w:val="20"/>
                <w:lang w:eastAsia="en-IE"/>
              </w:rPr>
            </w:pPr>
          </w:p>
        </w:tc>
        <w:tc>
          <w:tcPr>
            <w:tcW w:w="1007" w:type="dxa"/>
            <w:tcBorders>
              <w:top w:val="nil"/>
              <w:left w:val="nil"/>
              <w:bottom w:val="nil"/>
              <w:right w:val="nil"/>
            </w:tcBorders>
            <w:shd w:val="clear" w:color="auto" w:fill="auto"/>
            <w:noWrap/>
            <w:vAlign w:val="center"/>
            <w:hideMark/>
          </w:tcPr>
          <w:p w14:paraId="30255C41" w14:textId="77777777" w:rsidR="0016178C" w:rsidRPr="0016178C" w:rsidRDefault="0016178C" w:rsidP="0016178C">
            <w:pPr>
              <w:jc w:val="right"/>
              <w:rPr>
                <w:sz w:val="20"/>
                <w:szCs w:val="20"/>
                <w:lang w:eastAsia="en-IE"/>
              </w:rPr>
            </w:pPr>
          </w:p>
        </w:tc>
        <w:tc>
          <w:tcPr>
            <w:tcW w:w="978" w:type="dxa"/>
            <w:tcBorders>
              <w:top w:val="nil"/>
              <w:left w:val="single" w:sz="8" w:space="0" w:color="auto"/>
              <w:bottom w:val="nil"/>
              <w:right w:val="nil"/>
            </w:tcBorders>
            <w:shd w:val="clear" w:color="auto" w:fill="auto"/>
            <w:noWrap/>
            <w:vAlign w:val="center"/>
            <w:hideMark/>
          </w:tcPr>
          <w:p w14:paraId="2450ECC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w:t>
            </w:r>
          </w:p>
        </w:tc>
        <w:tc>
          <w:tcPr>
            <w:tcW w:w="883" w:type="dxa"/>
            <w:tcBorders>
              <w:top w:val="nil"/>
              <w:left w:val="nil"/>
              <w:bottom w:val="nil"/>
              <w:right w:val="single" w:sz="8" w:space="0" w:color="auto"/>
            </w:tcBorders>
            <w:shd w:val="clear" w:color="auto" w:fill="auto"/>
            <w:noWrap/>
            <w:vAlign w:val="center"/>
            <w:hideMark/>
          </w:tcPr>
          <w:p w14:paraId="4F9751FF"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w:t>
            </w:r>
          </w:p>
        </w:tc>
        <w:tc>
          <w:tcPr>
            <w:tcW w:w="1101" w:type="dxa"/>
            <w:tcBorders>
              <w:top w:val="nil"/>
              <w:left w:val="nil"/>
              <w:bottom w:val="nil"/>
              <w:right w:val="nil"/>
            </w:tcBorders>
            <w:shd w:val="clear" w:color="auto" w:fill="auto"/>
            <w:noWrap/>
            <w:vAlign w:val="center"/>
            <w:hideMark/>
          </w:tcPr>
          <w:p w14:paraId="7B319214" w14:textId="77777777" w:rsidR="0016178C" w:rsidRPr="0016178C" w:rsidRDefault="0016178C" w:rsidP="0016178C">
            <w:pPr>
              <w:jc w:val="right"/>
              <w:rPr>
                <w:rFonts w:ascii="Calibri" w:hAnsi="Calibri" w:cs="Calibri"/>
                <w:color w:val="000000"/>
                <w:sz w:val="18"/>
                <w:szCs w:val="18"/>
                <w:lang w:eastAsia="en-IE"/>
              </w:rPr>
            </w:pPr>
          </w:p>
        </w:tc>
      </w:tr>
      <w:tr w:rsidR="0016178C" w:rsidRPr="0016178C" w14:paraId="1113B49A" w14:textId="77777777" w:rsidTr="0016178C">
        <w:trPr>
          <w:trHeight w:val="300"/>
        </w:trPr>
        <w:tc>
          <w:tcPr>
            <w:tcW w:w="5500" w:type="dxa"/>
            <w:tcBorders>
              <w:top w:val="nil"/>
              <w:left w:val="nil"/>
              <w:bottom w:val="nil"/>
              <w:right w:val="nil"/>
            </w:tcBorders>
            <w:shd w:val="clear" w:color="auto" w:fill="auto"/>
            <w:noWrap/>
            <w:vAlign w:val="center"/>
            <w:hideMark/>
          </w:tcPr>
          <w:p w14:paraId="0EFCE3AC"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Issue of ordinary equity shares</w:t>
            </w:r>
          </w:p>
        </w:tc>
        <w:tc>
          <w:tcPr>
            <w:tcW w:w="981" w:type="dxa"/>
            <w:tcBorders>
              <w:top w:val="single" w:sz="8" w:space="0" w:color="auto"/>
              <w:left w:val="single" w:sz="8" w:space="0" w:color="auto"/>
              <w:bottom w:val="nil"/>
              <w:right w:val="single" w:sz="8" w:space="0" w:color="auto"/>
            </w:tcBorders>
            <w:shd w:val="clear" w:color="auto" w:fill="auto"/>
            <w:noWrap/>
            <w:vAlign w:val="center"/>
            <w:hideMark/>
          </w:tcPr>
          <w:p w14:paraId="16B7069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2.4 </w:t>
            </w:r>
          </w:p>
        </w:tc>
        <w:tc>
          <w:tcPr>
            <w:tcW w:w="736" w:type="dxa"/>
            <w:tcBorders>
              <w:top w:val="single" w:sz="8" w:space="0" w:color="auto"/>
              <w:left w:val="nil"/>
              <w:bottom w:val="nil"/>
              <w:right w:val="nil"/>
            </w:tcBorders>
            <w:shd w:val="clear" w:color="auto" w:fill="auto"/>
            <w:noWrap/>
            <w:vAlign w:val="center"/>
            <w:hideMark/>
          </w:tcPr>
          <w:p w14:paraId="068599A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005" w:type="dxa"/>
            <w:tcBorders>
              <w:top w:val="single" w:sz="8" w:space="0" w:color="auto"/>
              <w:left w:val="nil"/>
              <w:bottom w:val="nil"/>
              <w:right w:val="nil"/>
            </w:tcBorders>
            <w:shd w:val="clear" w:color="auto" w:fill="auto"/>
            <w:noWrap/>
            <w:vAlign w:val="center"/>
            <w:hideMark/>
          </w:tcPr>
          <w:p w14:paraId="4E64E66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15.5 </w:t>
            </w:r>
          </w:p>
        </w:tc>
        <w:tc>
          <w:tcPr>
            <w:tcW w:w="992" w:type="dxa"/>
            <w:tcBorders>
              <w:top w:val="single" w:sz="8" w:space="0" w:color="auto"/>
              <w:left w:val="nil"/>
              <w:bottom w:val="nil"/>
              <w:right w:val="nil"/>
            </w:tcBorders>
            <w:shd w:val="clear" w:color="auto" w:fill="auto"/>
            <w:noWrap/>
            <w:vAlign w:val="center"/>
            <w:hideMark/>
          </w:tcPr>
          <w:p w14:paraId="0FE8AB0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007" w:type="dxa"/>
            <w:tcBorders>
              <w:top w:val="single" w:sz="8" w:space="0" w:color="auto"/>
              <w:left w:val="nil"/>
              <w:bottom w:val="nil"/>
              <w:right w:val="nil"/>
            </w:tcBorders>
            <w:shd w:val="clear" w:color="auto" w:fill="auto"/>
            <w:noWrap/>
            <w:vAlign w:val="center"/>
            <w:hideMark/>
          </w:tcPr>
          <w:p w14:paraId="6BF5232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978" w:type="dxa"/>
            <w:tcBorders>
              <w:top w:val="single" w:sz="8" w:space="0" w:color="auto"/>
              <w:left w:val="single" w:sz="8" w:space="0" w:color="auto"/>
              <w:bottom w:val="nil"/>
              <w:right w:val="nil"/>
            </w:tcBorders>
            <w:shd w:val="clear" w:color="auto" w:fill="auto"/>
            <w:noWrap/>
            <w:vAlign w:val="center"/>
            <w:hideMark/>
          </w:tcPr>
          <w:p w14:paraId="365338B6"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883" w:type="dxa"/>
            <w:tcBorders>
              <w:top w:val="single" w:sz="8" w:space="0" w:color="auto"/>
              <w:left w:val="nil"/>
              <w:bottom w:val="nil"/>
              <w:right w:val="single" w:sz="8" w:space="0" w:color="auto"/>
            </w:tcBorders>
            <w:shd w:val="clear" w:color="auto" w:fill="auto"/>
            <w:noWrap/>
            <w:vAlign w:val="center"/>
            <w:hideMark/>
          </w:tcPr>
          <w:p w14:paraId="31B35CF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101" w:type="dxa"/>
            <w:tcBorders>
              <w:top w:val="single" w:sz="8" w:space="0" w:color="auto"/>
              <w:left w:val="nil"/>
              <w:bottom w:val="nil"/>
              <w:right w:val="nil"/>
            </w:tcBorders>
            <w:shd w:val="clear" w:color="auto" w:fill="auto"/>
            <w:noWrap/>
            <w:vAlign w:val="center"/>
            <w:hideMark/>
          </w:tcPr>
          <w:p w14:paraId="4902F23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15.5 </w:t>
            </w:r>
          </w:p>
        </w:tc>
      </w:tr>
      <w:tr w:rsidR="0016178C" w:rsidRPr="0016178C" w14:paraId="7AB940D3" w14:textId="77777777" w:rsidTr="0016178C">
        <w:trPr>
          <w:trHeight w:val="300"/>
        </w:trPr>
        <w:tc>
          <w:tcPr>
            <w:tcW w:w="5500" w:type="dxa"/>
            <w:tcBorders>
              <w:top w:val="nil"/>
              <w:left w:val="nil"/>
              <w:bottom w:val="nil"/>
              <w:right w:val="nil"/>
            </w:tcBorders>
            <w:shd w:val="clear" w:color="auto" w:fill="auto"/>
            <w:noWrap/>
            <w:vAlign w:val="center"/>
            <w:hideMark/>
          </w:tcPr>
          <w:p w14:paraId="3C043264"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 xml:space="preserve">Share-based payments </w:t>
            </w:r>
          </w:p>
        </w:tc>
        <w:tc>
          <w:tcPr>
            <w:tcW w:w="981" w:type="dxa"/>
            <w:tcBorders>
              <w:top w:val="nil"/>
              <w:left w:val="single" w:sz="8" w:space="0" w:color="auto"/>
              <w:bottom w:val="nil"/>
              <w:right w:val="single" w:sz="8" w:space="0" w:color="auto"/>
            </w:tcBorders>
            <w:shd w:val="clear" w:color="auto" w:fill="auto"/>
            <w:noWrap/>
            <w:vAlign w:val="center"/>
            <w:hideMark/>
          </w:tcPr>
          <w:p w14:paraId="080DF3E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736" w:type="dxa"/>
            <w:tcBorders>
              <w:top w:val="nil"/>
              <w:left w:val="nil"/>
              <w:bottom w:val="nil"/>
              <w:right w:val="nil"/>
            </w:tcBorders>
            <w:shd w:val="clear" w:color="auto" w:fill="auto"/>
            <w:noWrap/>
            <w:vAlign w:val="center"/>
            <w:hideMark/>
          </w:tcPr>
          <w:p w14:paraId="1A51D881"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005" w:type="dxa"/>
            <w:tcBorders>
              <w:top w:val="nil"/>
              <w:left w:val="nil"/>
              <w:bottom w:val="nil"/>
              <w:right w:val="nil"/>
            </w:tcBorders>
            <w:shd w:val="clear" w:color="auto" w:fill="auto"/>
            <w:noWrap/>
            <w:vAlign w:val="center"/>
            <w:hideMark/>
          </w:tcPr>
          <w:p w14:paraId="50EB9791"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992" w:type="dxa"/>
            <w:tcBorders>
              <w:top w:val="nil"/>
              <w:left w:val="nil"/>
              <w:bottom w:val="nil"/>
              <w:right w:val="nil"/>
            </w:tcBorders>
            <w:shd w:val="clear" w:color="auto" w:fill="auto"/>
            <w:noWrap/>
            <w:vAlign w:val="center"/>
            <w:hideMark/>
          </w:tcPr>
          <w:p w14:paraId="7922732F"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007" w:type="dxa"/>
            <w:tcBorders>
              <w:top w:val="nil"/>
              <w:left w:val="nil"/>
              <w:bottom w:val="nil"/>
              <w:right w:val="nil"/>
            </w:tcBorders>
            <w:shd w:val="clear" w:color="auto" w:fill="auto"/>
            <w:noWrap/>
            <w:vAlign w:val="center"/>
            <w:hideMark/>
          </w:tcPr>
          <w:p w14:paraId="39A9C64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978" w:type="dxa"/>
            <w:tcBorders>
              <w:top w:val="nil"/>
              <w:left w:val="single" w:sz="8" w:space="0" w:color="auto"/>
              <w:bottom w:val="nil"/>
              <w:right w:val="nil"/>
            </w:tcBorders>
            <w:shd w:val="clear" w:color="auto" w:fill="auto"/>
            <w:noWrap/>
            <w:vAlign w:val="center"/>
            <w:hideMark/>
          </w:tcPr>
          <w:p w14:paraId="4128D43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883" w:type="dxa"/>
            <w:tcBorders>
              <w:top w:val="nil"/>
              <w:left w:val="nil"/>
              <w:bottom w:val="nil"/>
              <w:right w:val="single" w:sz="8" w:space="0" w:color="auto"/>
            </w:tcBorders>
            <w:shd w:val="clear" w:color="auto" w:fill="auto"/>
            <w:noWrap/>
            <w:vAlign w:val="center"/>
            <w:hideMark/>
          </w:tcPr>
          <w:p w14:paraId="5662C2F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3.0 </w:t>
            </w:r>
          </w:p>
        </w:tc>
        <w:tc>
          <w:tcPr>
            <w:tcW w:w="1101" w:type="dxa"/>
            <w:tcBorders>
              <w:top w:val="nil"/>
              <w:left w:val="nil"/>
              <w:bottom w:val="nil"/>
              <w:right w:val="nil"/>
            </w:tcBorders>
            <w:shd w:val="clear" w:color="auto" w:fill="auto"/>
            <w:noWrap/>
            <w:vAlign w:val="center"/>
            <w:hideMark/>
          </w:tcPr>
          <w:p w14:paraId="25DF187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3.0 </w:t>
            </w:r>
          </w:p>
        </w:tc>
      </w:tr>
      <w:tr w:rsidR="0016178C" w:rsidRPr="0016178C" w14:paraId="6D79B635" w14:textId="77777777" w:rsidTr="0016178C">
        <w:trPr>
          <w:trHeight w:val="300"/>
        </w:trPr>
        <w:tc>
          <w:tcPr>
            <w:tcW w:w="5500" w:type="dxa"/>
            <w:tcBorders>
              <w:top w:val="nil"/>
              <w:left w:val="nil"/>
              <w:bottom w:val="nil"/>
              <w:right w:val="nil"/>
            </w:tcBorders>
            <w:shd w:val="clear" w:color="auto" w:fill="auto"/>
            <w:noWrap/>
            <w:vAlign w:val="center"/>
            <w:hideMark/>
          </w:tcPr>
          <w:p w14:paraId="2FF8CB13"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Repurchase of ordinary equity shares</w:t>
            </w:r>
          </w:p>
        </w:tc>
        <w:tc>
          <w:tcPr>
            <w:tcW w:w="981" w:type="dxa"/>
            <w:tcBorders>
              <w:top w:val="nil"/>
              <w:left w:val="single" w:sz="8" w:space="0" w:color="auto"/>
              <w:bottom w:val="nil"/>
              <w:right w:val="single" w:sz="8" w:space="0" w:color="auto"/>
            </w:tcBorders>
            <w:shd w:val="clear" w:color="auto" w:fill="auto"/>
            <w:noWrap/>
            <w:vAlign w:val="center"/>
            <w:hideMark/>
          </w:tcPr>
          <w:p w14:paraId="76936B7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736" w:type="dxa"/>
            <w:tcBorders>
              <w:top w:val="nil"/>
              <w:left w:val="nil"/>
              <w:bottom w:val="nil"/>
              <w:right w:val="nil"/>
            </w:tcBorders>
            <w:shd w:val="clear" w:color="auto" w:fill="auto"/>
            <w:noWrap/>
            <w:vAlign w:val="center"/>
            <w:hideMark/>
          </w:tcPr>
          <w:p w14:paraId="108DE29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005" w:type="dxa"/>
            <w:tcBorders>
              <w:top w:val="nil"/>
              <w:left w:val="nil"/>
              <w:bottom w:val="nil"/>
              <w:right w:val="nil"/>
            </w:tcBorders>
            <w:shd w:val="clear" w:color="auto" w:fill="auto"/>
            <w:noWrap/>
            <w:vAlign w:val="center"/>
            <w:hideMark/>
          </w:tcPr>
          <w:p w14:paraId="2E396264"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992" w:type="dxa"/>
            <w:tcBorders>
              <w:top w:val="nil"/>
              <w:left w:val="nil"/>
              <w:bottom w:val="nil"/>
              <w:right w:val="nil"/>
            </w:tcBorders>
            <w:shd w:val="clear" w:color="auto" w:fill="auto"/>
            <w:noWrap/>
            <w:vAlign w:val="center"/>
            <w:hideMark/>
          </w:tcPr>
          <w:p w14:paraId="6A805305"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(354.5)</w:t>
            </w:r>
          </w:p>
        </w:tc>
        <w:tc>
          <w:tcPr>
            <w:tcW w:w="1007" w:type="dxa"/>
            <w:tcBorders>
              <w:top w:val="nil"/>
              <w:left w:val="nil"/>
              <w:bottom w:val="nil"/>
              <w:right w:val="nil"/>
            </w:tcBorders>
            <w:shd w:val="clear" w:color="auto" w:fill="auto"/>
            <w:noWrap/>
            <w:vAlign w:val="center"/>
            <w:hideMark/>
          </w:tcPr>
          <w:p w14:paraId="57FDC599"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978" w:type="dxa"/>
            <w:tcBorders>
              <w:top w:val="nil"/>
              <w:left w:val="single" w:sz="8" w:space="0" w:color="auto"/>
              <w:bottom w:val="nil"/>
              <w:right w:val="nil"/>
            </w:tcBorders>
            <w:shd w:val="clear" w:color="auto" w:fill="auto"/>
            <w:noWrap/>
            <w:vAlign w:val="center"/>
            <w:hideMark/>
          </w:tcPr>
          <w:p w14:paraId="3D92762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883" w:type="dxa"/>
            <w:tcBorders>
              <w:top w:val="nil"/>
              <w:left w:val="nil"/>
              <w:bottom w:val="nil"/>
              <w:right w:val="single" w:sz="8" w:space="0" w:color="auto"/>
            </w:tcBorders>
            <w:shd w:val="clear" w:color="auto" w:fill="auto"/>
            <w:noWrap/>
            <w:vAlign w:val="center"/>
            <w:hideMark/>
          </w:tcPr>
          <w:p w14:paraId="36CC2591"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101" w:type="dxa"/>
            <w:tcBorders>
              <w:top w:val="nil"/>
              <w:left w:val="nil"/>
              <w:bottom w:val="nil"/>
              <w:right w:val="nil"/>
            </w:tcBorders>
            <w:shd w:val="clear" w:color="auto" w:fill="auto"/>
            <w:noWrap/>
            <w:vAlign w:val="center"/>
            <w:hideMark/>
          </w:tcPr>
          <w:p w14:paraId="50C9EC43"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(354.5)</w:t>
            </w:r>
          </w:p>
        </w:tc>
      </w:tr>
      <w:tr w:rsidR="0016178C" w:rsidRPr="0016178C" w14:paraId="77E3BD65" w14:textId="77777777" w:rsidTr="0016178C">
        <w:trPr>
          <w:trHeight w:val="300"/>
        </w:trPr>
        <w:tc>
          <w:tcPr>
            <w:tcW w:w="5500" w:type="dxa"/>
            <w:tcBorders>
              <w:top w:val="nil"/>
              <w:left w:val="nil"/>
              <w:bottom w:val="nil"/>
              <w:right w:val="nil"/>
            </w:tcBorders>
            <w:shd w:val="clear" w:color="auto" w:fill="auto"/>
            <w:noWrap/>
            <w:vAlign w:val="center"/>
            <w:hideMark/>
          </w:tcPr>
          <w:p w14:paraId="714FF05C"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Cancellation of repurchased ordinary shares</w:t>
            </w:r>
          </w:p>
        </w:tc>
        <w:tc>
          <w:tcPr>
            <w:tcW w:w="981" w:type="dxa"/>
            <w:tcBorders>
              <w:top w:val="nil"/>
              <w:left w:val="single" w:sz="8" w:space="0" w:color="auto"/>
              <w:bottom w:val="nil"/>
              <w:right w:val="single" w:sz="8" w:space="0" w:color="auto"/>
            </w:tcBorders>
            <w:shd w:val="clear" w:color="auto" w:fill="auto"/>
            <w:noWrap/>
            <w:vAlign w:val="center"/>
            <w:hideMark/>
          </w:tcPr>
          <w:p w14:paraId="22C4E2D9"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(25.4)</w:t>
            </w:r>
          </w:p>
        </w:tc>
        <w:tc>
          <w:tcPr>
            <w:tcW w:w="736" w:type="dxa"/>
            <w:tcBorders>
              <w:top w:val="nil"/>
              <w:left w:val="nil"/>
              <w:bottom w:val="nil"/>
              <w:right w:val="nil"/>
            </w:tcBorders>
            <w:shd w:val="clear" w:color="auto" w:fill="auto"/>
            <w:noWrap/>
            <w:vAlign w:val="center"/>
            <w:hideMark/>
          </w:tcPr>
          <w:p w14:paraId="763F682F"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(0.2)</w:t>
            </w:r>
          </w:p>
        </w:tc>
        <w:tc>
          <w:tcPr>
            <w:tcW w:w="1005" w:type="dxa"/>
            <w:tcBorders>
              <w:top w:val="nil"/>
              <w:left w:val="nil"/>
              <w:bottom w:val="nil"/>
              <w:right w:val="nil"/>
            </w:tcBorders>
            <w:shd w:val="clear" w:color="auto" w:fill="auto"/>
            <w:noWrap/>
            <w:vAlign w:val="center"/>
            <w:hideMark/>
          </w:tcPr>
          <w:p w14:paraId="798CCC9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992" w:type="dxa"/>
            <w:tcBorders>
              <w:top w:val="nil"/>
              <w:left w:val="nil"/>
              <w:bottom w:val="nil"/>
              <w:right w:val="nil"/>
            </w:tcBorders>
            <w:shd w:val="clear" w:color="auto" w:fill="auto"/>
            <w:noWrap/>
            <w:vAlign w:val="center"/>
            <w:hideMark/>
          </w:tcPr>
          <w:p w14:paraId="2992482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007" w:type="dxa"/>
            <w:tcBorders>
              <w:top w:val="nil"/>
              <w:left w:val="nil"/>
              <w:bottom w:val="nil"/>
              <w:right w:val="nil"/>
            </w:tcBorders>
            <w:shd w:val="clear" w:color="auto" w:fill="auto"/>
            <w:noWrap/>
            <w:vAlign w:val="center"/>
            <w:hideMark/>
          </w:tcPr>
          <w:p w14:paraId="6BE5CA2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0.2 </w:t>
            </w:r>
          </w:p>
        </w:tc>
        <w:tc>
          <w:tcPr>
            <w:tcW w:w="978" w:type="dxa"/>
            <w:tcBorders>
              <w:top w:val="nil"/>
              <w:left w:val="single" w:sz="8" w:space="0" w:color="auto"/>
              <w:bottom w:val="nil"/>
              <w:right w:val="nil"/>
            </w:tcBorders>
            <w:shd w:val="clear" w:color="auto" w:fill="auto"/>
            <w:noWrap/>
            <w:vAlign w:val="center"/>
            <w:hideMark/>
          </w:tcPr>
          <w:p w14:paraId="6989A597"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883" w:type="dxa"/>
            <w:tcBorders>
              <w:top w:val="nil"/>
              <w:left w:val="nil"/>
              <w:bottom w:val="nil"/>
              <w:right w:val="single" w:sz="8" w:space="0" w:color="auto"/>
            </w:tcBorders>
            <w:shd w:val="clear" w:color="auto" w:fill="auto"/>
            <w:noWrap/>
            <w:vAlign w:val="center"/>
            <w:hideMark/>
          </w:tcPr>
          <w:p w14:paraId="60A28744"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101" w:type="dxa"/>
            <w:tcBorders>
              <w:top w:val="nil"/>
              <w:left w:val="nil"/>
              <w:bottom w:val="nil"/>
              <w:right w:val="nil"/>
            </w:tcBorders>
            <w:shd w:val="clear" w:color="auto" w:fill="auto"/>
            <w:noWrap/>
            <w:vAlign w:val="center"/>
            <w:hideMark/>
          </w:tcPr>
          <w:p w14:paraId="562C2DB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r>
      <w:tr w:rsidR="0016178C" w:rsidRPr="0016178C" w14:paraId="4B5E97EA" w14:textId="77777777" w:rsidTr="0016178C">
        <w:trPr>
          <w:trHeight w:val="300"/>
        </w:trPr>
        <w:tc>
          <w:tcPr>
            <w:tcW w:w="5500" w:type="dxa"/>
            <w:tcBorders>
              <w:top w:val="nil"/>
              <w:left w:val="nil"/>
              <w:bottom w:val="nil"/>
              <w:right w:val="nil"/>
            </w:tcBorders>
            <w:shd w:val="clear" w:color="auto" w:fill="auto"/>
            <w:noWrap/>
            <w:vAlign w:val="center"/>
            <w:hideMark/>
          </w:tcPr>
          <w:p w14:paraId="76E5B0B1"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color w:val="000000"/>
                <w:sz w:val="18"/>
                <w:szCs w:val="18"/>
                <w:lang w:eastAsia="en-IE"/>
              </w:rPr>
              <w:t>Transfer of exercised and expired share based awards</w:t>
            </w:r>
          </w:p>
        </w:tc>
        <w:tc>
          <w:tcPr>
            <w:tcW w:w="981" w:type="dxa"/>
            <w:tcBorders>
              <w:top w:val="nil"/>
              <w:left w:val="single" w:sz="8" w:space="0" w:color="auto"/>
              <w:bottom w:val="nil"/>
              <w:right w:val="single" w:sz="8" w:space="0" w:color="auto"/>
            </w:tcBorders>
            <w:shd w:val="clear" w:color="auto" w:fill="auto"/>
            <w:noWrap/>
            <w:vAlign w:val="center"/>
            <w:hideMark/>
          </w:tcPr>
          <w:p w14:paraId="64B870C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736" w:type="dxa"/>
            <w:tcBorders>
              <w:top w:val="nil"/>
              <w:left w:val="nil"/>
              <w:bottom w:val="nil"/>
              <w:right w:val="nil"/>
            </w:tcBorders>
            <w:shd w:val="clear" w:color="auto" w:fill="auto"/>
            <w:noWrap/>
            <w:vAlign w:val="center"/>
            <w:hideMark/>
          </w:tcPr>
          <w:p w14:paraId="12CC8E71"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1005" w:type="dxa"/>
            <w:tcBorders>
              <w:top w:val="nil"/>
              <w:left w:val="nil"/>
              <w:bottom w:val="nil"/>
              <w:right w:val="nil"/>
            </w:tcBorders>
            <w:shd w:val="clear" w:color="auto" w:fill="auto"/>
            <w:noWrap/>
            <w:vAlign w:val="center"/>
            <w:hideMark/>
          </w:tcPr>
          <w:p w14:paraId="4C814557"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992" w:type="dxa"/>
            <w:tcBorders>
              <w:top w:val="nil"/>
              <w:left w:val="nil"/>
              <w:bottom w:val="nil"/>
              <w:right w:val="nil"/>
            </w:tcBorders>
            <w:shd w:val="clear" w:color="auto" w:fill="auto"/>
            <w:noWrap/>
            <w:vAlign w:val="center"/>
            <w:hideMark/>
          </w:tcPr>
          <w:p w14:paraId="164DEE9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3.2 </w:t>
            </w:r>
          </w:p>
        </w:tc>
        <w:tc>
          <w:tcPr>
            <w:tcW w:w="1007" w:type="dxa"/>
            <w:tcBorders>
              <w:top w:val="nil"/>
              <w:left w:val="nil"/>
              <w:bottom w:val="nil"/>
              <w:right w:val="nil"/>
            </w:tcBorders>
            <w:shd w:val="clear" w:color="auto" w:fill="auto"/>
            <w:noWrap/>
            <w:vAlign w:val="center"/>
            <w:hideMark/>
          </w:tcPr>
          <w:p w14:paraId="46C7552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978" w:type="dxa"/>
            <w:tcBorders>
              <w:top w:val="nil"/>
              <w:left w:val="single" w:sz="8" w:space="0" w:color="auto"/>
              <w:bottom w:val="nil"/>
              <w:right w:val="nil"/>
            </w:tcBorders>
            <w:shd w:val="clear" w:color="auto" w:fill="auto"/>
            <w:noWrap/>
            <w:vAlign w:val="center"/>
            <w:hideMark/>
          </w:tcPr>
          <w:p w14:paraId="681B60E8"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c>
          <w:tcPr>
            <w:tcW w:w="883" w:type="dxa"/>
            <w:tcBorders>
              <w:top w:val="nil"/>
              <w:left w:val="nil"/>
              <w:bottom w:val="nil"/>
              <w:right w:val="single" w:sz="8" w:space="0" w:color="auto"/>
            </w:tcBorders>
            <w:shd w:val="clear" w:color="auto" w:fill="auto"/>
            <w:noWrap/>
            <w:vAlign w:val="center"/>
            <w:hideMark/>
          </w:tcPr>
          <w:p w14:paraId="7D61A20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(3.2)</w:t>
            </w:r>
          </w:p>
        </w:tc>
        <w:tc>
          <w:tcPr>
            <w:tcW w:w="1101" w:type="dxa"/>
            <w:tcBorders>
              <w:top w:val="nil"/>
              <w:left w:val="nil"/>
              <w:bottom w:val="nil"/>
              <w:right w:val="nil"/>
            </w:tcBorders>
            <w:shd w:val="clear" w:color="auto" w:fill="auto"/>
            <w:noWrap/>
            <w:vAlign w:val="center"/>
            <w:hideMark/>
          </w:tcPr>
          <w:p w14:paraId="25911EFD"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color w:val="000000"/>
                <w:sz w:val="18"/>
                <w:szCs w:val="18"/>
                <w:lang w:val="en-GB" w:eastAsia="en-IE"/>
              </w:rPr>
              <w:t xml:space="preserve"> - </w:t>
            </w:r>
          </w:p>
        </w:tc>
      </w:tr>
      <w:tr w:rsidR="0016178C" w:rsidRPr="0016178C" w14:paraId="3D27BB54" w14:textId="77777777" w:rsidTr="007A2AC9">
        <w:trPr>
          <w:trHeight w:val="300"/>
        </w:trPr>
        <w:tc>
          <w:tcPr>
            <w:tcW w:w="5500" w:type="dxa"/>
            <w:tcBorders>
              <w:top w:val="nil"/>
              <w:left w:val="nil"/>
              <w:bottom w:val="nil"/>
              <w:right w:val="nil"/>
            </w:tcBorders>
            <w:shd w:val="clear" w:color="auto" w:fill="FFFF00"/>
            <w:noWrap/>
            <w:vAlign w:val="center"/>
            <w:hideMark/>
          </w:tcPr>
          <w:p w14:paraId="06F6DB35" w14:textId="77777777" w:rsidR="0016178C" w:rsidRPr="0016178C" w:rsidRDefault="0016178C" w:rsidP="0016178C">
            <w:pPr>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Balance at March 31, 2020</w:t>
            </w:r>
          </w:p>
        </w:tc>
        <w:tc>
          <w:tcPr>
            <w:tcW w:w="981" w:type="dxa"/>
            <w:tcBorders>
              <w:top w:val="single" w:sz="4" w:space="0" w:color="auto"/>
              <w:left w:val="single" w:sz="8" w:space="0" w:color="auto"/>
              <w:bottom w:val="nil"/>
              <w:right w:val="single" w:sz="8" w:space="0" w:color="auto"/>
            </w:tcBorders>
            <w:shd w:val="clear" w:color="auto" w:fill="FFFF00"/>
            <w:noWrap/>
            <w:vAlign w:val="center"/>
            <w:hideMark/>
          </w:tcPr>
          <w:p w14:paraId="474422A5"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1,089.2 </w:t>
            </w:r>
          </w:p>
        </w:tc>
        <w:tc>
          <w:tcPr>
            <w:tcW w:w="736" w:type="dxa"/>
            <w:tcBorders>
              <w:top w:val="single" w:sz="4" w:space="0" w:color="auto"/>
              <w:left w:val="nil"/>
              <w:bottom w:val="nil"/>
              <w:right w:val="nil"/>
            </w:tcBorders>
            <w:shd w:val="clear" w:color="auto" w:fill="FFFF00"/>
            <w:noWrap/>
            <w:vAlign w:val="center"/>
            <w:hideMark/>
          </w:tcPr>
          <w:p w14:paraId="1BF1FC18"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6.5 </w:t>
            </w:r>
          </w:p>
        </w:tc>
        <w:tc>
          <w:tcPr>
            <w:tcW w:w="1005" w:type="dxa"/>
            <w:tcBorders>
              <w:top w:val="single" w:sz="4" w:space="0" w:color="auto"/>
              <w:left w:val="nil"/>
              <w:bottom w:val="nil"/>
              <w:right w:val="nil"/>
            </w:tcBorders>
            <w:shd w:val="clear" w:color="auto" w:fill="FFFF00"/>
            <w:noWrap/>
            <w:vAlign w:val="center"/>
            <w:hideMark/>
          </w:tcPr>
          <w:p w14:paraId="2D60EAA1"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738.5 </w:t>
            </w:r>
          </w:p>
        </w:tc>
        <w:tc>
          <w:tcPr>
            <w:tcW w:w="992" w:type="dxa"/>
            <w:tcBorders>
              <w:top w:val="single" w:sz="4" w:space="0" w:color="auto"/>
              <w:left w:val="nil"/>
              <w:bottom w:val="nil"/>
              <w:right w:val="nil"/>
            </w:tcBorders>
            <w:shd w:val="clear" w:color="auto" w:fill="FFFF00"/>
            <w:noWrap/>
            <w:vAlign w:val="center"/>
            <w:hideMark/>
          </w:tcPr>
          <w:p w14:paraId="7A15E805"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4,245.0 </w:t>
            </w:r>
          </w:p>
        </w:tc>
        <w:tc>
          <w:tcPr>
            <w:tcW w:w="1007" w:type="dxa"/>
            <w:tcBorders>
              <w:top w:val="single" w:sz="4" w:space="0" w:color="auto"/>
              <w:left w:val="nil"/>
              <w:bottom w:val="nil"/>
              <w:right w:val="nil"/>
            </w:tcBorders>
            <w:shd w:val="clear" w:color="auto" w:fill="FFFF00"/>
            <w:noWrap/>
            <w:vAlign w:val="center"/>
            <w:hideMark/>
          </w:tcPr>
          <w:p w14:paraId="3572F73C"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3.5 </w:t>
            </w:r>
          </w:p>
        </w:tc>
        <w:tc>
          <w:tcPr>
            <w:tcW w:w="978" w:type="dxa"/>
            <w:tcBorders>
              <w:top w:val="single" w:sz="4" w:space="0" w:color="auto"/>
              <w:left w:val="single" w:sz="8" w:space="0" w:color="auto"/>
              <w:bottom w:val="nil"/>
              <w:right w:val="nil"/>
            </w:tcBorders>
            <w:shd w:val="clear" w:color="auto" w:fill="FFFF00"/>
            <w:noWrap/>
            <w:vAlign w:val="center"/>
            <w:hideMark/>
          </w:tcPr>
          <w:p w14:paraId="16839689"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(111.3)</w:t>
            </w:r>
          </w:p>
        </w:tc>
        <w:tc>
          <w:tcPr>
            <w:tcW w:w="883" w:type="dxa"/>
            <w:tcBorders>
              <w:top w:val="single" w:sz="4" w:space="0" w:color="auto"/>
              <w:left w:val="nil"/>
              <w:bottom w:val="nil"/>
              <w:right w:val="single" w:sz="8" w:space="0" w:color="auto"/>
            </w:tcBorders>
            <w:shd w:val="clear" w:color="auto" w:fill="FFFF00"/>
            <w:noWrap/>
            <w:vAlign w:val="center"/>
            <w:hideMark/>
          </w:tcPr>
          <w:p w14:paraId="5132C229"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32.3 </w:t>
            </w:r>
          </w:p>
        </w:tc>
        <w:tc>
          <w:tcPr>
            <w:tcW w:w="1101" w:type="dxa"/>
            <w:tcBorders>
              <w:top w:val="single" w:sz="4" w:space="0" w:color="auto"/>
              <w:left w:val="nil"/>
              <w:bottom w:val="nil"/>
              <w:right w:val="nil"/>
            </w:tcBorders>
            <w:shd w:val="clear" w:color="auto" w:fill="FFFF00"/>
            <w:noWrap/>
            <w:vAlign w:val="center"/>
            <w:hideMark/>
          </w:tcPr>
          <w:p w14:paraId="234F882C"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4,914.5 </w:t>
            </w:r>
          </w:p>
        </w:tc>
      </w:tr>
      <w:tr w:rsidR="0016178C" w:rsidRPr="0016178C" w14:paraId="24054140" w14:textId="77777777" w:rsidTr="007A2AC9">
        <w:trPr>
          <w:trHeight w:val="300"/>
        </w:trPr>
        <w:tc>
          <w:tcPr>
            <w:tcW w:w="5500" w:type="dxa"/>
            <w:tcBorders>
              <w:top w:val="nil"/>
              <w:left w:val="nil"/>
              <w:bottom w:val="nil"/>
              <w:right w:val="nil"/>
            </w:tcBorders>
            <w:shd w:val="clear" w:color="auto" w:fill="FFFF00"/>
            <w:noWrap/>
            <w:vAlign w:val="center"/>
            <w:hideMark/>
          </w:tcPr>
          <w:p w14:paraId="384A59F6"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bCs/>
                <w:color w:val="000000"/>
                <w:sz w:val="18"/>
                <w:szCs w:val="18"/>
                <w:lang w:eastAsia="en-IE"/>
              </w:rPr>
              <w:t>Loss for the half-year</w:t>
            </w:r>
          </w:p>
        </w:tc>
        <w:tc>
          <w:tcPr>
            <w:tcW w:w="981" w:type="dxa"/>
            <w:tcBorders>
              <w:top w:val="nil"/>
              <w:left w:val="single" w:sz="8" w:space="0" w:color="auto"/>
              <w:bottom w:val="nil"/>
              <w:right w:val="single" w:sz="8" w:space="0" w:color="auto"/>
            </w:tcBorders>
            <w:shd w:val="clear" w:color="auto" w:fill="FFFF00"/>
            <w:noWrap/>
            <w:vAlign w:val="center"/>
            <w:hideMark/>
          </w:tcPr>
          <w:p w14:paraId="176A010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736" w:type="dxa"/>
            <w:tcBorders>
              <w:top w:val="nil"/>
              <w:left w:val="nil"/>
              <w:bottom w:val="nil"/>
              <w:right w:val="nil"/>
            </w:tcBorders>
            <w:shd w:val="clear" w:color="auto" w:fill="FFFF00"/>
            <w:noWrap/>
            <w:vAlign w:val="center"/>
            <w:hideMark/>
          </w:tcPr>
          <w:p w14:paraId="58B6D23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5" w:type="dxa"/>
            <w:tcBorders>
              <w:top w:val="nil"/>
              <w:left w:val="nil"/>
              <w:bottom w:val="nil"/>
              <w:right w:val="nil"/>
            </w:tcBorders>
            <w:shd w:val="clear" w:color="auto" w:fill="FFFF00"/>
            <w:noWrap/>
            <w:vAlign w:val="center"/>
            <w:hideMark/>
          </w:tcPr>
          <w:p w14:paraId="78AAA1C6"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92" w:type="dxa"/>
            <w:tcBorders>
              <w:top w:val="nil"/>
              <w:left w:val="nil"/>
              <w:bottom w:val="nil"/>
              <w:right w:val="nil"/>
            </w:tcBorders>
            <w:shd w:val="clear" w:color="auto" w:fill="FFFF00"/>
            <w:noWrap/>
            <w:vAlign w:val="center"/>
            <w:hideMark/>
          </w:tcPr>
          <w:p w14:paraId="450D326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(410.5)</w:t>
            </w:r>
          </w:p>
        </w:tc>
        <w:tc>
          <w:tcPr>
            <w:tcW w:w="1007" w:type="dxa"/>
            <w:tcBorders>
              <w:top w:val="nil"/>
              <w:left w:val="nil"/>
              <w:bottom w:val="nil"/>
              <w:right w:val="nil"/>
            </w:tcBorders>
            <w:shd w:val="clear" w:color="auto" w:fill="FFFF00"/>
            <w:noWrap/>
            <w:vAlign w:val="center"/>
            <w:hideMark/>
          </w:tcPr>
          <w:p w14:paraId="26543F1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78" w:type="dxa"/>
            <w:tcBorders>
              <w:top w:val="nil"/>
              <w:left w:val="single" w:sz="8" w:space="0" w:color="auto"/>
              <w:bottom w:val="nil"/>
              <w:right w:val="nil"/>
            </w:tcBorders>
            <w:shd w:val="clear" w:color="auto" w:fill="FFFF00"/>
            <w:noWrap/>
            <w:vAlign w:val="center"/>
            <w:hideMark/>
          </w:tcPr>
          <w:p w14:paraId="09041CE3"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883" w:type="dxa"/>
            <w:tcBorders>
              <w:top w:val="nil"/>
              <w:left w:val="nil"/>
              <w:bottom w:val="nil"/>
              <w:right w:val="single" w:sz="8" w:space="0" w:color="auto"/>
            </w:tcBorders>
            <w:shd w:val="clear" w:color="auto" w:fill="FFFF00"/>
            <w:noWrap/>
            <w:vAlign w:val="center"/>
            <w:hideMark/>
          </w:tcPr>
          <w:p w14:paraId="7DD4DC4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101" w:type="dxa"/>
            <w:tcBorders>
              <w:top w:val="nil"/>
              <w:left w:val="nil"/>
              <w:bottom w:val="nil"/>
              <w:right w:val="nil"/>
            </w:tcBorders>
            <w:shd w:val="clear" w:color="auto" w:fill="FFFF00"/>
            <w:noWrap/>
            <w:vAlign w:val="center"/>
            <w:hideMark/>
          </w:tcPr>
          <w:p w14:paraId="6A143369"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(410.5)</w:t>
            </w:r>
          </w:p>
        </w:tc>
      </w:tr>
      <w:tr w:rsidR="0016178C" w:rsidRPr="0016178C" w14:paraId="027E5928" w14:textId="77777777" w:rsidTr="007A2AC9">
        <w:trPr>
          <w:trHeight w:val="300"/>
        </w:trPr>
        <w:tc>
          <w:tcPr>
            <w:tcW w:w="5500" w:type="dxa"/>
            <w:tcBorders>
              <w:top w:val="nil"/>
              <w:left w:val="nil"/>
              <w:bottom w:val="nil"/>
              <w:right w:val="nil"/>
            </w:tcBorders>
            <w:shd w:val="clear" w:color="auto" w:fill="FFFF00"/>
            <w:noWrap/>
            <w:vAlign w:val="center"/>
            <w:hideMark/>
          </w:tcPr>
          <w:p w14:paraId="78A5029F" w14:textId="77777777" w:rsidR="0016178C" w:rsidRPr="0016178C" w:rsidRDefault="0016178C" w:rsidP="0016178C">
            <w:pPr>
              <w:rPr>
                <w:rFonts w:ascii="Calibri" w:hAnsi="Calibri" w:cs="Calibri"/>
                <w:i/>
                <w:iCs/>
                <w:color w:val="000000"/>
                <w:sz w:val="18"/>
                <w:szCs w:val="18"/>
                <w:lang w:eastAsia="en-IE"/>
              </w:rPr>
            </w:pPr>
            <w:r w:rsidRPr="0016178C">
              <w:rPr>
                <w:rFonts w:ascii="Calibri" w:hAnsi="Calibri" w:cs="Calibri"/>
                <w:bCs/>
                <w:i/>
                <w:iCs/>
                <w:color w:val="000000"/>
                <w:sz w:val="18"/>
                <w:szCs w:val="18"/>
                <w:lang w:eastAsia="en-IE"/>
              </w:rPr>
              <w:t>Other comprehensive income</w:t>
            </w:r>
          </w:p>
        </w:tc>
        <w:tc>
          <w:tcPr>
            <w:tcW w:w="981" w:type="dxa"/>
            <w:tcBorders>
              <w:top w:val="nil"/>
              <w:left w:val="single" w:sz="8" w:space="0" w:color="auto"/>
              <w:bottom w:val="nil"/>
              <w:right w:val="single" w:sz="8" w:space="0" w:color="auto"/>
            </w:tcBorders>
            <w:shd w:val="clear" w:color="auto" w:fill="FFFF00"/>
            <w:noWrap/>
            <w:vAlign w:val="center"/>
            <w:hideMark/>
          </w:tcPr>
          <w:p w14:paraId="6D628DD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w:t>
            </w:r>
          </w:p>
        </w:tc>
        <w:tc>
          <w:tcPr>
            <w:tcW w:w="736" w:type="dxa"/>
            <w:tcBorders>
              <w:top w:val="nil"/>
              <w:left w:val="nil"/>
              <w:bottom w:val="nil"/>
              <w:right w:val="nil"/>
            </w:tcBorders>
            <w:shd w:val="clear" w:color="auto" w:fill="FFFF00"/>
            <w:noWrap/>
            <w:vAlign w:val="center"/>
            <w:hideMark/>
          </w:tcPr>
          <w:p w14:paraId="78E74EBC" w14:textId="77777777" w:rsidR="0016178C" w:rsidRPr="0016178C" w:rsidRDefault="0016178C" w:rsidP="0016178C">
            <w:pPr>
              <w:jc w:val="right"/>
              <w:rPr>
                <w:rFonts w:ascii="Calibri" w:hAnsi="Calibri" w:cs="Calibri"/>
                <w:color w:val="000000"/>
                <w:sz w:val="18"/>
                <w:szCs w:val="18"/>
                <w:lang w:eastAsia="en-IE"/>
              </w:rPr>
            </w:pPr>
          </w:p>
        </w:tc>
        <w:tc>
          <w:tcPr>
            <w:tcW w:w="1005" w:type="dxa"/>
            <w:tcBorders>
              <w:top w:val="nil"/>
              <w:left w:val="nil"/>
              <w:bottom w:val="nil"/>
              <w:right w:val="nil"/>
            </w:tcBorders>
            <w:shd w:val="clear" w:color="auto" w:fill="FFFF00"/>
            <w:noWrap/>
            <w:vAlign w:val="center"/>
            <w:hideMark/>
          </w:tcPr>
          <w:p w14:paraId="5CC46AF8" w14:textId="77777777" w:rsidR="0016178C" w:rsidRPr="0016178C" w:rsidRDefault="0016178C" w:rsidP="0016178C">
            <w:pPr>
              <w:jc w:val="right"/>
              <w:rPr>
                <w:sz w:val="20"/>
                <w:szCs w:val="20"/>
                <w:lang w:eastAsia="en-IE"/>
              </w:rPr>
            </w:pPr>
          </w:p>
        </w:tc>
        <w:tc>
          <w:tcPr>
            <w:tcW w:w="992" w:type="dxa"/>
            <w:tcBorders>
              <w:top w:val="nil"/>
              <w:left w:val="nil"/>
              <w:bottom w:val="nil"/>
              <w:right w:val="nil"/>
            </w:tcBorders>
            <w:shd w:val="clear" w:color="auto" w:fill="FFFF00"/>
            <w:noWrap/>
            <w:vAlign w:val="center"/>
            <w:hideMark/>
          </w:tcPr>
          <w:p w14:paraId="7648A2DA" w14:textId="77777777" w:rsidR="0016178C" w:rsidRPr="0016178C" w:rsidRDefault="0016178C" w:rsidP="0016178C">
            <w:pPr>
              <w:jc w:val="right"/>
              <w:rPr>
                <w:sz w:val="20"/>
                <w:szCs w:val="20"/>
                <w:lang w:eastAsia="en-IE"/>
              </w:rPr>
            </w:pPr>
          </w:p>
        </w:tc>
        <w:tc>
          <w:tcPr>
            <w:tcW w:w="1007" w:type="dxa"/>
            <w:tcBorders>
              <w:top w:val="nil"/>
              <w:left w:val="nil"/>
              <w:bottom w:val="nil"/>
              <w:right w:val="nil"/>
            </w:tcBorders>
            <w:shd w:val="clear" w:color="auto" w:fill="FFFF00"/>
            <w:noWrap/>
            <w:vAlign w:val="center"/>
            <w:hideMark/>
          </w:tcPr>
          <w:p w14:paraId="5B9C8193" w14:textId="77777777" w:rsidR="0016178C" w:rsidRPr="0016178C" w:rsidRDefault="0016178C" w:rsidP="0016178C">
            <w:pPr>
              <w:jc w:val="right"/>
              <w:rPr>
                <w:sz w:val="20"/>
                <w:szCs w:val="20"/>
                <w:lang w:eastAsia="en-IE"/>
              </w:rPr>
            </w:pPr>
          </w:p>
        </w:tc>
        <w:tc>
          <w:tcPr>
            <w:tcW w:w="978" w:type="dxa"/>
            <w:tcBorders>
              <w:top w:val="nil"/>
              <w:left w:val="single" w:sz="8" w:space="0" w:color="auto"/>
              <w:bottom w:val="nil"/>
              <w:right w:val="nil"/>
            </w:tcBorders>
            <w:shd w:val="clear" w:color="auto" w:fill="FFFF00"/>
            <w:noWrap/>
            <w:vAlign w:val="center"/>
            <w:hideMark/>
          </w:tcPr>
          <w:p w14:paraId="1E23D253"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w:t>
            </w:r>
          </w:p>
        </w:tc>
        <w:tc>
          <w:tcPr>
            <w:tcW w:w="883" w:type="dxa"/>
            <w:tcBorders>
              <w:top w:val="nil"/>
              <w:left w:val="nil"/>
              <w:bottom w:val="nil"/>
              <w:right w:val="single" w:sz="8" w:space="0" w:color="auto"/>
            </w:tcBorders>
            <w:shd w:val="clear" w:color="auto" w:fill="FFFF00"/>
            <w:noWrap/>
            <w:vAlign w:val="center"/>
            <w:hideMark/>
          </w:tcPr>
          <w:p w14:paraId="5F487F89"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w:t>
            </w:r>
          </w:p>
        </w:tc>
        <w:tc>
          <w:tcPr>
            <w:tcW w:w="1101" w:type="dxa"/>
            <w:tcBorders>
              <w:top w:val="nil"/>
              <w:left w:val="nil"/>
              <w:bottom w:val="nil"/>
              <w:right w:val="nil"/>
            </w:tcBorders>
            <w:shd w:val="clear" w:color="auto" w:fill="FFFF00"/>
            <w:noWrap/>
            <w:vAlign w:val="center"/>
            <w:hideMark/>
          </w:tcPr>
          <w:p w14:paraId="7B518C3F" w14:textId="77777777" w:rsidR="0016178C" w:rsidRPr="0016178C" w:rsidRDefault="0016178C" w:rsidP="0016178C">
            <w:pPr>
              <w:jc w:val="right"/>
              <w:rPr>
                <w:rFonts w:ascii="Calibri" w:hAnsi="Calibri" w:cs="Calibri"/>
                <w:color w:val="000000"/>
                <w:sz w:val="18"/>
                <w:szCs w:val="18"/>
                <w:lang w:eastAsia="en-IE"/>
              </w:rPr>
            </w:pPr>
          </w:p>
        </w:tc>
      </w:tr>
      <w:tr w:rsidR="0016178C" w:rsidRPr="0016178C" w14:paraId="37EB1698" w14:textId="77777777" w:rsidTr="007A2AC9">
        <w:trPr>
          <w:trHeight w:val="300"/>
        </w:trPr>
        <w:tc>
          <w:tcPr>
            <w:tcW w:w="5500" w:type="dxa"/>
            <w:tcBorders>
              <w:top w:val="nil"/>
              <w:left w:val="nil"/>
              <w:bottom w:val="nil"/>
              <w:right w:val="nil"/>
            </w:tcBorders>
            <w:shd w:val="clear" w:color="auto" w:fill="FFFF00"/>
            <w:noWrap/>
            <w:vAlign w:val="center"/>
            <w:hideMark/>
          </w:tcPr>
          <w:p w14:paraId="442F0835"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bCs/>
                <w:color w:val="000000"/>
                <w:sz w:val="18"/>
                <w:szCs w:val="18"/>
                <w:lang w:eastAsia="en-IE"/>
              </w:rPr>
              <w:t>Net movements in cash flow reserve</w:t>
            </w:r>
          </w:p>
        </w:tc>
        <w:tc>
          <w:tcPr>
            <w:tcW w:w="981" w:type="dxa"/>
            <w:tcBorders>
              <w:top w:val="nil"/>
              <w:left w:val="single" w:sz="8" w:space="0" w:color="auto"/>
              <w:bottom w:val="nil"/>
              <w:right w:val="single" w:sz="8" w:space="0" w:color="auto"/>
            </w:tcBorders>
            <w:shd w:val="clear" w:color="auto" w:fill="FFFF00"/>
            <w:noWrap/>
            <w:vAlign w:val="center"/>
            <w:hideMark/>
          </w:tcPr>
          <w:p w14:paraId="5B5AA755"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736" w:type="dxa"/>
            <w:tcBorders>
              <w:top w:val="nil"/>
              <w:left w:val="nil"/>
              <w:bottom w:val="nil"/>
              <w:right w:val="nil"/>
            </w:tcBorders>
            <w:shd w:val="clear" w:color="auto" w:fill="FFFF00"/>
            <w:noWrap/>
            <w:vAlign w:val="center"/>
            <w:hideMark/>
          </w:tcPr>
          <w:p w14:paraId="3FD23CB3"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5" w:type="dxa"/>
            <w:tcBorders>
              <w:top w:val="nil"/>
              <w:left w:val="nil"/>
              <w:bottom w:val="nil"/>
              <w:right w:val="nil"/>
            </w:tcBorders>
            <w:shd w:val="clear" w:color="auto" w:fill="FFFF00"/>
            <w:noWrap/>
            <w:vAlign w:val="center"/>
            <w:hideMark/>
          </w:tcPr>
          <w:p w14:paraId="7F6F6A2D"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92" w:type="dxa"/>
            <w:tcBorders>
              <w:top w:val="nil"/>
              <w:left w:val="nil"/>
              <w:bottom w:val="nil"/>
              <w:right w:val="nil"/>
            </w:tcBorders>
            <w:shd w:val="clear" w:color="auto" w:fill="FFFF00"/>
            <w:noWrap/>
            <w:vAlign w:val="center"/>
            <w:hideMark/>
          </w:tcPr>
          <w:p w14:paraId="704947A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7" w:type="dxa"/>
            <w:tcBorders>
              <w:top w:val="nil"/>
              <w:left w:val="nil"/>
              <w:bottom w:val="nil"/>
              <w:right w:val="nil"/>
            </w:tcBorders>
            <w:shd w:val="clear" w:color="auto" w:fill="FFFF00"/>
            <w:noWrap/>
            <w:vAlign w:val="center"/>
            <w:hideMark/>
          </w:tcPr>
          <w:p w14:paraId="464F46C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78" w:type="dxa"/>
            <w:tcBorders>
              <w:top w:val="nil"/>
              <w:left w:val="single" w:sz="8" w:space="0" w:color="auto"/>
              <w:bottom w:val="nil"/>
              <w:right w:val="nil"/>
            </w:tcBorders>
            <w:shd w:val="clear" w:color="auto" w:fill="FFFF00"/>
            <w:noWrap/>
            <w:vAlign w:val="center"/>
            <w:hideMark/>
          </w:tcPr>
          <w:p w14:paraId="6A5A600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69.1 </w:t>
            </w:r>
          </w:p>
        </w:tc>
        <w:tc>
          <w:tcPr>
            <w:tcW w:w="883" w:type="dxa"/>
            <w:tcBorders>
              <w:top w:val="nil"/>
              <w:left w:val="nil"/>
              <w:bottom w:val="nil"/>
              <w:right w:val="single" w:sz="8" w:space="0" w:color="auto"/>
            </w:tcBorders>
            <w:shd w:val="clear" w:color="auto" w:fill="FFFF00"/>
            <w:noWrap/>
            <w:vAlign w:val="center"/>
            <w:hideMark/>
          </w:tcPr>
          <w:p w14:paraId="28221D45"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101" w:type="dxa"/>
            <w:tcBorders>
              <w:top w:val="nil"/>
              <w:left w:val="nil"/>
              <w:bottom w:val="nil"/>
              <w:right w:val="nil"/>
            </w:tcBorders>
            <w:shd w:val="clear" w:color="auto" w:fill="FFFF00"/>
            <w:noWrap/>
            <w:vAlign w:val="center"/>
            <w:hideMark/>
          </w:tcPr>
          <w:p w14:paraId="3FC9B32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69.1 </w:t>
            </w:r>
          </w:p>
        </w:tc>
      </w:tr>
      <w:tr w:rsidR="0016178C" w:rsidRPr="0016178C" w14:paraId="28D3F3BC" w14:textId="77777777" w:rsidTr="00824E8F">
        <w:trPr>
          <w:trHeight w:val="300"/>
        </w:trPr>
        <w:tc>
          <w:tcPr>
            <w:tcW w:w="5500" w:type="dxa"/>
            <w:tcBorders>
              <w:top w:val="nil"/>
              <w:left w:val="nil"/>
              <w:bottom w:val="nil"/>
              <w:right w:val="nil"/>
            </w:tcBorders>
            <w:shd w:val="clear" w:color="auto" w:fill="FFFF00"/>
            <w:noWrap/>
            <w:vAlign w:val="center"/>
            <w:hideMark/>
          </w:tcPr>
          <w:p w14:paraId="50CE91DF"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bCs/>
                <w:color w:val="000000"/>
                <w:sz w:val="18"/>
                <w:szCs w:val="18"/>
                <w:lang w:eastAsia="en-IE"/>
              </w:rPr>
              <w:t>Total other comprehensive income</w:t>
            </w:r>
          </w:p>
        </w:tc>
        <w:tc>
          <w:tcPr>
            <w:tcW w:w="981" w:type="dxa"/>
            <w:tcBorders>
              <w:top w:val="nil"/>
              <w:left w:val="single" w:sz="8" w:space="0" w:color="auto"/>
              <w:bottom w:val="single" w:sz="4" w:space="0" w:color="auto"/>
              <w:right w:val="single" w:sz="8" w:space="0" w:color="auto"/>
            </w:tcBorders>
            <w:shd w:val="clear" w:color="auto" w:fill="FFFF00"/>
            <w:noWrap/>
            <w:vAlign w:val="center"/>
            <w:hideMark/>
          </w:tcPr>
          <w:p w14:paraId="1FBEEAE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736" w:type="dxa"/>
            <w:tcBorders>
              <w:top w:val="nil"/>
              <w:left w:val="nil"/>
              <w:bottom w:val="single" w:sz="4" w:space="0" w:color="auto"/>
              <w:right w:val="nil"/>
            </w:tcBorders>
            <w:shd w:val="clear" w:color="auto" w:fill="FFFF00"/>
            <w:noWrap/>
            <w:vAlign w:val="center"/>
            <w:hideMark/>
          </w:tcPr>
          <w:p w14:paraId="7A45B5E4"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5" w:type="dxa"/>
            <w:tcBorders>
              <w:top w:val="nil"/>
              <w:left w:val="nil"/>
              <w:bottom w:val="single" w:sz="4" w:space="0" w:color="auto"/>
              <w:right w:val="nil"/>
            </w:tcBorders>
            <w:shd w:val="clear" w:color="auto" w:fill="FFFF00"/>
            <w:noWrap/>
            <w:vAlign w:val="center"/>
            <w:hideMark/>
          </w:tcPr>
          <w:p w14:paraId="5F5FEB34"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92" w:type="dxa"/>
            <w:tcBorders>
              <w:top w:val="nil"/>
              <w:left w:val="nil"/>
              <w:bottom w:val="single" w:sz="4" w:space="0" w:color="auto"/>
              <w:right w:val="nil"/>
            </w:tcBorders>
            <w:shd w:val="clear" w:color="auto" w:fill="FFFF00"/>
            <w:noWrap/>
            <w:vAlign w:val="center"/>
            <w:hideMark/>
          </w:tcPr>
          <w:p w14:paraId="7DCF21FF"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7" w:type="dxa"/>
            <w:tcBorders>
              <w:top w:val="nil"/>
              <w:left w:val="nil"/>
              <w:bottom w:val="single" w:sz="4" w:space="0" w:color="auto"/>
              <w:right w:val="nil"/>
            </w:tcBorders>
            <w:shd w:val="clear" w:color="auto" w:fill="FFFF00"/>
            <w:noWrap/>
            <w:vAlign w:val="center"/>
            <w:hideMark/>
          </w:tcPr>
          <w:p w14:paraId="0E583A5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78" w:type="dxa"/>
            <w:tcBorders>
              <w:top w:val="nil"/>
              <w:left w:val="single" w:sz="8" w:space="0" w:color="auto"/>
              <w:bottom w:val="single" w:sz="4" w:space="0" w:color="auto"/>
              <w:right w:val="nil"/>
            </w:tcBorders>
            <w:shd w:val="clear" w:color="auto" w:fill="FFFF00"/>
            <w:noWrap/>
            <w:vAlign w:val="center"/>
            <w:hideMark/>
          </w:tcPr>
          <w:p w14:paraId="69C3A5A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69.1 </w:t>
            </w:r>
          </w:p>
        </w:tc>
        <w:tc>
          <w:tcPr>
            <w:tcW w:w="883" w:type="dxa"/>
            <w:tcBorders>
              <w:top w:val="nil"/>
              <w:left w:val="nil"/>
              <w:bottom w:val="single" w:sz="4" w:space="0" w:color="auto"/>
              <w:right w:val="single" w:sz="8" w:space="0" w:color="auto"/>
            </w:tcBorders>
            <w:shd w:val="clear" w:color="auto" w:fill="FFFF00"/>
            <w:noWrap/>
            <w:vAlign w:val="center"/>
            <w:hideMark/>
          </w:tcPr>
          <w:p w14:paraId="11B7B7E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101" w:type="dxa"/>
            <w:tcBorders>
              <w:top w:val="nil"/>
              <w:left w:val="nil"/>
              <w:bottom w:val="single" w:sz="4" w:space="0" w:color="auto"/>
              <w:right w:val="nil"/>
            </w:tcBorders>
            <w:shd w:val="clear" w:color="auto" w:fill="FFFF00"/>
            <w:noWrap/>
            <w:vAlign w:val="center"/>
            <w:hideMark/>
          </w:tcPr>
          <w:p w14:paraId="50174C39"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69.1 </w:t>
            </w:r>
          </w:p>
        </w:tc>
      </w:tr>
      <w:tr w:rsidR="0016178C" w:rsidRPr="0016178C" w14:paraId="0FEFF436" w14:textId="77777777" w:rsidTr="00824E8F">
        <w:trPr>
          <w:trHeight w:val="315"/>
        </w:trPr>
        <w:tc>
          <w:tcPr>
            <w:tcW w:w="5500" w:type="dxa"/>
            <w:tcBorders>
              <w:top w:val="nil"/>
              <w:left w:val="nil"/>
              <w:bottom w:val="nil"/>
              <w:right w:val="nil"/>
            </w:tcBorders>
            <w:shd w:val="clear" w:color="auto" w:fill="FFFF00"/>
            <w:noWrap/>
            <w:vAlign w:val="center"/>
            <w:hideMark/>
          </w:tcPr>
          <w:p w14:paraId="663A42A5"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bCs/>
                <w:color w:val="000000"/>
                <w:sz w:val="18"/>
                <w:szCs w:val="18"/>
                <w:lang w:eastAsia="en-IE"/>
              </w:rPr>
              <w:t>Total comprehensive income</w:t>
            </w:r>
          </w:p>
        </w:tc>
        <w:tc>
          <w:tcPr>
            <w:tcW w:w="981" w:type="dxa"/>
            <w:tcBorders>
              <w:top w:val="single" w:sz="4" w:space="0" w:color="auto"/>
              <w:left w:val="single" w:sz="8" w:space="0" w:color="auto"/>
              <w:bottom w:val="single" w:sz="8" w:space="0" w:color="auto"/>
              <w:right w:val="single" w:sz="8" w:space="0" w:color="auto"/>
            </w:tcBorders>
            <w:shd w:val="clear" w:color="auto" w:fill="FFFF00"/>
            <w:noWrap/>
            <w:vAlign w:val="center"/>
            <w:hideMark/>
          </w:tcPr>
          <w:p w14:paraId="641B9B7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736" w:type="dxa"/>
            <w:tcBorders>
              <w:top w:val="single" w:sz="4" w:space="0" w:color="auto"/>
              <w:left w:val="nil"/>
              <w:bottom w:val="single" w:sz="8" w:space="0" w:color="auto"/>
              <w:right w:val="nil"/>
            </w:tcBorders>
            <w:shd w:val="clear" w:color="auto" w:fill="FFFF00"/>
            <w:noWrap/>
            <w:vAlign w:val="center"/>
            <w:hideMark/>
          </w:tcPr>
          <w:p w14:paraId="12290BA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5" w:type="dxa"/>
            <w:tcBorders>
              <w:top w:val="single" w:sz="4" w:space="0" w:color="auto"/>
              <w:left w:val="nil"/>
              <w:bottom w:val="single" w:sz="8" w:space="0" w:color="auto"/>
              <w:right w:val="nil"/>
            </w:tcBorders>
            <w:shd w:val="clear" w:color="auto" w:fill="FFFF00"/>
            <w:noWrap/>
            <w:vAlign w:val="center"/>
            <w:hideMark/>
          </w:tcPr>
          <w:p w14:paraId="4BB138E5"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92" w:type="dxa"/>
            <w:tcBorders>
              <w:top w:val="single" w:sz="4" w:space="0" w:color="auto"/>
              <w:left w:val="nil"/>
              <w:bottom w:val="single" w:sz="8" w:space="0" w:color="auto"/>
              <w:right w:val="nil"/>
            </w:tcBorders>
            <w:shd w:val="clear" w:color="auto" w:fill="FFFF00"/>
            <w:noWrap/>
            <w:vAlign w:val="center"/>
            <w:hideMark/>
          </w:tcPr>
          <w:p w14:paraId="68E0959C"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(410.5)</w:t>
            </w:r>
          </w:p>
        </w:tc>
        <w:tc>
          <w:tcPr>
            <w:tcW w:w="1007" w:type="dxa"/>
            <w:tcBorders>
              <w:top w:val="single" w:sz="4" w:space="0" w:color="auto"/>
              <w:left w:val="nil"/>
              <w:bottom w:val="single" w:sz="8" w:space="0" w:color="auto"/>
              <w:right w:val="nil"/>
            </w:tcBorders>
            <w:shd w:val="clear" w:color="auto" w:fill="FFFF00"/>
            <w:noWrap/>
            <w:vAlign w:val="center"/>
            <w:hideMark/>
          </w:tcPr>
          <w:p w14:paraId="0AD87B8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78" w:type="dxa"/>
            <w:tcBorders>
              <w:top w:val="single" w:sz="4" w:space="0" w:color="auto"/>
              <w:left w:val="single" w:sz="8" w:space="0" w:color="auto"/>
              <w:bottom w:val="single" w:sz="8" w:space="0" w:color="auto"/>
              <w:right w:val="nil"/>
            </w:tcBorders>
            <w:shd w:val="clear" w:color="auto" w:fill="FFFF00"/>
            <w:noWrap/>
            <w:vAlign w:val="center"/>
            <w:hideMark/>
          </w:tcPr>
          <w:p w14:paraId="2E06EB0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69.1 </w:t>
            </w:r>
          </w:p>
        </w:tc>
        <w:tc>
          <w:tcPr>
            <w:tcW w:w="883" w:type="dxa"/>
            <w:tcBorders>
              <w:top w:val="single" w:sz="4" w:space="0" w:color="auto"/>
              <w:left w:val="nil"/>
              <w:bottom w:val="single" w:sz="8" w:space="0" w:color="auto"/>
              <w:right w:val="single" w:sz="8" w:space="0" w:color="auto"/>
            </w:tcBorders>
            <w:shd w:val="clear" w:color="auto" w:fill="FFFF00"/>
            <w:noWrap/>
            <w:vAlign w:val="center"/>
            <w:hideMark/>
          </w:tcPr>
          <w:p w14:paraId="5A73BD0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101" w:type="dxa"/>
            <w:tcBorders>
              <w:top w:val="single" w:sz="4" w:space="0" w:color="auto"/>
              <w:left w:val="nil"/>
              <w:bottom w:val="single" w:sz="8" w:space="0" w:color="auto"/>
              <w:right w:val="nil"/>
            </w:tcBorders>
            <w:shd w:val="clear" w:color="auto" w:fill="FFFF00"/>
            <w:noWrap/>
            <w:vAlign w:val="center"/>
            <w:hideMark/>
          </w:tcPr>
          <w:p w14:paraId="252823BE" w14:textId="10785D54"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w:t>
            </w:r>
            <w:r w:rsidR="00824E8F">
              <w:rPr>
                <w:rFonts w:ascii="Calibri" w:hAnsi="Calibri" w:cs="Calibri"/>
                <w:bCs/>
                <w:color w:val="000000"/>
                <w:sz w:val="18"/>
                <w:szCs w:val="18"/>
                <w:lang w:eastAsia="en-IE"/>
              </w:rPr>
              <w:t>(341.4)</w:t>
            </w:r>
            <w:r w:rsidRPr="0016178C">
              <w:rPr>
                <w:rFonts w:ascii="Calibri" w:hAnsi="Calibri" w:cs="Calibri"/>
                <w:bCs/>
                <w:color w:val="000000"/>
                <w:sz w:val="18"/>
                <w:szCs w:val="18"/>
                <w:lang w:eastAsia="en-IE"/>
              </w:rPr>
              <w:t xml:space="preserve"> </w:t>
            </w:r>
          </w:p>
        </w:tc>
      </w:tr>
      <w:tr w:rsidR="0016178C" w:rsidRPr="0016178C" w14:paraId="6C19C8EC" w14:textId="77777777" w:rsidTr="007A2AC9">
        <w:trPr>
          <w:trHeight w:val="315"/>
        </w:trPr>
        <w:tc>
          <w:tcPr>
            <w:tcW w:w="5500" w:type="dxa"/>
            <w:tcBorders>
              <w:top w:val="nil"/>
              <w:left w:val="nil"/>
              <w:bottom w:val="nil"/>
              <w:right w:val="nil"/>
            </w:tcBorders>
            <w:shd w:val="clear" w:color="auto" w:fill="FFFF00"/>
            <w:noWrap/>
            <w:vAlign w:val="center"/>
            <w:hideMark/>
          </w:tcPr>
          <w:p w14:paraId="03787A56" w14:textId="77777777" w:rsidR="0016178C" w:rsidRPr="0016178C" w:rsidRDefault="0016178C" w:rsidP="0016178C">
            <w:pPr>
              <w:rPr>
                <w:rFonts w:ascii="Calibri" w:hAnsi="Calibri" w:cs="Calibri"/>
                <w:i/>
                <w:iCs/>
                <w:color w:val="000000"/>
                <w:sz w:val="18"/>
                <w:szCs w:val="18"/>
                <w:lang w:eastAsia="en-IE"/>
              </w:rPr>
            </w:pPr>
            <w:r w:rsidRPr="0016178C">
              <w:rPr>
                <w:rFonts w:ascii="Calibri" w:hAnsi="Calibri" w:cs="Calibri"/>
                <w:bCs/>
                <w:i/>
                <w:iCs/>
                <w:color w:val="000000"/>
                <w:sz w:val="18"/>
                <w:szCs w:val="18"/>
                <w:lang w:eastAsia="en-IE"/>
              </w:rPr>
              <w:t>Transactions with owners of the Company recognised directly in equity</w:t>
            </w:r>
          </w:p>
        </w:tc>
        <w:tc>
          <w:tcPr>
            <w:tcW w:w="981" w:type="dxa"/>
            <w:tcBorders>
              <w:top w:val="nil"/>
              <w:left w:val="single" w:sz="8" w:space="0" w:color="auto"/>
              <w:bottom w:val="nil"/>
              <w:right w:val="single" w:sz="8" w:space="0" w:color="auto"/>
            </w:tcBorders>
            <w:shd w:val="clear" w:color="auto" w:fill="FFFF00"/>
            <w:noWrap/>
            <w:vAlign w:val="center"/>
            <w:hideMark/>
          </w:tcPr>
          <w:p w14:paraId="3FF9E9F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w:t>
            </w:r>
          </w:p>
        </w:tc>
        <w:tc>
          <w:tcPr>
            <w:tcW w:w="736" w:type="dxa"/>
            <w:tcBorders>
              <w:top w:val="nil"/>
              <w:left w:val="nil"/>
              <w:bottom w:val="nil"/>
              <w:right w:val="nil"/>
            </w:tcBorders>
            <w:shd w:val="clear" w:color="auto" w:fill="FFFF00"/>
            <w:noWrap/>
            <w:vAlign w:val="center"/>
            <w:hideMark/>
          </w:tcPr>
          <w:p w14:paraId="71928A50" w14:textId="77777777" w:rsidR="0016178C" w:rsidRPr="0016178C" w:rsidRDefault="0016178C" w:rsidP="0016178C">
            <w:pPr>
              <w:jc w:val="right"/>
              <w:rPr>
                <w:rFonts w:ascii="Calibri" w:hAnsi="Calibri" w:cs="Calibri"/>
                <w:color w:val="000000"/>
                <w:sz w:val="18"/>
                <w:szCs w:val="18"/>
                <w:lang w:eastAsia="en-IE"/>
              </w:rPr>
            </w:pPr>
          </w:p>
        </w:tc>
        <w:tc>
          <w:tcPr>
            <w:tcW w:w="1005" w:type="dxa"/>
            <w:tcBorders>
              <w:top w:val="nil"/>
              <w:left w:val="nil"/>
              <w:bottom w:val="nil"/>
              <w:right w:val="nil"/>
            </w:tcBorders>
            <w:shd w:val="clear" w:color="auto" w:fill="FFFF00"/>
            <w:noWrap/>
            <w:vAlign w:val="center"/>
            <w:hideMark/>
          </w:tcPr>
          <w:p w14:paraId="1DD1257C" w14:textId="77777777" w:rsidR="0016178C" w:rsidRPr="0016178C" w:rsidRDefault="0016178C" w:rsidP="0016178C">
            <w:pPr>
              <w:jc w:val="right"/>
              <w:rPr>
                <w:sz w:val="20"/>
                <w:szCs w:val="20"/>
                <w:lang w:eastAsia="en-IE"/>
              </w:rPr>
            </w:pPr>
          </w:p>
        </w:tc>
        <w:tc>
          <w:tcPr>
            <w:tcW w:w="992" w:type="dxa"/>
            <w:tcBorders>
              <w:top w:val="nil"/>
              <w:left w:val="nil"/>
              <w:bottom w:val="nil"/>
              <w:right w:val="nil"/>
            </w:tcBorders>
            <w:shd w:val="clear" w:color="auto" w:fill="FFFF00"/>
            <w:noWrap/>
            <w:vAlign w:val="center"/>
            <w:hideMark/>
          </w:tcPr>
          <w:p w14:paraId="7B97DACA" w14:textId="77777777" w:rsidR="0016178C" w:rsidRPr="0016178C" w:rsidRDefault="0016178C" w:rsidP="0016178C">
            <w:pPr>
              <w:jc w:val="right"/>
              <w:rPr>
                <w:sz w:val="20"/>
                <w:szCs w:val="20"/>
                <w:lang w:eastAsia="en-IE"/>
              </w:rPr>
            </w:pPr>
          </w:p>
        </w:tc>
        <w:tc>
          <w:tcPr>
            <w:tcW w:w="1007" w:type="dxa"/>
            <w:tcBorders>
              <w:top w:val="nil"/>
              <w:left w:val="nil"/>
              <w:bottom w:val="nil"/>
              <w:right w:val="nil"/>
            </w:tcBorders>
            <w:shd w:val="clear" w:color="auto" w:fill="FFFF00"/>
            <w:noWrap/>
            <w:vAlign w:val="center"/>
            <w:hideMark/>
          </w:tcPr>
          <w:p w14:paraId="0BB161EF" w14:textId="77777777" w:rsidR="0016178C" w:rsidRPr="0016178C" w:rsidRDefault="0016178C" w:rsidP="0016178C">
            <w:pPr>
              <w:jc w:val="right"/>
              <w:rPr>
                <w:sz w:val="20"/>
                <w:szCs w:val="20"/>
                <w:lang w:eastAsia="en-IE"/>
              </w:rPr>
            </w:pPr>
          </w:p>
        </w:tc>
        <w:tc>
          <w:tcPr>
            <w:tcW w:w="978" w:type="dxa"/>
            <w:tcBorders>
              <w:top w:val="nil"/>
              <w:left w:val="single" w:sz="8" w:space="0" w:color="auto"/>
              <w:bottom w:val="nil"/>
              <w:right w:val="nil"/>
            </w:tcBorders>
            <w:shd w:val="clear" w:color="auto" w:fill="FFFF00"/>
            <w:noWrap/>
            <w:vAlign w:val="center"/>
            <w:hideMark/>
          </w:tcPr>
          <w:p w14:paraId="2F06CCB1"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w:t>
            </w:r>
          </w:p>
        </w:tc>
        <w:tc>
          <w:tcPr>
            <w:tcW w:w="883" w:type="dxa"/>
            <w:tcBorders>
              <w:top w:val="nil"/>
              <w:left w:val="nil"/>
              <w:bottom w:val="nil"/>
              <w:right w:val="single" w:sz="8" w:space="0" w:color="auto"/>
            </w:tcBorders>
            <w:shd w:val="clear" w:color="auto" w:fill="FFFF00"/>
            <w:noWrap/>
            <w:vAlign w:val="center"/>
            <w:hideMark/>
          </w:tcPr>
          <w:p w14:paraId="32E764FD"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w:t>
            </w:r>
          </w:p>
        </w:tc>
        <w:tc>
          <w:tcPr>
            <w:tcW w:w="1101" w:type="dxa"/>
            <w:tcBorders>
              <w:top w:val="nil"/>
              <w:left w:val="nil"/>
              <w:bottom w:val="nil"/>
              <w:right w:val="nil"/>
            </w:tcBorders>
            <w:shd w:val="clear" w:color="auto" w:fill="FFFF00"/>
            <w:noWrap/>
            <w:vAlign w:val="center"/>
            <w:hideMark/>
          </w:tcPr>
          <w:p w14:paraId="721A0AB5" w14:textId="77777777" w:rsidR="0016178C" w:rsidRPr="0016178C" w:rsidRDefault="0016178C" w:rsidP="0016178C">
            <w:pPr>
              <w:jc w:val="right"/>
              <w:rPr>
                <w:rFonts w:ascii="Calibri" w:hAnsi="Calibri" w:cs="Calibri"/>
                <w:color w:val="000000"/>
                <w:sz w:val="18"/>
                <w:szCs w:val="18"/>
                <w:lang w:eastAsia="en-IE"/>
              </w:rPr>
            </w:pPr>
          </w:p>
        </w:tc>
      </w:tr>
      <w:tr w:rsidR="0016178C" w:rsidRPr="0016178C" w14:paraId="48CE8290" w14:textId="77777777" w:rsidTr="007A2AC9">
        <w:trPr>
          <w:trHeight w:val="300"/>
        </w:trPr>
        <w:tc>
          <w:tcPr>
            <w:tcW w:w="5500" w:type="dxa"/>
            <w:tcBorders>
              <w:top w:val="nil"/>
              <w:left w:val="nil"/>
              <w:bottom w:val="nil"/>
              <w:right w:val="nil"/>
            </w:tcBorders>
            <w:shd w:val="clear" w:color="auto" w:fill="FFFF00"/>
            <w:noWrap/>
            <w:vAlign w:val="center"/>
            <w:hideMark/>
          </w:tcPr>
          <w:p w14:paraId="343DF9A6"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bCs/>
                <w:color w:val="000000"/>
                <w:sz w:val="18"/>
                <w:szCs w:val="18"/>
                <w:lang w:eastAsia="en-IE"/>
              </w:rPr>
              <w:lastRenderedPageBreak/>
              <w:t>Issue of ordinary equity shares</w:t>
            </w:r>
          </w:p>
        </w:tc>
        <w:tc>
          <w:tcPr>
            <w:tcW w:w="981" w:type="dxa"/>
            <w:tcBorders>
              <w:top w:val="single" w:sz="8" w:space="0" w:color="auto"/>
              <w:left w:val="single" w:sz="8" w:space="0" w:color="auto"/>
              <w:bottom w:val="nil"/>
              <w:right w:val="single" w:sz="8" w:space="0" w:color="auto"/>
            </w:tcBorders>
            <w:shd w:val="clear" w:color="auto" w:fill="FFFF00"/>
            <w:noWrap/>
            <w:vAlign w:val="center"/>
            <w:hideMark/>
          </w:tcPr>
          <w:p w14:paraId="489F2F25"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36.1 </w:t>
            </w:r>
          </w:p>
        </w:tc>
        <w:tc>
          <w:tcPr>
            <w:tcW w:w="736" w:type="dxa"/>
            <w:tcBorders>
              <w:top w:val="single" w:sz="8" w:space="0" w:color="auto"/>
              <w:left w:val="nil"/>
              <w:bottom w:val="nil"/>
              <w:right w:val="nil"/>
            </w:tcBorders>
            <w:shd w:val="clear" w:color="auto" w:fill="FFFF00"/>
            <w:noWrap/>
            <w:vAlign w:val="center"/>
            <w:hideMark/>
          </w:tcPr>
          <w:p w14:paraId="1DE0701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0.2 </w:t>
            </w:r>
          </w:p>
        </w:tc>
        <w:tc>
          <w:tcPr>
            <w:tcW w:w="1005" w:type="dxa"/>
            <w:tcBorders>
              <w:top w:val="single" w:sz="8" w:space="0" w:color="auto"/>
              <w:left w:val="nil"/>
              <w:bottom w:val="nil"/>
              <w:right w:val="nil"/>
            </w:tcBorders>
            <w:shd w:val="clear" w:color="auto" w:fill="FFFF00"/>
            <w:noWrap/>
            <w:vAlign w:val="center"/>
            <w:hideMark/>
          </w:tcPr>
          <w:p w14:paraId="4639E1ED"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405.6 </w:t>
            </w:r>
          </w:p>
        </w:tc>
        <w:tc>
          <w:tcPr>
            <w:tcW w:w="992" w:type="dxa"/>
            <w:tcBorders>
              <w:top w:val="single" w:sz="8" w:space="0" w:color="auto"/>
              <w:left w:val="nil"/>
              <w:bottom w:val="nil"/>
              <w:right w:val="nil"/>
            </w:tcBorders>
            <w:shd w:val="clear" w:color="auto" w:fill="FFFF00"/>
            <w:noWrap/>
            <w:vAlign w:val="center"/>
            <w:hideMark/>
          </w:tcPr>
          <w:p w14:paraId="359D0F53"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(2.3)</w:t>
            </w:r>
          </w:p>
        </w:tc>
        <w:tc>
          <w:tcPr>
            <w:tcW w:w="1007" w:type="dxa"/>
            <w:tcBorders>
              <w:top w:val="single" w:sz="8" w:space="0" w:color="auto"/>
              <w:left w:val="nil"/>
              <w:bottom w:val="nil"/>
              <w:right w:val="nil"/>
            </w:tcBorders>
            <w:shd w:val="clear" w:color="auto" w:fill="FFFF00"/>
            <w:noWrap/>
            <w:vAlign w:val="center"/>
            <w:hideMark/>
          </w:tcPr>
          <w:p w14:paraId="6561AEE7"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78" w:type="dxa"/>
            <w:tcBorders>
              <w:top w:val="single" w:sz="8" w:space="0" w:color="auto"/>
              <w:left w:val="single" w:sz="8" w:space="0" w:color="auto"/>
              <w:bottom w:val="nil"/>
              <w:right w:val="nil"/>
            </w:tcBorders>
            <w:shd w:val="clear" w:color="auto" w:fill="FFFF00"/>
            <w:noWrap/>
            <w:vAlign w:val="center"/>
            <w:hideMark/>
          </w:tcPr>
          <w:p w14:paraId="6F7FC64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883" w:type="dxa"/>
            <w:tcBorders>
              <w:top w:val="single" w:sz="8" w:space="0" w:color="auto"/>
              <w:left w:val="nil"/>
              <w:bottom w:val="nil"/>
              <w:right w:val="single" w:sz="8" w:space="0" w:color="auto"/>
            </w:tcBorders>
            <w:shd w:val="clear" w:color="auto" w:fill="FFFF00"/>
            <w:noWrap/>
            <w:vAlign w:val="center"/>
            <w:hideMark/>
          </w:tcPr>
          <w:p w14:paraId="13E5B2DD"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101" w:type="dxa"/>
            <w:tcBorders>
              <w:top w:val="single" w:sz="8" w:space="0" w:color="auto"/>
              <w:left w:val="nil"/>
              <w:bottom w:val="nil"/>
              <w:right w:val="nil"/>
            </w:tcBorders>
            <w:shd w:val="clear" w:color="auto" w:fill="FFFF00"/>
            <w:noWrap/>
            <w:vAlign w:val="center"/>
            <w:hideMark/>
          </w:tcPr>
          <w:p w14:paraId="6E0B7683"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403.5 </w:t>
            </w:r>
          </w:p>
        </w:tc>
      </w:tr>
      <w:tr w:rsidR="0016178C" w:rsidRPr="0016178C" w14:paraId="5C8DE9F2" w14:textId="77777777" w:rsidTr="007A2AC9">
        <w:trPr>
          <w:trHeight w:val="300"/>
        </w:trPr>
        <w:tc>
          <w:tcPr>
            <w:tcW w:w="5500" w:type="dxa"/>
            <w:tcBorders>
              <w:top w:val="nil"/>
              <w:left w:val="nil"/>
              <w:bottom w:val="nil"/>
              <w:right w:val="nil"/>
            </w:tcBorders>
            <w:shd w:val="clear" w:color="auto" w:fill="FFFF00"/>
            <w:noWrap/>
            <w:vAlign w:val="center"/>
            <w:hideMark/>
          </w:tcPr>
          <w:p w14:paraId="3573BBA2"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bCs/>
                <w:color w:val="000000"/>
                <w:sz w:val="18"/>
                <w:szCs w:val="18"/>
                <w:lang w:eastAsia="en-IE"/>
              </w:rPr>
              <w:t>Share-based payments</w:t>
            </w:r>
          </w:p>
        </w:tc>
        <w:tc>
          <w:tcPr>
            <w:tcW w:w="981" w:type="dxa"/>
            <w:tcBorders>
              <w:top w:val="nil"/>
              <w:left w:val="single" w:sz="8" w:space="0" w:color="auto"/>
              <w:bottom w:val="nil"/>
              <w:right w:val="single" w:sz="8" w:space="0" w:color="auto"/>
            </w:tcBorders>
            <w:shd w:val="clear" w:color="auto" w:fill="FFFF00"/>
            <w:noWrap/>
            <w:vAlign w:val="center"/>
            <w:hideMark/>
          </w:tcPr>
          <w:p w14:paraId="33F21037"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736" w:type="dxa"/>
            <w:tcBorders>
              <w:top w:val="nil"/>
              <w:left w:val="nil"/>
              <w:bottom w:val="nil"/>
              <w:right w:val="nil"/>
            </w:tcBorders>
            <w:shd w:val="clear" w:color="auto" w:fill="FFFF00"/>
            <w:noWrap/>
            <w:vAlign w:val="center"/>
            <w:hideMark/>
          </w:tcPr>
          <w:p w14:paraId="6864EA11"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5" w:type="dxa"/>
            <w:tcBorders>
              <w:top w:val="nil"/>
              <w:left w:val="nil"/>
              <w:bottom w:val="nil"/>
              <w:right w:val="nil"/>
            </w:tcBorders>
            <w:shd w:val="clear" w:color="auto" w:fill="FFFF00"/>
            <w:noWrap/>
            <w:vAlign w:val="center"/>
            <w:hideMark/>
          </w:tcPr>
          <w:p w14:paraId="02747116"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92" w:type="dxa"/>
            <w:tcBorders>
              <w:top w:val="nil"/>
              <w:left w:val="nil"/>
              <w:bottom w:val="nil"/>
              <w:right w:val="nil"/>
            </w:tcBorders>
            <w:shd w:val="clear" w:color="auto" w:fill="FFFF00"/>
            <w:noWrap/>
            <w:vAlign w:val="center"/>
            <w:hideMark/>
          </w:tcPr>
          <w:p w14:paraId="4823037A"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7" w:type="dxa"/>
            <w:tcBorders>
              <w:top w:val="nil"/>
              <w:left w:val="nil"/>
              <w:bottom w:val="nil"/>
              <w:right w:val="nil"/>
            </w:tcBorders>
            <w:shd w:val="clear" w:color="auto" w:fill="FFFF00"/>
            <w:noWrap/>
            <w:vAlign w:val="center"/>
            <w:hideMark/>
          </w:tcPr>
          <w:p w14:paraId="024938CB"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78" w:type="dxa"/>
            <w:tcBorders>
              <w:top w:val="nil"/>
              <w:left w:val="single" w:sz="8" w:space="0" w:color="auto"/>
              <w:bottom w:val="nil"/>
              <w:right w:val="nil"/>
            </w:tcBorders>
            <w:shd w:val="clear" w:color="auto" w:fill="FFFF00"/>
            <w:noWrap/>
            <w:vAlign w:val="center"/>
            <w:hideMark/>
          </w:tcPr>
          <w:p w14:paraId="4E146337"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883" w:type="dxa"/>
            <w:tcBorders>
              <w:top w:val="nil"/>
              <w:left w:val="nil"/>
              <w:bottom w:val="nil"/>
              <w:right w:val="single" w:sz="8" w:space="0" w:color="auto"/>
            </w:tcBorders>
            <w:shd w:val="clear" w:color="auto" w:fill="FFFF00"/>
            <w:noWrap/>
            <w:vAlign w:val="center"/>
            <w:hideMark/>
          </w:tcPr>
          <w:p w14:paraId="7F2F19E8"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2.1 </w:t>
            </w:r>
          </w:p>
        </w:tc>
        <w:tc>
          <w:tcPr>
            <w:tcW w:w="1101" w:type="dxa"/>
            <w:tcBorders>
              <w:top w:val="nil"/>
              <w:left w:val="nil"/>
              <w:bottom w:val="nil"/>
              <w:right w:val="nil"/>
            </w:tcBorders>
            <w:shd w:val="clear" w:color="auto" w:fill="FFFF00"/>
            <w:noWrap/>
            <w:vAlign w:val="center"/>
            <w:hideMark/>
          </w:tcPr>
          <w:p w14:paraId="4D01E3D3"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2.1 </w:t>
            </w:r>
          </w:p>
        </w:tc>
      </w:tr>
      <w:tr w:rsidR="0016178C" w:rsidRPr="0016178C" w14:paraId="7D2A44EE" w14:textId="77777777" w:rsidTr="007A2AC9">
        <w:trPr>
          <w:trHeight w:val="300"/>
        </w:trPr>
        <w:tc>
          <w:tcPr>
            <w:tcW w:w="5500" w:type="dxa"/>
            <w:tcBorders>
              <w:top w:val="nil"/>
              <w:left w:val="nil"/>
              <w:bottom w:val="nil"/>
              <w:right w:val="nil"/>
            </w:tcBorders>
            <w:shd w:val="clear" w:color="auto" w:fill="FFFF00"/>
            <w:noWrap/>
            <w:vAlign w:val="center"/>
            <w:hideMark/>
          </w:tcPr>
          <w:p w14:paraId="4B54D004" w14:textId="77777777" w:rsidR="0016178C" w:rsidRPr="0016178C" w:rsidRDefault="0016178C" w:rsidP="0016178C">
            <w:pPr>
              <w:rPr>
                <w:rFonts w:ascii="Calibri" w:hAnsi="Calibri" w:cs="Calibri"/>
                <w:color w:val="000000"/>
                <w:sz w:val="18"/>
                <w:szCs w:val="18"/>
                <w:lang w:eastAsia="en-IE"/>
              </w:rPr>
            </w:pPr>
            <w:r w:rsidRPr="0016178C">
              <w:rPr>
                <w:rFonts w:ascii="Calibri" w:hAnsi="Calibri" w:cs="Calibri"/>
                <w:bCs/>
                <w:color w:val="000000"/>
                <w:sz w:val="18"/>
                <w:szCs w:val="18"/>
                <w:lang w:eastAsia="en-IE"/>
              </w:rPr>
              <w:t>Transfer of exercised and expired share based awards</w:t>
            </w:r>
          </w:p>
        </w:tc>
        <w:tc>
          <w:tcPr>
            <w:tcW w:w="981" w:type="dxa"/>
            <w:tcBorders>
              <w:top w:val="nil"/>
              <w:left w:val="single" w:sz="8" w:space="0" w:color="auto"/>
              <w:bottom w:val="nil"/>
              <w:right w:val="single" w:sz="8" w:space="0" w:color="auto"/>
            </w:tcBorders>
            <w:shd w:val="clear" w:color="auto" w:fill="FFFF00"/>
            <w:noWrap/>
            <w:vAlign w:val="center"/>
            <w:hideMark/>
          </w:tcPr>
          <w:p w14:paraId="0FBD00E6"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736" w:type="dxa"/>
            <w:tcBorders>
              <w:top w:val="nil"/>
              <w:left w:val="nil"/>
              <w:bottom w:val="nil"/>
              <w:right w:val="nil"/>
            </w:tcBorders>
            <w:shd w:val="clear" w:color="auto" w:fill="FFFF00"/>
            <w:noWrap/>
            <w:vAlign w:val="center"/>
            <w:hideMark/>
          </w:tcPr>
          <w:p w14:paraId="60D82A0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1005" w:type="dxa"/>
            <w:tcBorders>
              <w:top w:val="nil"/>
              <w:left w:val="nil"/>
              <w:bottom w:val="nil"/>
              <w:right w:val="nil"/>
            </w:tcBorders>
            <w:shd w:val="clear" w:color="auto" w:fill="FFFF00"/>
            <w:noWrap/>
            <w:vAlign w:val="center"/>
            <w:hideMark/>
          </w:tcPr>
          <w:p w14:paraId="5FD24542"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92" w:type="dxa"/>
            <w:tcBorders>
              <w:top w:val="nil"/>
              <w:left w:val="nil"/>
              <w:bottom w:val="nil"/>
              <w:right w:val="nil"/>
            </w:tcBorders>
            <w:shd w:val="clear" w:color="auto" w:fill="FFFF00"/>
            <w:noWrap/>
            <w:vAlign w:val="center"/>
            <w:hideMark/>
          </w:tcPr>
          <w:p w14:paraId="20B7DD94"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0.9 </w:t>
            </w:r>
          </w:p>
        </w:tc>
        <w:tc>
          <w:tcPr>
            <w:tcW w:w="1007" w:type="dxa"/>
            <w:tcBorders>
              <w:top w:val="nil"/>
              <w:left w:val="nil"/>
              <w:bottom w:val="nil"/>
              <w:right w:val="nil"/>
            </w:tcBorders>
            <w:shd w:val="clear" w:color="auto" w:fill="FFFF00"/>
            <w:noWrap/>
            <w:vAlign w:val="center"/>
            <w:hideMark/>
          </w:tcPr>
          <w:p w14:paraId="48BC401F"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978" w:type="dxa"/>
            <w:tcBorders>
              <w:top w:val="nil"/>
              <w:left w:val="single" w:sz="8" w:space="0" w:color="auto"/>
              <w:bottom w:val="nil"/>
              <w:right w:val="nil"/>
            </w:tcBorders>
            <w:shd w:val="clear" w:color="auto" w:fill="FFFF00"/>
            <w:noWrap/>
            <w:vAlign w:val="center"/>
            <w:hideMark/>
          </w:tcPr>
          <w:p w14:paraId="78F4B86E"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c>
          <w:tcPr>
            <w:tcW w:w="883" w:type="dxa"/>
            <w:tcBorders>
              <w:top w:val="nil"/>
              <w:left w:val="nil"/>
              <w:bottom w:val="nil"/>
              <w:right w:val="single" w:sz="8" w:space="0" w:color="auto"/>
            </w:tcBorders>
            <w:shd w:val="clear" w:color="auto" w:fill="FFFF00"/>
            <w:noWrap/>
            <w:vAlign w:val="center"/>
            <w:hideMark/>
          </w:tcPr>
          <w:p w14:paraId="5F5445A0"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(0.9)</w:t>
            </w:r>
          </w:p>
        </w:tc>
        <w:tc>
          <w:tcPr>
            <w:tcW w:w="1101" w:type="dxa"/>
            <w:tcBorders>
              <w:top w:val="nil"/>
              <w:left w:val="nil"/>
              <w:bottom w:val="nil"/>
              <w:right w:val="nil"/>
            </w:tcBorders>
            <w:shd w:val="clear" w:color="auto" w:fill="FFFF00"/>
            <w:noWrap/>
            <w:vAlign w:val="center"/>
            <w:hideMark/>
          </w:tcPr>
          <w:p w14:paraId="3EFFFA18" w14:textId="77777777" w:rsidR="0016178C" w:rsidRPr="0016178C" w:rsidRDefault="0016178C" w:rsidP="0016178C">
            <w:pPr>
              <w:jc w:val="right"/>
              <w:rPr>
                <w:rFonts w:ascii="Calibri" w:hAnsi="Calibri" w:cs="Calibri"/>
                <w:color w:val="000000"/>
                <w:sz w:val="18"/>
                <w:szCs w:val="18"/>
                <w:lang w:eastAsia="en-IE"/>
              </w:rPr>
            </w:pPr>
            <w:r w:rsidRPr="0016178C">
              <w:rPr>
                <w:rFonts w:ascii="Calibri" w:hAnsi="Calibri" w:cs="Calibri"/>
                <w:bCs/>
                <w:color w:val="000000"/>
                <w:sz w:val="18"/>
                <w:szCs w:val="18"/>
                <w:lang w:eastAsia="en-IE"/>
              </w:rPr>
              <w:t xml:space="preserve"> - </w:t>
            </w:r>
          </w:p>
        </w:tc>
      </w:tr>
      <w:tr w:rsidR="0016178C" w:rsidRPr="0016178C" w14:paraId="1C52C952" w14:textId="77777777" w:rsidTr="007A2AC9">
        <w:trPr>
          <w:trHeight w:val="300"/>
        </w:trPr>
        <w:tc>
          <w:tcPr>
            <w:tcW w:w="5500" w:type="dxa"/>
            <w:tcBorders>
              <w:top w:val="nil"/>
              <w:left w:val="nil"/>
              <w:bottom w:val="nil"/>
              <w:right w:val="nil"/>
            </w:tcBorders>
            <w:shd w:val="clear" w:color="auto" w:fill="FFFF00"/>
            <w:noWrap/>
            <w:vAlign w:val="center"/>
            <w:hideMark/>
          </w:tcPr>
          <w:p w14:paraId="59A352F9" w14:textId="77777777" w:rsidR="0016178C" w:rsidRPr="0016178C" w:rsidRDefault="0016178C" w:rsidP="0016178C">
            <w:pPr>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Balance at September 30, 2020</w:t>
            </w:r>
          </w:p>
        </w:tc>
        <w:tc>
          <w:tcPr>
            <w:tcW w:w="981" w:type="dxa"/>
            <w:tcBorders>
              <w:top w:val="single" w:sz="4" w:space="0" w:color="auto"/>
              <w:left w:val="single" w:sz="8" w:space="0" w:color="auto"/>
              <w:bottom w:val="single" w:sz="4" w:space="0" w:color="auto"/>
              <w:right w:val="single" w:sz="8" w:space="0" w:color="auto"/>
            </w:tcBorders>
            <w:shd w:val="clear" w:color="auto" w:fill="FFFF00"/>
            <w:noWrap/>
            <w:vAlign w:val="center"/>
            <w:hideMark/>
          </w:tcPr>
          <w:p w14:paraId="69B305AD"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1,125.3 </w:t>
            </w:r>
          </w:p>
        </w:tc>
        <w:tc>
          <w:tcPr>
            <w:tcW w:w="736" w:type="dxa"/>
            <w:tcBorders>
              <w:top w:val="single" w:sz="4" w:space="0" w:color="auto"/>
              <w:left w:val="nil"/>
              <w:bottom w:val="single" w:sz="4" w:space="0" w:color="auto"/>
              <w:right w:val="nil"/>
            </w:tcBorders>
            <w:shd w:val="clear" w:color="auto" w:fill="FFFF00"/>
            <w:noWrap/>
            <w:vAlign w:val="center"/>
            <w:hideMark/>
          </w:tcPr>
          <w:p w14:paraId="13EDBB48"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6.7 </w:t>
            </w:r>
          </w:p>
        </w:tc>
        <w:tc>
          <w:tcPr>
            <w:tcW w:w="1005" w:type="dxa"/>
            <w:tcBorders>
              <w:top w:val="single" w:sz="4" w:space="0" w:color="auto"/>
              <w:left w:val="nil"/>
              <w:bottom w:val="single" w:sz="4" w:space="0" w:color="auto"/>
              <w:right w:val="nil"/>
            </w:tcBorders>
            <w:shd w:val="clear" w:color="auto" w:fill="FFFF00"/>
            <w:noWrap/>
            <w:vAlign w:val="center"/>
            <w:hideMark/>
          </w:tcPr>
          <w:p w14:paraId="22366F2F"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1,144.1 </w:t>
            </w:r>
          </w:p>
        </w:tc>
        <w:tc>
          <w:tcPr>
            <w:tcW w:w="992" w:type="dxa"/>
            <w:tcBorders>
              <w:top w:val="single" w:sz="4" w:space="0" w:color="auto"/>
              <w:left w:val="nil"/>
              <w:bottom w:val="single" w:sz="4" w:space="0" w:color="auto"/>
              <w:right w:val="nil"/>
            </w:tcBorders>
            <w:shd w:val="clear" w:color="auto" w:fill="FFFF00"/>
            <w:noWrap/>
            <w:vAlign w:val="center"/>
            <w:hideMark/>
          </w:tcPr>
          <w:p w14:paraId="1D541021"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3,833.1 </w:t>
            </w:r>
          </w:p>
        </w:tc>
        <w:tc>
          <w:tcPr>
            <w:tcW w:w="1007" w:type="dxa"/>
            <w:tcBorders>
              <w:top w:val="single" w:sz="4" w:space="0" w:color="auto"/>
              <w:left w:val="nil"/>
              <w:bottom w:val="single" w:sz="4" w:space="0" w:color="auto"/>
              <w:right w:val="nil"/>
            </w:tcBorders>
            <w:shd w:val="clear" w:color="auto" w:fill="FFFF00"/>
            <w:noWrap/>
            <w:vAlign w:val="center"/>
            <w:hideMark/>
          </w:tcPr>
          <w:p w14:paraId="3CFB825A"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3.5 </w:t>
            </w:r>
          </w:p>
        </w:tc>
        <w:tc>
          <w:tcPr>
            <w:tcW w:w="978" w:type="dxa"/>
            <w:tcBorders>
              <w:top w:val="single" w:sz="4" w:space="0" w:color="auto"/>
              <w:left w:val="single" w:sz="8" w:space="0" w:color="auto"/>
              <w:bottom w:val="single" w:sz="4" w:space="0" w:color="auto"/>
              <w:right w:val="nil"/>
            </w:tcBorders>
            <w:shd w:val="clear" w:color="auto" w:fill="FFFF00"/>
            <w:noWrap/>
            <w:vAlign w:val="center"/>
            <w:hideMark/>
          </w:tcPr>
          <w:p w14:paraId="17C491A9"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(42.2)</w:t>
            </w:r>
          </w:p>
        </w:tc>
        <w:tc>
          <w:tcPr>
            <w:tcW w:w="883" w:type="dxa"/>
            <w:tcBorders>
              <w:top w:val="single" w:sz="4" w:space="0" w:color="auto"/>
              <w:left w:val="nil"/>
              <w:bottom w:val="single" w:sz="4" w:space="0" w:color="auto"/>
              <w:right w:val="single" w:sz="8" w:space="0" w:color="auto"/>
            </w:tcBorders>
            <w:shd w:val="clear" w:color="auto" w:fill="FFFF00"/>
            <w:noWrap/>
            <w:vAlign w:val="center"/>
            <w:hideMark/>
          </w:tcPr>
          <w:p w14:paraId="6B14C780"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33.5 </w:t>
            </w:r>
          </w:p>
        </w:tc>
        <w:tc>
          <w:tcPr>
            <w:tcW w:w="1101" w:type="dxa"/>
            <w:tcBorders>
              <w:top w:val="single" w:sz="4" w:space="0" w:color="auto"/>
              <w:left w:val="nil"/>
              <w:bottom w:val="single" w:sz="4" w:space="0" w:color="auto"/>
              <w:right w:val="nil"/>
            </w:tcBorders>
            <w:shd w:val="clear" w:color="auto" w:fill="FFFF00"/>
            <w:noWrap/>
            <w:vAlign w:val="center"/>
            <w:hideMark/>
          </w:tcPr>
          <w:p w14:paraId="173661CE"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xml:space="preserve">      4,978.7 </w:t>
            </w:r>
          </w:p>
        </w:tc>
      </w:tr>
      <w:tr w:rsidR="0016178C" w:rsidRPr="0016178C" w14:paraId="2023C25D" w14:textId="77777777" w:rsidTr="007A2AC9">
        <w:trPr>
          <w:trHeight w:val="315"/>
        </w:trPr>
        <w:tc>
          <w:tcPr>
            <w:tcW w:w="5500" w:type="dxa"/>
            <w:tcBorders>
              <w:top w:val="nil"/>
              <w:left w:val="nil"/>
              <w:bottom w:val="nil"/>
              <w:right w:val="nil"/>
            </w:tcBorders>
            <w:shd w:val="clear" w:color="auto" w:fill="FFFF00"/>
            <w:vAlign w:val="center"/>
            <w:hideMark/>
          </w:tcPr>
          <w:p w14:paraId="2F020C15" w14:textId="77777777" w:rsidR="0016178C" w:rsidRPr="0016178C" w:rsidRDefault="0016178C" w:rsidP="0016178C">
            <w:pPr>
              <w:jc w:val="right"/>
              <w:rPr>
                <w:rFonts w:ascii="Calibri" w:hAnsi="Calibri" w:cs="Calibri"/>
                <w:b/>
                <w:bCs/>
                <w:color w:val="000000"/>
                <w:sz w:val="18"/>
                <w:szCs w:val="18"/>
                <w:lang w:eastAsia="en-IE"/>
              </w:rPr>
            </w:pPr>
          </w:p>
        </w:tc>
        <w:tc>
          <w:tcPr>
            <w:tcW w:w="981" w:type="dxa"/>
            <w:tcBorders>
              <w:top w:val="nil"/>
              <w:left w:val="single" w:sz="8" w:space="0" w:color="auto"/>
              <w:bottom w:val="single" w:sz="8" w:space="0" w:color="auto"/>
              <w:right w:val="single" w:sz="8" w:space="0" w:color="auto"/>
            </w:tcBorders>
            <w:shd w:val="clear" w:color="auto" w:fill="FFFF00"/>
            <w:vAlign w:val="center"/>
            <w:hideMark/>
          </w:tcPr>
          <w:p w14:paraId="7C964B6E"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w:t>
            </w:r>
          </w:p>
        </w:tc>
        <w:tc>
          <w:tcPr>
            <w:tcW w:w="736" w:type="dxa"/>
            <w:tcBorders>
              <w:top w:val="nil"/>
              <w:left w:val="nil"/>
              <w:bottom w:val="nil"/>
              <w:right w:val="nil"/>
            </w:tcBorders>
            <w:shd w:val="clear" w:color="auto" w:fill="FFFF00"/>
            <w:vAlign w:val="center"/>
            <w:hideMark/>
          </w:tcPr>
          <w:p w14:paraId="2CD8B7F1" w14:textId="77777777" w:rsidR="0016178C" w:rsidRPr="0016178C" w:rsidRDefault="0016178C" w:rsidP="0016178C">
            <w:pPr>
              <w:jc w:val="right"/>
              <w:rPr>
                <w:rFonts w:ascii="Calibri" w:hAnsi="Calibri" w:cs="Calibri"/>
                <w:b/>
                <w:bCs/>
                <w:color w:val="000000"/>
                <w:sz w:val="18"/>
                <w:szCs w:val="18"/>
                <w:lang w:eastAsia="en-IE"/>
              </w:rPr>
            </w:pPr>
          </w:p>
        </w:tc>
        <w:tc>
          <w:tcPr>
            <w:tcW w:w="1005" w:type="dxa"/>
            <w:tcBorders>
              <w:top w:val="nil"/>
              <w:left w:val="nil"/>
              <w:bottom w:val="nil"/>
              <w:right w:val="nil"/>
            </w:tcBorders>
            <w:shd w:val="clear" w:color="auto" w:fill="FFFF00"/>
            <w:vAlign w:val="center"/>
            <w:hideMark/>
          </w:tcPr>
          <w:p w14:paraId="1115717E" w14:textId="77777777" w:rsidR="0016178C" w:rsidRPr="0016178C" w:rsidRDefault="0016178C" w:rsidP="0016178C">
            <w:pPr>
              <w:jc w:val="right"/>
              <w:rPr>
                <w:sz w:val="20"/>
                <w:szCs w:val="20"/>
                <w:lang w:eastAsia="en-IE"/>
              </w:rPr>
            </w:pPr>
          </w:p>
        </w:tc>
        <w:tc>
          <w:tcPr>
            <w:tcW w:w="992" w:type="dxa"/>
            <w:tcBorders>
              <w:top w:val="nil"/>
              <w:left w:val="nil"/>
              <w:bottom w:val="nil"/>
              <w:right w:val="nil"/>
            </w:tcBorders>
            <w:shd w:val="clear" w:color="auto" w:fill="FFFF00"/>
            <w:vAlign w:val="center"/>
            <w:hideMark/>
          </w:tcPr>
          <w:p w14:paraId="7EAFB98C" w14:textId="77777777" w:rsidR="0016178C" w:rsidRPr="0016178C" w:rsidRDefault="0016178C" w:rsidP="0016178C">
            <w:pPr>
              <w:jc w:val="right"/>
              <w:rPr>
                <w:sz w:val="20"/>
                <w:szCs w:val="20"/>
                <w:lang w:eastAsia="en-IE"/>
              </w:rPr>
            </w:pPr>
          </w:p>
        </w:tc>
        <w:tc>
          <w:tcPr>
            <w:tcW w:w="1007" w:type="dxa"/>
            <w:tcBorders>
              <w:top w:val="nil"/>
              <w:left w:val="nil"/>
              <w:bottom w:val="nil"/>
              <w:right w:val="nil"/>
            </w:tcBorders>
            <w:shd w:val="clear" w:color="auto" w:fill="FFFF00"/>
            <w:vAlign w:val="center"/>
            <w:hideMark/>
          </w:tcPr>
          <w:p w14:paraId="366E3AB4" w14:textId="77777777" w:rsidR="0016178C" w:rsidRPr="0016178C" w:rsidRDefault="0016178C" w:rsidP="0016178C">
            <w:pPr>
              <w:jc w:val="right"/>
              <w:rPr>
                <w:sz w:val="20"/>
                <w:szCs w:val="20"/>
                <w:lang w:eastAsia="en-IE"/>
              </w:rPr>
            </w:pPr>
          </w:p>
        </w:tc>
        <w:tc>
          <w:tcPr>
            <w:tcW w:w="978" w:type="dxa"/>
            <w:tcBorders>
              <w:top w:val="nil"/>
              <w:left w:val="single" w:sz="8" w:space="0" w:color="auto"/>
              <w:bottom w:val="single" w:sz="8" w:space="0" w:color="auto"/>
              <w:right w:val="nil"/>
            </w:tcBorders>
            <w:shd w:val="clear" w:color="auto" w:fill="FFFF00"/>
            <w:vAlign w:val="center"/>
            <w:hideMark/>
          </w:tcPr>
          <w:p w14:paraId="3DCED532"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w:t>
            </w:r>
          </w:p>
        </w:tc>
        <w:tc>
          <w:tcPr>
            <w:tcW w:w="883" w:type="dxa"/>
            <w:tcBorders>
              <w:top w:val="nil"/>
              <w:left w:val="nil"/>
              <w:bottom w:val="single" w:sz="8" w:space="0" w:color="auto"/>
              <w:right w:val="single" w:sz="8" w:space="0" w:color="auto"/>
            </w:tcBorders>
            <w:shd w:val="clear" w:color="auto" w:fill="FFFF00"/>
            <w:vAlign w:val="center"/>
            <w:hideMark/>
          </w:tcPr>
          <w:p w14:paraId="42D5B5C8" w14:textId="77777777" w:rsidR="0016178C" w:rsidRPr="0016178C" w:rsidRDefault="0016178C" w:rsidP="0016178C">
            <w:pPr>
              <w:jc w:val="right"/>
              <w:rPr>
                <w:rFonts w:ascii="Calibri" w:hAnsi="Calibri" w:cs="Calibri"/>
                <w:b/>
                <w:bCs/>
                <w:color w:val="000000"/>
                <w:sz w:val="18"/>
                <w:szCs w:val="18"/>
                <w:lang w:eastAsia="en-IE"/>
              </w:rPr>
            </w:pPr>
            <w:r w:rsidRPr="0016178C">
              <w:rPr>
                <w:rFonts w:ascii="Calibri" w:hAnsi="Calibri" w:cs="Calibri"/>
                <w:b/>
                <w:bCs/>
                <w:color w:val="000000"/>
                <w:sz w:val="18"/>
                <w:szCs w:val="18"/>
                <w:lang w:eastAsia="en-IE"/>
              </w:rPr>
              <w:t> </w:t>
            </w:r>
          </w:p>
        </w:tc>
        <w:tc>
          <w:tcPr>
            <w:tcW w:w="1101" w:type="dxa"/>
            <w:tcBorders>
              <w:top w:val="nil"/>
              <w:left w:val="nil"/>
              <w:bottom w:val="nil"/>
              <w:right w:val="nil"/>
            </w:tcBorders>
            <w:shd w:val="clear" w:color="auto" w:fill="FFFF00"/>
            <w:vAlign w:val="center"/>
            <w:hideMark/>
          </w:tcPr>
          <w:p w14:paraId="1BAB9299" w14:textId="77777777" w:rsidR="0016178C" w:rsidRPr="0016178C" w:rsidRDefault="0016178C" w:rsidP="0016178C">
            <w:pPr>
              <w:jc w:val="right"/>
              <w:rPr>
                <w:rFonts w:ascii="Calibri" w:hAnsi="Calibri" w:cs="Calibri"/>
                <w:b/>
                <w:bCs/>
                <w:color w:val="000000"/>
                <w:sz w:val="18"/>
                <w:szCs w:val="18"/>
                <w:lang w:eastAsia="en-IE"/>
              </w:rPr>
            </w:pPr>
          </w:p>
        </w:tc>
      </w:tr>
    </w:tbl>
    <w:p w14:paraId="646EB70E" w14:textId="06718E73" w:rsidR="00527C5C" w:rsidRDefault="00527C5C" w:rsidP="00D72D0A">
      <w:pPr>
        <w:tabs>
          <w:tab w:val="left" w:pos="7655"/>
        </w:tabs>
        <w:ind w:right="4"/>
        <w:rPr>
          <w:rFonts w:ascii="Calibri" w:hAnsi="Calibri" w:cs="Calibri"/>
          <w:b/>
          <w:bCs/>
          <w:i/>
          <w:iCs/>
          <w:color w:val="FF0000"/>
          <w:sz w:val="22"/>
          <w:szCs w:val="22"/>
        </w:rPr>
      </w:pPr>
    </w:p>
    <w:p w14:paraId="5CA54876" w14:textId="4BD9B1D4" w:rsidR="00527C5C" w:rsidRDefault="00527C5C" w:rsidP="00D72D0A">
      <w:pPr>
        <w:tabs>
          <w:tab w:val="left" w:pos="7655"/>
        </w:tabs>
        <w:ind w:right="4"/>
        <w:rPr>
          <w:rFonts w:ascii="Calibri" w:hAnsi="Calibri" w:cs="Calibri"/>
          <w:b/>
          <w:bCs/>
          <w:i/>
          <w:iCs/>
          <w:color w:val="FF0000"/>
          <w:sz w:val="22"/>
          <w:szCs w:val="22"/>
        </w:rPr>
      </w:pPr>
    </w:p>
    <w:p w14:paraId="0678C81A" w14:textId="77777777" w:rsidR="00C214C6" w:rsidRDefault="00C214C6" w:rsidP="00832D00">
      <w:pPr>
        <w:jc w:val="both"/>
        <w:rPr>
          <w:rFonts w:ascii="Calibri" w:hAnsi="Calibri" w:cs="Calibri"/>
          <w:b/>
        </w:rPr>
      </w:pPr>
      <w:bookmarkStart w:id="0" w:name="_Hlk496863115"/>
    </w:p>
    <w:p w14:paraId="6C5717AE" w14:textId="77777777" w:rsidR="000A033F" w:rsidRPr="004A0241" w:rsidRDefault="000A033F" w:rsidP="000A033F">
      <w:pPr>
        <w:rPr>
          <w:rFonts w:ascii="Calibri" w:hAnsi="Calibri" w:cs="Calibri"/>
          <w:b/>
        </w:rPr>
      </w:pPr>
      <w:r w:rsidRPr="004A0241">
        <w:rPr>
          <w:rFonts w:ascii="Calibri" w:hAnsi="Calibri" w:cs="Calibri"/>
          <w:b/>
        </w:rPr>
        <w:t>Ryanair Holdings plc and Subsidiaries</w:t>
      </w:r>
    </w:p>
    <w:p w14:paraId="643453A9" w14:textId="77777777" w:rsidR="000A033F" w:rsidRPr="004A0241" w:rsidRDefault="000A033F" w:rsidP="000A033F">
      <w:pPr>
        <w:rPr>
          <w:rFonts w:ascii="Calibri" w:hAnsi="Calibri" w:cs="Calibri"/>
          <w:b/>
        </w:rPr>
      </w:pPr>
    </w:p>
    <w:p w14:paraId="13F4C2E8" w14:textId="0EB84AED" w:rsidR="00A24B23" w:rsidRPr="004A0241" w:rsidRDefault="00A24B23" w:rsidP="00A24B23">
      <w:pPr>
        <w:rPr>
          <w:rFonts w:ascii="Calibri" w:hAnsi="Calibri" w:cs="Calibri"/>
          <w:b/>
        </w:rPr>
      </w:pPr>
      <w:r w:rsidRPr="004A0241">
        <w:rPr>
          <w:rFonts w:ascii="Calibri" w:hAnsi="Calibri" w:cs="Calibri"/>
          <w:b/>
        </w:rPr>
        <w:t xml:space="preserve">MD&amp;A </w:t>
      </w:r>
      <w:r>
        <w:rPr>
          <w:rFonts w:ascii="Calibri" w:hAnsi="Calibri" w:cs="Calibri"/>
          <w:b/>
        </w:rPr>
        <w:t>Half-Year</w:t>
      </w:r>
      <w:r w:rsidRPr="004A0241">
        <w:rPr>
          <w:rFonts w:ascii="Calibri" w:hAnsi="Calibri" w:cs="Calibri"/>
          <w:b/>
        </w:rPr>
        <w:t xml:space="preserve"> Ended </w:t>
      </w:r>
      <w:r>
        <w:rPr>
          <w:rFonts w:ascii="Calibri" w:hAnsi="Calibri" w:cs="Calibri"/>
          <w:b/>
        </w:rPr>
        <w:t>September</w:t>
      </w:r>
      <w:r w:rsidRPr="004A0241">
        <w:rPr>
          <w:rFonts w:ascii="Calibri" w:hAnsi="Calibri" w:cs="Calibri"/>
          <w:b/>
        </w:rPr>
        <w:t xml:space="preserve"> 30, 2020</w:t>
      </w:r>
    </w:p>
    <w:p w14:paraId="2FE605D7" w14:textId="77777777" w:rsidR="00A24B23" w:rsidRPr="009231B1" w:rsidRDefault="00A24B23" w:rsidP="00A24B23">
      <w:pPr>
        <w:rPr>
          <w:rFonts w:ascii="Calibri" w:hAnsi="Calibri" w:cs="Calibri"/>
          <w:b/>
          <w:highlight w:val="yellow"/>
        </w:rPr>
      </w:pPr>
    </w:p>
    <w:p w14:paraId="6CE73A08" w14:textId="77777777" w:rsidR="00936361" w:rsidRPr="00C22F7C" w:rsidRDefault="00936361" w:rsidP="00936361">
      <w:pPr>
        <w:rPr>
          <w:rFonts w:ascii="Calibri" w:hAnsi="Calibri" w:cs="Calibri"/>
          <w:b/>
          <w:sz w:val="22"/>
          <w:szCs w:val="22"/>
        </w:rPr>
      </w:pPr>
      <w:r w:rsidRPr="00C22F7C">
        <w:rPr>
          <w:rFonts w:ascii="Calibri" w:hAnsi="Calibri" w:cs="Calibri"/>
          <w:b/>
          <w:sz w:val="22"/>
          <w:szCs w:val="22"/>
        </w:rPr>
        <w:t>Introduction</w:t>
      </w:r>
    </w:p>
    <w:p w14:paraId="7DAA276F" w14:textId="77777777" w:rsidR="00936361" w:rsidRPr="00C22F7C" w:rsidRDefault="00936361" w:rsidP="00936361">
      <w:pPr>
        <w:jc w:val="both"/>
        <w:rPr>
          <w:rFonts w:ascii="Calibri" w:hAnsi="Calibri" w:cs="Calibri"/>
          <w:sz w:val="22"/>
          <w:szCs w:val="22"/>
        </w:rPr>
      </w:pPr>
      <w:r w:rsidRPr="00C22F7C">
        <w:rPr>
          <w:rFonts w:ascii="Calibri" w:hAnsi="Calibri" w:cs="Calibri"/>
          <w:sz w:val="22"/>
          <w:szCs w:val="22"/>
        </w:rPr>
        <w:t>For the purposes of the Management Discussion and Analysis (“MD&amp;A”) (with the exception of the balance sheet commentary below) all figures and comments are by reference to the adjusted results excluding the exceptional item referred to below.</w:t>
      </w:r>
    </w:p>
    <w:p w14:paraId="03B7C823" w14:textId="77777777" w:rsidR="00936361" w:rsidRPr="00C22F7C" w:rsidRDefault="00936361" w:rsidP="00936361">
      <w:pPr>
        <w:jc w:val="both"/>
        <w:rPr>
          <w:rFonts w:ascii="Calibri" w:hAnsi="Calibri" w:cs="Calibri"/>
          <w:sz w:val="22"/>
          <w:szCs w:val="22"/>
        </w:rPr>
      </w:pPr>
    </w:p>
    <w:p w14:paraId="394B5BE4" w14:textId="3C858F1A" w:rsidR="00936361" w:rsidRDefault="00936361" w:rsidP="00936361">
      <w:pPr>
        <w:rPr>
          <w:rFonts w:ascii="Calibri" w:hAnsi="Calibri" w:cs="Calibri"/>
          <w:b/>
          <w:sz w:val="22"/>
          <w:szCs w:val="22"/>
          <w:u w:val="single"/>
        </w:rPr>
      </w:pPr>
      <w:r w:rsidRPr="00C22F7C">
        <w:rPr>
          <w:rFonts w:ascii="Calibri" w:hAnsi="Calibri" w:cs="Calibri"/>
          <w:sz w:val="22"/>
          <w:szCs w:val="22"/>
        </w:rPr>
        <w:t>Ongoing EU Government travel &amp; flight restrictions as a result of Covid-19 means that the Group will operate a significantly reduced flying schedule in H2 FY21 compared to what was originally expected. Therefore, the Group is recording an exceptional hedge ineffectiveness charge of €167M (net of a tax credit) in relation to H2 FY21 jet fuel hedges and a €47M charge (net of a tax credit) in relation to ineffective currency cashflow hedges primarily from delayed capex.</w:t>
      </w:r>
    </w:p>
    <w:p w14:paraId="7AC7664C" w14:textId="77777777" w:rsidR="00936361" w:rsidRDefault="00936361" w:rsidP="00A24B23">
      <w:pPr>
        <w:rPr>
          <w:rFonts w:ascii="Calibri" w:hAnsi="Calibri" w:cs="Calibri"/>
          <w:b/>
          <w:sz w:val="22"/>
          <w:szCs w:val="22"/>
          <w:u w:val="single"/>
        </w:rPr>
      </w:pPr>
    </w:p>
    <w:p w14:paraId="267ACE7E" w14:textId="1B111E62" w:rsidR="00A24B23" w:rsidRPr="00A35C07" w:rsidRDefault="00A24B23" w:rsidP="00A24B23">
      <w:pPr>
        <w:rPr>
          <w:rFonts w:ascii="Calibri" w:hAnsi="Calibri" w:cs="Calibri"/>
          <w:b/>
          <w:sz w:val="22"/>
          <w:szCs w:val="22"/>
          <w:u w:val="single"/>
        </w:rPr>
      </w:pPr>
      <w:r w:rsidRPr="00A35C07">
        <w:rPr>
          <w:rFonts w:ascii="Calibri" w:hAnsi="Calibri" w:cs="Calibri"/>
          <w:b/>
          <w:sz w:val="22"/>
          <w:szCs w:val="22"/>
          <w:u w:val="single"/>
        </w:rPr>
        <w:t>Income Statement</w:t>
      </w:r>
    </w:p>
    <w:p w14:paraId="505072E4" w14:textId="77777777" w:rsidR="00A24B23" w:rsidRPr="009231B1" w:rsidRDefault="00A24B23" w:rsidP="00A24B23">
      <w:pPr>
        <w:rPr>
          <w:rFonts w:ascii="Calibri" w:hAnsi="Calibri" w:cs="Calibri"/>
          <w:b/>
          <w:sz w:val="22"/>
          <w:szCs w:val="22"/>
          <w:highlight w:val="yellow"/>
        </w:rPr>
      </w:pPr>
    </w:p>
    <w:p w14:paraId="39547ABB" w14:textId="77777777" w:rsidR="00A24B23" w:rsidRPr="002C741F" w:rsidRDefault="00A24B23" w:rsidP="00A24B23">
      <w:pPr>
        <w:keepNext/>
        <w:jc w:val="both"/>
        <w:rPr>
          <w:rFonts w:ascii="Calibri" w:hAnsi="Calibri" w:cs="Calibri"/>
          <w:b/>
          <w:sz w:val="22"/>
          <w:szCs w:val="22"/>
        </w:rPr>
      </w:pPr>
      <w:r w:rsidRPr="002C741F">
        <w:rPr>
          <w:rFonts w:ascii="Calibri" w:hAnsi="Calibri" w:cs="Calibri"/>
          <w:b/>
          <w:sz w:val="22"/>
          <w:szCs w:val="22"/>
        </w:rPr>
        <w:t>Scheduled revenues:</w:t>
      </w:r>
      <w:r w:rsidRPr="002C741F">
        <w:rPr>
          <w:rFonts w:ascii="Calibri" w:hAnsi="Calibri" w:cs="Calibri"/>
          <w:b/>
          <w:sz w:val="22"/>
          <w:szCs w:val="22"/>
        </w:rPr>
        <w:tab/>
      </w:r>
    </w:p>
    <w:p w14:paraId="78F532F8" w14:textId="5020B3DC" w:rsidR="00A24B23" w:rsidRPr="002C741F" w:rsidRDefault="002F64DB" w:rsidP="002F64DB">
      <w:pPr>
        <w:jc w:val="both"/>
        <w:rPr>
          <w:rFonts w:ascii="Calibri" w:hAnsi="Calibri" w:cs="Calibri"/>
          <w:sz w:val="22"/>
          <w:szCs w:val="22"/>
        </w:rPr>
      </w:pPr>
      <w:r>
        <w:rPr>
          <w:rFonts w:ascii="Calibri" w:hAnsi="Calibri" w:cs="Calibri"/>
          <w:sz w:val="22"/>
          <w:szCs w:val="22"/>
        </w:rPr>
        <w:t xml:space="preserve">Scheduled revenues decreased by </w:t>
      </w:r>
      <w:r>
        <w:rPr>
          <w:rFonts w:ascii="Calibri" w:hAnsi="Calibri" w:cs="Calibri"/>
          <w:b/>
          <w:sz w:val="22"/>
          <w:szCs w:val="22"/>
        </w:rPr>
        <w:t>79% to €790.8M</w:t>
      </w:r>
      <w:r>
        <w:rPr>
          <w:rFonts w:ascii="Calibri" w:hAnsi="Calibri" w:cs="Calibri"/>
          <w:sz w:val="22"/>
          <w:szCs w:val="22"/>
        </w:rPr>
        <w:t xml:space="preserve"> due to an 80% decline in traffic to 17M as EU Governments imposed flight and/or travel bans due to the Covid-19 pandemic. This grounded approx. 99% of the Group</w:t>
      </w:r>
      <w:r w:rsidR="00EB583C">
        <w:rPr>
          <w:rFonts w:ascii="Calibri" w:hAnsi="Calibri" w:cs="Calibri"/>
          <w:sz w:val="22"/>
          <w:szCs w:val="22"/>
        </w:rPr>
        <w:t>’</w:t>
      </w:r>
      <w:r>
        <w:rPr>
          <w:rFonts w:ascii="Calibri" w:hAnsi="Calibri" w:cs="Calibri"/>
          <w:sz w:val="22"/>
          <w:szCs w:val="22"/>
        </w:rPr>
        <w:t>s fleet for almost 4 months (from mid-March to late June). The Group operated approximately 50% of its normal Q2 schedule with a 72% load factor.</w:t>
      </w:r>
      <w:r w:rsidR="00A24B23">
        <w:rPr>
          <w:rFonts w:ascii="Calibri" w:hAnsi="Calibri" w:cs="Calibri"/>
          <w:sz w:val="22"/>
          <w:szCs w:val="22"/>
        </w:rPr>
        <w:t xml:space="preserve"> </w:t>
      </w:r>
    </w:p>
    <w:p w14:paraId="71B14888" w14:textId="77777777" w:rsidR="00A24B23" w:rsidRPr="009231B1" w:rsidRDefault="00A24B23" w:rsidP="00A24B23">
      <w:pPr>
        <w:keepNext/>
        <w:ind w:left="720"/>
        <w:jc w:val="both"/>
        <w:rPr>
          <w:rFonts w:ascii="Calibri" w:hAnsi="Calibri" w:cs="Calibri"/>
          <w:sz w:val="22"/>
          <w:szCs w:val="22"/>
          <w:highlight w:val="yellow"/>
        </w:rPr>
      </w:pPr>
    </w:p>
    <w:p w14:paraId="39386DBC" w14:textId="77777777" w:rsidR="00A24B23" w:rsidRPr="004877FD" w:rsidRDefault="00A24B23" w:rsidP="00A24B23">
      <w:pPr>
        <w:jc w:val="both"/>
        <w:rPr>
          <w:rFonts w:ascii="Calibri" w:hAnsi="Calibri" w:cs="Calibri"/>
          <w:b/>
          <w:sz w:val="22"/>
          <w:szCs w:val="22"/>
        </w:rPr>
      </w:pPr>
      <w:r w:rsidRPr="004877FD">
        <w:rPr>
          <w:rFonts w:ascii="Calibri" w:hAnsi="Calibri" w:cs="Calibri"/>
          <w:b/>
          <w:sz w:val="22"/>
          <w:szCs w:val="22"/>
        </w:rPr>
        <w:t xml:space="preserve">Ancillary revenues: </w:t>
      </w:r>
      <w:r w:rsidRPr="004877FD">
        <w:rPr>
          <w:rFonts w:ascii="Calibri" w:hAnsi="Calibri" w:cs="Calibri"/>
          <w:b/>
          <w:sz w:val="22"/>
          <w:szCs w:val="22"/>
        </w:rPr>
        <w:tab/>
      </w:r>
      <w:r w:rsidRPr="004877FD">
        <w:rPr>
          <w:rFonts w:ascii="Calibri" w:hAnsi="Calibri" w:cs="Calibri"/>
          <w:b/>
          <w:sz w:val="22"/>
          <w:szCs w:val="22"/>
        </w:rPr>
        <w:tab/>
      </w:r>
      <w:r w:rsidRPr="004877FD">
        <w:rPr>
          <w:rFonts w:ascii="Calibri" w:hAnsi="Calibri" w:cs="Calibri"/>
          <w:b/>
          <w:sz w:val="22"/>
          <w:szCs w:val="22"/>
        </w:rPr>
        <w:tab/>
      </w:r>
      <w:r w:rsidRPr="004877FD">
        <w:rPr>
          <w:rFonts w:ascii="Calibri" w:hAnsi="Calibri" w:cs="Calibri"/>
          <w:b/>
          <w:sz w:val="22"/>
          <w:szCs w:val="22"/>
        </w:rPr>
        <w:tab/>
      </w:r>
      <w:r w:rsidRPr="004877FD">
        <w:rPr>
          <w:rFonts w:ascii="Calibri" w:hAnsi="Calibri" w:cs="Calibri"/>
          <w:b/>
          <w:sz w:val="22"/>
          <w:szCs w:val="22"/>
        </w:rPr>
        <w:tab/>
      </w:r>
      <w:r w:rsidRPr="004877FD">
        <w:rPr>
          <w:rFonts w:ascii="Calibri" w:hAnsi="Calibri" w:cs="Calibri"/>
          <w:b/>
          <w:sz w:val="22"/>
          <w:szCs w:val="22"/>
        </w:rPr>
        <w:tab/>
      </w:r>
      <w:r w:rsidRPr="004877FD">
        <w:rPr>
          <w:rFonts w:ascii="Calibri" w:hAnsi="Calibri" w:cs="Calibri"/>
          <w:b/>
          <w:sz w:val="22"/>
          <w:szCs w:val="22"/>
        </w:rPr>
        <w:tab/>
      </w:r>
      <w:r w:rsidRPr="004877FD">
        <w:rPr>
          <w:rFonts w:ascii="Calibri" w:hAnsi="Calibri" w:cs="Calibri"/>
          <w:b/>
          <w:sz w:val="22"/>
          <w:szCs w:val="22"/>
        </w:rPr>
        <w:tab/>
        <w:t xml:space="preserve">      </w:t>
      </w:r>
    </w:p>
    <w:p w14:paraId="44D6A787" w14:textId="43FAC09C" w:rsidR="00A24B23" w:rsidRPr="004877FD" w:rsidRDefault="002F64DB" w:rsidP="00A24B23">
      <w:pPr>
        <w:contextualSpacing/>
        <w:jc w:val="both"/>
        <w:rPr>
          <w:rFonts w:ascii="Calibri" w:hAnsi="Calibri" w:cs="Calibri"/>
          <w:sz w:val="22"/>
          <w:szCs w:val="22"/>
        </w:rPr>
      </w:pPr>
      <w:r>
        <w:rPr>
          <w:rFonts w:ascii="Calibri" w:hAnsi="Calibri" w:cs="Calibri"/>
          <w:sz w:val="22"/>
          <w:szCs w:val="22"/>
        </w:rPr>
        <w:t xml:space="preserve">Ancillary revenues decreased by </w:t>
      </w:r>
      <w:r>
        <w:rPr>
          <w:rFonts w:ascii="Calibri" w:hAnsi="Calibri" w:cs="Calibri"/>
          <w:b/>
          <w:sz w:val="22"/>
          <w:szCs w:val="22"/>
        </w:rPr>
        <w:t>77% to €385.4M</w:t>
      </w:r>
      <w:r>
        <w:rPr>
          <w:rFonts w:ascii="Calibri" w:hAnsi="Calibri" w:cs="Calibri"/>
          <w:sz w:val="22"/>
          <w:szCs w:val="22"/>
        </w:rPr>
        <w:t xml:space="preserve"> due to an 80% decline in traffic (as highlighted above) to 17M offset by a strong performance in priority boarding and reserved seating</w:t>
      </w:r>
      <w:r w:rsidR="00A24B23" w:rsidRPr="004877FD">
        <w:rPr>
          <w:rFonts w:ascii="Calibri" w:hAnsi="Calibri" w:cs="Calibri"/>
          <w:sz w:val="22"/>
          <w:szCs w:val="22"/>
        </w:rPr>
        <w:t>.</w:t>
      </w:r>
    </w:p>
    <w:p w14:paraId="79E5C4E6" w14:textId="77777777" w:rsidR="00A24B23" w:rsidRPr="009231B1" w:rsidRDefault="00A24B23" w:rsidP="00A24B23">
      <w:pPr>
        <w:contextualSpacing/>
        <w:jc w:val="both"/>
        <w:rPr>
          <w:rFonts w:ascii="Calibri" w:hAnsi="Calibri" w:cs="Calibri"/>
          <w:sz w:val="22"/>
          <w:szCs w:val="22"/>
          <w:highlight w:val="yellow"/>
        </w:rPr>
      </w:pPr>
    </w:p>
    <w:p w14:paraId="7EBFAA1B" w14:textId="77777777" w:rsidR="00A24B23" w:rsidRPr="0096446E" w:rsidRDefault="00A24B23" w:rsidP="00A24B23">
      <w:pPr>
        <w:contextualSpacing/>
        <w:jc w:val="both"/>
        <w:rPr>
          <w:rFonts w:ascii="Calibri" w:hAnsi="Calibri" w:cs="Calibri"/>
          <w:b/>
          <w:sz w:val="22"/>
          <w:szCs w:val="22"/>
        </w:rPr>
      </w:pPr>
      <w:r w:rsidRPr="0096446E">
        <w:rPr>
          <w:rFonts w:ascii="Calibri" w:hAnsi="Calibri" w:cs="Calibri"/>
          <w:b/>
          <w:sz w:val="22"/>
          <w:szCs w:val="22"/>
        </w:rPr>
        <w:t>Total revenues:</w:t>
      </w:r>
    </w:p>
    <w:p w14:paraId="19EDC612" w14:textId="642DACE5" w:rsidR="00A24B23" w:rsidRDefault="002F64DB" w:rsidP="00A24B23">
      <w:pPr>
        <w:contextualSpacing/>
        <w:jc w:val="both"/>
        <w:rPr>
          <w:rFonts w:ascii="Calibri" w:hAnsi="Calibri" w:cs="Calibri"/>
          <w:sz w:val="22"/>
          <w:szCs w:val="22"/>
        </w:rPr>
      </w:pPr>
      <w:r>
        <w:rPr>
          <w:rFonts w:ascii="Calibri" w:hAnsi="Calibri" w:cs="Calibri"/>
          <w:sz w:val="22"/>
          <w:szCs w:val="22"/>
        </w:rPr>
        <w:t xml:space="preserve">As a result of the above, total revenues decreased by </w:t>
      </w:r>
      <w:r>
        <w:rPr>
          <w:rFonts w:ascii="Calibri" w:hAnsi="Calibri" w:cs="Calibri"/>
          <w:b/>
          <w:sz w:val="22"/>
          <w:szCs w:val="22"/>
        </w:rPr>
        <w:t>78% to €1,176.2M</w:t>
      </w:r>
      <w:r w:rsidR="00A24B23">
        <w:rPr>
          <w:rFonts w:ascii="Calibri" w:hAnsi="Calibri" w:cs="Calibri"/>
          <w:b/>
          <w:sz w:val="22"/>
          <w:szCs w:val="22"/>
        </w:rPr>
        <w:t>.</w:t>
      </w:r>
    </w:p>
    <w:p w14:paraId="51D4688B" w14:textId="77777777" w:rsidR="00A24B23" w:rsidRPr="001202E6" w:rsidRDefault="00A24B23" w:rsidP="00A24B23">
      <w:pPr>
        <w:contextualSpacing/>
        <w:jc w:val="both"/>
        <w:rPr>
          <w:rFonts w:ascii="Calibri" w:hAnsi="Calibri" w:cs="Calibri"/>
          <w:sz w:val="22"/>
          <w:szCs w:val="22"/>
        </w:rPr>
      </w:pPr>
    </w:p>
    <w:p w14:paraId="5CBB8BB0" w14:textId="77777777" w:rsidR="00A24B23" w:rsidRPr="00BD1FBC" w:rsidRDefault="00A24B23" w:rsidP="00A24B23">
      <w:pPr>
        <w:jc w:val="both"/>
        <w:rPr>
          <w:rFonts w:ascii="Calibri" w:hAnsi="Calibri" w:cs="Calibri"/>
          <w:b/>
          <w:sz w:val="22"/>
          <w:szCs w:val="22"/>
        </w:rPr>
      </w:pPr>
      <w:r w:rsidRPr="00BD1FBC">
        <w:rPr>
          <w:rFonts w:ascii="Calibri" w:hAnsi="Calibri" w:cs="Calibri"/>
          <w:b/>
          <w:sz w:val="22"/>
          <w:szCs w:val="22"/>
        </w:rPr>
        <w:t>Operating Expenses:</w:t>
      </w:r>
    </w:p>
    <w:p w14:paraId="21EACE0F" w14:textId="77777777" w:rsidR="00A24B23" w:rsidRPr="009231B1" w:rsidRDefault="00A24B23" w:rsidP="00A24B23">
      <w:pPr>
        <w:jc w:val="both"/>
        <w:rPr>
          <w:rFonts w:ascii="Calibri" w:hAnsi="Calibri" w:cs="Calibri"/>
          <w:b/>
          <w:sz w:val="22"/>
          <w:szCs w:val="22"/>
          <w:highlight w:val="yellow"/>
        </w:rPr>
      </w:pPr>
    </w:p>
    <w:p w14:paraId="47EFD73C" w14:textId="77777777" w:rsidR="00A24B23" w:rsidRPr="009037AC" w:rsidRDefault="00A24B23" w:rsidP="00A24B23">
      <w:pPr>
        <w:jc w:val="both"/>
        <w:rPr>
          <w:rFonts w:ascii="Calibri" w:hAnsi="Calibri" w:cs="Calibri"/>
          <w:b/>
          <w:sz w:val="22"/>
          <w:szCs w:val="22"/>
        </w:rPr>
      </w:pPr>
      <w:r w:rsidRPr="009037AC">
        <w:rPr>
          <w:rFonts w:ascii="Calibri" w:hAnsi="Calibri" w:cs="Calibri"/>
          <w:b/>
          <w:sz w:val="22"/>
          <w:szCs w:val="22"/>
        </w:rPr>
        <w:t xml:space="preserve">Fuel and oil: </w:t>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t xml:space="preserve">       </w:t>
      </w:r>
    </w:p>
    <w:p w14:paraId="70BD1337" w14:textId="42EAD53A" w:rsidR="00A24B23" w:rsidRPr="009037AC" w:rsidRDefault="002F64DB" w:rsidP="00A24B23">
      <w:pPr>
        <w:jc w:val="both"/>
        <w:rPr>
          <w:rFonts w:ascii="Calibri" w:hAnsi="Calibri" w:cs="Calibri"/>
          <w:sz w:val="22"/>
          <w:szCs w:val="22"/>
        </w:rPr>
      </w:pPr>
      <w:r>
        <w:rPr>
          <w:rFonts w:ascii="Calibri" w:hAnsi="Calibri" w:cs="Calibri"/>
          <w:sz w:val="22"/>
          <w:szCs w:val="22"/>
        </w:rPr>
        <w:t xml:space="preserve">Fuel and oil decreased by </w:t>
      </w:r>
      <w:r>
        <w:rPr>
          <w:rFonts w:ascii="Calibri" w:hAnsi="Calibri" w:cs="Calibri"/>
          <w:b/>
          <w:sz w:val="22"/>
          <w:szCs w:val="22"/>
        </w:rPr>
        <w:t xml:space="preserve">78% to €343.0M </w:t>
      </w:r>
      <w:r>
        <w:rPr>
          <w:rFonts w:ascii="Calibri" w:hAnsi="Calibri" w:cs="Calibri"/>
          <w:sz w:val="22"/>
          <w:szCs w:val="22"/>
        </w:rPr>
        <w:t>due to a 73% reduction in sectors flown, arising from Covid-19 fleet groundings and improved fuel burn</w:t>
      </w:r>
      <w:r w:rsidR="00A24B23" w:rsidRPr="009037AC">
        <w:rPr>
          <w:rFonts w:ascii="Calibri" w:hAnsi="Calibri" w:cs="Calibri"/>
          <w:sz w:val="22"/>
          <w:szCs w:val="22"/>
        </w:rPr>
        <w:t>.</w:t>
      </w:r>
    </w:p>
    <w:p w14:paraId="20971035" w14:textId="77777777" w:rsidR="00A24B23" w:rsidRPr="002C741F" w:rsidRDefault="00A24B23" w:rsidP="00A24B23">
      <w:pPr>
        <w:jc w:val="both"/>
        <w:rPr>
          <w:rFonts w:ascii="Calibri" w:hAnsi="Calibri" w:cs="Calibri"/>
          <w:b/>
          <w:sz w:val="22"/>
          <w:szCs w:val="22"/>
        </w:rPr>
      </w:pPr>
    </w:p>
    <w:p w14:paraId="5E557208" w14:textId="77777777" w:rsidR="00A24B23" w:rsidRPr="002C741F" w:rsidRDefault="00A24B23" w:rsidP="00A24B23">
      <w:pPr>
        <w:jc w:val="both"/>
        <w:rPr>
          <w:rFonts w:ascii="Calibri" w:hAnsi="Calibri" w:cs="Calibri"/>
          <w:b/>
          <w:sz w:val="22"/>
          <w:szCs w:val="22"/>
        </w:rPr>
      </w:pPr>
      <w:r w:rsidRPr="002C741F">
        <w:rPr>
          <w:rFonts w:ascii="Calibri" w:hAnsi="Calibri" w:cs="Calibri"/>
          <w:b/>
          <w:sz w:val="22"/>
          <w:szCs w:val="22"/>
        </w:rPr>
        <w:t xml:space="preserve">Depreciation: </w:t>
      </w:r>
      <w:r w:rsidRPr="002C741F">
        <w:rPr>
          <w:rFonts w:ascii="Calibri" w:hAnsi="Calibri" w:cs="Calibri"/>
          <w:b/>
          <w:sz w:val="22"/>
          <w:szCs w:val="22"/>
        </w:rPr>
        <w:tab/>
      </w:r>
      <w:r w:rsidRPr="002C741F">
        <w:rPr>
          <w:rFonts w:ascii="Calibri" w:hAnsi="Calibri" w:cs="Calibri"/>
          <w:b/>
          <w:sz w:val="22"/>
          <w:szCs w:val="22"/>
        </w:rPr>
        <w:tab/>
      </w:r>
      <w:r w:rsidRPr="002C741F">
        <w:rPr>
          <w:rFonts w:ascii="Calibri" w:hAnsi="Calibri" w:cs="Calibri"/>
          <w:b/>
          <w:sz w:val="22"/>
          <w:szCs w:val="22"/>
        </w:rPr>
        <w:tab/>
      </w:r>
      <w:r w:rsidRPr="002C741F">
        <w:rPr>
          <w:rFonts w:ascii="Calibri" w:hAnsi="Calibri" w:cs="Calibri"/>
          <w:b/>
          <w:sz w:val="22"/>
          <w:szCs w:val="22"/>
        </w:rPr>
        <w:tab/>
      </w:r>
      <w:r w:rsidRPr="002C741F">
        <w:rPr>
          <w:rFonts w:ascii="Calibri" w:hAnsi="Calibri" w:cs="Calibri"/>
          <w:b/>
          <w:sz w:val="22"/>
          <w:szCs w:val="22"/>
        </w:rPr>
        <w:tab/>
      </w:r>
      <w:r w:rsidRPr="002C741F">
        <w:rPr>
          <w:rFonts w:ascii="Calibri" w:hAnsi="Calibri" w:cs="Calibri"/>
          <w:b/>
          <w:sz w:val="22"/>
          <w:szCs w:val="22"/>
        </w:rPr>
        <w:tab/>
      </w:r>
      <w:r w:rsidRPr="002C741F">
        <w:rPr>
          <w:rFonts w:ascii="Calibri" w:hAnsi="Calibri" w:cs="Calibri"/>
          <w:b/>
          <w:sz w:val="22"/>
          <w:szCs w:val="22"/>
        </w:rPr>
        <w:tab/>
        <w:t xml:space="preserve">                  </w:t>
      </w:r>
    </w:p>
    <w:p w14:paraId="0F048044" w14:textId="63E6FBDC" w:rsidR="00A24B23" w:rsidRPr="002C741F" w:rsidRDefault="00E12D97" w:rsidP="00A24B23">
      <w:pPr>
        <w:jc w:val="both"/>
        <w:rPr>
          <w:rFonts w:ascii="Calibri" w:hAnsi="Calibri" w:cs="Calibri"/>
          <w:sz w:val="22"/>
          <w:szCs w:val="22"/>
        </w:rPr>
      </w:pPr>
      <w:r>
        <w:rPr>
          <w:rFonts w:ascii="Calibri" w:hAnsi="Calibri" w:cs="Calibri"/>
          <w:sz w:val="22"/>
          <w:szCs w:val="22"/>
        </w:rPr>
        <w:t xml:space="preserve">Depreciation was </w:t>
      </w:r>
      <w:r>
        <w:rPr>
          <w:rFonts w:ascii="Calibri" w:hAnsi="Calibri" w:cs="Calibri"/>
          <w:b/>
          <w:sz w:val="22"/>
          <w:szCs w:val="22"/>
        </w:rPr>
        <w:t>22% lower at €296.5M</w:t>
      </w:r>
      <w:r>
        <w:rPr>
          <w:rFonts w:ascii="Calibri" w:hAnsi="Calibri" w:cs="Calibri"/>
          <w:sz w:val="22"/>
          <w:szCs w:val="22"/>
        </w:rPr>
        <w:t>, primarily due to lower amortisation as a result of reduced aircraft utilisation</w:t>
      </w:r>
      <w:r w:rsidR="00A24B23">
        <w:rPr>
          <w:rFonts w:ascii="Calibri" w:hAnsi="Calibri" w:cs="Calibri"/>
          <w:sz w:val="22"/>
          <w:szCs w:val="22"/>
        </w:rPr>
        <w:t>.</w:t>
      </w:r>
    </w:p>
    <w:p w14:paraId="3AB95EA3" w14:textId="7EF568C3" w:rsidR="00A24B23" w:rsidRDefault="00A24B23" w:rsidP="00A24B23">
      <w:pPr>
        <w:jc w:val="both"/>
        <w:rPr>
          <w:rFonts w:ascii="Calibri" w:hAnsi="Calibri" w:cs="Calibri"/>
          <w:sz w:val="22"/>
          <w:szCs w:val="22"/>
          <w:highlight w:val="yellow"/>
        </w:rPr>
      </w:pPr>
    </w:p>
    <w:p w14:paraId="0F23704D" w14:textId="77777777" w:rsidR="00E12D97" w:rsidRPr="009037AC" w:rsidRDefault="00E12D97" w:rsidP="00E12D97">
      <w:pPr>
        <w:jc w:val="both"/>
        <w:rPr>
          <w:rFonts w:ascii="Calibri" w:hAnsi="Calibri" w:cs="Calibri"/>
          <w:b/>
          <w:sz w:val="22"/>
          <w:szCs w:val="22"/>
        </w:rPr>
      </w:pPr>
      <w:r w:rsidRPr="009037AC">
        <w:rPr>
          <w:rFonts w:ascii="Calibri" w:hAnsi="Calibri" w:cs="Calibri"/>
          <w:b/>
          <w:sz w:val="22"/>
          <w:szCs w:val="22"/>
        </w:rPr>
        <w:t>Staff costs:</w:t>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t xml:space="preserve">                                   </w:t>
      </w:r>
    </w:p>
    <w:p w14:paraId="27C0F189" w14:textId="5D97E68E" w:rsidR="00E12D97" w:rsidRDefault="00E12D97" w:rsidP="00E12D97">
      <w:pPr>
        <w:jc w:val="both"/>
        <w:rPr>
          <w:rFonts w:ascii="Calibri" w:hAnsi="Calibri" w:cs="Calibri"/>
          <w:sz w:val="22"/>
          <w:szCs w:val="22"/>
          <w:highlight w:val="yellow"/>
        </w:rPr>
      </w:pPr>
      <w:r>
        <w:rPr>
          <w:rFonts w:ascii="Calibri" w:hAnsi="Calibri" w:cs="Calibri"/>
          <w:sz w:val="22"/>
          <w:szCs w:val="22"/>
        </w:rPr>
        <w:t xml:space="preserve">Staff costs decreased by </w:t>
      </w:r>
      <w:r>
        <w:rPr>
          <w:rFonts w:ascii="Calibri" w:hAnsi="Calibri" w:cs="Calibri"/>
          <w:b/>
          <w:sz w:val="22"/>
          <w:szCs w:val="22"/>
        </w:rPr>
        <w:t>60% to €234.7M</w:t>
      </w:r>
      <w:r>
        <w:rPr>
          <w:rFonts w:ascii="Calibri" w:hAnsi="Calibri" w:cs="Calibri"/>
          <w:sz w:val="22"/>
          <w:szCs w:val="22"/>
        </w:rPr>
        <w:t xml:space="preserve"> due to reduced flight hours, a recruitment freeze, Group wide pay cuts and participation in EU Government payroll support schemes.</w:t>
      </w:r>
    </w:p>
    <w:p w14:paraId="60322655" w14:textId="77777777" w:rsidR="00E12D97" w:rsidRDefault="00E12D97" w:rsidP="00A24B23">
      <w:pPr>
        <w:jc w:val="both"/>
        <w:rPr>
          <w:rFonts w:ascii="Calibri" w:hAnsi="Calibri" w:cs="Calibri"/>
          <w:sz w:val="22"/>
          <w:szCs w:val="22"/>
          <w:highlight w:val="yellow"/>
        </w:rPr>
      </w:pPr>
    </w:p>
    <w:p w14:paraId="5F8F9468" w14:textId="77777777" w:rsidR="00E12D97" w:rsidRPr="009037AC" w:rsidRDefault="00E12D97" w:rsidP="00E12D97">
      <w:pPr>
        <w:jc w:val="both"/>
        <w:rPr>
          <w:rFonts w:ascii="Calibri" w:hAnsi="Calibri" w:cs="Calibri"/>
          <w:b/>
          <w:sz w:val="22"/>
          <w:szCs w:val="22"/>
        </w:rPr>
      </w:pPr>
      <w:r w:rsidRPr="009037AC">
        <w:rPr>
          <w:rFonts w:ascii="Calibri" w:hAnsi="Calibri" w:cs="Calibri"/>
          <w:b/>
          <w:sz w:val="22"/>
          <w:szCs w:val="22"/>
        </w:rPr>
        <w:t xml:space="preserve">Airport and handling charges: </w:t>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t xml:space="preserve">                   </w:t>
      </w:r>
    </w:p>
    <w:p w14:paraId="151E6A74" w14:textId="21DDE1D5" w:rsidR="00E12D97" w:rsidRPr="00E12D97" w:rsidRDefault="00E12D97" w:rsidP="00A24B23">
      <w:pPr>
        <w:jc w:val="both"/>
        <w:rPr>
          <w:rFonts w:ascii="Calibri" w:hAnsi="Calibri" w:cs="Calibri"/>
          <w:sz w:val="22"/>
          <w:szCs w:val="22"/>
        </w:rPr>
      </w:pPr>
      <w:r>
        <w:rPr>
          <w:rFonts w:ascii="Calibri" w:hAnsi="Calibri" w:cs="Calibri"/>
          <w:sz w:val="22"/>
          <w:szCs w:val="22"/>
        </w:rPr>
        <w:t xml:space="preserve">Airport and handling charges decreased by </w:t>
      </w:r>
      <w:r>
        <w:rPr>
          <w:rFonts w:ascii="Calibri" w:hAnsi="Calibri" w:cs="Calibri"/>
          <w:b/>
          <w:sz w:val="22"/>
          <w:szCs w:val="22"/>
        </w:rPr>
        <w:t xml:space="preserve">74% to €169.7M </w:t>
      </w:r>
      <w:r>
        <w:rPr>
          <w:rFonts w:ascii="Calibri" w:hAnsi="Calibri" w:cs="Calibri"/>
          <w:sz w:val="22"/>
          <w:szCs w:val="22"/>
        </w:rPr>
        <w:t>due to lower sectors and reduced charges</w:t>
      </w:r>
      <w:r w:rsidRPr="009037AC">
        <w:rPr>
          <w:rFonts w:ascii="Calibri" w:hAnsi="Calibri" w:cs="Calibri"/>
          <w:sz w:val="22"/>
          <w:szCs w:val="22"/>
        </w:rPr>
        <w:t>.</w:t>
      </w:r>
    </w:p>
    <w:p w14:paraId="0B8CD77D" w14:textId="77777777" w:rsidR="00E12D97" w:rsidRDefault="00E12D97" w:rsidP="00A24B23">
      <w:pPr>
        <w:jc w:val="both"/>
        <w:rPr>
          <w:rFonts w:ascii="Calibri" w:hAnsi="Calibri" w:cs="Calibri"/>
          <w:sz w:val="22"/>
          <w:szCs w:val="22"/>
          <w:highlight w:val="yellow"/>
        </w:rPr>
      </w:pPr>
    </w:p>
    <w:p w14:paraId="60FA2DBD" w14:textId="77777777" w:rsidR="00E12D97" w:rsidRPr="009037AC" w:rsidRDefault="00E12D97" w:rsidP="00E12D97">
      <w:pPr>
        <w:jc w:val="both"/>
        <w:rPr>
          <w:rFonts w:ascii="Calibri" w:hAnsi="Calibri" w:cs="Calibri"/>
          <w:b/>
          <w:sz w:val="22"/>
          <w:szCs w:val="22"/>
        </w:rPr>
      </w:pPr>
      <w:r w:rsidRPr="009037AC">
        <w:rPr>
          <w:rFonts w:ascii="Calibri" w:hAnsi="Calibri" w:cs="Calibri"/>
          <w:b/>
          <w:sz w:val="22"/>
          <w:szCs w:val="22"/>
        </w:rPr>
        <w:t>Route charges:</w:t>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t xml:space="preserve">                   </w:t>
      </w:r>
    </w:p>
    <w:p w14:paraId="20F72481" w14:textId="78B99262" w:rsidR="00E12D97" w:rsidRDefault="00E12D97" w:rsidP="00E12D97">
      <w:pPr>
        <w:jc w:val="both"/>
        <w:rPr>
          <w:rFonts w:ascii="Calibri" w:hAnsi="Calibri" w:cs="Calibri"/>
          <w:sz w:val="22"/>
          <w:szCs w:val="22"/>
          <w:highlight w:val="yellow"/>
        </w:rPr>
      </w:pPr>
      <w:r>
        <w:rPr>
          <w:rFonts w:ascii="Calibri" w:hAnsi="Calibri" w:cs="Calibri"/>
          <w:sz w:val="22"/>
          <w:szCs w:val="22"/>
        </w:rPr>
        <w:t xml:space="preserve">Route charges decreased by </w:t>
      </w:r>
      <w:r>
        <w:rPr>
          <w:rFonts w:ascii="Calibri" w:hAnsi="Calibri" w:cs="Calibri"/>
          <w:b/>
          <w:sz w:val="22"/>
          <w:szCs w:val="22"/>
        </w:rPr>
        <w:t>73% to €115.3M</w:t>
      </w:r>
      <w:r>
        <w:rPr>
          <w:rFonts w:ascii="Calibri" w:hAnsi="Calibri" w:cs="Calibri"/>
          <w:sz w:val="22"/>
          <w:szCs w:val="22"/>
        </w:rPr>
        <w:t xml:space="preserve"> primarily due to significantly reduced sectors arising from Covid-19 fleet groundings</w:t>
      </w:r>
    </w:p>
    <w:p w14:paraId="6CF32B99" w14:textId="77777777" w:rsidR="00E12D97" w:rsidRPr="009231B1" w:rsidRDefault="00E12D97" w:rsidP="00A24B23">
      <w:pPr>
        <w:jc w:val="both"/>
        <w:rPr>
          <w:rFonts w:ascii="Calibri" w:hAnsi="Calibri" w:cs="Calibri"/>
          <w:sz w:val="22"/>
          <w:szCs w:val="22"/>
          <w:highlight w:val="yellow"/>
        </w:rPr>
      </w:pPr>
    </w:p>
    <w:p w14:paraId="747053F3" w14:textId="77777777" w:rsidR="00A24B23" w:rsidRPr="006D224F" w:rsidRDefault="00A24B23" w:rsidP="00A24B23">
      <w:pPr>
        <w:jc w:val="both"/>
        <w:rPr>
          <w:rFonts w:ascii="Calibri" w:hAnsi="Calibri" w:cs="Calibri"/>
          <w:b/>
          <w:sz w:val="22"/>
          <w:szCs w:val="22"/>
        </w:rPr>
      </w:pPr>
      <w:r w:rsidRPr="006D224F">
        <w:rPr>
          <w:rFonts w:ascii="Calibri" w:hAnsi="Calibri" w:cs="Calibri"/>
          <w:b/>
          <w:sz w:val="22"/>
          <w:szCs w:val="22"/>
        </w:rPr>
        <w:t xml:space="preserve">Marketing, distribution and other: </w:t>
      </w:r>
      <w:r w:rsidRPr="006D224F">
        <w:rPr>
          <w:rFonts w:ascii="Calibri" w:hAnsi="Calibri" w:cs="Calibri"/>
          <w:b/>
          <w:sz w:val="22"/>
          <w:szCs w:val="22"/>
        </w:rPr>
        <w:tab/>
      </w:r>
      <w:r w:rsidRPr="006D224F">
        <w:rPr>
          <w:rFonts w:ascii="Calibri" w:hAnsi="Calibri" w:cs="Calibri"/>
          <w:b/>
          <w:sz w:val="22"/>
          <w:szCs w:val="22"/>
        </w:rPr>
        <w:tab/>
      </w:r>
      <w:r w:rsidRPr="006D224F">
        <w:rPr>
          <w:rFonts w:ascii="Calibri" w:hAnsi="Calibri" w:cs="Calibri"/>
          <w:b/>
          <w:sz w:val="22"/>
          <w:szCs w:val="22"/>
        </w:rPr>
        <w:tab/>
      </w:r>
      <w:r w:rsidRPr="006D224F">
        <w:rPr>
          <w:rFonts w:ascii="Calibri" w:hAnsi="Calibri" w:cs="Calibri"/>
          <w:b/>
          <w:sz w:val="22"/>
          <w:szCs w:val="22"/>
        </w:rPr>
        <w:tab/>
        <w:t xml:space="preserve">                        </w:t>
      </w:r>
    </w:p>
    <w:p w14:paraId="14518F16" w14:textId="031ED892" w:rsidR="00A24B23" w:rsidRPr="006D224F" w:rsidRDefault="00E12D97" w:rsidP="00A24B23">
      <w:pPr>
        <w:jc w:val="both"/>
        <w:rPr>
          <w:rFonts w:ascii="Calibri" w:hAnsi="Calibri" w:cs="Calibri"/>
          <w:sz w:val="22"/>
          <w:szCs w:val="22"/>
        </w:rPr>
      </w:pPr>
      <w:r>
        <w:rPr>
          <w:rFonts w:ascii="Calibri" w:hAnsi="Calibri" w:cs="Calibri"/>
          <w:sz w:val="22"/>
          <w:szCs w:val="22"/>
        </w:rPr>
        <w:t>Marketing, distribution and other decreased by</w:t>
      </w:r>
      <w:r>
        <w:rPr>
          <w:rFonts w:ascii="Calibri" w:hAnsi="Calibri" w:cs="Calibri"/>
          <w:b/>
          <w:sz w:val="22"/>
          <w:szCs w:val="22"/>
        </w:rPr>
        <w:t xml:space="preserve"> 64% to €106.4M </w:t>
      </w:r>
      <w:r>
        <w:rPr>
          <w:rFonts w:ascii="Calibri" w:hAnsi="Calibri" w:cs="Calibri"/>
          <w:bCs/>
          <w:sz w:val="22"/>
          <w:szCs w:val="22"/>
        </w:rPr>
        <w:t xml:space="preserve">due </w:t>
      </w:r>
      <w:r>
        <w:rPr>
          <w:rFonts w:ascii="Calibri" w:hAnsi="Calibri" w:cs="Calibri"/>
          <w:sz w:val="22"/>
          <w:szCs w:val="22"/>
        </w:rPr>
        <w:t>to lower discretionary spending across the Group airlines and fewer flights qualifying for EU261 compensation due to improved on-time performance in H1 (97% OTP)</w:t>
      </w:r>
      <w:r w:rsidR="00A24B23">
        <w:rPr>
          <w:rFonts w:ascii="Calibri" w:hAnsi="Calibri" w:cs="Calibri"/>
          <w:sz w:val="22"/>
          <w:szCs w:val="22"/>
        </w:rPr>
        <w:t>.</w:t>
      </w:r>
    </w:p>
    <w:p w14:paraId="17EAF192" w14:textId="77777777" w:rsidR="00A24B23" w:rsidRPr="009231B1" w:rsidRDefault="00A24B23" w:rsidP="00A24B23">
      <w:pPr>
        <w:jc w:val="both"/>
        <w:rPr>
          <w:rFonts w:ascii="Calibri" w:hAnsi="Calibri" w:cs="Calibri"/>
          <w:b/>
          <w:sz w:val="22"/>
          <w:szCs w:val="22"/>
          <w:highlight w:val="yellow"/>
        </w:rPr>
      </w:pPr>
    </w:p>
    <w:p w14:paraId="2B4238D2" w14:textId="77777777" w:rsidR="00A24B23" w:rsidRPr="006D224F" w:rsidRDefault="00A24B23" w:rsidP="00A24B23">
      <w:pPr>
        <w:jc w:val="both"/>
        <w:rPr>
          <w:rFonts w:ascii="Calibri" w:hAnsi="Calibri" w:cs="Calibri"/>
          <w:b/>
          <w:sz w:val="22"/>
          <w:szCs w:val="22"/>
        </w:rPr>
      </w:pPr>
      <w:r w:rsidRPr="006D224F">
        <w:rPr>
          <w:rFonts w:ascii="Calibri" w:hAnsi="Calibri" w:cs="Calibri"/>
          <w:b/>
          <w:sz w:val="22"/>
          <w:szCs w:val="22"/>
        </w:rPr>
        <w:t xml:space="preserve">Maintenance, materials and repairs: </w:t>
      </w:r>
      <w:r w:rsidRPr="006D224F">
        <w:rPr>
          <w:rFonts w:ascii="Calibri" w:hAnsi="Calibri" w:cs="Calibri"/>
          <w:b/>
          <w:sz w:val="22"/>
          <w:szCs w:val="22"/>
        </w:rPr>
        <w:tab/>
      </w:r>
      <w:r w:rsidRPr="006D224F">
        <w:rPr>
          <w:rFonts w:ascii="Calibri" w:hAnsi="Calibri" w:cs="Calibri"/>
          <w:b/>
          <w:sz w:val="22"/>
          <w:szCs w:val="22"/>
        </w:rPr>
        <w:tab/>
      </w:r>
      <w:r w:rsidRPr="006D224F">
        <w:rPr>
          <w:rFonts w:ascii="Calibri" w:hAnsi="Calibri" w:cs="Calibri"/>
          <w:b/>
          <w:sz w:val="22"/>
          <w:szCs w:val="22"/>
        </w:rPr>
        <w:tab/>
        <w:t xml:space="preserve">                     </w:t>
      </w:r>
    </w:p>
    <w:p w14:paraId="268A8E68" w14:textId="6CE564B3" w:rsidR="00A24B23" w:rsidRPr="006D224F" w:rsidRDefault="00E12D97" w:rsidP="00A24B23">
      <w:pPr>
        <w:jc w:val="both"/>
        <w:rPr>
          <w:rFonts w:ascii="Calibri" w:hAnsi="Calibri" w:cs="Calibri"/>
          <w:sz w:val="22"/>
          <w:szCs w:val="22"/>
        </w:rPr>
      </w:pPr>
      <w:r>
        <w:rPr>
          <w:rFonts w:ascii="Calibri" w:hAnsi="Calibri" w:cs="Calibri"/>
          <w:sz w:val="22"/>
          <w:szCs w:val="22"/>
        </w:rPr>
        <w:t xml:space="preserve">Maintenance, materials and repairs decreased by </w:t>
      </w:r>
      <w:r>
        <w:rPr>
          <w:rFonts w:ascii="Calibri" w:hAnsi="Calibri" w:cs="Calibri"/>
          <w:b/>
          <w:sz w:val="22"/>
          <w:szCs w:val="22"/>
        </w:rPr>
        <w:t>40% to €82.6M</w:t>
      </w:r>
      <w:r>
        <w:rPr>
          <w:rFonts w:ascii="Calibri" w:hAnsi="Calibri" w:cs="Calibri"/>
          <w:sz w:val="22"/>
          <w:szCs w:val="22"/>
        </w:rPr>
        <w:t xml:space="preserve"> due to reduced aircraft utilisation</w:t>
      </w:r>
      <w:r w:rsidR="00A24B23">
        <w:rPr>
          <w:rFonts w:ascii="Calibri" w:hAnsi="Calibri" w:cs="Calibri"/>
          <w:sz w:val="22"/>
          <w:szCs w:val="22"/>
        </w:rPr>
        <w:t>.</w:t>
      </w:r>
    </w:p>
    <w:p w14:paraId="2C85F583" w14:textId="77777777" w:rsidR="00A24B23" w:rsidRPr="009231B1" w:rsidRDefault="00A24B23" w:rsidP="00A24B23">
      <w:pPr>
        <w:jc w:val="both"/>
        <w:rPr>
          <w:rFonts w:ascii="Calibri" w:hAnsi="Calibri" w:cs="Calibri"/>
          <w:b/>
          <w:sz w:val="22"/>
          <w:szCs w:val="22"/>
          <w:highlight w:val="yellow"/>
        </w:rPr>
      </w:pPr>
    </w:p>
    <w:p w14:paraId="2A28723E" w14:textId="77777777" w:rsidR="00A24B23" w:rsidRPr="00742F41" w:rsidRDefault="00A24B23" w:rsidP="00A24B23">
      <w:pPr>
        <w:jc w:val="both"/>
        <w:rPr>
          <w:rFonts w:ascii="Calibri" w:hAnsi="Calibri" w:cs="Calibri"/>
          <w:b/>
          <w:sz w:val="22"/>
          <w:szCs w:val="22"/>
        </w:rPr>
      </w:pPr>
      <w:r w:rsidRPr="00742F41">
        <w:rPr>
          <w:rFonts w:ascii="Calibri" w:hAnsi="Calibri" w:cs="Calibri"/>
          <w:b/>
          <w:sz w:val="22"/>
          <w:szCs w:val="22"/>
        </w:rPr>
        <w:t xml:space="preserve">Aircraft rentals:  </w:t>
      </w:r>
      <w:r w:rsidRPr="00742F41">
        <w:rPr>
          <w:rFonts w:ascii="Calibri" w:hAnsi="Calibri" w:cs="Calibri"/>
          <w:b/>
          <w:sz w:val="22"/>
          <w:szCs w:val="22"/>
        </w:rPr>
        <w:tab/>
      </w:r>
      <w:r w:rsidRPr="00742F41">
        <w:rPr>
          <w:rFonts w:ascii="Calibri" w:hAnsi="Calibri" w:cs="Calibri"/>
          <w:b/>
          <w:sz w:val="22"/>
          <w:szCs w:val="22"/>
        </w:rPr>
        <w:tab/>
      </w:r>
      <w:r w:rsidRPr="00742F41">
        <w:rPr>
          <w:rFonts w:ascii="Calibri" w:hAnsi="Calibri" w:cs="Calibri"/>
          <w:b/>
          <w:sz w:val="22"/>
          <w:szCs w:val="22"/>
        </w:rPr>
        <w:tab/>
      </w:r>
      <w:r w:rsidRPr="00742F41">
        <w:rPr>
          <w:rFonts w:ascii="Calibri" w:hAnsi="Calibri" w:cs="Calibri"/>
          <w:b/>
          <w:sz w:val="22"/>
          <w:szCs w:val="22"/>
        </w:rPr>
        <w:tab/>
      </w:r>
      <w:r w:rsidRPr="00742F41">
        <w:rPr>
          <w:rFonts w:ascii="Calibri" w:hAnsi="Calibri" w:cs="Calibri"/>
          <w:b/>
          <w:sz w:val="22"/>
          <w:szCs w:val="22"/>
        </w:rPr>
        <w:tab/>
      </w:r>
      <w:r w:rsidRPr="00742F41">
        <w:rPr>
          <w:rFonts w:ascii="Calibri" w:hAnsi="Calibri" w:cs="Calibri"/>
          <w:b/>
          <w:sz w:val="22"/>
          <w:szCs w:val="22"/>
        </w:rPr>
        <w:tab/>
      </w:r>
      <w:r w:rsidRPr="00742F41">
        <w:rPr>
          <w:rFonts w:ascii="Calibri" w:hAnsi="Calibri" w:cs="Calibri"/>
          <w:b/>
          <w:sz w:val="22"/>
          <w:szCs w:val="22"/>
        </w:rPr>
        <w:tab/>
      </w:r>
    </w:p>
    <w:p w14:paraId="6CB36B38" w14:textId="5E4817EE" w:rsidR="00A24B23" w:rsidRPr="009231B1" w:rsidRDefault="00E12D97" w:rsidP="00A24B23">
      <w:pPr>
        <w:jc w:val="both"/>
        <w:rPr>
          <w:rFonts w:ascii="Calibri" w:hAnsi="Calibri" w:cs="Calibri"/>
          <w:sz w:val="22"/>
          <w:szCs w:val="22"/>
          <w:highlight w:val="yellow"/>
        </w:rPr>
      </w:pPr>
      <w:r>
        <w:rPr>
          <w:rFonts w:ascii="Calibri" w:hAnsi="Calibri" w:cs="Calibri"/>
          <w:sz w:val="22"/>
          <w:szCs w:val="22"/>
        </w:rPr>
        <w:t xml:space="preserve">Aircraft rentals fell by </w:t>
      </w:r>
      <w:r>
        <w:rPr>
          <w:rFonts w:ascii="Calibri" w:hAnsi="Calibri" w:cs="Calibri"/>
          <w:b/>
          <w:sz w:val="22"/>
          <w:szCs w:val="22"/>
        </w:rPr>
        <w:t>83% to €4.8M</w:t>
      </w:r>
      <w:r>
        <w:rPr>
          <w:rFonts w:ascii="Calibri" w:hAnsi="Calibri" w:cs="Calibri"/>
          <w:sz w:val="22"/>
          <w:szCs w:val="22"/>
        </w:rPr>
        <w:t xml:space="preserve"> due to 14 fewer leased B737 aircraft in the fleet</w:t>
      </w:r>
      <w:r w:rsidR="00A24B23">
        <w:rPr>
          <w:rFonts w:ascii="Calibri" w:hAnsi="Calibri" w:cs="Calibri"/>
          <w:sz w:val="22"/>
          <w:szCs w:val="22"/>
        </w:rPr>
        <w:t>.</w:t>
      </w:r>
      <w:r w:rsidR="00A24B23" w:rsidRPr="00742F41">
        <w:rPr>
          <w:rFonts w:ascii="Calibri" w:hAnsi="Calibri" w:cs="Calibri"/>
          <w:sz w:val="22"/>
          <w:szCs w:val="22"/>
        </w:rPr>
        <w:t xml:space="preserve"> </w:t>
      </w:r>
    </w:p>
    <w:p w14:paraId="3A25341D" w14:textId="77777777" w:rsidR="00A24B23" w:rsidRPr="009231B1" w:rsidRDefault="00A24B23" w:rsidP="00A24B23">
      <w:pPr>
        <w:jc w:val="both"/>
        <w:rPr>
          <w:rFonts w:ascii="Calibri" w:hAnsi="Calibri" w:cs="Calibri"/>
          <w:b/>
          <w:sz w:val="22"/>
          <w:szCs w:val="22"/>
          <w:highlight w:val="yellow"/>
        </w:rPr>
      </w:pPr>
    </w:p>
    <w:p w14:paraId="404CFE3F" w14:textId="77777777" w:rsidR="00A24B23" w:rsidRPr="00AE1DA4" w:rsidRDefault="00A24B23" w:rsidP="00A24B23">
      <w:pPr>
        <w:jc w:val="both"/>
        <w:rPr>
          <w:rFonts w:ascii="Calibri" w:hAnsi="Calibri" w:cs="Calibri"/>
          <w:b/>
          <w:sz w:val="22"/>
          <w:szCs w:val="22"/>
        </w:rPr>
      </w:pPr>
      <w:r>
        <w:rPr>
          <w:rFonts w:ascii="Calibri" w:hAnsi="Calibri" w:cs="Calibri"/>
          <w:b/>
          <w:sz w:val="22"/>
          <w:szCs w:val="22"/>
        </w:rPr>
        <w:t>Other</w:t>
      </w:r>
      <w:r w:rsidRPr="00AE1DA4">
        <w:rPr>
          <w:rFonts w:ascii="Calibri" w:hAnsi="Calibri" w:cs="Calibri"/>
          <w:b/>
          <w:sz w:val="22"/>
          <w:szCs w:val="22"/>
        </w:rPr>
        <w:t xml:space="preserve"> expense:</w:t>
      </w:r>
      <w:r w:rsidRPr="00AE1DA4">
        <w:rPr>
          <w:rFonts w:ascii="Calibri" w:hAnsi="Calibri" w:cs="Calibri"/>
          <w:b/>
          <w:sz w:val="22"/>
          <w:szCs w:val="22"/>
        </w:rPr>
        <w:tab/>
      </w:r>
      <w:r w:rsidRPr="00AE1DA4">
        <w:rPr>
          <w:rFonts w:ascii="Calibri" w:hAnsi="Calibri" w:cs="Calibri"/>
          <w:b/>
          <w:sz w:val="22"/>
          <w:szCs w:val="22"/>
        </w:rPr>
        <w:tab/>
      </w:r>
      <w:r w:rsidRPr="00AE1DA4">
        <w:rPr>
          <w:rFonts w:ascii="Calibri" w:hAnsi="Calibri" w:cs="Calibri"/>
          <w:b/>
          <w:sz w:val="22"/>
          <w:szCs w:val="22"/>
        </w:rPr>
        <w:tab/>
      </w:r>
      <w:r w:rsidRPr="00AE1DA4">
        <w:rPr>
          <w:rFonts w:ascii="Calibri" w:hAnsi="Calibri" w:cs="Calibri"/>
          <w:b/>
          <w:sz w:val="22"/>
          <w:szCs w:val="22"/>
        </w:rPr>
        <w:tab/>
      </w:r>
      <w:r w:rsidRPr="00AE1DA4">
        <w:rPr>
          <w:rFonts w:ascii="Calibri" w:hAnsi="Calibri" w:cs="Calibri"/>
          <w:b/>
          <w:sz w:val="22"/>
          <w:szCs w:val="22"/>
        </w:rPr>
        <w:tab/>
      </w:r>
      <w:r w:rsidRPr="00AE1DA4">
        <w:rPr>
          <w:rFonts w:ascii="Calibri" w:hAnsi="Calibri" w:cs="Calibri"/>
          <w:b/>
          <w:sz w:val="22"/>
          <w:szCs w:val="22"/>
        </w:rPr>
        <w:tab/>
      </w:r>
      <w:r w:rsidRPr="00AE1DA4">
        <w:rPr>
          <w:rFonts w:ascii="Calibri" w:hAnsi="Calibri" w:cs="Calibri"/>
          <w:b/>
          <w:sz w:val="22"/>
          <w:szCs w:val="22"/>
        </w:rPr>
        <w:tab/>
        <w:t xml:space="preserve">         </w:t>
      </w:r>
    </w:p>
    <w:p w14:paraId="64C29C30" w14:textId="2307BD6B" w:rsidR="00A24B23" w:rsidRPr="00AE1DA4" w:rsidRDefault="00E12D97" w:rsidP="00A24B23">
      <w:pPr>
        <w:jc w:val="both"/>
        <w:rPr>
          <w:rFonts w:ascii="Calibri" w:hAnsi="Calibri" w:cs="Calibri"/>
          <w:sz w:val="22"/>
          <w:szCs w:val="22"/>
        </w:rPr>
      </w:pPr>
      <w:r>
        <w:rPr>
          <w:rFonts w:ascii="Calibri" w:hAnsi="Calibri" w:cs="Calibri"/>
          <w:sz w:val="22"/>
          <w:szCs w:val="22"/>
        </w:rPr>
        <w:lastRenderedPageBreak/>
        <w:t xml:space="preserve">Finance expenses decreased by </w:t>
      </w:r>
      <w:r>
        <w:rPr>
          <w:rFonts w:ascii="Calibri" w:hAnsi="Calibri" w:cs="Calibri"/>
          <w:b/>
          <w:sz w:val="22"/>
          <w:szCs w:val="22"/>
        </w:rPr>
        <w:t xml:space="preserve">€11.3M to €15.3M </w:t>
      </w:r>
      <w:r>
        <w:rPr>
          <w:rFonts w:ascii="Calibri" w:hAnsi="Calibri" w:cs="Calibri"/>
          <w:sz w:val="22"/>
          <w:szCs w:val="22"/>
        </w:rPr>
        <w:t>as a result of higher USD denominated cash on deposit and the maturity of more expensive secured debt</w:t>
      </w:r>
      <w:r w:rsidR="00A24B23">
        <w:rPr>
          <w:rFonts w:ascii="Calibri" w:hAnsi="Calibri" w:cs="Calibri"/>
          <w:sz w:val="22"/>
          <w:szCs w:val="22"/>
        </w:rPr>
        <w:t>.</w:t>
      </w:r>
    </w:p>
    <w:p w14:paraId="18EECD75" w14:textId="77777777" w:rsidR="00A24B23" w:rsidRPr="009231B1" w:rsidRDefault="00A24B23" w:rsidP="00A24B23">
      <w:pPr>
        <w:jc w:val="both"/>
        <w:rPr>
          <w:rFonts w:ascii="Calibri" w:hAnsi="Calibri" w:cs="Calibri"/>
          <w:sz w:val="22"/>
          <w:szCs w:val="22"/>
          <w:highlight w:val="yellow"/>
        </w:rPr>
      </w:pPr>
    </w:p>
    <w:p w14:paraId="1C4CCA30" w14:textId="77777777" w:rsidR="00A24B23" w:rsidRPr="00774101" w:rsidRDefault="00A24B23" w:rsidP="00A24B23">
      <w:pPr>
        <w:jc w:val="both"/>
        <w:rPr>
          <w:rFonts w:ascii="Calibri" w:hAnsi="Calibri" w:cs="Calibri"/>
          <w:b/>
          <w:sz w:val="22"/>
          <w:szCs w:val="22"/>
        </w:rPr>
      </w:pPr>
      <w:r w:rsidRPr="00774101">
        <w:rPr>
          <w:rFonts w:ascii="Calibri" w:hAnsi="Calibri" w:cs="Calibri"/>
          <w:b/>
          <w:sz w:val="22"/>
          <w:szCs w:val="22"/>
        </w:rPr>
        <w:t>Balance sheet:</w:t>
      </w:r>
    </w:p>
    <w:p w14:paraId="26F5DB70" w14:textId="77777777" w:rsidR="00E12D97" w:rsidRDefault="00E12D97" w:rsidP="00E12D97">
      <w:pPr>
        <w:jc w:val="both"/>
        <w:rPr>
          <w:rFonts w:ascii="Calibri" w:hAnsi="Calibri" w:cs="Calibri"/>
          <w:sz w:val="22"/>
          <w:szCs w:val="22"/>
        </w:rPr>
      </w:pPr>
      <w:r>
        <w:rPr>
          <w:rFonts w:ascii="Calibri" w:hAnsi="Calibri" w:cs="Calibri"/>
          <w:sz w:val="22"/>
          <w:szCs w:val="22"/>
        </w:rPr>
        <w:t>Gross cash increased by €694.3M to €4,502.3.0M at September 30, 2020.</w:t>
      </w:r>
    </w:p>
    <w:p w14:paraId="40F02ED4" w14:textId="4C74A556" w:rsidR="00E12D97" w:rsidRDefault="00E12D97" w:rsidP="00E12D97">
      <w:pPr>
        <w:jc w:val="both"/>
        <w:rPr>
          <w:rFonts w:ascii="Calibri" w:hAnsi="Calibri" w:cs="Calibri"/>
          <w:sz w:val="22"/>
          <w:szCs w:val="22"/>
        </w:rPr>
      </w:pPr>
      <w:r>
        <w:rPr>
          <w:rFonts w:ascii="Calibri" w:hAnsi="Calibri" w:cs="Calibri"/>
          <w:sz w:val="22"/>
          <w:szCs w:val="22"/>
        </w:rPr>
        <w:t xml:space="preserve">Gross debt rose by €1,374.0M to €5,585.2M </w:t>
      </w:r>
      <w:r w:rsidR="00EB583C">
        <w:rPr>
          <w:rFonts w:ascii="Calibri" w:hAnsi="Calibri" w:cs="Calibri"/>
          <w:sz w:val="22"/>
          <w:szCs w:val="22"/>
        </w:rPr>
        <w:t xml:space="preserve">primarily </w:t>
      </w:r>
      <w:r>
        <w:rPr>
          <w:rFonts w:ascii="Calibri" w:hAnsi="Calibri" w:cs="Calibri"/>
          <w:sz w:val="22"/>
          <w:szCs w:val="22"/>
        </w:rPr>
        <w:t xml:space="preserve">due to a €850M Eurobond issuance in September 2020 and £600M unsecured debt under the HMT and Bank of England CCFF, offset by €132.3M debt repayments and €38.2M lease liability payments. </w:t>
      </w:r>
    </w:p>
    <w:p w14:paraId="654E85E2" w14:textId="59415E5F" w:rsidR="00A24B23" w:rsidRPr="00774101" w:rsidRDefault="00E12D97" w:rsidP="00E12D97">
      <w:pPr>
        <w:jc w:val="both"/>
        <w:rPr>
          <w:rFonts w:ascii="Calibri" w:hAnsi="Calibri" w:cs="Calibri"/>
          <w:sz w:val="22"/>
          <w:szCs w:val="22"/>
        </w:rPr>
      </w:pPr>
      <w:r>
        <w:rPr>
          <w:rFonts w:ascii="Calibri" w:hAnsi="Calibri" w:cs="Calibri"/>
          <w:sz w:val="22"/>
          <w:szCs w:val="22"/>
        </w:rPr>
        <w:t>Net debt was €1,082.9M at period end</w:t>
      </w:r>
      <w:r w:rsidR="00A24B23" w:rsidRPr="00774101">
        <w:rPr>
          <w:rFonts w:ascii="Calibri" w:hAnsi="Calibri" w:cs="Calibri"/>
          <w:sz w:val="22"/>
          <w:szCs w:val="22"/>
        </w:rPr>
        <w:t>.</w:t>
      </w:r>
    </w:p>
    <w:p w14:paraId="1073220B" w14:textId="77777777" w:rsidR="00A24B23" w:rsidRPr="009231B1" w:rsidRDefault="00A24B23" w:rsidP="00A24B23">
      <w:pPr>
        <w:jc w:val="both"/>
        <w:rPr>
          <w:rFonts w:ascii="Calibri" w:hAnsi="Calibri" w:cs="Calibri"/>
          <w:sz w:val="22"/>
          <w:szCs w:val="22"/>
          <w:highlight w:val="yellow"/>
        </w:rPr>
      </w:pPr>
    </w:p>
    <w:p w14:paraId="2BEDCBE6" w14:textId="77777777" w:rsidR="00A24B23" w:rsidRPr="00774101" w:rsidRDefault="00A24B23" w:rsidP="00A24B23">
      <w:pPr>
        <w:jc w:val="both"/>
        <w:rPr>
          <w:rFonts w:ascii="Calibri" w:hAnsi="Calibri" w:cs="Calibri"/>
          <w:b/>
          <w:sz w:val="22"/>
          <w:szCs w:val="22"/>
        </w:rPr>
      </w:pPr>
      <w:r w:rsidRPr="00774101">
        <w:rPr>
          <w:rFonts w:ascii="Calibri" w:hAnsi="Calibri" w:cs="Calibri"/>
          <w:b/>
          <w:sz w:val="22"/>
          <w:szCs w:val="22"/>
        </w:rPr>
        <w:t>Shareholders’ equity:</w:t>
      </w:r>
      <w:r w:rsidRPr="00774101">
        <w:rPr>
          <w:rFonts w:ascii="Calibri" w:hAnsi="Calibri" w:cs="Calibri"/>
          <w:b/>
          <w:sz w:val="22"/>
          <w:szCs w:val="22"/>
        </w:rPr>
        <w:tab/>
      </w:r>
      <w:r w:rsidRPr="00774101">
        <w:rPr>
          <w:rFonts w:ascii="Calibri" w:hAnsi="Calibri" w:cs="Calibri"/>
          <w:b/>
          <w:sz w:val="22"/>
          <w:szCs w:val="22"/>
        </w:rPr>
        <w:tab/>
      </w:r>
      <w:r w:rsidRPr="00774101">
        <w:rPr>
          <w:rFonts w:ascii="Calibri" w:hAnsi="Calibri" w:cs="Calibri"/>
          <w:b/>
          <w:sz w:val="22"/>
          <w:szCs w:val="22"/>
        </w:rPr>
        <w:tab/>
      </w:r>
      <w:r w:rsidRPr="00774101">
        <w:rPr>
          <w:rFonts w:ascii="Calibri" w:hAnsi="Calibri" w:cs="Calibri"/>
          <w:b/>
          <w:sz w:val="22"/>
          <w:szCs w:val="22"/>
        </w:rPr>
        <w:tab/>
      </w:r>
      <w:r w:rsidRPr="00774101">
        <w:rPr>
          <w:rFonts w:ascii="Calibri" w:hAnsi="Calibri" w:cs="Calibri"/>
          <w:b/>
          <w:sz w:val="22"/>
          <w:szCs w:val="22"/>
        </w:rPr>
        <w:tab/>
      </w:r>
      <w:r w:rsidRPr="00774101">
        <w:rPr>
          <w:rFonts w:ascii="Calibri" w:hAnsi="Calibri" w:cs="Calibri"/>
          <w:b/>
          <w:sz w:val="22"/>
          <w:szCs w:val="22"/>
        </w:rPr>
        <w:tab/>
        <w:t xml:space="preserve">    </w:t>
      </w:r>
    </w:p>
    <w:p w14:paraId="5CB41078" w14:textId="1C893820" w:rsidR="00A24B23" w:rsidRPr="00DB22BA" w:rsidRDefault="00E12D97" w:rsidP="00A24B23">
      <w:pPr>
        <w:jc w:val="both"/>
        <w:rPr>
          <w:rFonts w:ascii="Calibri" w:hAnsi="Calibri" w:cs="Calibri"/>
          <w:sz w:val="22"/>
          <w:szCs w:val="22"/>
        </w:rPr>
      </w:pPr>
      <w:r>
        <w:rPr>
          <w:rFonts w:ascii="Calibri" w:hAnsi="Calibri" w:cs="Calibri"/>
          <w:sz w:val="22"/>
          <w:szCs w:val="22"/>
        </w:rPr>
        <w:t xml:space="preserve">Shareholders’ equity increased by €64.2M to €4,978.7M in the period primarily due to a €400.0M of equity placing in September 2020 offset by a net loss of €410.5M and IFRS hedge accounting unrealised </w:t>
      </w:r>
      <w:r w:rsidR="00EB583C">
        <w:rPr>
          <w:rFonts w:ascii="Calibri" w:hAnsi="Calibri" w:cs="Calibri"/>
          <w:sz w:val="22"/>
          <w:szCs w:val="22"/>
        </w:rPr>
        <w:t>gain</w:t>
      </w:r>
      <w:r>
        <w:rPr>
          <w:rFonts w:ascii="Calibri" w:hAnsi="Calibri" w:cs="Calibri"/>
          <w:sz w:val="22"/>
          <w:szCs w:val="22"/>
        </w:rPr>
        <w:t xml:space="preserve"> for derivatives of €69.1M</w:t>
      </w:r>
      <w:r w:rsidR="00A24B23" w:rsidRPr="00774101">
        <w:rPr>
          <w:rFonts w:ascii="Calibri" w:hAnsi="Calibri" w:cs="Calibri"/>
          <w:sz w:val="22"/>
          <w:szCs w:val="22"/>
        </w:rPr>
        <w:t>.</w:t>
      </w:r>
    </w:p>
    <w:p w14:paraId="73A4CA60" w14:textId="77777777" w:rsidR="00A24B23" w:rsidRDefault="00A24B23" w:rsidP="000A033F">
      <w:pPr>
        <w:rPr>
          <w:rFonts w:ascii="Calibri" w:hAnsi="Calibri" w:cs="Calibri"/>
          <w:b/>
        </w:rPr>
      </w:pPr>
    </w:p>
    <w:p w14:paraId="5AD0F98B" w14:textId="77777777" w:rsidR="00F14775" w:rsidRDefault="00F14775" w:rsidP="000A033F">
      <w:pPr>
        <w:rPr>
          <w:rFonts w:ascii="Calibri" w:hAnsi="Calibri" w:cs="Calibri"/>
          <w:b/>
        </w:rPr>
      </w:pPr>
    </w:p>
    <w:p w14:paraId="467A7880" w14:textId="67DB1567" w:rsidR="000A033F" w:rsidRPr="004A0241" w:rsidRDefault="000A033F" w:rsidP="000A033F">
      <w:pPr>
        <w:rPr>
          <w:rFonts w:ascii="Calibri" w:hAnsi="Calibri" w:cs="Calibri"/>
          <w:b/>
        </w:rPr>
      </w:pPr>
      <w:r w:rsidRPr="004A0241">
        <w:rPr>
          <w:rFonts w:ascii="Calibri" w:hAnsi="Calibri" w:cs="Calibri"/>
          <w:b/>
        </w:rPr>
        <w:t xml:space="preserve">MD&amp;A Quarter Ended </w:t>
      </w:r>
      <w:r w:rsidR="00A24B23">
        <w:rPr>
          <w:rFonts w:ascii="Calibri" w:hAnsi="Calibri" w:cs="Calibri"/>
          <w:b/>
        </w:rPr>
        <w:t>September</w:t>
      </w:r>
      <w:r w:rsidRPr="004A0241">
        <w:rPr>
          <w:rFonts w:ascii="Calibri" w:hAnsi="Calibri" w:cs="Calibri"/>
          <w:b/>
        </w:rPr>
        <w:t xml:space="preserve"> 30, 2020</w:t>
      </w:r>
    </w:p>
    <w:p w14:paraId="636D94E0" w14:textId="77777777" w:rsidR="000A033F" w:rsidRPr="009231B1" w:rsidRDefault="000A033F" w:rsidP="000A033F">
      <w:pPr>
        <w:rPr>
          <w:rFonts w:ascii="Calibri" w:hAnsi="Calibri" w:cs="Calibri"/>
          <w:b/>
          <w:highlight w:val="yellow"/>
        </w:rPr>
      </w:pPr>
    </w:p>
    <w:p w14:paraId="3CE51B51" w14:textId="77777777" w:rsidR="00936361" w:rsidRPr="00C22F7C" w:rsidRDefault="00936361" w:rsidP="00936361">
      <w:pPr>
        <w:rPr>
          <w:rFonts w:ascii="Calibri" w:hAnsi="Calibri" w:cs="Calibri"/>
          <w:b/>
          <w:sz w:val="22"/>
          <w:szCs w:val="22"/>
        </w:rPr>
      </w:pPr>
      <w:r w:rsidRPr="00C22F7C">
        <w:rPr>
          <w:rFonts w:ascii="Calibri" w:hAnsi="Calibri" w:cs="Calibri"/>
          <w:b/>
          <w:sz w:val="22"/>
          <w:szCs w:val="22"/>
        </w:rPr>
        <w:t>Introduction</w:t>
      </w:r>
    </w:p>
    <w:p w14:paraId="3C55D52F" w14:textId="77777777" w:rsidR="00936361" w:rsidRPr="00C22F7C" w:rsidRDefault="00936361" w:rsidP="00936361">
      <w:pPr>
        <w:jc w:val="both"/>
        <w:rPr>
          <w:rFonts w:ascii="Calibri" w:hAnsi="Calibri" w:cs="Calibri"/>
          <w:sz w:val="22"/>
          <w:szCs w:val="22"/>
        </w:rPr>
      </w:pPr>
      <w:r w:rsidRPr="00C22F7C">
        <w:rPr>
          <w:rFonts w:ascii="Calibri" w:hAnsi="Calibri" w:cs="Calibri"/>
          <w:sz w:val="22"/>
          <w:szCs w:val="22"/>
        </w:rPr>
        <w:t>For the purposes of the Management Discussion and Analysis (“MD&amp;A”) (with the exception of the balance sheet commentary below) all figures and comments are by reference to the adjusted results excluding the exceptional item referred to below.</w:t>
      </w:r>
    </w:p>
    <w:p w14:paraId="43E03C9F" w14:textId="77777777" w:rsidR="00936361" w:rsidRPr="00C22F7C" w:rsidRDefault="00936361" w:rsidP="00936361">
      <w:pPr>
        <w:rPr>
          <w:rFonts w:ascii="Calibri" w:hAnsi="Calibri" w:cs="Calibri"/>
          <w:b/>
          <w:sz w:val="22"/>
          <w:szCs w:val="22"/>
          <w:u w:val="single"/>
        </w:rPr>
      </w:pPr>
    </w:p>
    <w:p w14:paraId="3C6A9287" w14:textId="0C8283B8" w:rsidR="00936361" w:rsidRDefault="00936361" w:rsidP="00936361">
      <w:pPr>
        <w:rPr>
          <w:rFonts w:ascii="Calibri" w:hAnsi="Calibri" w:cs="Calibri"/>
          <w:b/>
          <w:sz w:val="22"/>
          <w:szCs w:val="22"/>
          <w:u w:val="single"/>
        </w:rPr>
      </w:pPr>
      <w:r w:rsidRPr="00C22F7C">
        <w:rPr>
          <w:rFonts w:ascii="Calibri" w:hAnsi="Calibri" w:cs="Calibri"/>
          <w:sz w:val="22"/>
          <w:szCs w:val="22"/>
        </w:rPr>
        <w:t>Ongoing EU Government travel &amp; flight restrictions as a result of Covid-19 means that the Group will operate a significantly reduced flying schedule in H2 FY21 compared to what was originally expected. Therefore, the Group is recording an exceptional hedge ineffectiveness charge of €153M (net of a tax credit) in relation to H2 FY21 jet fuel hedges and a €50M charge (net of a tax credit) in relation to ineffective currency cashflow hedges primarily from delayed capex.</w:t>
      </w:r>
    </w:p>
    <w:p w14:paraId="6C1744F5" w14:textId="77777777" w:rsidR="00936361" w:rsidRDefault="00936361" w:rsidP="000A033F">
      <w:pPr>
        <w:rPr>
          <w:rFonts w:ascii="Calibri" w:hAnsi="Calibri" w:cs="Calibri"/>
          <w:b/>
          <w:sz w:val="22"/>
          <w:szCs w:val="22"/>
          <w:u w:val="single"/>
        </w:rPr>
      </w:pPr>
    </w:p>
    <w:p w14:paraId="7DF52F10" w14:textId="5F84289F" w:rsidR="000A033F" w:rsidRPr="00A35C07" w:rsidRDefault="000A033F" w:rsidP="000A033F">
      <w:pPr>
        <w:rPr>
          <w:rFonts w:ascii="Calibri" w:hAnsi="Calibri" w:cs="Calibri"/>
          <w:b/>
          <w:sz w:val="22"/>
          <w:szCs w:val="22"/>
          <w:u w:val="single"/>
        </w:rPr>
      </w:pPr>
      <w:r w:rsidRPr="00A35C07">
        <w:rPr>
          <w:rFonts w:ascii="Calibri" w:hAnsi="Calibri" w:cs="Calibri"/>
          <w:b/>
          <w:sz w:val="22"/>
          <w:szCs w:val="22"/>
          <w:u w:val="single"/>
        </w:rPr>
        <w:t>Income Statement</w:t>
      </w:r>
    </w:p>
    <w:p w14:paraId="421B62E9" w14:textId="77777777" w:rsidR="000A033F" w:rsidRPr="009231B1" w:rsidRDefault="000A033F" w:rsidP="000A033F">
      <w:pPr>
        <w:rPr>
          <w:rFonts w:ascii="Calibri" w:hAnsi="Calibri" w:cs="Calibri"/>
          <w:b/>
          <w:sz w:val="22"/>
          <w:szCs w:val="22"/>
          <w:highlight w:val="yellow"/>
        </w:rPr>
      </w:pPr>
    </w:p>
    <w:p w14:paraId="54F94BD0" w14:textId="77777777" w:rsidR="00055885" w:rsidRPr="002C741F" w:rsidRDefault="00055885" w:rsidP="00055885">
      <w:pPr>
        <w:keepNext/>
        <w:jc w:val="both"/>
        <w:rPr>
          <w:rFonts w:ascii="Calibri" w:hAnsi="Calibri" w:cs="Calibri"/>
          <w:b/>
          <w:sz w:val="22"/>
          <w:szCs w:val="22"/>
        </w:rPr>
      </w:pPr>
      <w:r w:rsidRPr="002C741F">
        <w:rPr>
          <w:rFonts w:ascii="Calibri" w:hAnsi="Calibri" w:cs="Calibri"/>
          <w:b/>
          <w:sz w:val="22"/>
          <w:szCs w:val="22"/>
        </w:rPr>
        <w:t>Scheduled revenues:</w:t>
      </w:r>
      <w:r w:rsidRPr="002C741F">
        <w:rPr>
          <w:rFonts w:ascii="Calibri" w:hAnsi="Calibri" w:cs="Calibri"/>
          <w:b/>
          <w:sz w:val="22"/>
          <w:szCs w:val="22"/>
        </w:rPr>
        <w:tab/>
      </w:r>
    </w:p>
    <w:p w14:paraId="7ADE4DEA" w14:textId="1E6D8A2E" w:rsidR="00055885" w:rsidRPr="002C741F" w:rsidRDefault="00E12D97" w:rsidP="00055885">
      <w:pPr>
        <w:keepNext/>
        <w:jc w:val="both"/>
        <w:rPr>
          <w:rFonts w:ascii="Calibri" w:hAnsi="Calibri" w:cs="Calibri"/>
          <w:sz w:val="22"/>
          <w:szCs w:val="22"/>
        </w:rPr>
      </w:pPr>
      <w:r>
        <w:rPr>
          <w:rFonts w:ascii="Calibri" w:hAnsi="Calibri" w:cs="Calibri"/>
          <w:sz w:val="22"/>
          <w:szCs w:val="22"/>
        </w:rPr>
        <w:t>Scheduled revenues decreased by</w:t>
      </w:r>
      <w:r>
        <w:rPr>
          <w:rFonts w:ascii="Calibri" w:hAnsi="Calibri" w:cs="Calibri"/>
          <w:b/>
          <w:sz w:val="22"/>
          <w:szCs w:val="22"/>
        </w:rPr>
        <w:t xml:space="preserve"> 69% to €690.1M</w:t>
      </w:r>
      <w:r>
        <w:rPr>
          <w:rFonts w:ascii="Calibri" w:hAnsi="Calibri" w:cs="Calibri"/>
          <w:sz w:val="22"/>
          <w:szCs w:val="22"/>
        </w:rPr>
        <w:t xml:space="preserve"> due to a 62% decline in traffic to just 16.7M as EU Governments imposed flight and/or travel bans due to the Covid-19 pandemic. The Group operated approximately 50% of its normal Q2 schedule with a 72% load factor</w:t>
      </w:r>
      <w:r w:rsidR="00055885">
        <w:rPr>
          <w:rFonts w:ascii="Calibri" w:hAnsi="Calibri" w:cs="Calibri"/>
          <w:sz w:val="22"/>
          <w:szCs w:val="22"/>
        </w:rPr>
        <w:t xml:space="preserve">. </w:t>
      </w:r>
    </w:p>
    <w:p w14:paraId="3D6004AA" w14:textId="77777777" w:rsidR="00055885" w:rsidRPr="009231B1" w:rsidRDefault="00055885" w:rsidP="00055885">
      <w:pPr>
        <w:keepNext/>
        <w:ind w:left="720"/>
        <w:jc w:val="both"/>
        <w:rPr>
          <w:rFonts w:ascii="Calibri" w:hAnsi="Calibri" w:cs="Calibri"/>
          <w:sz w:val="22"/>
          <w:szCs w:val="22"/>
          <w:highlight w:val="yellow"/>
        </w:rPr>
      </w:pPr>
    </w:p>
    <w:p w14:paraId="279FD4F0" w14:textId="77777777" w:rsidR="00055885" w:rsidRPr="004877FD" w:rsidRDefault="00055885" w:rsidP="00055885">
      <w:pPr>
        <w:jc w:val="both"/>
        <w:rPr>
          <w:rFonts w:ascii="Calibri" w:hAnsi="Calibri" w:cs="Calibri"/>
          <w:b/>
          <w:sz w:val="22"/>
          <w:szCs w:val="22"/>
        </w:rPr>
      </w:pPr>
      <w:r w:rsidRPr="004877FD">
        <w:rPr>
          <w:rFonts w:ascii="Calibri" w:hAnsi="Calibri" w:cs="Calibri"/>
          <w:b/>
          <w:sz w:val="22"/>
          <w:szCs w:val="22"/>
        </w:rPr>
        <w:t xml:space="preserve">Ancillary revenues: </w:t>
      </w:r>
      <w:r w:rsidRPr="004877FD">
        <w:rPr>
          <w:rFonts w:ascii="Calibri" w:hAnsi="Calibri" w:cs="Calibri"/>
          <w:b/>
          <w:sz w:val="22"/>
          <w:szCs w:val="22"/>
        </w:rPr>
        <w:tab/>
      </w:r>
      <w:r w:rsidRPr="004877FD">
        <w:rPr>
          <w:rFonts w:ascii="Calibri" w:hAnsi="Calibri" w:cs="Calibri"/>
          <w:b/>
          <w:sz w:val="22"/>
          <w:szCs w:val="22"/>
        </w:rPr>
        <w:tab/>
      </w:r>
      <w:r w:rsidRPr="004877FD">
        <w:rPr>
          <w:rFonts w:ascii="Calibri" w:hAnsi="Calibri" w:cs="Calibri"/>
          <w:b/>
          <w:sz w:val="22"/>
          <w:szCs w:val="22"/>
        </w:rPr>
        <w:tab/>
      </w:r>
      <w:r w:rsidRPr="004877FD">
        <w:rPr>
          <w:rFonts w:ascii="Calibri" w:hAnsi="Calibri" w:cs="Calibri"/>
          <w:b/>
          <w:sz w:val="22"/>
          <w:szCs w:val="22"/>
        </w:rPr>
        <w:tab/>
      </w:r>
      <w:r w:rsidRPr="004877FD">
        <w:rPr>
          <w:rFonts w:ascii="Calibri" w:hAnsi="Calibri" w:cs="Calibri"/>
          <w:b/>
          <w:sz w:val="22"/>
          <w:szCs w:val="22"/>
        </w:rPr>
        <w:tab/>
      </w:r>
      <w:r w:rsidRPr="004877FD">
        <w:rPr>
          <w:rFonts w:ascii="Calibri" w:hAnsi="Calibri" w:cs="Calibri"/>
          <w:b/>
          <w:sz w:val="22"/>
          <w:szCs w:val="22"/>
        </w:rPr>
        <w:tab/>
      </w:r>
      <w:r w:rsidRPr="004877FD">
        <w:rPr>
          <w:rFonts w:ascii="Calibri" w:hAnsi="Calibri" w:cs="Calibri"/>
          <w:b/>
          <w:sz w:val="22"/>
          <w:szCs w:val="22"/>
        </w:rPr>
        <w:tab/>
      </w:r>
      <w:r w:rsidRPr="004877FD">
        <w:rPr>
          <w:rFonts w:ascii="Calibri" w:hAnsi="Calibri" w:cs="Calibri"/>
          <w:b/>
          <w:sz w:val="22"/>
          <w:szCs w:val="22"/>
        </w:rPr>
        <w:tab/>
        <w:t xml:space="preserve">      </w:t>
      </w:r>
    </w:p>
    <w:p w14:paraId="39B8B33C" w14:textId="0DE05E25" w:rsidR="00055885" w:rsidRPr="004877FD" w:rsidRDefault="00E12D97" w:rsidP="00055885">
      <w:pPr>
        <w:contextualSpacing/>
        <w:jc w:val="both"/>
        <w:rPr>
          <w:rFonts w:ascii="Calibri" w:hAnsi="Calibri" w:cs="Calibri"/>
          <w:sz w:val="22"/>
          <w:szCs w:val="22"/>
        </w:rPr>
      </w:pPr>
      <w:r>
        <w:rPr>
          <w:rFonts w:ascii="Calibri" w:hAnsi="Calibri" w:cs="Calibri"/>
          <w:sz w:val="22"/>
          <w:szCs w:val="22"/>
        </w:rPr>
        <w:lastRenderedPageBreak/>
        <w:t xml:space="preserve">Ancillary revenues decreased by </w:t>
      </w:r>
      <w:r>
        <w:rPr>
          <w:rFonts w:ascii="Calibri" w:hAnsi="Calibri" w:cs="Calibri"/>
          <w:b/>
          <w:sz w:val="22"/>
          <w:szCs w:val="22"/>
        </w:rPr>
        <w:t>58% to €360.9M</w:t>
      </w:r>
      <w:r>
        <w:rPr>
          <w:rFonts w:ascii="Calibri" w:hAnsi="Calibri" w:cs="Calibri"/>
          <w:sz w:val="22"/>
          <w:szCs w:val="22"/>
        </w:rPr>
        <w:t xml:space="preserve"> due to a 62% decline in traffic (as highlighted above) to just 16.7M </w:t>
      </w:r>
      <w:bookmarkStart w:id="1" w:name="_Hlk54288267"/>
      <w:r>
        <w:rPr>
          <w:rFonts w:ascii="Calibri" w:hAnsi="Calibri" w:cs="Calibri"/>
          <w:sz w:val="22"/>
          <w:szCs w:val="22"/>
        </w:rPr>
        <w:t>offset by a strong performance in priority boarding and reserved seating</w:t>
      </w:r>
      <w:bookmarkEnd w:id="1"/>
      <w:r w:rsidR="00055885" w:rsidRPr="004877FD">
        <w:rPr>
          <w:rFonts w:ascii="Calibri" w:hAnsi="Calibri" w:cs="Calibri"/>
          <w:sz w:val="22"/>
          <w:szCs w:val="22"/>
        </w:rPr>
        <w:t>.</w:t>
      </w:r>
    </w:p>
    <w:p w14:paraId="7DC0D98A" w14:textId="77777777" w:rsidR="00055885" w:rsidRPr="009231B1" w:rsidRDefault="00055885" w:rsidP="00055885">
      <w:pPr>
        <w:contextualSpacing/>
        <w:jc w:val="both"/>
        <w:rPr>
          <w:rFonts w:ascii="Calibri" w:hAnsi="Calibri" w:cs="Calibri"/>
          <w:sz w:val="22"/>
          <w:szCs w:val="22"/>
          <w:highlight w:val="yellow"/>
        </w:rPr>
      </w:pPr>
    </w:p>
    <w:p w14:paraId="6A666DAE" w14:textId="26BAFF09" w:rsidR="00055885" w:rsidRPr="0096446E" w:rsidRDefault="00055885" w:rsidP="00055885">
      <w:pPr>
        <w:contextualSpacing/>
        <w:jc w:val="both"/>
        <w:rPr>
          <w:rFonts w:ascii="Calibri" w:hAnsi="Calibri" w:cs="Calibri"/>
          <w:b/>
          <w:sz w:val="22"/>
          <w:szCs w:val="22"/>
        </w:rPr>
      </w:pPr>
      <w:r w:rsidRPr="0096446E">
        <w:rPr>
          <w:rFonts w:ascii="Calibri" w:hAnsi="Calibri" w:cs="Calibri"/>
          <w:b/>
          <w:sz w:val="22"/>
          <w:szCs w:val="22"/>
        </w:rPr>
        <w:t xml:space="preserve">Total </w:t>
      </w:r>
      <w:r w:rsidR="004C236B">
        <w:rPr>
          <w:rFonts w:ascii="Calibri" w:hAnsi="Calibri" w:cs="Calibri"/>
          <w:b/>
          <w:sz w:val="22"/>
          <w:szCs w:val="22"/>
        </w:rPr>
        <w:t>R</w:t>
      </w:r>
      <w:r w:rsidRPr="0096446E">
        <w:rPr>
          <w:rFonts w:ascii="Calibri" w:hAnsi="Calibri" w:cs="Calibri"/>
          <w:b/>
          <w:sz w:val="22"/>
          <w:szCs w:val="22"/>
        </w:rPr>
        <w:t>evenue:</w:t>
      </w:r>
    </w:p>
    <w:p w14:paraId="768A9170" w14:textId="5164DAB9" w:rsidR="00055885" w:rsidRDefault="00E12D97" w:rsidP="00055885">
      <w:pPr>
        <w:contextualSpacing/>
        <w:jc w:val="both"/>
        <w:rPr>
          <w:rFonts w:ascii="Calibri" w:hAnsi="Calibri" w:cs="Calibri"/>
          <w:sz w:val="22"/>
          <w:szCs w:val="22"/>
        </w:rPr>
      </w:pPr>
      <w:r>
        <w:rPr>
          <w:rFonts w:ascii="Calibri" w:hAnsi="Calibri" w:cs="Calibri"/>
          <w:sz w:val="22"/>
          <w:szCs w:val="22"/>
        </w:rPr>
        <w:t xml:space="preserve">As a result of the above, total revenues decreased by </w:t>
      </w:r>
      <w:r>
        <w:rPr>
          <w:rFonts w:ascii="Calibri" w:hAnsi="Calibri" w:cs="Calibri"/>
          <w:b/>
          <w:sz w:val="22"/>
          <w:szCs w:val="22"/>
        </w:rPr>
        <w:t>66% to €1,051.0M</w:t>
      </w:r>
      <w:r w:rsidR="00055885">
        <w:rPr>
          <w:rFonts w:ascii="Calibri" w:hAnsi="Calibri" w:cs="Calibri"/>
          <w:b/>
          <w:sz w:val="22"/>
          <w:szCs w:val="22"/>
        </w:rPr>
        <w:t>.</w:t>
      </w:r>
    </w:p>
    <w:p w14:paraId="3CFA5EBD" w14:textId="77777777" w:rsidR="00055885" w:rsidRPr="001202E6" w:rsidRDefault="00055885" w:rsidP="00055885">
      <w:pPr>
        <w:contextualSpacing/>
        <w:jc w:val="both"/>
        <w:rPr>
          <w:rFonts w:ascii="Calibri" w:hAnsi="Calibri" w:cs="Calibri"/>
          <w:sz w:val="22"/>
          <w:szCs w:val="22"/>
        </w:rPr>
      </w:pPr>
    </w:p>
    <w:p w14:paraId="6C11459C" w14:textId="77777777" w:rsidR="00055885" w:rsidRPr="00BD1FBC" w:rsidRDefault="00055885" w:rsidP="00055885">
      <w:pPr>
        <w:jc w:val="both"/>
        <w:rPr>
          <w:rFonts w:ascii="Calibri" w:hAnsi="Calibri" w:cs="Calibri"/>
          <w:b/>
          <w:sz w:val="22"/>
          <w:szCs w:val="22"/>
        </w:rPr>
      </w:pPr>
      <w:r w:rsidRPr="00BD1FBC">
        <w:rPr>
          <w:rFonts w:ascii="Calibri" w:hAnsi="Calibri" w:cs="Calibri"/>
          <w:b/>
          <w:sz w:val="22"/>
          <w:szCs w:val="22"/>
        </w:rPr>
        <w:t>Operating Expenses:</w:t>
      </w:r>
    </w:p>
    <w:p w14:paraId="6DA8606A" w14:textId="77777777" w:rsidR="00055885" w:rsidRPr="009231B1" w:rsidRDefault="00055885" w:rsidP="00055885">
      <w:pPr>
        <w:jc w:val="both"/>
        <w:rPr>
          <w:rFonts w:ascii="Calibri" w:hAnsi="Calibri" w:cs="Calibri"/>
          <w:b/>
          <w:sz w:val="22"/>
          <w:szCs w:val="22"/>
          <w:highlight w:val="yellow"/>
        </w:rPr>
      </w:pPr>
    </w:p>
    <w:p w14:paraId="6F87AE54" w14:textId="77777777" w:rsidR="00055885" w:rsidRPr="009037AC" w:rsidRDefault="00055885" w:rsidP="00055885">
      <w:pPr>
        <w:jc w:val="both"/>
        <w:rPr>
          <w:rFonts w:ascii="Calibri" w:hAnsi="Calibri" w:cs="Calibri"/>
          <w:b/>
          <w:sz w:val="22"/>
          <w:szCs w:val="22"/>
        </w:rPr>
      </w:pPr>
      <w:r w:rsidRPr="009037AC">
        <w:rPr>
          <w:rFonts w:ascii="Calibri" w:hAnsi="Calibri" w:cs="Calibri"/>
          <w:b/>
          <w:sz w:val="22"/>
          <w:szCs w:val="22"/>
        </w:rPr>
        <w:t xml:space="preserve">Fuel and oil: </w:t>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t xml:space="preserve">       </w:t>
      </w:r>
    </w:p>
    <w:p w14:paraId="4337B50A" w14:textId="09D49A42" w:rsidR="00055885" w:rsidRPr="009037AC" w:rsidRDefault="00E12D97" w:rsidP="00055885">
      <w:pPr>
        <w:jc w:val="both"/>
        <w:rPr>
          <w:rFonts w:ascii="Calibri" w:hAnsi="Calibri" w:cs="Calibri"/>
          <w:sz w:val="22"/>
          <w:szCs w:val="22"/>
        </w:rPr>
      </w:pPr>
      <w:r>
        <w:rPr>
          <w:rFonts w:ascii="Calibri" w:hAnsi="Calibri" w:cs="Calibri"/>
          <w:sz w:val="22"/>
          <w:szCs w:val="22"/>
        </w:rPr>
        <w:t xml:space="preserve">Fuel and oil decreased by </w:t>
      </w:r>
      <w:r>
        <w:rPr>
          <w:rFonts w:ascii="Calibri" w:hAnsi="Calibri" w:cs="Calibri"/>
          <w:b/>
          <w:sz w:val="22"/>
          <w:szCs w:val="22"/>
        </w:rPr>
        <w:t xml:space="preserve">58% to €334.1M </w:t>
      </w:r>
      <w:r>
        <w:rPr>
          <w:rFonts w:ascii="Calibri" w:hAnsi="Calibri" w:cs="Calibri"/>
          <w:sz w:val="22"/>
          <w:szCs w:val="22"/>
        </w:rPr>
        <w:t>due to a 49% reduction in sectors flown, arising from Covid-19 fleet groundings and improved fuel burn</w:t>
      </w:r>
      <w:r w:rsidR="00055885" w:rsidRPr="009037AC">
        <w:rPr>
          <w:rFonts w:ascii="Calibri" w:hAnsi="Calibri" w:cs="Calibri"/>
          <w:sz w:val="22"/>
          <w:szCs w:val="22"/>
        </w:rPr>
        <w:t>.</w:t>
      </w:r>
    </w:p>
    <w:p w14:paraId="4B292975" w14:textId="034B99F0" w:rsidR="00055885" w:rsidRDefault="00055885" w:rsidP="00055885">
      <w:pPr>
        <w:jc w:val="both"/>
        <w:rPr>
          <w:rFonts w:ascii="Calibri" w:hAnsi="Calibri" w:cs="Calibri"/>
          <w:b/>
          <w:sz w:val="22"/>
          <w:szCs w:val="22"/>
          <w:highlight w:val="yellow"/>
        </w:rPr>
      </w:pPr>
    </w:p>
    <w:p w14:paraId="54F52FE2" w14:textId="77777777" w:rsidR="004137D8" w:rsidRPr="002C741F" w:rsidRDefault="004137D8" w:rsidP="004137D8">
      <w:pPr>
        <w:jc w:val="both"/>
        <w:rPr>
          <w:rFonts w:ascii="Calibri" w:hAnsi="Calibri" w:cs="Calibri"/>
          <w:b/>
          <w:sz w:val="22"/>
          <w:szCs w:val="22"/>
        </w:rPr>
      </w:pPr>
      <w:bookmarkStart w:id="2" w:name="_Hlk6923407"/>
      <w:r w:rsidRPr="002C741F">
        <w:rPr>
          <w:rFonts w:ascii="Calibri" w:hAnsi="Calibri" w:cs="Calibri"/>
          <w:b/>
          <w:sz w:val="22"/>
          <w:szCs w:val="22"/>
        </w:rPr>
        <w:t xml:space="preserve">Depreciation: </w:t>
      </w:r>
      <w:r w:rsidRPr="002C741F">
        <w:rPr>
          <w:rFonts w:ascii="Calibri" w:hAnsi="Calibri" w:cs="Calibri"/>
          <w:b/>
          <w:sz w:val="22"/>
          <w:szCs w:val="22"/>
        </w:rPr>
        <w:tab/>
      </w:r>
      <w:r w:rsidRPr="002C741F">
        <w:rPr>
          <w:rFonts w:ascii="Calibri" w:hAnsi="Calibri" w:cs="Calibri"/>
          <w:b/>
          <w:sz w:val="22"/>
          <w:szCs w:val="22"/>
        </w:rPr>
        <w:tab/>
      </w:r>
      <w:r w:rsidRPr="002C741F">
        <w:rPr>
          <w:rFonts w:ascii="Calibri" w:hAnsi="Calibri" w:cs="Calibri"/>
          <w:b/>
          <w:sz w:val="22"/>
          <w:szCs w:val="22"/>
        </w:rPr>
        <w:tab/>
      </w:r>
      <w:r w:rsidRPr="002C741F">
        <w:rPr>
          <w:rFonts w:ascii="Calibri" w:hAnsi="Calibri" w:cs="Calibri"/>
          <w:b/>
          <w:sz w:val="22"/>
          <w:szCs w:val="22"/>
        </w:rPr>
        <w:tab/>
      </w:r>
      <w:r w:rsidRPr="002C741F">
        <w:rPr>
          <w:rFonts w:ascii="Calibri" w:hAnsi="Calibri" w:cs="Calibri"/>
          <w:b/>
          <w:sz w:val="22"/>
          <w:szCs w:val="22"/>
        </w:rPr>
        <w:tab/>
      </w:r>
      <w:r w:rsidRPr="002C741F">
        <w:rPr>
          <w:rFonts w:ascii="Calibri" w:hAnsi="Calibri" w:cs="Calibri"/>
          <w:b/>
          <w:sz w:val="22"/>
          <w:szCs w:val="22"/>
        </w:rPr>
        <w:tab/>
      </w:r>
      <w:r w:rsidRPr="002C741F">
        <w:rPr>
          <w:rFonts w:ascii="Calibri" w:hAnsi="Calibri" w:cs="Calibri"/>
          <w:b/>
          <w:sz w:val="22"/>
          <w:szCs w:val="22"/>
        </w:rPr>
        <w:tab/>
        <w:t xml:space="preserve">                  </w:t>
      </w:r>
    </w:p>
    <w:p w14:paraId="5D3AC8FE" w14:textId="77777777" w:rsidR="004137D8" w:rsidRPr="002C741F" w:rsidRDefault="004137D8" w:rsidP="004137D8">
      <w:pPr>
        <w:jc w:val="both"/>
        <w:rPr>
          <w:rFonts w:ascii="Calibri" w:hAnsi="Calibri" w:cs="Calibri"/>
          <w:sz w:val="22"/>
          <w:szCs w:val="22"/>
        </w:rPr>
      </w:pPr>
      <w:r>
        <w:rPr>
          <w:rFonts w:ascii="Calibri" w:hAnsi="Calibri" w:cs="Calibri"/>
          <w:sz w:val="22"/>
          <w:szCs w:val="22"/>
        </w:rPr>
        <w:t xml:space="preserve">Depreciation is </w:t>
      </w:r>
      <w:r>
        <w:rPr>
          <w:rFonts w:ascii="Calibri" w:hAnsi="Calibri" w:cs="Calibri"/>
          <w:b/>
          <w:sz w:val="22"/>
          <w:szCs w:val="22"/>
        </w:rPr>
        <w:t>14% lower at €162.5M</w:t>
      </w:r>
      <w:r>
        <w:rPr>
          <w:rFonts w:ascii="Calibri" w:hAnsi="Calibri" w:cs="Calibri"/>
          <w:sz w:val="22"/>
          <w:szCs w:val="22"/>
        </w:rPr>
        <w:t>, primarily due to lower amortisation as a result of reduced aircraft utilisation.</w:t>
      </w:r>
    </w:p>
    <w:bookmarkEnd w:id="2"/>
    <w:p w14:paraId="065D3181" w14:textId="51C25509" w:rsidR="004137D8" w:rsidRDefault="004137D8" w:rsidP="00055885">
      <w:pPr>
        <w:jc w:val="both"/>
        <w:rPr>
          <w:rFonts w:ascii="Calibri" w:hAnsi="Calibri" w:cs="Calibri"/>
          <w:b/>
          <w:sz w:val="22"/>
          <w:szCs w:val="22"/>
          <w:highlight w:val="yellow"/>
        </w:rPr>
      </w:pPr>
    </w:p>
    <w:p w14:paraId="203E068D" w14:textId="77777777" w:rsidR="004137D8" w:rsidRPr="009037AC" w:rsidRDefault="004137D8" w:rsidP="004137D8">
      <w:pPr>
        <w:jc w:val="both"/>
        <w:rPr>
          <w:rFonts w:ascii="Calibri" w:hAnsi="Calibri" w:cs="Calibri"/>
          <w:b/>
          <w:sz w:val="22"/>
          <w:szCs w:val="22"/>
        </w:rPr>
      </w:pPr>
      <w:r w:rsidRPr="009037AC">
        <w:rPr>
          <w:rFonts w:ascii="Calibri" w:hAnsi="Calibri" w:cs="Calibri"/>
          <w:b/>
          <w:sz w:val="22"/>
          <w:szCs w:val="22"/>
        </w:rPr>
        <w:t>Staff costs:</w:t>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t xml:space="preserve">                                   </w:t>
      </w:r>
    </w:p>
    <w:p w14:paraId="068E25C5" w14:textId="77777777" w:rsidR="004137D8" w:rsidRPr="009037AC" w:rsidRDefault="004137D8" w:rsidP="004137D8">
      <w:pPr>
        <w:jc w:val="both"/>
        <w:rPr>
          <w:rFonts w:ascii="Calibri" w:hAnsi="Calibri" w:cs="Calibri"/>
          <w:sz w:val="22"/>
          <w:szCs w:val="22"/>
        </w:rPr>
      </w:pPr>
      <w:r>
        <w:rPr>
          <w:rFonts w:ascii="Calibri" w:hAnsi="Calibri" w:cs="Calibri"/>
          <w:sz w:val="22"/>
          <w:szCs w:val="22"/>
        </w:rPr>
        <w:t xml:space="preserve">Staff costs decreased </w:t>
      </w:r>
      <w:r>
        <w:rPr>
          <w:rFonts w:ascii="Calibri" w:hAnsi="Calibri" w:cs="Calibri"/>
          <w:b/>
          <w:sz w:val="22"/>
          <w:szCs w:val="22"/>
        </w:rPr>
        <w:t xml:space="preserve">42% to €166.2M </w:t>
      </w:r>
      <w:r>
        <w:rPr>
          <w:rFonts w:ascii="Calibri" w:hAnsi="Calibri" w:cs="Calibri"/>
          <w:sz w:val="22"/>
          <w:szCs w:val="22"/>
        </w:rPr>
        <w:t xml:space="preserve">due to reduced flight hours, a recruitment freeze, Group wide pay cuts and participation in EU Government payroll support schemes. </w:t>
      </w:r>
    </w:p>
    <w:p w14:paraId="274514DC" w14:textId="77777777" w:rsidR="004137D8" w:rsidRPr="009231B1" w:rsidRDefault="004137D8" w:rsidP="00055885">
      <w:pPr>
        <w:jc w:val="both"/>
        <w:rPr>
          <w:rFonts w:ascii="Calibri" w:hAnsi="Calibri" w:cs="Calibri"/>
          <w:b/>
          <w:sz w:val="22"/>
          <w:szCs w:val="22"/>
          <w:highlight w:val="yellow"/>
        </w:rPr>
      </w:pPr>
    </w:p>
    <w:p w14:paraId="05284BC5" w14:textId="77777777" w:rsidR="00055885" w:rsidRPr="009037AC" w:rsidRDefault="00055885" w:rsidP="00055885">
      <w:pPr>
        <w:jc w:val="both"/>
        <w:rPr>
          <w:rFonts w:ascii="Calibri" w:hAnsi="Calibri" w:cs="Calibri"/>
          <w:b/>
          <w:sz w:val="22"/>
          <w:szCs w:val="22"/>
        </w:rPr>
      </w:pPr>
      <w:r w:rsidRPr="009037AC">
        <w:rPr>
          <w:rFonts w:ascii="Calibri" w:hAnsi="Calibri" w:cs="Calibri"/>
          <w:b/>
          <w:sz w:val="22"/>
          <w:szCs w:val="22"/>
        </w:rPr>
        <w:t xml:space="preserve">Airport and handling charges: </w:t>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t xml:space="preserve">                   </w:t>
      </w:r>
    </w:p>
    <w:p w14:paraId="75EF6502" w14:textId="1B46CE9D" w:rsidR="00055885" w:rsidRPr="009037AC" w:rsidRDefault="00E12D97" w:rsidP="00055885">
      <w:pPr>
        <w:jc w:val="both"/>
        <w:rPr>
          <w:rFonts w:ascii="Calibri" w:hAnsi="Calibri" w:cs="Calibri"/>
          <w:sz w:val="22"/>
          <w:szCs w:val="22"/>
        </w:rPr>
      </w:pPr>
      <w:r>
        <w:rPr>
          <w:rFonts w:ascii="Calibri" w:hAnsi="Calibri" w:cs="Calibri"/>
          <w:sz w:val="22"/>
          <w:szCs w:val="22"/>
        </w:rPr>
        <w:t xml:space="preserve">Airport and handling charges decreased by </w:t>
      </w:r>
      <w:r>
        <w:rPr>
          <w:rFonts w:ascii="Calibri" w:hAnsi="Calibri" w:cs="Calibri"/>
          <w:b/>
          <w:sz w:val="22"/>
          <w:szCs w:val="22"/>
        </w:rPr>
        <w:t xml:space="preserve">55% to €151.6M </w:t>
      </w:r>
      <w:r>
        <w:rPr>
          <w:rFonts w:ascii="Calibri" w:hAnsi="Calibri" w:cs="Calibri"/>
          <w:sz w:val="22"/>
          <w:szCs w:val="22"/>
        </w:rPr>
        <w:t>due to lower sectors and reduced charges</w:t>
      </w:r>
      <w:r w:rsidR="00055885" w:rsidRPr="009037AC">
        <w:rPr>
          <w:rFonts w:ascii="Calibri" w:hAnsi="Calibri" w:cs="Calibri"/>
          <w:sz w:val="22"/>
          <w:szCs w:val="22"/>
        </w:rPr>
        <w:t>.</w:t>
      </w:r>
    </w:p>
    <w:p w14:paraId="3D6EECD3" w14:textId="77777777" w:rsidR="00055885" w:rsidRPr="009231B1" w:rsidRDefault="00055885" w:rsidP="00055885">
      <w:pPr>
        <w:jc w:val="both"/>
        <w:rPr>
          <w:rFonts w:ascii="Calibri" w:hAnsi="Calibri" w:cs="Calibri"/>
          <w:sz w:val="22"/>
          <w:szCs w:val="22"/>
          <w:highlight w:val="yellow"/>
        </w:rPr>
      </w:pPr>
    </w:p>
    <w:p w14:paraId="638032D7" w14:textId="77777777" w:rsidR="00055885" w:rsidRPr="009037AC" w:rsidRDefault="00055885" w:rsidP="00055885">
      <w:pPr>
        <w:jc w:val="both"/>
        <w:rPr>
          <w:rFonts w:ascii="Calibri" w:hAnsi="Calibri" w:cs="Calibri"/>
          <w:b/>
          <w:sz w:val="22"/>
          <w:szCs w:val="22"/>
        </w:rPr>
      </w:pPr>
      <w:r w:rsidRPr="009037AC">
        <w:rPr>
          <w:rFonts w:ascii="Calibri" w:hAnsi="Calibri" w:cs="Calibri"/>
          <w:b/>
          <w:sz w:val="22"/>
          <w:szCs w:val="22"/>
        </w:rPr>
        <w:t>Route charges:</w:t>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r>
      <w:r w:rsidRPr="009037AC">
        <w:rPr>
          <w:rFonts w:ascii="Calibri" w:hAnsi="Calibri" w:cs="Calibri"/>
          <w:b/>
          <w:sz w:val="22"/>
          <w:szCs w:val="22"/>
        </w:rPr>
        <w:tab/>
        <w:t xml:space="preserve">                   </w:t>
      </w:r>
    </w:p>
    <w:p w14:paraId="482B5A4A" w14:textId="47EA6478" w:rsidR="00055885" w:rsidRPr="009037AC" w:rsidRDefault="00E12D97" w:rsidP="00055885">
      <w:pPr>
        <w:jc w:val="both"/>
        <w:rPr>
          <w:rFonts w:ascii="Calibri" w:hAnsi="Calibri" w:cs="Calibri"/>
          <w:sz w:val="22"/>
          <w:szCs w:val="22"/>
        </w:rPr>
      </w:pPr>
      <w:r>
        <w:rPr>
          <w:rFonts w:ascii="Calibri" w:hAnsi="Calibri" w:cs="Calibri"/>
          <w:sz w:val="22"/>
          <w:szCs w:val="22"/>
        </w:rPr>
        <w:t xml:space="preserve">Route charges decreased by </w:t>
      </w:r>
      <w:r>
        <w:rPr>
          <w:rFonts w:ascii="Calibri" w:hAnsi="Calibri" w:cs="Calibri"/>
          <w:b/>
          <w:sz w:val="22"/>
          <w:szCs w:val="22"/>
        </w:rPr>
        <w:t>48% to €113.0M</w:t>
      </w:r>
      <w:r>
        <w:rPr>
          <w:rFonts w:ascii="Calibri" w:hAnsi="Calibri" w:cs="Calibri"/>
          <w:sz w:val="22"/>
          <w:szCs w:val="22"/>
        </w:rPr>
        <w:t xml:space="preserve"> primarily due to significantly reduced sectors arising from Covid-19 fleet groundings</w:t>
      </w:r>
      <w:r w:rsidR="00055885" w:rsidRPr="009037AC">
        <w:rPr>
          <w:rFonts w:ascii="Calibri" w:hAnsi="Calibri" w:cs="Calibri"/>
          <w:sz w:val="22"/>
          <w:szCs w:val="22"/>
        </w:rPr>
        <w:t>.</w:t>
      </w:r>
    </w:p>
    <w:p w14:paraId="4233B036" w14:textId="77777777" w:rsidR="00055885" w:rsidRPr="002C741F" w:rsidRDefault="00055885" w:rsidP="00055885">
      <w:pPr>
        <w:jc w:val="both"/>
        <w:rPr>
          <w:rFonts w:ascii="Calibri" w:hAnsi="Calibri" w:cs="Calibri"/>
          <w:b/>
          <w:sz w:val="22"/>
          <w:szCs w:val="22"/>
        </w:rPr>
      </w:pPr>
    </w:p>
    <w:p w14:paraId="27AC0527" w14:textId="77777777" w:rsidR="00055885" w:rsidRPr="006D224F" w:rsidRDefault="00055885" w:rsidP="00055885">
      <w:pPr>
        <w:jc w:val="both"/>
        <w:rPr>
          <w:rFonts w:ascii="Calibri" w:hAnsi="Calibri" w:cs="Calibri"/>
          <w:b/>
          <w:sz w:val="22"/>
          <w:szCs w:val="22"/>
        </w:rPr>
      </w:pPr>
      <w:r w:rsidRPr="006D224F">
        <w:rPr>
          <w:rFonts w:ascii="Calibri" w:hAnsi="Calibri" w:cs="Calibri"/>
          <w:b/>
          <w:sz w:val="22"/>
          <w:szCs w:val="22"/>
        </w:rPr>
        <w:t xml:space="preserve">Marketing, distribution and other: </w:t>
      </w:r>
      <w:r w:rsidRPr="006D224F">
        <w:rPr>
          <w:rFonts w:ascii="Calibri" w:hAnsi="Calibri" w:cs="Calibri"/>
          <w:b/>
          <w:sz w:val="22"/>
          <w:szCs w:val="22"/>
        </w:rPr>
        <w:tab/>
      </w:r>
      <w:r w:rsidRPr="006D224F">
        <w:rPr>
          <w:rFonts w:ascii="Calibri" w:hAnsi="Calibri" w:cs="Calibri"/>
          <w:b/>
          <w:sz w:val="22"/>
          <w:szCs w:val="22"/>
        </w:rPr>
        <w:tab/>
      </w:r>
      <w:r w:rsidRPr="006D224F">
        <w:rPr>
          <w:rFonts w:ascii="Calibri" w:hAnsi="Calibri" w:cs="Calibri"/>
          <w:b/>
          <w:sz w:val="22"/>
          <w:szCs w:val="22"/>
        </w:rPr>
        <w:tab/>
      </w:r>
      <w:r w:rsidRPr="006D224F">
        <w:rPr>
          <w:rFonts w:ascii="Calibri" w:hAnsi="Calibri" w:cs="Calibri"/>
          <w:b/>
          <w:sz w:val="22"/>
          <w:szCs w:val="22"/>
        </w:rPr>
        <w:tab/>
        <w:t xml:space="preserve">                        </w:t>
      </w:r>
    </w:p>
    <w:p w14:paraId="0D4E8170" w14:textId="488945A5" w:rsidR="00055885" w:rsidRPr="006D224F" w:rsidRDefault="00E12D97" w:rsidP="00055885">
      <w:pPr>
        <w:jc w:val="both"/>
        <w:rPr>
          <w:rFonts w:ascii="Calibri" w:hAnsi="Calibri" w:cs="Calibri"/>
          <w:sz w:val="22"/>
          <w:szCs w:val="22"/>
        </w:rPr>
      </w:pPr>
      <w:r>
        <w:rPr>
          <w:rFonts w:ascii="Calibri" w:hAnsi="Calibri" w:cs="Calibri"/>
          <w:sz w:val="22"/>
          <w:szCs w:val="22"/>
        </w:rPr>
        <w:t xml:space="preserve">Marketing, distribution and other decreased by </w:t>
      </w:r>
      <w:r>
        <w:rPr>
          <w:rFonts w:ascii="Calibri" w:hAnsi="Calibri" w:cs="Calibri"/>
          <w:b/>
          <w:sz w:val="22"/>
          <w:szCs w:val="22"/>
        </w:rPr>
        <w:t xml:space="preserve">59% to €64.0M </w:t>
      </w:r>
      <w:r>
        <w:rPr>
          <w:rFonts w:ascii="Calibri" w:hAnsi="Calibri" w:cs="Calibri"/>
          <w:bCs/>
          <w:sz w:val="22"/>
          <w:szCs w:val="22"/>
        </w:rPr>
        <w:t xml:space="preserve">due </w:t>
      </w:r>
      <w:r>
        <w:rPr>
          <w:rFonts w:ascii="Calibri" w:hAnsi="Calibri" w:cs="Calibri"/>
          <w:sz w:val="22"/>
          <w:szCs w:val="22"/>
        </w:rPr>
        <w:t>to lower discretionary spending across the Group airlines and fewer flights qualifying for EU261 compensation due to improved on-time performance in Q2 (97% OTP)</w:t>
      </w:r>
      <w:r w:rsidR="00055885">
        <w:rPr>
          <w:rFonts w:ascii="Calibri" w:hAnsi="Calibri" w:cs="Calibri"/>
          <w:sz w:val="22"/>
          <w:szCs w:val="22"/>
        </w:rPr>
        <w:t>.</w:t>
      </w:r>
    </w:p>
    <w:p w14:paraId="17C8581E" w14:textId="77777777" w:rsidR="00055885" w:rsidRPr="009231B1" w:rsidRDefault="00055885" w:rsidP="00055885">
      <w:pPr>
        <w:jc w:val="both"/>
        <w:rPr>
          <w:rFonts w:ascii="Calibri" w:hAnsi="Calibri" w:cs="Calibri"/>
          <w:b/>
          <w:sz w:val="22"/>
          <w:szCs w:val="22"/>
          <w:highlight w:val="yellow"/>
        </w:rPr>
      </w:pPr>
    </w:p>
    <w:p w14:paraId="7BE933BD" w14:textId="77777777" w:rsidR="00055885" w:rsidRPr="006D224F" w:rsidRDefault="00055885" w:rsidP="00055885">
      <w:pPr>
        <w:jc w:val="both"/>
        <w:rPr>
          <w:rFonts w:ascii="Calibri" w:hAnsi="Calibri" w:cs="Calibri"/>
          <w:b/>
          <w:sz w:val="22"/>
          <w:szCs w:val="22"/>
        </w:rPr>
      </w:pPr>
      <w:bookmarkStart w:id="3" w:name="_Hlk526772342"/>
      <w:r w:rsidRPr="006D224F">
        <w:rPr>
          <w:rFonts w:ascii="Calibri" w:hAnsi="Calibri" w:cs="Calibri"/>
          <w:b/>
          <w:sz w:val="22"/>
          <w:szCs w:val="22"/>
        </w:rPr>
        <w:t xml:space="preserve">Maintenance, materials and repairs: </w:t>
      </w:r>
      <w:r w:rsidRPr="006D224F">
        <w:rPr>
          <w:rFonts w:ascii="Calibri" w:hAnsi="Calibri" w:cs="Calibri"/>
          <w:b/>
          <w:sz w:val="22"/>
          <w:szCs w:val="22"/>
        </w:rPr>
        <w:tab/>
      </w:r>
      <w:r w:rsidRPr="006D224F">
        <w:rPr>
          <w:rFonts w:ascii="Calibri" w:hAnsi="Calibri" w:cs="Calibri"/>
          <w:b/>
          <w:sz w:val="22"/>
          <w:szCs w:val="22"/>
        </w:rPr>
        <w:tab/>
      </w:r>
      <w:r w:rsidRPr="006D224F">
        <w:rPr>
          <w:rFonts w:ascii="Calibri" w:hAnsi="Calibri" w:cs="Calibri"/>
          <w:b/>
          <w:sz w:val="22"/>
          <w:szCs w:val="22"/>
        </w:rPr>
        <w:tab/>
        <w:t xml:space="preserve">                     </w:t>
      </w:r>
    </w:p>
    <w:bookmarkEnd w:id="3"/>
    <w:p w14:paraId="3C72C662" w14:textId="5AB44CE3" w:rsidR="00055885" w:rsidRPr="006D224F" w:rsidRDefault="00E12D97" w:rsidP="00055885">
      <w:pPr>
        <w:jc w:val="both"/>
        <w:rPr>
          <w:rFonts w:ascii="Calibri" w:hAnsi="Calibri" w:cs="Calibri"/>
          <w:sz w:val="22"/>
          <w:szCs w:val="22"/>
        </w:rPr>
      </w:pPr>
      <w:r>
        <w:rPr>
          <w:rFonts w:ascii="Calibri" w:hAnsi="Calibri" w:cs="Calibri"/>
          <w:sz w:val="22"/>
          <w:szCs w:val="22"/>
        </w:rPr>
        <w:t xml:space="preserve">Maintenance, materials and repairs decreased by </w:t>
      </w:r>
      <w:r>
        <w:rPr>
          <w:rFonts w:ascii="Calibri" w:hAnsi="Calibri" w:cs="Calibri"/>
          <w:b/>
          <w:sz w:val="22"/>
          <w:szCs w:val="22"/>
        </w:rPr>
        <w:t>33% to €46.4M</w:t>
      </w:r>
      <w:r>
        <w:rPr>
          <w:rFonts w:ascii="Calibri" w:hAnsi="Calibri" w:cs="Calibri"/>
          <w:sz w:val="22"/>
          <w:szCs w:val="22"/>
        </w:rPr>
        <w:t xml:space="preserve"> due to reduced aircraft utilisation</w:t>
      </w:r>
      <w:r w:rsidR="00055885">
        <w:rPr>
          <w:rFonts w:ascii="Calibri" w:hAnsi="Calibri" w:cs="Calibri"/>
          <w:sz w:val="22"/>
          <w:szCs w:val="22"/>
        </w:rPr>
        <w:t>.</w:t>
      </w:r>
    </w:p>
    <w:p w14:paraId="1A3166A9" w14:textId="77777777" w:rsidR="00055885" w:rsidRPr="009231B1" w:rsidRDefault="00055885" w:rsidP="00055885">
      <w:pPr>
        <w:jc w:val="both"/>
        <w:rPr>
          <w:rFonts w:ascii="Calibri" w:hAnsi="Calibri" w:cs="Calibri"/>
          <w:b/>
          <w:sz w:val="22"/>
          <w:szCs w:val="22"/>
          <w:highlight w:val="yellow"/>
        </w:rPr>
      </w:pPr>
    </w:p>
    <w:p w14:paraId="743C18B0" w14:textId="77777777" w:rsidR="00055885" w:rsidRPr="00742F41" w:rsidRDefault="00055885" w:rsidP="00055885">
      <w:pPr>
        <w:jc w:val="both"/>
        <w:rPr>
          <w:rFonts w:ascii="Calibri" w:hAnsi="Calibri" w:cs="Calibri"/>
          <w:b/>
          <w:sz w:val="22"/>
          <w:szCs w:val="22"/>
        </w:rPr>
      </w:pPr>
      <w:r w:rsidRPr="00742F41">
        <w:rPr>
          <w:rFonts w:ascii="Calibri" w:hAnsi="Calibri" w:cs="Calibri"/>
          <w:b/>
          <w:sz w:val="22"/>
          <w:szCs w:val="22"/>
        </w:rPr>
        <w:t xml:space="preserve">Aircraft rentals:  </w:t>
      </w:r>
      <w:r w:rsidRPr="00742F41">
        <w:rPr>
          <w:rFonts w:ascii="Calibri" w:hAnsi="Calibri" w:cs="Calibri"/>
          <w:b/>
          <w:sz w:val="22"/>
          <w:szCs w:val="22"/>
        </w:rPr>
        <w:tab/>
      </w:r>
      <w:r w:rsidRPr="00742F41">
        <w:rPr>
          <w:rFonts w:ascii="Calibri" w:hAnsi="Calibri" w:cs="Calibri"/>
          <w:b/>
          <w:sz w:val="22"/>
          <w:szCs w:val="22"/>
        </w:rPr>
        <w:tab/>
      </w:r>
      <w:r w:rsidRPr="00742F41">
        <w:rPr>
          <w:rFonts w:ascii="Calibri" w:hAnsi="Calibri" w:cs="Calibri"/>
          <w:b/>
          <w:sz w:val="22"/>
          <w:szCs w:val="22"/>
        </w:rPr>
        <w:tab/>
      </w:r>
      <w:r w:rsidRPr="00742F41">
        <w:rPr>
          <w:rFonts w:ascii="Calibri" w:hAnsi="Calibri" w:cs="Calibri"/>
          <w:b/>
          <w:sz w:val="22"/>
          <w:szCs w:val="22"/>
        </w:rPr>
        <w:tab/>
      </w:r>
      <w:r w:rsidRPr="00742F41">
        <w:rPr>
          <w:rFonts w:ascii="Calibri" w:hAnsi="Calibri" w:cs="Calibri"/>
          <w:b/>
          <w:sz w:val="22"/>
          <w:szCs w:val="22"/>
        </w:rPr>
        <w:tab/>
      </w:r>
      <w:r w:rsidRPr="00742F41">
        <w:rPr>
          <w:rFonts w:ascii="Calibri" w:hAnsi="Calibri" w:cs="Calibri"/>
          <w:b/>
          <w:sz w:val="22"/>
          <w:szCs w:val="22"/>
        </w:rPr>
        <w:tab/>
      </w:r>
      <w:r w:rsidRPr="00742F41">
        <w:rPr>
          <w:rFonts w:ascii="Calibri" w:hAnsi="Calibri" w:cs="Calibri"/>
          <w:b/>
          <w:sz w:val="22"/>
          <w:szCs w:val="22"/>
        </w:rPr>
        <w:tab/>
      </w:r>
    </w:p>
    <w:p w14:paraId="408C1A17" w14:textId="144AB9AB" w:rsidR="00055885" w:rsidRPr="009231B1" w:rsidRDefault="00E12D97" w:rsidP="00055885">
      <w:pPr>
        <w:jc w:val="both"/>
        <w:rPr>
          <w:rFonts w:ascii="Calibri" w:hAnsi="Calibri" w:cs="Calibri"/>
          <w:sz w:val="22"/>
          <w:szCs w:val="22"/>
          <w:highlight w:val="yellow"/>
        </w:rPr>
      </w:pPr>
      <w:r>
        <w:rPr>
          <w:rFonts w:ascii="Calibri" w:hAnsi="Calibri" w:cs="Calibri"/>
          <w:sz w:val="22"/>
          <w:szCs w:val="22"/>
        </w:rPr>
        <w:t xml:space="preserve">Aircraft rentals fell by </w:t>
      </w:r>
      <w:r>
        <w:rPr>
          <w:rFonts w:ascii="Calibri" w:hAnsi="Calibri" w:cs="Calibri"/>
          <w:b/>
          <w:sz w:val="22"/>
          <w:szCs w:val="22"/>
        </w:rPr>
        <w:t>81% to €2.4M</w:t>
      </w:r>
      <w:r>
        <w:rPr>
          <w:rFonts w:ascii="Calibri" w:hAnsi="Calibri" w:cs="Calibri"/>
          <w:sz w:val="22"/>
          <w:szCs w:val="22"/>
        </w:rPr>
        <w:t xml:space="preserve"> due to 14 fewer leased B737 aircraft in the fleet</w:t>
      </w:r>
      <w:r w:rsidR="00055885">
        <w:rPr>
          <w:rFonts w:ascii="Calibri" w:hAnsi="Calibri" w:cs="Calibri"/>
          <w:sz w:val="22"/>
          <w:szCs w:val="22"/>
        </w:rPr>
        <w:t>.</w:t>
      </w:r>
      <w:r w:rsidR="00055885" w:rsidRPr="00742F41">
        <w:rPr>
          <w:rFonts w:ascii="Calibri" w:hAnsi="Calibri" w:cs="Calibri"/>
          <w:sz w:val="22"/>
          <w:szCs w:val="22"/>
        </w:rPr>
        <w:t xml:space="preserve"> </w:t>
      </w:r>
    </w:p>
    <w:p w14:paraId="50546AAF" w14:textId="77777777" w:rsidR="00055885" w:rsidRPr="009231B1" w:rsidRDefault="00055885" w:rsidP="00055885">
      <w:pPr>
        <w:jc w:val="both"/>
        <w:rPr>
          <w:rFonts w:ascii="Calibri" w:hAnsi="Calibri" w:cs="Calibri"/>
          <w:b/>
          <w:sz w:val="22"/>
          <w:szCs w:val="22"/>
          <w:highlight w:val="yellow"/>
        </w:rPr>
      </w:pPr>
    </w:p>
    <w:p w14:paraId="518D9483" w14:textId="77777777" w:rsidR="00055885" w:rsidRPr="00AE1DA4" w:rsidRDefault="00055885" w:rsidP="00055885">
      <w:pPr>
        <w:jc w:val="both"/>
        <w:rPr>
          <w:rFonts w:ascii="Calibri" w:hAnsi="Calibri" w:cs="Calibri"/>
          <w:b/>
          <w:sz w:val="22"/>
          <w:szCs w:val="22"/>
        </w:rPr>
      </w:pPr>
      <w:r>
        <w:rPr>
          <w:rFonts w:ascii="Calibri" w:hAnsi="Calibri" w:cs="Calibri"/>
          <w:b/>
          <w:sz w:val="22"/>
          <w:szCs w:val="22"/>
        </w:rPr>
        <w:t>Other</w:t>
      </w:r>
      <w:r w:rsidRPr="00AE1DA4">
        <w:rPr>
          <w:rFonts w:ascii="Calibri" w:hAnsi="Calibri" w:cs="Calibri"/>
          <w:b/>
          <w:sz w:val="22"/>
          <w:szCs w:val="22"/>
        </w:rPr>
        <w:t xml:space="preserve"> expense:</w:t>
      </w:r>
      <w:r w:rsidRPr="00AE1DA4">
        <w:rPr>
          <w:rFonts w:ascii="Calibri" w:hAnsi="Calibri" w:cs="Calibri"/>
          <w:b/>
          <w:sz w:val="22"/>
          <w:szCs w:val="22"/>
        </w:rPr>
        <w:tab/>
      </w:r>
      <w:r w:rsidRPr="00AE1DA4">
        <w:rPr>
          <w:rFonts w:ascii="Calibri" w:hAnsi="Calibri" w:cs="Calibri"/>
          <w:b/>
          <w:sz w:val="22"/>
          <w:szCs w:val="22"/>
        </w:rPr>
        <w:tab/>
      </w:r>
      <w:r w:rsidRPr="00AE1DA4">
        <w:rPr>
          <w:rFonts w:ascii="Calibri" w:hAnsi="Calibri" w:cs="Calibri"/>
          <w:b/>
          <w:sz w:val="22"/>
          <w:szCs w:val="22"/>
        </w:rPr>
        <w:tab/>
      </w:r>
      <w:r w:rsidRPr="00AE1DA4">
        <w:rPr>
          <w:rFonts w:ascii="Calibri" w:hAnsi="Calibri" w:cs="Calibri"/>
          <w:b/>
          <w:sz w:val="22"/>
          <w:szCs w:val="22"/>
        </w:rPr>
        <w:tab/>
      </w:r>
      <w:r w:rsidRPr="00AE1DA4">
        <w:rPr>
          <w:rFonts w:ascii="Calibri" w:hAnsi="Calibri" w:cs="Calibri"/>
          <w:b/>
          <w:sz w:val="22"/>
          <w:szCs w:val="22"/>
        </w:rPr>
        <w:tab/>
      </w:r>
      <w:r w:rsidRPr="00AE1DA4">
        <w:rPr>
          <w:rFonts w:ascii="Calibri" w:hAnsi="Calibri" w:cs="Calibri"/>
          <w:b/>
          <w:sz w:val="22"/>
          <w:szCs w:val="22"/>
        </w:rPr>
        <w:tab/>
      </w:r>
      <w:r w:rsidRPr="00AE1DA4">
        <w:rPr>
          <w:rFonts w:ascii="Calibri" w:hAnsi="Calibri" w:cs="Calibri"/>
          <w:b/>
          <w:sz w:val="22"/>
          <w:szCs w:val="22"/>
        </w:rPr>
        <w:tab/>
        <w:t xml:space="preserve">         </w:t>
      </w:r>
    </w:p>
    <w:p w14:paraId="3F8756BB" w14:textId="773E8B32" w:rsidR="00055885" w:rsidRPr="00AE1DA4" w:rsidRDefault="00E12D97" w:rsidP="00055885">
      <w:pPr>
        <w:jc w:val="both"/>
        <w:rPr>
          <w:rFonts w:ascii="Calibri" w:hAnsi="Calibri" w:cs="Calibri"/>
          <w:sz w:val="22"/>
          <w:szCs w:val="22"/>
        </w:rPr>
      </w:pPr>
      <w:r>
        <w:rPr>
          <w:rFonts w:ascii="Calibri" w:hAnsi="Calibri" w:cs="Calibri"/>
          <w:sz w:val="22"/>
          <w:szCs w:val="22"/>
        </w:rPr>
        <w:t xml:space="preserve">Finance expenses decreased by </w:t>
      </w:r>
      <w:r>
        <w:rPr>
          <w:rFonts w:ascii="Calibri" w:hAnsi="Calibri" w:cs="Calibri"/>
          <w:b/>
          <w:sz w:val="22"/>
          <w:szCs w:val="22"/>
        </w:rPr>
        <w:t>€7.2M to €5.9M</w:t>
      </w:r>
      <w:r>
        <w:rPr>
          <w:rFonts w:ascii="Calibri" w:hAnsi="Calibri" w:cs="Calibri"/>
          <w:sz w:val="22"/>
          <w:szCs w:val="22"/>
        </w:rPr>
        <w:t xml:space="preserve"> as a result of higher USD denominated cash on deposit and the maturity of more expensive secured debt</w:t>
      </w:r>
      <w:r w:rsidR="00055885">
        <w:rPr>
          <w:rFonts w:ascii="Calibri" w:hAnsi="Calibri" w:cs="Calibri"/>
          <w:sz w:val="22"/>
          <w:szCs w:val="22"/>
        </w:rPr>
        <w:t>.</w:t>
      </w:r>
    </w:p>
    <w:p w14:paraId="7F9F6CFC" w14:textId="66409F77" w:rsidR="008753E0" w:rsidRDefault="008753E0" w:rsidP="00832D00">
      <w:pPr>
        <w:jc w:val="both"/>
        <w:rPr>
          <w:rFonts w:ascii="Calibri" w:hAnsi="Calibri" w:cs="Calibri"/>
          <w:sz w:val="22"/>
          <w:szCs w:val="22"/>
          <w:highlight w:val="yellow"/>
        </w:rPr>
      </w:pPr>
    </w:p>
    <w:p w14:paraId="19F1A229" w14:textId="65E6BEBB" w:rsidR="000D4D17" w:rsidRDefault="000D4D17" w:rsidP="000D4D17">
      <w:pPr>
        <w:pStyle w:val="CG-Title-Center-Bold"/>
        <w:keepNext w:val="0"/>
        <w:tabs>
          <w:tab w:val="left" w:pos="-600"/>
          <w:tab w:val="left" w:pos="6120"/>
          <w:tab w:val="left" w:pos="6360"/>
          <w:tab w:val="left" w:pos="7800"/>
        </w:tabs>
        <w:spacing w:after="0"/>
        <w:ind w:left="-601" w:right="-352"/>
        <w:rPr>
          <w:rFonts w:ascii="Calibri" w:hAnsi="Calibri" w:cs="Calibri"/>
          <w:sz w:val="24"/>
          <w:szCs w:val="24"/>
        </w:rPr>
      </w:pPr>
    </w:p>
    <w:p w14:paraId="603002D8" w14:textId="77777777" w:rsidR="000D4D17" w:rsidRPr="000D4D17" w:rsidRDefault="000D4D17" w:rsidP="000D4D17">
      <w:pPr>
        <w:rPr>
          <w:lang w:val="en-US"/>
        </w:rPr>
      </w:pPr>
    </w:p>
    <w:p w14:paraId="4EC52CE3" w14:textId="66F6824D" w:rsidR="000D4D17" w:rsidRPr="00C22F7C" w:rsidRDefault="000D4D17" w:rsidP="000D4D17">
      <w:pPr>
        <w:pStyle w:val="CG-Title-Center-Bold"/>
        <w:keepNext w:val="0"/>
        <w:tabs>
          <w:tab w:val="left" w:pos="-600"/>
          <w:tab w:val="left" w:pos="6120"/>
          <w:tab w:val="left" w:pos="6360"/>
          <w:tab w:val="left" w:pos="7800"/>
        </w:tabs>
        <w:spacing w:after="0"/>
        <w:ind w:left="-601" w:right="-352"/>
        <w:rPr>
          <w:rFonts w:ascii="Calibri" w:hAnsi="Calibri" w:cs="Calibri"/>
          <w:sz w:val="24"/>
          <w:szCs w:val="24"/>
        </w:rPr>
      </w:pPr>
      <w:r w:rsidRPr="00C22F7C">
        <w:rPr>
          <w:rFonts w:ascii="Calibri" w:hAnsi="Calibri" w:cs="Calibri"/>
          <w:sz w:val="24"/>
          <w:szCs w:val="24"/>
        </w:rPr>
        <w:t>Ryanair Holdings plc and Subsidiaries</w:t>
      </w:r>
    </w:p>
    <w:p w14:paraId="7D57E6D0" w14:textId="77777777" w:rsidR="000D4D17" w:rsidRPr="00C22F7C" w:rsidRDefault="000D4D17" w:rsidP="000D4D17">
      <w:pPr>
        <w:pStyle w:val="CG-Title-Center-Bold"/>
        <w:keepNext w:val="0"/>
        <w:tabs>
          <w:tab w:val="left" w:pos="-600"/>
          <w:tab w:val="left" w:pos="6120"/>
          <w:tab w:val="left" w:pos="6360"/>
          <w:tab w:val="left" w:pos="7800"/>
        </w:tabs>
        <w:spacing w:after="0"/>
        <w:ind w:left="-601" w:right="-352"/>
        <w:rPr>
          <w:rFonts w:ascii="Calibri" w:hAnsi="Calibri" w:cs="Calibri"/>
          <w:sz w:val="24"/>
          <w:szCs w:val="24"/>
        </w:rPr>
      </w:pPr>
      <w:r w:rsidRPr="00C22F7C">
        <w:rPr>
          <w:rFonts w:ascii="Calibri" w:hAnsi="Calibri" w:cs="Calibri"/>
          <w:sz w:val="24"/>
          <w:szCs w:val="24"/>
        </w:rPr>
        <w:t>Interim Management Report</w:t>
      </w:r>
    </w:p>
    <w:p w14:paraId="303EBE69" w14:textId="77777777" w:rsidR="000D4D17" w:rsidRPr="00C22F7C" w:rsidRDefault="000D4D17" w:rsidP="000D4D17">
      <w:pPr>
        <w:rPr>
          <w:rFonts w:ascii="Calibri" w:hAnsi="Calibri" w:cs="Calibri"/>
        </w:rPr>
      </w:pPr>
    </w:p>
    <w:p w14:paraId="721B9DEE" w14:textId="77777777" w:rsidR="000D4D17" w:rsidRPr="00C22F7C" w:rsidRDefault="000D4D17" w:rsidP="000D4D17">
      <w:pPr>
        <w:spacing w:line="300" w:lineRule="exact"/>
        <w:rPr>
          <w:rFonts w:ascii="Calibri" w:hAnsi="Calibri" w:cs="Calibri"/>
          <w:b/>
          <w:sz w:val="22"/>
          <w:szCs w:val="22"/>
        </w:rPr>
      </w:pPr>
      <w:r w:rsidRPr="00C22F7C">
        <w:rPr>
          <w:rFonts w:ascii="Calibri" w:hAnsi="Calibri" w:cs="Calibri"/>
          <w:b/>
          <w:sz w:val="22"/>
          <w:szCs w:val="22"/>
        </w:rPr>
        <w:t>Introduction</w:t>
      </w:r>
    </w:p>
    <w:p w14:paraId="2886A0DC" w14:textId="77777777" w:rsidR="000D4D17" w:rsidRPr="00C22F7C" w:rsidRDefault="000D4D17" w:rsidP="000D4D17">
      <w:pPr>
        <w:spacing w:line="300" w:lineRule="exact"/>
        <w:rPr>
          <w:rFonts w:ascii="Calibri" w:hAnsi="Calibri" w:cs="Calibri"/>
          <w:b/>
          <w:sz w:val="22"/>
          <w:szCs w:val="22"/>
        </w:rPr>
      </w:pPr>
    </w:p>
    <w:p w14:paraId="4FD5D2E4" w14:textId="77777777" w:rsidR="000D4D17" w:rsidRPr="00C22F7C" w:rsidRDefault="000D4D17" w:rsidP="000D4D17">
      <w:pPr>
        <w:autoSpaceDE w:val="0"/>
        <w:autoSpaceDN w:val="0"/>
        <w:adjustRightInd w:val="0"/>
        <w:spacing w:line="300" w:lineRule="exact"/>
        <w:jc w:val="both"/>
        <w:rPr>
          <w:rFonts w:ascii="Calibri" w:hAnsi="Calibri" w:cs="Calibri"/>
          <w:sz w:val="22"/>
          <w:szCs w:val="22"/>
        </w:rPr>
      </w:pPr>
      <w:r w:rsidRPr="00C22F7C">
        <w:rPr>
          <w:rFonts w:ascii="Calibri" w:hAnsi="Calibri" w:cs="Calibri"/>
          <w:sz w:val="22"/>
          <w:szCs w:val="22"/>
        </w:rPr>
        <w:t>This financial report for the half-year ended September 30, 2020 meets the reporting requirements pursuant to the Transparency (Directive 2004/109/EC) Regulations 2007 and Transparency Rules of the Central Bank of Ireland.</w:t>
      </w:r>
    </w:p>
    <w:p w14:paraId="59084CCB" w14:textId="77777777" w:rsidR="000D4D17" w:rsidRPr="00C22F7C" w:rsidRDefault="000D4D17" w:rsidP="000D4D17">
      <w:pPr>
        <w:autoSpaceDE w:val="0"/>
        <w:autoSpaceDN w:val="0"/>
        <w:adjustRightInd w:val="0"/>
        <w:spacing w:line="300" w:lineRule="exact"/>
        <w:jc w:val="both"/>
        <w:rPr>
          <w:rFonts w:ascii="Calibri" w:hAnsi="Calibri" w:cs="Calibri"/>
          <w:sz w:val="22"/>
          <w:szCs w:val="22"/>
        </w:rPr>
      </w:pPr>
    </w:p>
    <w:p w14:paraId="2E76EB07" w14:textId="77777777" w:rsidR="000D4D17" w:rsidRPr="00C22F7C" w:rsidRDefault="000D4D17" w:rsidP="000D4D17">
      <w:pPr>
        <w:autoSpaceDE w:val="0"/>
        <w:autoSpaceDN w:val="0"/>
        <w:adjustRightInd w:val="0"/>
        <w:spacing w:line="300" w:lineRule="exact"/>
        <w:jc w:val="both"/>
        <w:rPr>
          <w:rFonts w:ascii="Calibri" w:hAnsi="Calibri" w:cs="Calibri"/>
          <w:sz w:val="22"/>
          <w:szCs w:val="22"/>
        </w:rPr>
      </w:pPr>
      <w:r w:rsidRPr="00C22F7C">
        <w:rPr>
          <w:rFonts w:ascii="Calibri" w:hAnsi="Calibri" w:cs="Calibri"/>
          <w:sz w:val="22"/>
          <w:szCs w:val="22"/>
        </w:rPr>
        <w:t xml:space="preserve">This interim management report includes the following: </w:t>
      </w:r>
    </w:p>
    <w:p w14:paraId="232338DF" w14:textId="77777777" w:rsidR="000D4D17" w:rsidRPr="00C22F7C" w:rsidRDefault="000D4D17" w:rsidP="000D4D17">
      <w:pPr>
        <w:tabs>
          <w:tab w:val="num" w:pos="240"/>
        </w:tabs>
        <w:autoSpaceDE w:val="0"/>
        <w:autoSpaceDN w:val="0"/>
        <w:adjustRightInd w:val="0"/>
        <w:rPr>
          <w:rFonts w:ascii="Calibri" w:hAnsi="Calibri" w:cs="Calibri"/>
          <w:sz w:val="22"/>
          <w:szCs w:val="22"/>
        </w:rPr>
      </w:pPr>
    </w:p>
    <w:p w14:paraId="194987E0" w14:textId="77777777" w:rsidR="000D4D17" w:rsidRPr="00C22F7C" w:rsidRDefault="000D4D17" w:rsidP="000D4D17">
      <w:pPr>
        <w:numPr>
          <w:ilvl w:val="0"/>
          <w:numId w:val="2"/>
        </w:numPr>
        <w:tabs>
          <w:tab w:val="clear" w:pos="720"/>
          <w:tab w:val="num" w:pos="240"/>
        </w:tabs>
        <w:autoSpaceDE w:val="0"/>
        <w:autoSpaceDN w:val="0"/>
        <w:adjustRightInd w:val="0"/>
        <w:ind w:left="426" w:hanging="339"/>
        <w:jc w:val="both"/>
        <w:rPr>
          <w:rFonts w:ascii="Calibri" w:hAnsi="Calibri" w:cs="Calibri"/>
          <w:sz w:val="22"/>
          <w:szCs w:val="22"/>
        </w:rPr>
      </w:pPr>
      <w:r w:rsidRPr="00C22F7C">
        <w:rPr>
          <w:rFonts w:ascii="Calibri" w:hAnsi="Calibri" w:cs="Calibri"/>
          <w:sz w:val="22"/>
          <w:szCs w:val="22"/>
        </w:rPr>
        <w:t>Principal risks and uncertainties relating to the remaining six months of the year;</w:t>
      </w:r>
    </w:p>
    <w:p w14:paraId="34EE4D14" w14:textId="77777777" w:rsidR="000D4D17" w:rsidRPr="00C22F7C" w:rsidRDefault="000D4D17" w:rsidP="000D4D17">
      <w:pPr>
        <w:tabs>
          <w:tab w:val="num" w:pos="240"/>
        </w:tabs>
        <w:autoSpaceDE w:val="0"/>
        <w:autoSpaceDN w:val="0"/>
        <w:adjustRightInd w:val="0"/>
        <w:ind w:left="426" w:hanging="339"/>
        <w:rPr>
          <w:rFonts w:ascii="Calibri" w:hAnsi="Calibri" w:cs="Calibri"/>
          <w:sz w:val="22"/>
          <w:szCs w:val="22"/>
        </w:rPr>
      </w:pPr>
    </w:p>
    <w:p w14:paraId="350FD4A7" w14:textId="77777777" w:rsidR="000D4D17" w:rsidRPr="00C22F7C" w:rsidRDefault="000D4D17" w:rsidP="000D4D17">
      <w:pPr>
        <w:numPr>
          <w:ilvl w:val="0"/>
          <w:numId w:val="2"/>
        </w:numPr>
        <w:tabs>
          <w:tab w:val="clear" w:pos="720"/>
          <w:tab w:val="num" w:pos="240"/>
        </w:tabs>
        <w:autoSpaceDE w:val="0"/>
        <w:autoSpaceDN w:val="0"/>
        <w:adjustRightInd w:val="0"/>
        <w:ind w:left="426" w:hanging="339"/>
        <w:jc w:val="both"/>
        <w:rPr>
          <w:rFonts w:ascii="Calibri" w:hAnsi="Calibri" w:cs="Calibri"/>
          <w:sz w:val="22"/>
          <w:szCs w:val="22"/>
        </w:rPr>
      </w:pPr>
      <w:r w:rsidRPr="00C22F7C">
        <w:rPr>
          <w:rFonts w:ascii="Calibri" w:hAnsi="Calibri" w:cs="Calibri"/>
          <w:sz w:val="22"/>
          <w:szCs w:val="22"/>
        </w:rPr>
        <w:t>Related party transactions; and</w:t>
      </w:r>
    </w:p>
    <w:p w14:paraId="3B5DE315" w14:textId="77777777" w:rsidR="000D4D17" w:rsidRPr="00C22F7C" w:rsidRDefault="000D4D17" w:rsidP="000D4D17">
      <w:pPr>
        <w:tabs>
          <w:tab w:val="num" w:pos="240"/>
        </w:tabs>
        <w:autoSpaceDE w:val="0"/>
        <w:autoSpaceDN w:val="0"/>
        <w:adjustRightInd w:val="0"/>
        <w:ind w:left="426" w:hanging="339"/>
        <w:rPr>
          <w:rFonts w:ascii="Calibri" w:hAnsi="Calibri" w:cs="Calibri"/>
          <w:sz w:val="22"/>
          <w:szCs w:val="22"/>
        </w:rPr>
      </w:pPr>
    </w:p>
    <w:p w14:paraId="1BDD835C" w14:textId="77777777" w:rsidR="000D4D17" w:rsidRPr="00C22F7C" w:rsidRDefault="000D4D17" w:rsidP="000D4D17">
      <w:pPr>
        <w:numPr>
          <w:ilvl w:val="0"/>
          <w:numId w:val="2"/>
        </w:numPr>
        <w:tabs>
          <w:tab w:val="clear" w:pos="720"/>
          <w:tab w:val="num" w:pos="240"/>
        </w:tabs>
        <w:autoSpaceDE w:val="0"/>
        <w:autoSpaceDN w:val="0"/>
        <w:adjustRightInd w:val="0"/>
        <w:ind w:left="426" w:hanging="339"/>
        <w:jc w:val="both"/>
        <w:rPr>
          <w:rFonts w:ascii="Calibri" w:hAnsi="Calibri" w:cs="Calibri"/>
          <w:sz w:val="22"/>
          <w:szCs w:val="22"/>
        </w:rPr>
      </w:pPr>
      <w:r w:rsidRPr="00C22F7C">
        <w:rPr>
          <w:rFonts w:ascii="Calibri" w:hAnsi="Calibri" w:cs="Calibri"/>
          <w:sz w:val="22"/>
          <w:szCs w:val="22"/>
        </w:rPr>
        <w:t xml:space="preserve">Post balance sheet events. </w:t>
      </w:r>
    </w:p>
    <w:p w14:paraId="1C051506" w14:textId="77777777" w:rsidR="000D4D17" w:rsidRPr="00C22F7C" w:rsidRDefault="000D4D17" w:rsidP="000D4D17">
      <w:pPr>
        <w:autoSpaceDE w:val="0"/>
        <w:autoSpaceDN w:val="0"/>
        <w:adjustRightInd w:val="0"/>
        <w:spacing w:line="276" w:lineRule="auto"/>
        <w:jc w:val="both"/>
        <w:rPr>
          <w:rFonts w:ascii="Calibri" w:hAnsi="Calibri" w:cs="Calibri"/>
          <w:sz w:val="22"/>
          <w:szCs w:val="22"/>
        </w:rPr>
      </w:pPr>
    </w:p>
    <w:p w14:paraId="0A044E4A" w14:textId="77777777" w:rsidR="000D4D17" w:rsidRPr="00C22F7C" w:rsidRDefault="000D4D17" w:rsidP="000D4D17">
      <w:pPr>
        <w:tabs>
          <w:tab w:val="num" w:pos="-240"/>
        </w:tabs>
        <w:spacing w:line="300" w:lineRule="exact"/>
        <w:jc w:val="both"/>
        <w:rPr>
          <w:rFonts w:ascii="Calibri" w:hAnsi="Calibri" w:cs="Calibri"/>
          <w:sz w:val="22"/>
          <w:szCs w:val="22"/>
        </w:rPr>
      </w:pPr>
      <w:r w:rsidRPr="00C22F7C">
        <w:rPr>
          <w:rFonts w:ascii="Calibri" w:hAnsi="Calibri" w:cs="Calibri"/>
          <w:sz w:val="22"/>
          <w:szCs w:val="22"/>
        </w:rPr>
        <w:t>Results of operations for the six-month period ended September 30, 2020 compared to the six month period ended September 30, 2019, including important events that occurred during the half-year, are set forth above in the MD&amp;A.</w:t>
      </w:r>
    </w:p>
    <w:p w14:paraId="623C2ED1" w14:textId="77777777" w:rsidR="000D4D17" w:rsidRPr="00C22F7C" w:rsidRDefault="000D4D17" w:rsidP="000D4D17">
      <w:pPr>
        <w:pStyle w:val="S2"/>
        <w:spacing w:after="0" w:line="300" w:lineRule="exact"/>
        <w:ind w:right="0" w:firstLine="431"/>
        <w:jc w:val="center"/>
        <w:rPr>
          <w:rFonts w:ascii="Calibri" w:hAnsi="Calibri" w:cs="Calibri"/>
          <w:szCs w:val="22"/>
        </w:rPr>
      </w:pPr>
    </w:p>
    <w:p w14:paraId="39DD0222" w14:textId="77777777" w:rsidR="000D4D17" w:rsidRPr="00C22F7C" w:rsidRDefault="000D4D17" w:rsidP="000D4D17">
      <w:pPr>
        <w:spacing w:line="300" w:lineRule="exact"/>
        <w:jc w:val="both"/>
        <w:rPr>
          <w:rFonts w:ascii="Calibri" w:hAnsi="Calibri" w:cs="Calibri"/>
          <w:b/>
          <w:sz w:val="22"/>
          <w:szCs w:val="22"/>
        </w:rPr>
      </w:pPr>
      <w:r w:rsidRPr="00C22F7C">
        <w:rPr>
          <w:rFonts w:ascii="Calibri" w:hAnsi="Calibri" w:cs="Calibri"/>
          <w:b/>
          <w:sz w:val="22"/>
          <w:szCs w:val="22"/>
        </w:rPr>
        <w:t>Principal risks and uncertainties for the remainder of the year</w:t>
      </w:r>
    </w:p>
    <w:p w14:paraId="6EA7B601" w14:textId="77777777" w:rsidR="000D4D17" w:rsidRPr="00C22F7C" w:rsidRDefault="000D4D17" w:rsidP="000D4D17">
      <w:pPr>
        <w:spacing w:line="300" w:lineRule="exact"/>
        <w:jc w:val="both"/>
        <w:rPr>
          <w:rFonts w:ascii="Calibri" w:hAnsi="Calibri" w:cs="Calibri"/>
          <w:b/>
          <w:sz w:val="22"/>
          <w:szCs w:val="22"/>
        </w:rPr>
      </w:pPr>
    </w:p>
    <w:p w14:paraId="32FE3488" w14:textId="77777777" w:rsidR="000D4D17" w:rsidRPr="00C22F7C" w:rsidRDefault="000D4D17" w:rsidP="000D4D17">
      <w:pPr>
        <w:keepNext/>
        <w:jc w:val="both"/>
        <w:rPr>
          <w:rFonts w:ascii="Calibri" w:hAnsi="Calibri" w:cs="Calibri"/>
          <w:sz w:val="22"/>
          <w:szCs w:val="22"/>
        </w:rPr>
      </w:pPr>
      <w:r w:rsidRPr="00C22F7C">
        <w:rPr>
          <w:rFonts w:ascii="Calibri" w:hAnsi="Calibri" w:cs="Calibri"/>
          <w:sz w:val="22"/>
          <w:szCs w:val="22"/>
        </w:rPr>
        <w:t xml:space="preserve">The Covid-19 pandemic and measures to reduce its spread have had, and will likely continue to have, a material adverse impact on the Group’s business, results of operations, financial condition and liquidity. Since February 2020, governments globally have implemented a range of travel restrictions including lockdowns, “do not travel” advisories, restrictions on travel from certain international locations, enhanced airport screenings, mandatory quarantine requirements, and other similar measures. Other governmental restrictions and regulations in the future in response to Covid-19 could include additional </w:t>
      </w:r>
      <w:r w:rsidRPr="00C22F7C">
        <w:rPr>
          <w:rFonts w:ascii="Calibri" w:hAnsi="Calibri" w:cs="Calibri"/>
          <w:sz w:val="22"/>
          <w:szCs w:val="22"/>
        </w:rPr>
        <w:lastRenderedPageBreak/>
        <w:t>travel restrictions, quarantines of additional populations (including the Group’s personnel), restrictions on our ability to access our facilities or aircraft or requirements to collect additional passenger data. In addition, governments, non-governmental organizations and entities in the private sector have issued and may continue to issue non-binding advisories or recommendations regarding air travel or other social distancing measures, including limitations on the number of persons that should be present at public gatherings. In addition, Ryanair has incurred, and will continue to incur, significant Covid-19 related costs for enhanced aircraft cleaning and additional procedures to limit transmission among its personnel and customers. Although these procedures are currently elective, the industry may in the future be subject to further cleaning and safety measures, which may be costly and take a significant amount of time to implement. These measures, individually and combined, could have a material adverse impact on the Group’s business.</w:t>
      </w:r>
    </w:p>
    <w:p w14:paraId="5D321C19" w14:textId="77777777" w:rsidR="000D4D17" w:rsidRPr="00C22F7C" w:rsidRDefault="000D4D17" w:rsidP="000D4D17">
      <w:pPr>
        <w:keepNext/>
        <w:ind w:firstLine="720"/>
        <w:jc w:val="both"/>
        <w:rPr>
          <w:rFonts w:ascii="Calibri" w:hAnsi="Calibri" w:cs="Calibri"/>
          <w:sz w:val="22"/>
          <w:szCs w:val="22"/>
        </w:rPr>
      </w:pPr>
    </w:p>
    <w:p w14:paraId="666CCAFD" w14:textId="77777777" w:rsidR="000D4D17" w:rsidRPr="00C22F7C" w:rsidRDefault="000D4D17" w:rsidP="000D4D17">
      <w:pPr>
        <w:spacing w:line="300" w:lineRule="exact"/>
        <w:jc w:val="both"/>
        <w:rPr>
          <w:rFonts w:ascii="Calibri" w:hAnsi="Calibri" w:cs="Calibri"/>
          <w:sz w:val="22"/>
          <w:szCs w:val="22"/>
        </w:rPr>
      </w:pPr>
      <w:r w:rsidRPr="00C22F7C">
        <w:rPr>
          <w:rFonts w:ascii="Calibri" w:hAnsi="Calibri" w:cs="Calibri"/>
          <w:sz w:val="22"/>
          <w:szCs w:val="22"/>
        </w:rPr>
        <w:t>The full extent of the ongoing impact of Covid-19 on the Group’s longer-term operational and financial performance will depend on future developments, many of which are outside of the Group’s control, including the duration and spread of Covid-19 and related travel advisories and restrictions, the impact of Covid-19 on overall long-term demand for air travel, the impact of Covid-19 on the financial health and operations of the Group’s business partners (particularly Boeing), and future governmental actions, all of which are highly uncertain and cannot be predicted.</w:t>
      </w:r>
    </w:p>
    <w:p w14:paraId="76B438EE" w14:textId="77777777" w:rsidR="000D4D17" w:rsidRPr="00C22F7C" w:rsidRDefault="000D4D17" w:rsidP="000D4D17">
      <w:pPr>
        <w:spacing w:line="300" w:lineRule="exact"/>
        <w:jc w:val="both"/>
        <w:rPr>
          <w:rFonts w:ascii="Calibri" w:hAnsi="Calibri" w:cs="Calibri"/>
          <w:sz w:val="22"/>
          <w:szCs w:val="22"/>
        </w:rPr>
      </w:pPr>
    </w:p>
    <w:p w14:paraId="7AF8E750" w14:textId="77777777" w:rsidR="000D4D17" w:rsidRPr="00C22F7C" w:rsidRDefault="000D4D17" w:rsidP="000D4D17">
      <w:pPr>
        <w:spacing w:line="300" w:lineRule="exact"/>
        <w:jc w:val="both"/>
        <w:rPr>
          <w:rFonts w:ascii="Calibri" w:hAnsi="Calibri" w:cs="Calibri"/>
          <w:sz w:val="22"/>
          <w:szCs w:val="22"/>
        </w:rPr>
      </w:pPr>
      <w:r w:rsidRPr="00C22F7C">
        <w:rPr>
          <w:rFonts w:ascii="Calibri" w:hAnsi="Calibri" w:cs="Calibri"/>
          <w:sz w:val="22"/>
          <w:szCs w:val="22"/>
        </w:rPr>
        <w:t xml:space="preserve">Among other factors that are subject to change and could significantly impact Ryanair’s expected results for the remainder of the year are the airline pricing environment, capacity growth in Europe, fuel costs, competition from new and existing carriers, market prices for the replacement of aircraft, costs associated with environmental, safety and security measures, actions of the Irish, UK, European Union (“EU”) and other governments and their respective regulatory agencies, delays in the delivery of contracted aircraft, weather related disruptions, ATC strikes and staffing related disruptions, uncertainties surrounding Brexit, fluctuations in currency exchange rates and interest rates, airport access and charges, labour relations, the economic environment of the airline industry, the general economic environment in Ireland, the UK, and Continental Europe, the general willingness of passengers to travel, other economic, social and political factors and unforeseen security events.  </w:t>
      </w:r>
    </w:p>
    <w:p w14:paraId="39CED4C9" w14:textId="77777777" w:rsidR="000D4D17" w:rsidRPr="00C22F7C" w:rsidRDefault="000D4D17" w:rsidP="000D4D17">
      <w:pPr>
        <w:spacing w:line="300" w:lineRule="exact"/>
        <w:rPr>
          <w:rFonts w:ascii="Calibri" w:hAnsi="Calibri" w:cs="Calibri"/>
          <w:sz w:val="22"/>
          <w:szCs w:val="22"/>
        </w:rPr>
      </w:pPr>
    </w:p>
    <w:p w14:paraId="4EC5EC13" w14:textId="77777777" w:rsidR="000D4D17" w:rsidRPr="00C22F7C" w:rsidRDefault="000D4D17" w:rsidP="000D4D17">
      <w:pPr>
        <w:jc w:val="both"/>
        <w:rPr>
          <w:rFonts w:ascii="Calibri" w:hAnsi="Calibri" w:cs="Calibri"/>
          <w:b/>
          <w:sz w:val="22"/>
          <w:szCs w:val="22"/>
        </w:rPr>
      </w:pPr>
      <w:r w:rsidRPr="00C22F7C">
        <w:rPr>
          <w:rFonts w:ascii="Calibri" w:hAnsi="Calibri" w:cs="Calibri"/>
          <w:b/>
          <w:sz w:val="22"/>
          <w:szCs w:val="22"/>
        </w:rPr>
        <w:t>Board of Directors</w:t>
      </w:r>
    </w:p>
    <w:p w14:paraId="19FE7291" w14:textId="77777777" w:rsidR="000D4D17" w:rsidRPr="00C22F7C" w:rsidRDefault="000D4D17" w:rsidP="000D4D17">
      <w:pPr>
        <w:rPr>
          <w:rFonts w:ascii="Calibri" w:hAnsi="Calibri" w:cs="Calibri"/>
          <w:sz w:val="22"/>
          <w:szCs w:val="22"/>
        </w:rPr>
      </w:pPr>
    </w:p>
    <w:p w14:paraId="517DDA19" w14:textId="1ED1AABD" w:rsidR="000D4D17" w:rsidRPr="00C22F7C" w:rsidRDefault="000D4D17" w:rsidP="000D4D17">
      <w:pPr>
        <w:autoSpaceDE w:val="0"/>
        <w:autoSpaceDN w:val="0"/>
        <w:adjustRightInd w:val="0"/>
        <w:spacing w:line="300" w:lineRule="exact"/>
        <w:jc w:val="both"/>
        <w:rPr>
          <w:rFonts w:ascii="Calibri" w:hAnsi="Calibri" w:cs="Calibri"/>
          <w:sz w:val="22"/>
          <w:szCs w:val="22"/>
        </w:rPr>
      </w:pPr>
      <w:r w:rsidRPr="00C22F7C">
        <w:rPr>
          <w:rFonts w:ascii="Calibri" w:hAnsi="Calibri" w:cs="Calibri"/>
          <w:sz w:val="22"/>
          <w:szCs w:val="22"/>
        </w:rPr>
        <w:t>David Bonderman and Kyran McLaughlin re</w:t>
      </w:r>
      <w:r>
        <w:rPr>
          <w:rFonts w:ascii="Calibri" w:hAnsi="Calibri" w:cs="Calibri"/>
          <w:sz w:val="22"/>
          <w:szCs w:val="22"/>
        </w:rPr>
        <w:t>tired</w:t>
      </w:r>
      <w:r w:rsidRPr="00C22F7C">
        <w:rPr>
          <w:rFonts w:ascii="Calibri" w:hAnsi="Calibri" w:cs="Calibri"/>
          <w:sz w:val="22"/>
          <w:szCs w:val="22"/>
        </w:rPr>
        <w:t xml:space="preserve"> from the Board on May 31, 2020. Stan McCarthy was appointed Chairman of the Board of Directors following David Bonderman’s </w:t>
      </w:r>
      <w:r w:rsidR="00EB798B">
        <w:rPr>
          <w:rFonts w:ascii="Calibri" w:hAnsi="Calibri" w:cs="Calibri"/>
          <w:sz w:val="22"/>
          <w:szCs w:val="22"/>
        </w:rPr>
        <w:t>retirement</w:t>
      </w:r>
      <w:r w:rsidRPr="00C22F7C">
        <w:rPr>
          <w:rFonts w:ascii="Calibri" w:hAnsi="Calibri" w:cs="Calibri"/>
          <w:sz w:val="22"/>
          <w:szCs w:val="22"/>
        </w:rPr>
        <w:t xml:space="preserve">. Details of the members of the Group’s Board of Directors are set forth on page 17 of the Group’s 2020 annual report.  </w:t>
      </w:r>
    </w:p>
    <w:p w14:paraId="6424DE7A" w14:textId="77777777" w:rsidR="000D4D17" w:rsidRPr="00C22F7C" w:rsidRDefault="000D4D17" w:rsidP="000D4D17">
      <w:pPr>
        <w:autoSpaceDE w:val="0"/>
        <w:autoSpaceDN w:val="0"/>
        <w:adjustRightInd w:val="0"/>
        <w:spacing w:line="300" w:lineRule="exact"/>
        <w:jc w:val="both"/>
        <w:rPr>
          <w:rFonts w:ascii="Calibri" w:hAnsi="Calibri" w:cs="Calibri"/>
          <w:sz w:val="22"/>
          <w:szCs w:val="22"/>
        </w:rPr>
      </w:pPr>
    </w:p>
    <w:p w14:paraId="7577CFA6" w14:textId="77777777" w:rsidR="000D4D17" w:rsidRPr="00C22F7C" w:rsidRDefault="000D4D17" w:rsidP="000D4D17">
      <w:pPr>
        <w:jc w:val="both"/>
        <w:rPr>
          <w:rFonts w:ascii="Calibri" w:hAnsi="Calibri" w:cs="Calibri"/>
          <w:sz w:val="22"/>
          <w:szCs w:val="22"/>
        </w:rPr>
      </w:pPr>
      <w:r w:rsidRPr="00C22F7C">
        <w:rPr>
          <w:rFonts w:ascii="Calibri" w:hAnsi="Calibri" w:cs="Calibri"/>
          <w:b/>
          <w:sz w:val="22"/>
          <w:szCs w:val="22"/>
        </w:rPr>
        <w:t xml:space="preserve">Related party transactions </w:t>
      </w:r>
      <w:r w:rsidRPr="00C22F7C">
        <w:rPr>
          <w:rFonts w:ascii="Calibri" w:hAnsi="Calibri" w:cs="Calibri"/>
          <w:sz w:val="22"/>
          <w:szCs w:val="22"/>
        </w:rPr>
        <w:t>–</w:t>
      </w:r>
      <w:r w:rsidRPr="00C22F7C">
        <w:rPr>
          <w:rFonts w:ascii="Calibri" w:hAnsi="Calibri" w:cs="Calibri"/>
          <w:b/>
          <w:sz w:val="22"/>
          <w:szCs w:val="22"/>
        </w:rPr>
        <w:t xml:space="preserve"> </w:t>
      </w:r>
      <w:r w:rsidRPr="00C22F7C">
        <w:rPr>
          <w:rFonts w:ascii="Calibri" w:hAnsi="Calibri" w:cs="Calibri"/>
          <w:sz w:val="22"/>
          <w:szCs w:val="22"/>
        </w:rPr>
        <w:t>Please see note 15.</w:t>
      </w:r>
    </w:p>
    <w:p w14:paraId="106611A3" w14:textId="77777777" w:rsidR="000D4D17" w:rsidRPr="00C22F7C" w:rsidRDefault="000D4D17" w:rsidP="000D4D17">
      <w:pPr>
        <w:jc w:val="both"/>
        <w:rPr>
          <w:rFonts w:ascii="Calibri" w:hAnsi="Calibri" w:cs="Calibri"/>
          <w:b/>
          <w:sz w:val="22"/>
          <w:szCs w:val="22"/>
        </w:rPr>
      </w:pPr>
    </w:p>
    <w:p w14:paraId="36BF5748" w14:textId="77777777" w:rsidR="000D4D17" w:rsidRPr="00C22F7C" w:rsidRDefault="000D4D17" w:rsidP="000D4D17">
      <w:pPr>
        <w:jc w:val="both"/>
        <w:rPr>
          <w:rFonts w:ascii="Calibri" w:hAnsi="Calibri" w:cs="Calibri"/>
          <w:sz w:val="22"/>
          <w:szCs w:val="22"/>
        </w:rPr>
      </w:pPr>
      <w:r w:rsidRPr="00C22F7C">
        <w:rPr>
          <w:rFonts w:ascii="Calibri" w:hAnsi="Calibri" w:cs="Calibri"/>
          <w:b/>
          <w:sz w:val="22"/>
          <w:szCs w:val="22"/>
        </w:rPr>
        <w:t xml:space="preserve">Post balance sheet events </w:t>
      </w:r>
      <w:r w:rsidRPr="00C22F7C">
        <w:rPr>
          <w:rFonts w:ascii="Calibri" w:hAnsi="Calibri" w:cs="Calibri"/>
          <w:sz w:val="22"/>
          <w:szCs w:val="22"/>
        </w:rPr>
        <w:t>–</w:t>
      </w:r>
      <w:r w:rsidRPr="00C22F7C">
        <w:rPr>
          <w:rFonts w:ascii="Calibri" w:hAnsi="Calibri" w:cs="Calibri"/>
          <w:b/>
          <w:sz w:val="22"/>
          <w:szCs w:val="22"/>
        </w:rPr>
        <w:t xml:space="preserve"> </w:t>
      </w:r>
      <w:r w:rsidRPr="00C22F7C">
        <w:rPr>
          <w:rFonts w:ascii="Calibri" w:hAnsi="Calibri" w:cs="Calibri"/>
          <w:sz w:val="22"/>
          <w:szCs w:val="22"/>
        </w:rPr>
        <w:t xml:space="preserve">Please see note 17. </w:t>
      </w:r>
      <w:bookmarkStart w:id="4" w:name="_Hlk527704336"/>
    </w:p>
    <w:p w14:paraId="6584406B" w14:textId="77777777" w:rsidR="000D4D17" w:rsidRPr="00C22F7C" w:rsidRDefault="000D4D17" w:rsidP="000D4D17">
      <w:pPr>
        <w:jc w:val="both"/>
        <w:rPr>
          <w:rFonts w:ascii="Calibri" w:hAnsi="Calibri" w:cs="Calibri"/>
          <w:sz w:val="22"/>
          <w:szCs w:val="22"/>
        </w:rPr>
      </w:pPr>
    </w:p>
    <w:p w14:paraId="1DA82BDB" w14:textId="77777777" w:rsidR="000D4D17" w:rsidRPr="00C22F7C" w:rsidRDefault="000D4D17" w:rsidP="000D4D17">
      <w:pPr>
        <w:autoSpaceDE w:val="0"/>
        <w:autoSpaceDN w:val="0"/>
        <w:adjustRightInd w:val="0"/>
        <w:jc w:val="both"/>
        <w:rPr>
          <w:rFonts w:ascii="Calibri" w:hAnsi="Calibri" w:cs="Calibri"/>
          <w:b/>
          <w:bCs/>
          <w:sz w:val="22"/>
          <w:szCs w:val="22"/>
        </w:rPr>
      </w:pPr>
      <w:r w:rsidRPr="00C22F7C">
        <w:rPr>
          <w:rFonts w:ascii="Calibri" w:hAnsi="Calibri" w:cs="Calibri"/>
          <w:b/>
          <w:bCs/>
          <w:sz w:val="22"/>
          <w:szCs w:val="22"/>
        </w:rPr>
        <w:t>Going concern</w:t>
      </w:r>
    </w:p>
    <w:bookmarkEnd w:id="4"/>
    <w:p w14:paraId="7705CCE4" w14:textId="7FF804A9" w:rsidR="00832D00" w:rsidRPr="00757C70" w:rsidRDefault="000D4D17" w:rsidP="00832D00">
      <w:pPr>
        <w:jc w:val="both"/>
        <w:rPr>
          <w:rFonts w:ascii="Calibri" w:hAnsi="Calibri" w:cs="Calibri"/>
          <w:b/>
          <w:sz w:val="22"/>
          <w:szCs w:val="22"/>
        </w:rPr>
      </w:pPr>
      <w:r w:rsidRPr="00C22F7C">
        <w:rPr>
          <w:rFonts w:ascii="Calibri" w:hAnsi="Calibri" w:cs="Calibri"/>
          <w:sz w:val="22"/>
          <w:szCs w:val="22"/>
        </w:rPr>
        <w:lastRenderedPageBreak/>
        <w:t>The directors, having made inquiries, including consideration of the possible future financial effects associated with the Covid-19 pandemic, believe that the Group has adequate resources (including the €1.25BN funds raised through a €400M share placing and an €850M unsecured Eurobond in September 2020) to continue in operational existence for at least the next 12 months and that it is appropriate to adopt the going concern basis in preparing the financial statements. While there is uncertainty as to the full extent of the impact on the Ryanair Holdings plc Group, the continued preparation of the Group’s consolidated financial statements on the going concern basis is supported by the financial projections prepared by the Group.</w:t>
      </w:r>
      <w:r w:rsidR="00832D00" w:rsidRPr="00757C70">
        <w:rPr>
          <w:rFonts w:ascii="Calibri" w:hAnsi="Calibri" w:cs="Calibri"/>
          <w:b/>
          <w:sz w:val="22"/>
          <w:szCs w:val="22"/>
        </w:rPr>
        <w:tab/>
      </w:r>
      <w:r w:rsidR="00832D00" w:rsidRPr="00757C70">
        <w:rPr>
          <w:rFonts w:ascii="Calibri" w:hAnsi="Calibri" w:cs="Calibri"/>
          <w:b/>
          <w:sz w:val="22"/>
          <w:szCs w:val="22"/>
        </w:rPr>
        <w:tab/>
      </w:r>
      <w:r w:rsidR="00832D00" w:rsidRPr="00757C70">
        <w:rPr>
          <w:rFonts w:ascii="Calibri" w:hAnsi="Calibri" w:cs="Calibri"/>
          <w:b/>
          <w:sz w:val="22"/>
          <w:szCs w:val="22"/>
        </w:rPr>
        <w:tab/>
        <w:t xml:space="preserve">         </w:t>
      </w:r>
    </w:p>
    <w:p w14:paraId="52299663" w14:textId="77777777" w:rsidR="00F14775" w:rsidRDefault="00832D00" w:rsidP="003B7DDF">
      <w:pPr>
        <w:pStyle w:val="CG-Title-Center-Bold"/>
        <w:keepNext w:val="0"/>
        <w:tabs>
          <w:tab w:val="left" w:pos="-600"/>
          <w:tab w:val="left" w:pos="6120"/>
          <w:tab w:val="left" w:pos="6360"/>
          <w:tab w:val="left" w:pos="7800"/>
        </w:tabs>
        <w:spacing w:after="0"/>
        <w:ind w:left="-839" w:right="-595"/>
        <w:rPr>
          <w:rFonts w:ascii="Calibri" w:hAnsi="Calibri" w:cs="Calibri"/>
          <w:sz w:val="24"/>
          <w:szCs w:val="24"/>
          <w:highlight w:val="yellow"/>
        </w:rPr>
      </w:pPr>
      <w:bookmarkStart w:id="5" w:name="_Hlk527704259"/>
      <w:bookmarkStart w:id="6" w:name="_Hlk496863401"/>
      <w:r w:rsidRPr="00961368">
        <w:rPr>
          <w:rFonts w:ascii="Calibri" w:hAnsi="Calibri" w:cs="Calibri"/>
          <w:sz w:val="24"/>
          <w:szCs w:val="24"/>
          <w:highlight w:val="yellow"/>
        </w:rPr>
        <w:br w:type="page"/>
      </w:r>
      <w:bookmarkEnd w:id="0"/>
      <w:bookmarkEnd w:id="5"/>
      <w:bookmarkEnd w:id="6"/>
    </w:p>
    <w:p w14:paraId="33D95F7A" w14:textId="1E021D45" w:rsidR="003B7DDF" w:rsidRPr="00DE3741" w:rsidRDefault="003B7DDF" w:rsidP="003B7DDF">
      <w:pPr>
        <w:pStyle w:val="CG-Title-Center-Bold"/>
        <w:keepNext w:val="0"/>
        <w:tabs>
          <w:tab w:val="left" w:pos="-600"/>
          <w:tab w:val="left" w:pos="6120"/>
          <w:tab w:val="left" w:pos="6360"/>
          <w:tab w:val="left" w:pos="7800"/>
        </w:tabs>
        <w:spacing w:after="0"/>
        <w:ind w:left="-839" w:right="-595"/>
      </w:pPr>
      <w:r w:rsidRPr="00DB22BA">
        <w:rPr>
          <w:rFonts w:ascii="Calibri" w:hAnsi="Calibri" w:cs="Calibri"/>
          <w:sz w:val="24"/>
          <w:szCs w:val="24"/>
        </w:rPr>
        <w:lastRenderedPageBreak/>
        <w:t>Ryanair Holdings plc and Subsidiaries</w:t>
      </w:r>
    </w:p>
    <w:p w14:paraId="35308B16" w14:textId="77777777" w:rsidR="003B7DDF" w:rsidRPr="00DB22BA" w:rsidRDefault="003B7DDF" w:rsidP="003B7DDF">
      <w:pPr>
        <w:pStyle w:val="CG-Title-Center-Bold"/>
        <w:keepNext w:val="0"/>
        <w:tabs>
          <w:tab w:val="left" w:pos="-600"/>
          <w:tab w:val="left" w:pos="6120"/>
          <w:tab w:val="left" w:pos="6360"/>
          <w:tab w:val="left" w:pos="7800"/>
        </w:tabs>
        <w:spacing w:after="0"/>
        <w:ind w:left="-839" w:right="-595"/>
        <w:rPr>
          <w:rFonts w:ascii="Calibri" w:hAnsi="Calibri" w:cs="Calibri"/>
          <w:sz w:val="24"/>
          <w:szCs w:val="24"/>
        </w:rPr>
      </w:pPr>
      <w:r w:rsidRPr="00DB22BA">
        <w:rPr>
          <w:rFonts w:ascii="Calibri" w:hAnsi="Calibri" w:cs="Calibri"/>
          <w:sz w:val="24"/>
          <w:szCs w:val="24"/>
        </w:rPr>
        <w:t>Notes forming Part of the Condensed Consolidated</w:t>
      </w:r>
    </w:p>
    <w:p w14:paraId="22549493" w14:textId="77777777" w:rsidR="003B7DDF" w:rsidRDefault="003B7DDF" w:rsidP="003B7DDF">
      <w:pPr>
        <w:jc w:val="center"/>
        <w:rPr>
          <w:rFonts w:ascii="Calibri" w:hAnsi="Calibri" w:cs="Calibri"/>
          <w:b/>
          <w:lang w:val="en-US"/>
        </w:rPr>
      </w:pPr>
      <w:r>
        <w:rPr>
          <w:rFonts w:ascii="Calibri" w:hAnsi="Calibri" w:cs="Calibri"/>
          <w:b/>
          <w:lang w:val="en-US"/>
        </w:rPr>
        <w:t>Interim</w:t>
      </w:r>
      <w:r w:rsidRPr="00DB22BA">
        <w:rPr>
          <w:rFonts w:ascii="Calibri" w:hAnsi="Calibri" w:cs="Calibri"/>
          <w:b/>
          <w:lang w:val="en-US"/>
        </w:rPr>
        <w:t xml:space="preserve"> Financial Statements</w:t>
      </w:r>
    </w:p>
    <w:p w14:paraId="21D48D1E" w14:textId="77777777" w:rsidR="003B7DDF" w:rsidRDefault="003B7DDF" w:rsidP="003B7DDF">
      <w:pPr>
        <w:jc w:val="center"/>
        <w:rPr>
          <w:rFonts w:ascii="Calibri" w:hAnsi="Calibri" w:cs="Calibri"/>
          <w:b/>
          <w:lang w:val="en-US"/>
        </w:rPr>
      </w:pPr>
    </w:p>
    <w:p w14:paraId="0248D24D" w14:textId="77777777" w:rsidR="00010891" w:rsidRDefault="00010891" w:rsidP="005C13A2">
      <w:pPr>
        <w:pStyle w:val="Outline3L1"/>
        <w:numPr>
          <w:ilvl w:val="0"/>
          <w:numId w:val="49"/>
        </w:numPr>
        <w:tabs>
          <w:tab w:val="clear" w:pos="720"/>
          <w:tab w:val="num" w:pos="0"/>
          <w:tab w:val="num" w:pos="709"/>
        </w:tabs>
        <w:rPr>
          <w:rFonts w:ascii="Calibri" w:hAnsi="Calibri" w:cs="Calibri"/>
          <w:b/>
          <w:bCs/>
          <w:sz w:val="22"/>
          <w:szCs w:val="22"/>
        </w:rPr>
      </w:pPr>
      <w:r>
        <w:rPr>
          <w:rFonts w:ascii="Calibri" w:hAnsi="Calibri" w:cs="Calibri"/>
          <w:b/>
          <w:sz w:val="22"/>
          <w:szCs w:val="22"/>
        </w:rPr>
        <w:t>Basis of preparation and significant accounting policies</w:t>
      </w:r>
    </w:p>
    <w:p w14:paraId="3EB87611" w14:textId="2611BE23" w:rsidR="00010891" w:rsidRDefault="00C82D1C" w:rsidP="00010891">
      <w:pPr>
        <w:pStyle w:val="Outline3L1"/>
        <w:numPr>
          <w:ilvl w:val="0"/>
          <w:numId w:val="0"/>
        </w:numPr>
        <w:tabs>
          <w:tab w:val="num" w:pos="0"/>
        </w:tabs>
        <w:spacing w:after="120"/>
        <w:jc w:val="both"/>
        <w:rPr>
          <w:rFonts w:ascii="Calibri" w:hAnsi="Calibri" w:cs="Calibri"/>
          <w:sz w:val="22"/>
          <w:szCs w:val="22"/>
        </w:rPr>
      </w:pPr>
      <w:r>
        <w:rPr>
          <w:rFonts w:ascii="Calibri" w:hAnsi="Calibri" w:cs="Calibri"/>
          <w:sz w:val="22"/>
          <w:szCs w:val="22"/>
        </w:rPr>
        <w:t>Ryanair Holdings plc (the “Company”) is a company domiciled in Ireland. The unaudited condensed consolidated interim financial statements of the Company for the half-year ended September 30, 2020 comprise the Company and its subsidiaries (together referred to as the “Group”)</w:t>
      </w:r>
      <w:r w:rsidR="00010891">
        <w:rPr>
          <w:rFonts w:ascii="Calibri" w:hAnsi="Calibri" w:cs="Calibri"/>
          <w:sz w:val="22"/>
          <w:szCs w:val="22"/>
        </w:rPr>
        <w:t xml:space="preserve">. </w:t>
      </w:r>
    </w:p>
    <w:p w14:paraId="45963675" w14:textId="6D299F62" w:rsidR="00010891" w:rsidRDefault="00C82D1C" w:rsidP="00010891">
      <w:pPr>
        <w:pStyle w:val="Outline3L1"/>
        <w:numPr>
          <w:ilvl w:val="0"/>
          <w:numId w:val="0"/>
        </w:numPr>
        <w:tabs>
          <w:tab w:val="num" w:pos="0"/>
        </w:tabs>
        <w:spacing w:after="120"/>
        <w:jc w:val="both"/>
        <w:rPr>
          <w:rFonts w:ascii="Calibri" w:hAnsi="Calibri" w:cs="Calibri"/>
          <w:sz w:val="22"/>
          <w:szCs w:val="22"/>
        </w:rPr>
      </w:pPr>
      <w:r>
        <w:rPr>
          <w:rFonts w:ascii="Calibri" w:hAnsi="Calibri" w:cs="Calibri"/>
          <w:sz w:val="22"/>
          <w:szCs w:val="22"/>
        </w:rPr>
        <w:t>These unaudited condensed consolidated interim financial statements (“the interim financial statements”), which should be read in conjunction with our 2020 Annual Report for the year ended March 31, 2020, have been prepared in accordance with International Accounting Standard No. 34 “</w:t>
      </w:r>
      <w:r>
        <w:rPr>
          <w:rFonts w:ascii="Calibri" w:hAnsi="Calibri" w:cs="Calibri"/>
          <w:i/>
          <w:sz w:val="22"/>
          <w:szCs w:val="22"/>
        </w:rPr>
        <w:t>Interim Financial Reporting</w:t>
      </w:r>
      <w:r>
        <w:rPr>
          <w:rFonts w:ascii="Calibri" w:hAnsi="Calibri" w:cs="Calibri"/>
          <w:sz w:val="22"/>
          <w:szCs w:val="22"/>
        </w:rPr>
        <w:t xml:space="preserve">” as adopted by the EU (“IAS 34”).  They do not include all of the information required for full annual financial statements and should be read in conjunction with the most recent published consolidated financial statements of the Group. The consolidated financial statements of the Group as at and for the year ended March 31, 2020, are available at </w:t>
      </w:r>
      <w:hyperlink r:id="rId9" w:history="1">
        <w:r>
          <w:rPr>
            <w:rStyle w:val="Hyperlink"/>
            <w:rFonts w:ascii="Calibri" w:hAnsi="Calibri" w:cs="Calibri"/>
            <w:sz w:val="22"/>
            <w:szCs w:val="22"/>
          </w:rPr>
          <w:t>http://investor.ryanair.com/</w:t>
        </w:r>
      </w:hyperlink>
      <w:r w:rsidR="00010891">
        <w:rPr>
          <w:rFonts w:ascii="Calibri" w:hAnsi="Calibri" w:cs="Calibri"/>
          <w:color w:val="1F497D"/>
          <w:sz w:val="22"/>
          <w:szCs w:val="22"/>
          <w:u w:val="single"/>
        </w:rPr>
        <w:t>.</w:t>
      </w:r>
    </w:p>
    <w:p w14:paraId="2EB3ED8A" w14:textId="27B01AF0" w:rsidR="00010891" w:rsidRDefault="008E1D48" w:rsidP="00010891">
      <w:pPr>
        <w:pStyle w:val="Outline3L1"/>
        <w:numPr>
          <w:ilvl w:val="0"/>
          <w:numId w:val="0"/>
        </w:numPr>
        <w:tabs>
          <w:tab w:val="num" w:pos="0"/>
        </w:tabs>
        <w:spacing w:after="120"/>
        <w:jc w:val="both"/>
        <w:rPr>
          <w:rFonts w:ascii="Calibri" w:hAnsi="Calibri" w:cs="Calibri"/>
          <w:sz w:val="22"/>
          <w:szCs w:val="22"/>
        </w:rPr>
      </w:pPr>
      <w:r>
        <w:rPr>
          <w:rFonts w:ascii="Calibri" w:hAnsi="Calibri" w:cs="Calibri"/>
          <w:sz w:val="22"/>
          <w:szCs w:val="22"/>
        </w:rPr>
        <w:t>The September 30, 2020 figures and the September 30, 2019 comparative figures do not constitute statutory financial statements of the Group within the meaning of the Companies Act, 2014. The consolidated financial statements of the Group for the year ended March 31, 2020, together with the independent auditor’s report thereon, were filed with the Irish Registrar of Companies following the Company’s Annual General Meeting and are also available on the Company’s Website. The auditor’s report on those financial statements was unqualified</w:t>
      </w:r>
      <w:r w:rsidR="00010891">
        <w:rPr>
          <w:rFonts w:ascii="Calibri" w:hAnsi="Calibri" w:cs="Calibri"/>
          <w:sz w:val="22"/>
          <w:szCs w:val="22"/>
        </w:rPr>
        <w:t>.</w:t>
      </w:r>
    </w:p>
    <w:p w14:paraId="47AC821A" w14:textId="443935F8" w:rsidR="00010891" w:rsidRDefault="00C82D1C" w:rsidP="00010891">
      <w:pPr>
        <w:pStyle w:val="Outline3L1"/>
        <w:numPr>
          <w:ilvl w:val="0"/>
          <w:numId w:val="0"/>
        </w:numPr>
        <w:tabs>
          <w:tab w:val="num" w:pos="0"/>
        </w:tabs>
        <w:spacing w:after="120"/>
        <w:jc w:val="both"/>
        <w:rPr>
          <w:rFonts w:ascii="Calibri" w:hAnsi="Calibri" w:cs="Calibri"/>
          <w:sz w:val="22"/>
          <w:szCs w:val="22"/>
        </w:rPr>
      </w:pPr>
      <w:r>
        <w:rPr>
          <w:rFonts w:ascii="Calibri" w:hAnsi="Calibri" w:cs="Calibri"/>
          <w:sz w:val="22"/>
          <w:szCs w:val="22"/>
        </w:rPr>
        <w:t>The Audit Committee, upon delegation of authority by the Board of Directors, approved the condensed consolidated interim financial statements for the half-year ended September 30, 2020 on October 30, 2020</w:t>
      </w:r>
      <w:r w:rsidR="00010891">
        <w:rPr>
          <w:rFonts w:ascii="Calibri" w:hAnsi="Calibri" w:cs="Calibri"/>
          <w:sz w:val="22"/>
          <w:szCs w:val="22"/>
        </w:rPr>
        <w:t>.</w:t>
      </w:r>
    </w:p>
    <w:p w14:paraId="4007F769" w14:textId="5A7E5E8B" w:rsidR="00010891" w:rsidRDefault="00C82D1C" w:rsidP="00010891">
      <w:pPr>
        <w:pStyle w:val="Outline3L1"/>
        <w:numPr>
          <w:ilvl w:val="0"/>
          <w:numId w:val="0"/>
        </w:numPr>
        <w:tabs>
          <w:tab w:val="num" w:pos="0"/>
        </w:tabs>
        <w:spacing w:after="200"/>
        <w:jc w:val="both"/>
        <w:rPr>
          <w:rFonts w:ascii="Calibri" w:hAnsi="Calibri" w:cs="Calibri"/>
          <w:sz w:val="22"/>
          <w:szCs w:val="22"/>
        </w:rPr>
      </w:pPr>
      <w:r>
        <w:rPr>
          <w:rFonts w:ascii="Calibri" w:hAnsi="Calibri" w:cs="Calibri"/>
          <w:sz w:val="22"/>
          <w:szCs w:val="22"/>
        </w:rPr>
        <w:t>Except as stated otherwise below, this year’s financial information has been prepared in accordance with the accounting policies set out in the Group’s most recent published consolidated financial statements, which were prepared in accordance with IFRS as adopted by the EU and also in compliance with IFRS as issued by the International Accounting Standards Board (IASB)</w:t>
      </w:r>
      <w:r w:rsidR="00010891">
        <w:rPr>
          <w:rFonts w:ascii="Calibri" w:hAnsi="Calibri" w:cs="Calibri"/>
          <w:sz w:val="22"/>
          <w:szCs w:val="22"/>
        </w:rPr>
        <w:t>.</w:t>
      </w:r>
    </w:p>
    <w:p w14:paraId="0CAB5A6E" w14:textId="6DF26FDB" w:rsidR="00010891" w:rsidRDefault="00C82D1C" w:rsidP="00010891">
      <w:pPr>
        <w:spacing w:after="120"/>
        <w:jc w:val="both"/>
        <w:rPr>
          <w:rFonts w:ascii="Calibri" w:hAnsi="Calibri" w:cs="Calibri"/>
          <w:bCs/>
          <w:i/>
          <w:sz w:val="22"/>
          <w:szCs w:val="22"/>
        </w:rPr>
      </w:pPr>
      <w:r>
        <w:rPr>
          <w:rFonts w:ascii="Calibri" w:hAnsi="Calibri" w:cs="Calibri"/>
          <w:i/>
          <w:sz w:val="22"/>
          <w:szCs w:val="22"/>
        </w:rPr>
        <w:t>Government grants</w:t>
      </w:r>
    </w:p>
    <w:p w14:paraId="24B8D4ED" w14:textId="3B5B6E8E" w:rsidR="00010891" w:rsidRDefault="00C82D1C" w:rsidP="00010891">
      <w:pPr>
        <w:jc w:val="both"/>
        <w:rPr>
          <w:rFonts w:ascii="Calibri" w:hAnsi="Calibri" w:cs="Calibri"/>
          <w:sz w:val="22"/>
          <w:szCs w:val="22"/>
        </w:rPr>
      </w:pPr>
      <w:r>
        <w:rPr>
          <w:rFonts w:ascii="Calibri" w:hAnsi="Calibri" w:cs="Calibri"/>
          <w:sz w:val="22"/>
          <w:szCs w:val="22"/>
          <w:lang w:val="en-US"/>
        </w:rPr>
        <w:t>Grants that compensate the Group for expenses incurred are recognised in the income statement on a systematic basis in the periods in which the expenses are recognised</w:t>
      </w:r>
      <w:r w:rsidR="00010891">
        <w:rPr>
          <w:rFonts w:ascii="Calibri" w:hAnsi="Calibri" w:cs="Calibri"/>
          <w:sz w:val="22"/>
          <w:szCs w:val="22"/>
        </w:rPr>
        <w:t>.</w:t>
      </w:r>
    </w:p>
    <w:p w14:paraId="61CD4CF4" w14:textId="77777777" w:rsidR="00010891" w:rsidRDefault="00010891" w:rsidP="00010891">
      <w:pPr>
        <w:jc w:val="both"/>
        <w:rPr>
          <w:rFonts w:ascii="Calibri" w:hAnsi="Calibri" w:cs="Calibri"/>
          <w:sz w:val="22"/>
          <w:szCs w:val="22"/>
        </w:rPr>
      </w:pPr>
    </w:p>
    <w:p w14:paraId="1C0E2A13" w14:textId="77777777" w:rsidR="00010891" w:rsidRDefault="00010891" w:rsidP="00010891">
      <w:pPr>
        <w:spacing w:after="120"/>
        <w:jc w:val="both"/>
        <w:rPr>
          <w:rFonts w:ascii="Calibri" w:hAnsi="Calibri" w:cs="Calibri"/>
          <w:bCs/>
          <w:i/>
          <w:sz w:val="22"/>
          <w:szCs w:val="22"/>
        </w:rPr>
      </w:pPr>
      <w:r>
        <w:rPr>
          <w:rFonts w:ascii="Calibri" w:hAnsi="Calibri" w:cs="Calibri"/>
          <w:bCs/>
          <w:i/>
          <w:sz w:val="22"/>
          <w:szCs w:val="22"/>
        </w:rPr>
        <w:t>New IFRS standards and amendments adopted during the year</w:t>
      </w:r>
    </w:p>
    <w:p w14:paraId="6670D0EC" w14:textId="20DDA31E" w:rsidR="00010891" w:rsidRDefault="00C82D1C" w:rsidP="00010891">
      <w:pPr>
        <w:autoSpaceDE w:val="0"/>
        <w:autoSpaceDN w:val="0"/>
        <w:adjustRightInd w:val="0"/>
        <w:jc w:val="both"/>
        <w:rPr>
          <w:rFonts w:ascii="Calibri" w:hAnsi="Calibri" w:cs="Calibri"/>
          <w:sz w:val="22"/>
          <w:szCs w:val="22"/>
          <w:lang w:val="en-US"/>
        </w:rPr>
      </w:pPr>
      <w:r>
        <w:rPr>
          <w:rFonts w:ascii="Calibri" w:hAnsi="Calibri" w:cs="Calibri"/>
          <w:sz w:val="22"/>
          <w:szCs w:val="22"/>
          <w:lang w:val="en-US"/>
        </w:rPr>
        <w:lastRenderedPageBreak/>
        <w:t>The following new and amended IFRS standards, amendments and IFRIC interpretations, have been issued by the IASB, and have also been endorsed by the EU. These standards are effective for the first time for the Group’s financial year beginning on April 1, 2020 and therefore have been applied by the Group in these condensed consolidated interim financial statements</w:t>
      </w:r>
      <w:r w:rsidR="00010891">
        <w:rPr>
          <w:rFonts w:ascii="Calibri" w:hAnsi="Calibri" w:cs="Calibri"/>
          <w:sz w:val="22"/>
          <w:szCs w:val="22"/>
          <w:lang w:val="en-US"/>
        </w:rPr>
        <w:t>:</w:t>
      </w:r>
    </w:p>
    <w:p w14:paraId="110BEC84" w14:textId="77777777" w:rsidR="00010891" w:rsidRDefault="00010891" w:rsidP="00010891">
      <w:pPr>
        <w:autoSpaceDE w:val="0"/>
        <w:autoSpaceDN w:val="0"/>
        <w:adjustRightInd w:val="0"/>
        <w:jc w:val="both"/>
        <w:rPr>
          <w:rFonts w:ascii="Calibri" w:hAnsi="Calibri" w:cs="Calibri"/>
          <w:sz w:val="22"/>
          <w:szCs w:val="22"/>
          <w:lang w:val="en-US"/>
        </w:rPr>
      </w:pPr>
    </w:p>
    <w:p w14:paraId="1B726D70" w14:textId="079527CB" w:rsidR="00010891" w:rsidRPr="00F47F9F" w:rsidRDefault="00010891" w:rsidP="00F47F9F">
      <w:pPr>
        <w:numPr>
          <w:ilvl w:val="0"/>
          <w:numId w:val="50"/>
        </w:numPr>
        <w:autoSpaceDE w:val="0"/>
        <w:autoSpaceDN w:val="0"/>
        <w:adjustRightInd w:val="0"/>
        <w:jc w:val="both"/>
        <w:rPr>
          <w:rFonts w:ascii="Calibri" w:hAnsi="Calibri" w:cs="Calibri"/>
          <w:sz w:val="22"/>
          <w:szCs w:val="22"/>
          <w:lang w:val="en-US"/>
        </w:rPr>
      </w:pPr>
      <w:bookmarkStart w:id="7" w:name="_Hlk39778100"/>
      <w:r>
        <w:rPr>
          <w:rFonts w:ascii="Calibri" w:hAnsi="Calibri" w:cs="Calibri"/>
          <w:sz w:val="22"/>
          <w:szCs w:val="22"/>
          <w:lang w:val="en-US"/>
        </w:rPr>
        <w:t>Amendments to</w:t>
      </w:r>
      <w:r w:rsidR="00F47F9F">
        <w:rPr>
          <w:rFonts w:ascii="Calibri" w:hAnsi="Calibri" w:cs="Calibri"/>
          <w:sz w:val="22"/>
          <w:szCs w:val="22"/>
          <w:lang w:val="en-US"/>
        </w:rPr>
        <w:t xml:space="preserve"> </w:t>
      </w:r>
      <w:r w:rsidRPr="00F47F9F">
        <w:rPr>
          <w:rFonts w:ascii="Calibri" w:hAnsi="Calibri" w:cs="Calibri"/>
          <w:sz w:val="22"/>
          <w:szCs w:val="22"/>
          <w:lang w:val="en-US"/>
        </w:rPr>
        <w:t>References to</w:t>
      </w:r>
      <w:r w:rsidR="003D5225" w:rsidRPr="00F47F9F">
        <w:rPr>
          <w:rFonts w:ascii="Calibri" w:hAnsi="Calibri" w:cs="Calibri"/>
          <w:sz w:val="22"/>
          <w:szCs w:val="22"/>
          <w:lang w:val="en-US"/>
        </w:rPr>
        <w:t xml:space="preserve"> the</w:t>
      </w:r>
      <w:r w:rsidRPr="00F47F9F">
        <w:rPr>
          <w:rFonts w:ascii="Calibri" w:hAnsi="Calibri" w:cs="Calibri"/>
          <w:sz w:val="22"/>
          <w:szCs w:val="22"/>
          <w:lang w:val="en-US"/>
        </w:rPr>
        <w:t xml:space="preserve"> Conceptual Framework in IFRS Standards (effective for fiscal periods beginning on or after January 1, 2020)</w:t>
      </w:r>
    </w:p>
    <w:p w14:paraId="0FDD23A1" w14:textId="269E09CD" w:rsidR="00010891" w:rsidRPr="00226493" w:rsidRDefault="003D5225" w:rsidP="00226493">
      <w:pPr>
        <w:pStyle w:val="ListParagraph"/>
        <w:numPr>
          <w:ilvl w:val="0"/>
          <w:numId w:val="50"/>
        </w:numPr>
        <w:rPr>
          <w:rFonts w:ascii="Calibri" w:hAnsi="Calibri" w:cs="Calibri"/>
          <w:sz w:val="22"/>
          <w:szCs w:val="22"/>
          <w:lang w:val="en-US"/>
        </w:rPr>
      </w:pPr>
      <w:r w:rsidRPr="003D5225">
        <w:rPr>
          <w:rFonts w:ascii="Calibri" w:hAnsi="Calibri" w:cs="Calibri"/>
          <w:sz w:val="22"/>
          <w:szCs w:val="22"/>
          <w:lang w:val="en-US"/>
        </w:rPr>
        <w:t>Amendments to IFRS 3 – Definition of a Business (effective for fiscal periods beginning on or after January 1, 2020)</w:t>
      </w:r>
    </w:p>
    <w:p w14:paraId="31AC84F9" w14:textId="77777777" w:rsidR="00010891" w:rsidRDefault="00010891" w:rsidP="00010891">
      <w:pPr>
        <w:numPr>
          <w:ilvl w:val="0"/>
          <w:numId w:val="50"/>
        </w:numPr>
        <w:autoSpaceDE w:val="0"/>
        <w:autoSpaceDN w:val="0"/>
        <w:adjustRightInd w:val="0"/>
        <w:jc w:val="both"/>
        <w:rPr>
          <w:rFonts w:ascii="Calibri" w:hAnsi="Calibri" w:cs="Calibri"/>
          <w:sz w:val="22"/>
          <w:szCs w:val="22"/>
          <w:lang w:val="en-US"/>
        </w:rPr>
      </w:pPr>
      <w:r>
        <w:rPr>
          <w:rFonts w:ascii="Calibri" w:hAnsi="Calibri" w:cs="Calibri"/>
          <w:sz w:val="22"/>
          <w:szCs w:val="22"/>
          <w:lang w:val="en-US"/>
        </w:rPr>
        <w:t>Amendments to IAS 1 and IAS 8 - Definition of Material (effective for fiscal periods beginning on or after January 1, 2020)</w:t>
      </w:r>
    </w:p>
    <w:p w14:paraId="427601C0" w14:textId="5800D78D" w:rsidR="00010891" w:rsidRDefault="00010891" w:rsidP="00A07B1D">
      <w:pPr>
        <w:numPr>
          <w:ilvl w:val="0"/>
          <w:numId w:val="50"/>
        </w:numPr>
        <w:autoSpaceDE w:val="0"/>
        <w:autoSpaceDN w:val="0"/>
        <w:adjustRightInd w:val="0"/>
        <w:jc w:val="both"/>
        <w:rPr>
          <w:rFonts w:ascii="Calibri" w:hAnsi="Calibri" w:cs="Calibri"/>
          <w:sz w:val="22"/>
          <w:szCs w:val="22"/>
          <w:lang w:val="en-US"/>
        </w:rPr>
      </w:pPr>
      <w:r>
        <w:rPr>
          <w:rFonts w:ascii="Calibri" w:hAnsi="Calibri" w:cs="Calibri"/>
          <w:sz w:val="22"/>
          <w:szCs w:val="22"/>
          <w:lang w:val="en-US"/>
        </w:rPr>
        <w:t>Amendments to IFRS 9, IAS 39 and IFRS 7</w:t>
      </w:r>
      <w:r w:rsidR="003D5225">
        <w:rPr>
          <w:rFonts w:ascii="Calibri" w:hAnsi="Calibri" w:cs="Calibri"/>
          <w:sz w:val="22"/>
          <w:szCs w:val="22"/>
          <w:lang w:val="en-US"/>
        </w:rPr>
        <w:t xml:space="preserve"> – Interest Rate Benchmark Reform</w:t>
      </w:r>
      <w:r>
        <w:rPr>
          <w:rFonts w:ascii="Calibri" w:hAnsi="Calibri" w:cs="Calibri"/>
          <w:sz w:val="22"/>
          <w:szCs w:val="22"/>
          <w:lang w:val="en-US"/>
        </w:rPr>
        <w:t xml:space="preserve"> (effective for fiscal periods beginning on or after January 1, 2020)</w:t>
      </w:r>
    </w:p>
    <w:p w14:paraId="4A9004A7" w14:textId="33B03F00" w:rsidR="00C82D1C" w:rsidRDefault="00C82D1C" w:rsidP="00A07B1D">
      <w:pPr>
        <w:numPr>
          <w:ilvl w:val="0"/>
          <w:numId w:val="50"/>
        </w:numPr>
        <w:autoSpaceDE w:val="0"/>
        <w:autoSpaceDN w:val="0"/>
        <w:adjustRightInd w:val="0"/>
        <w:jc w:val="both"/>
        <w:rPr>
          <w:rFonts w:ascii="Calibri" w:hAnsi="Calibri" w:cs="Calibri"/>
          <w:sz w:val="22"/>
          <w:szCs w:val="22"/>
          <w:lang w:val="en-US"/>
        </w:rPr>
      </w:pPr>
      <w:r>
        <w:rPr>
          <w:rFonts w:ascii="Calibri" w:hAnsi="Calibri" w:cs="Calibri"/>
          <w:sz w:val="22"/>
          <w:szCs w:val="22"/>
          <w:lang w:val="en-US"/>
        </w:rPr>
        <w:t>Amendment to IFRS 16 – Covid-19-Related Rent Concessions (effective for fiscal periods beginning on or after January 1, 2020)</w:t>
      </w:r>
    </w:p>
    <w:p w14:paraId="442DEC8E" w14:textId="77777777" w:rsidR="00010891" w:rsidRDefault="00010891" w:rsidP="00010891">
      <w:pPr>
        <w:autoSpaceDE w:val="0"/>
        <w:autoSpaceDN w:val="0"/>
        <w:adjustRightInd w:val="0"/>
        <w:jc w:val="both"/>
        <w:rPr>
          <w:rFonts w:ascii="Calibri" w:hAnsi="Calibri" w:cs="Calibri"/>
          <w:sz w:val="22"/>
          <w:szCs w:val="22"/>
          <w:lang w:val="en-US"/>
        </w:rPr>
      </w:pPr>
    </w:p>
    <w:p w14:paraId="49733B29" w14:textId="77777777" w:rsidR="005532A2" w:rsidRDefault="005532A2" w:rsidP="00010891">
      <w:pPr>
        <w:autoSpaceDE w:val="0"/>
        <w:autoSpaceDN w:val="0"/>
        <w:adjustRightInd w:val="0"/>
        <w:jc w:val="both"/>
        <w:rPr>
          <w:rFonts w:ascii="Calibri" w:hAnsi="Calibri" w:cs="Calibri"/>
          <w:sz w:val="22"/>
          <w:szCs w:val="22"/>
          <w:lang w:val="en-US"/>
        </w:rPr>
      </w:pPr>
    </w:p>
    <w:p w14:paraId="72B94A2D" w14:textId="0A045CB7" w:rsidR="005532A2" w:rsidRDefault="005532A2" w:rsidP="005532A2">
      <w:pPr>
        <w:tabs>
          <w:tab w:val="num" w:pos="0"/>
        </w:tabs>
        <w:spacing w:line="300" w:lineRule="exact"/>
        <w:jc w:val="both"/>
        <w:rPr>
          <w:rFonts w:ascii="Calibri" w:hAnsi="Calibri" w:cs="Calibri"/>
          <w:sz w:val="22"/>
          <w:szCs w:val="22"/>
        </w:rPr>
      </w:pPr>
      <w:r>
        <w:rPr>
          <w:rFonts w:ascii="Calibri" w:hAnsi="Calibri" w:cs="Calibri"/>
          <w:sz w:val="22"/>
          <w:szCs w:val="22"/>
        </w:rPr>
        <w:t xml:space="preserve">The Group has evaluated the extent to which its cashflow hedging relationships are subject to uncertainty driven by IBOR reform as at 31 December 2020. The Group’s hedged items and hedging instruments continue to be indexed to Euribor. These benchmark rates are quoted each day and the IBOR cash flows are exchanged with counterparties as usual. </w:t>
      </w:r>
    </w:p>
    <w:p w14:paraId="495F9E9A" w14:textId="77777777" w:rsidR="005532A2" w:rsidRDefault="005532A2" w:rsidP="005532A2">
      <w:pPr>
        <w:tabs>
          <w:tab w:val="num" w:pos="0"/>
        </w:tabs>
        <w:spacing w:line="300" w:lineRule="exact"/>
        <w:jc w:val="both"/>
        <w:rPr>
          <w:rFonts w:ascii="Calibri" w:hAnsi="Calibri" w:cs="Calibri"/>
          <w:sz w:val="22"/>
          <w:szCs w:val="22"/>
        </w:rPr>
      </w:pPr>
    </w:p>
    <w:p w14:paraId="07556541" w14:textId="0336CAFA" w:rsidR="005532A2" w:rsidRDefault="005532A2" w:rsidP="005532A2">
      <w:pPr>
        <w:autoSpaceDE w:val="0"/>
        <w:autoSpaceDN w:val="0"/>
        <w:adjustRightInd w:val="0"/>
        <w:jc w:val="both"/>
        <w:rPr>
          <w:rFonts w:ascii="Calibri" w:hAnsi="Calibri" w:cs="Calibri"/>
          <w:sz w:val="22"/>
          <w:szCs w:val="22"/>
        </w:rPr>
      </w:pPr>
      <w:r>
        <w:rPr>
          <w:rFonts w:ascii="Calibri" w:hAnsi="Calibri" w:cs="Calibri"/>
          <w:sz w:val="22"/>
          <w:szCs w:val="22"/>
        </w:rPr>
        <w:t>The calculation methodology of Euribor changed during 2019. In July 2019, the Belgian Financial Services and Markets Authority granted authorisation with respect to Euribor under the European Union Benchmarks regulation. This allows market participants to continue to use Euribor for both existing and new contracts and the Group expects that Euribor will continue to exist as a benchmark for the foreseeable future.</w:t>
      </w:r>
    </w:p>
    <w:p w14:paraId="16281BE9" w14:textId="77777777" w:rsidR="005532A2" w:rsidRDefault="005532A2" w:rsidP="005532A2">
      <w:pPr>
        <w:autoSpaceDE w:val="0"/>
        <w:autoSpaceDN w:val="0"/>
        <w:adjustRightInd w:val="0"/>
        <w:jc w:val="both"/>
        <w:rPr>
          <w:rFonts w:ascii="Calibri" w:hAnsi="Calibri" w:cs="Calibri"/>
          <w:sz w:val="22"/>
          <w:szCs w:val="22"/>
          <w:lang w:val="en-US"/>
        </w:rPr>
      </w:pPr>
    </w:p>
    <w:p w14:paraId="30D8DA34" w14:textId="64B177FF" w:rsidR="00010891" w:rsidRDefault="00C82D1C" w:rsidP="00010891">
      <w:pPr>
        <w:autoSpaceDE w:val="0"/>
        <w:autoSpaceDN w:val="0"/>
        <w:adjustRightInd w:val="0"/>
        <w:jc w:val="both"/>
        <w:rPr>
          <w:rFonts w:ascii="Calibri" w:hAnsi="Calibri" w:cs="Calibri"/>
          <w:sz w:val="22"/>
          <w:szCs w:val="22"/>
          <w:lang w:val="en-US"/>
        </w:rPr>
      </w:pPr>
      <w:r>
        <w:rPr>
          <w:rFonts w:ascii="Calibri" w:hAnsi="Calibri" w:cs="Calibri"/>
          <w:sz w:val="22"/>
          <w:szCs w:val="22"/>
          <w:lang w:val="en-US"/>
        </w:rPr>
        <w:t>The adoption of these new or amended standards did not have a material impact on the Group’s financial position or results from operations in the half-year ended September 30, 2020</w:t>
      </w:r>
      <w:r w:rsidR="00010891">
        <w:rPr>
          <w:rFonts w:ascii="Calibri" w:hAnsi="Calibri" w:cs="Calibri"/>
          <w:sz w:val="22"/>
          <w:szCs w:val="22"/>
          <w:lang w:val="en-US"/>
        </w:rPr>
        <w:t xml:space="preserve">. </w:t>
      </w:r>
    </w:p>
    <w:bookmarkEnd w:id="7"/>
    <w:p w14:paraId="0A37D5D6" w14:textId="77777777" w:rsidR="00010891" w:rsidRDefault="00010891" w:rsidP="00010891">
      <w:pPr>
        <w:autoSpaceDE w:val="0"/>
        <w:autoSpaceDN w:val="0"/>
        <w:adjustRightInd w:val="0"/>
        <w:spacing w:line="360" w:lineRule="auto"/>
        <w:jc w:val="both"/>
        <w:rPr>
          <w:rFonts w:ascii="Calibri" w:hAnsi="Calibri" w:cs="Calibri"/>
          <w:i/>
          <w:sz w:val="22"/>
          <w:szCs w:val="22"/>
          <w:lang w:val="en-US"/>
        </w:rPr>
      </w:pPr>
    </w:p>
    <w:p w14:paraId="1B131729" w14:textId="77777777" w:rsidR="00010891" w:rsidRDefault="00010891" w:rsidP="00010891">
      <w:pPr>
        <w:autoSpaceDE w:val="0"/>
        <w:autoSpaceDN w:val="0"/>
        <w:adjustRightInd w:val="0"/>
        <w:jc w:val="both"/>
        <w:rPr>
          <w:rFonts w:ascii="Calibri" w:hAnsi="Calibri" w:cs="Calibri"/>
          <w:sz w:val="22"/>
          <w:szCs w:val="22"/>
          <w:lang w:val="en-US"/>
        </w:rPr>
      </w:pPr>
      <w:r>
        <w:rPr>
          <w:rFonts w:ascii="Calibri" w:hAnsi="Calibri" w:cs="Calibri"/>
          <w:i/>
          <w:sz w:val="22"/>
          <w:szCs w:val="22"/>
          <w:lang w:val="en-US"/>
        </w:rPr>
        <w:t>New IFRS standards and amendments issued but not yet effective</w:t>
      </w:r>
    </w:p>
    <w:p w14:paraId="466C3E03" w14:textId="77777777" w:rsidR="00010891" w:rsidRDefault="00010891" w:rsidP="00010891">
      <w:pPr>
        <w:autoSpaceDE w:val="0"/>
        <w:autoSpaceDN w:val="0"/>
        <w:adjustRightInd w:val="0"/>
        <w:jc w:val="both"/>
        <w:rPr>
          <w:rFonts w:ascii="Calibri" w:hAnsi="Calibri" w:cs="Calibri"/>
          <w:i/>
          <w:sz w:val="22"/>
          <w:szCs w:val="22"/>
          <w:lang w:val="en-US"/>
        </w:rPr>
      </w:pPr>
    </w:p>
    <w:p w14:paraId="4193C2D2" w14:textId="6C461E2F" w:rsidR="00010891" w:rsidRDefault="00C82D1C" w:rsidP="00010891">
      <w:pPr>
        <w:autoSpaceDE w:val="0"/>
        <w:autoSpaceDN w:val="0"/>
        <w:adjustRightInd w:val="0"/>
        <w:jc w:val="both"/>
        <w:rPr>
          <w:rFonts w:ascii="Calibri" w:hAnsi="Calibri" w:cs="Calibri"/>
          <w:sz w:val="22"/>
          <w:szCs w:val="22"/>
          <w:lang w:val="en-US"/>
        </w:rPr>
      </w:pPr>
      <w:r>
        <w:rPr>
          <w:rFonts w:ascii="Calibri" w:hAnsi="Calibri" w:cs="Calibri"/>
          <w:sz w:val="22"/>
          <w:szCs w:val="22"/>
          <w:lang w:val="en-US"/>
        </w:rPr>
        <w:t>The following new or revised IFRS standards and IFRIC interpretations will be adopted for the purposes of the preparation of future financial statements, where applicable.  While under review, we do not anticipate that the adoption of the other new or revised standards and interpretations will have a material impact on our financial position or results from operations</w:t>
      </w:r>
      <w:r w:rsidR="00010891">
        <w:rPr>
          <w:rFonts w:ascii="Calibri" w:hAnsi="Calibri" w:cs="Calibri"/>
          <w:sz w:val="22"/>
          <w:szCs w:val="22"/>
          <w:lang w:val="en-US"/>
        </w:rPr>
        <w:t>:</w:t>
      </w:r>
    </w:p>
    <w:p w14:paraId="5CA5C1F0" w14:textId="77777777" w:rsidR="00010891" w:rsidRDefault="00010891" w:rsidP="00010891">
      <w:pPr>
        <w:autoSpaceDE w:val="0"/>
        <w:autoSpaceDN w:val="0"/>
        <w:adjustRightInd w:val="0"/>
        <w:jc w:val="both"/>
        <w:rPr>
          <w:rFonts w:ascii="Calibri" w:hAnsi="Calibri" w:cs="Calibri"/>
          <w:sz w:val="22"/>
          <w:szCs w:val="22"/>
          <w:lang w:val="en-US"/>
        </w:rPr>
      </w:pPr>
    </w:p>
    <w:p w14:paraId="71865F5A" w14:textId="24A86F82" w:rsidR="003D5225" w:rsidRPr="00A70869" w:rsidRDefault="008740A7" w:rsidP="003D5225">
      <w:pPr>
        <w:pStyle w:val="ListParagraph"/>
        <w:numPr>
          <w:ilvl w:val="0"/>
          <w:numId w:val="50"/>
        </w:numPr>
        <w:rPr>
          <w:rFonts w:ascii="Calibri" w:hAnsi="Calibri" w:cs="Calibri"/>
          <w:sz w:val="22"/>
          <w:szCs w:val="22"/>
          <w:lang w:val="en-US"/>
        </w:rPr>
      </w:pPr>
      <w:bookmarkStart w:id="8" w:name="_Hlk39778253"/>
      <w:r>
        <w:rPr>
          <w:rFonts w:ascii="Calibri" w:hAnsi="Calibri" w:cs="Calibri"/>
          <w:sz w:val="22"/>
          <w:szCs w:val="22"/>
          <w:lang w:val="en-US"/>
        </w:rPr>
        <w:t>IFRS 17 – Insurance Contracts</w:t>
      </w:r>
      <w:r w:rsidR="003D5225" w:rsidRPr="00A70869">
        <w:rPr>
          <w:rFonts w:ascii="Calibri" w:hAnsi="Calibri" w:cs="Calibri"/>
          <w:sz w:val="22"/>
          <w:szCs w:val="22"/>
          <w:lang w:val="en-US"/>
        </w:rPr>
        <w:t xml:space="preserve"> (effective for fiscal periods beginning on or after January 1, 2023)</w:t>
      </w:r>
    </w:p>
    <w:p w14:paraId="57ECEEA7" w14:textId="4BB5E85B" w:rsidR="00010891" w:rsidRPr="00226493" w:rsidRDefault="00674A73" w:rsidP="00226493">
      <w:pPr>
        <w:numPr>
          <w:ilvl w:val="0"/>
          <w:numId w:val="50"/>
        </w:numPr>
        <w:autoSpaceDE w:val="0"/>
        <w:autoSpaceDN w:val="0"/>
        <w:adjustRightInd w:val="0"/>
        <w:jc w:val="both"/>
        <w:rPr>
          <w:rFonts w:ascii="Calibri" w:hAnsi="Calibri" w:cs="Calibri"/>
          <w:sz w:val="22"/>
          <w:szCs w:val="22"/>
          <w:lang w:val="en-US"/>
        </w:rPr>
      </w:pPr>
      <w:r w:rsidRPr="00A70869">
        <w:rPr>
          <w:rFonts w:ascii="Calibri" w:hAnsi="Calibri" w:cs="Calibri"/>
          <w:sz w:val="22"/>
          <w:szCs w:val="22"/>
          <w:lang w:val="en-US"/>
        </w:rPr>
        <w:t>Amendments to IAS 1 – Classification of Liabilities as Current or Non-Current (effective for fiscal periods beginning on or after January 1, 2023</w:t>
      </w:r>
      <w:r w:rsidR="00A70869" w:rsidRPr="00A70869">
        <w:rPr>
          <w:rFonts w:ascii="Calibri" w:hAnsi="Calibri" w:cs="Calibri"/>
          <w:sz w:val="22"/>
          <w:szCs w:val="22"/>
          <w:lang w:val="en-US"/>
        </w:rPr>
        <w:t>)</w:t>
      </w:r>
    </w:p>
    <w:p w14:paraId="378C64AB" w14:textId="79FFE272" w:rsidR="00010891" w:rsidRPr="00A70869" w:rsidRDefault="00B50D05" w:rsidP="00010891">
      <w:pPr>
        <w:numPr>
          <w:ilvl w:val="0"/>
          <w:numId w:val="50"/>
        </w:numPr>
        <w:autoSpaceDE w:val="0"/>
        <w:autoSpaceDN w:val="0"/>
        <w:adjustRightInd w:val="0"/>
        <w:jc w:val="both"/>
        <w:rPr>
          <w:rFonts w:ascii="Calibri" w:hAnsi="Calibri" w:cs="Calibri"/>
          <w:color w:val="FF0000"/>
          <w:sz w:val="22"/>
          <w:szCs w:val="22"/>
          <w:lang w:val="en-US"/>
        </w:rPr>
      </w:pPr>
      <w:r w:rsidRPr="00A70869">
        <w:rPr>
          <w:rFonts w:ascii="Calibri" w:hAnsi="Calibri" w:cs="Calibri"/>
          <w:sz w:val="22"/>
          <w:szCs w:val="22"/>
          <w:lang w:val="en-US"/>
        </w:rPr>
        <w:t xml:space="preserve">Amendments to IFRS 3 – </w:t>
      </w:r>
      <w:r w:rsidR="00674A73" w:rsidRPr="00A70869">
        <w:rPr>
          <w:rFonts w:ascii="Calibri" w:hAnsi="Calibri" w:cs="Calibri"/>
          <w:sz w:val="22"/>
          <w:szCs w:val="22"/>
          <w:lang w:val="en-US"/>
        </w:rPr>
        <w:t>Reference to the Conceptual Framework (effective for fiscal periods beginning on or after January 1 202</w:t>
      </w:r>
      <w:r w:rsidR="00A70869" w:rsidRPr="00A70869">
        <w:rPr>
          <w:rFonts w:ascii="Calibri" w:hAnsi="Calibri" w:cs="Calibri"/>
          <w:sz w:val="22"/>
          <w:szCs w:val="22"/>
          <w:lang w:val="en-US"/>
        </w:rPr>
        <w:t>2</w:t>
      </w:r>
      <w:r w:rsidR="00674A73" w:rsidRPr="00A70869">
        <w:rPr>
          <w:rFonts w:ascii="Calibri" w:hAnsi="Calibri" w:cs="Calibri"/>
          <w:sz w:val="22"/>
          <w:szCs w:val="22"/>
          <w:lang w:val="en-US"/>
        </w:rPr>
        <w:t>)</w:t>
      </w:r>
    </w:p>
    <w:p w14:paraId="689F2221" w14:textId="4EF0C9B8" w:rsidR="00A70869" w:rsidRPr="00A70869" w:rsidRDefault="00A70869" w:rsidP="00A70869">
      <w:pPr>
        <w:pStyle w:val="ListParagraph"/>
        <w:numPr>
          <w:ilvl w:val="0"/>
          <w:numId w:val="50"/>
        </w:numPr>
        <w:autoSpaceDE w:val="0"/>
        <w:autoSpaceDN w:val="0"/>
        <w:adjustRightInd w:val="0"/>
        <w:jc w:val="both"/>
        <w:rPr>
          <w:rFonts w:ascii="Calibri" w:hAnsi="Calibri" w:cs="Calibri"/>
          <w:sz w:val="22"/>
          <w:szCs w:val="22"/>
          <w:lang w:val="en-US"/>
        </w:rPr>
      </w:pPr>
      <w:r w:rsidRPr="00A70869">
        <w:rPr>
          <w:rFonts w:ascii="Calibri" w:hAnsi="Calibri" w:cs="Calibri"/>
          <w:sz w:val="22"/>
          <w:szCs w:val="22"/>
          <w:lang w:val="en-US"/>
        </w:rPr>
        <w:lastRenderedPageBreak/>
        <w:t>Amendments to IAS 16 – Property, Plant and Equipment – Proceeds before Intended Use (effective for fiscal periods beginning on or after January 1, 2022)</w:t>
      </w:r>
    </w:p>
    <w:p w14:paraId="28EF1463" w14:textId="77777777" w:rsidR="00A70869" w:rsidRPr="00A70869" w:rsidRDefault="00A70869" w:rsidP="00A70869">
      <w:pPr>
        <w:pStyle w:val="ListParagraph"/>
        <w:numPr>
          <w:ilvl w:val="0"/>
          <w:numId w:val="50"/>
        </w:numPr>
        <w:autoSpaceDE w:val="0"/>
        <w:autoSpaceDN w:val="0"/>
        <w:adjustRightInd w:val="0"/>
        <w:jc w:val="both"/>
        <w:rPr>
          <w:rFonts w:ascii="Calibri" w:hAnsi="Calibri" w:cs="Calibri"/>
          <w:sz w:val="22"/>
          <w:szCs w:val="22"/>
          <w:lang w:val="en-US"/>
        </w:rPr>
      </w:pPr>
      <w:r w:rsidRPr="00A70869">
        <w:rPr>
          <w:rFonts w:ascii="Calibri" w:hAnsi="Calibri" w:cs="Calibri"/>
          <w:sz w:val="22"/>
          <w:szCs w:val="22"/>
          <w:lang w:val="en-US"/>
        </w:rPr>
        <w:t>Amendments to IAS 37 – Onerous Contracts – Costs of Fulfilling a Contract (effective for fiscal periods beginning on or after January 1, 2022)</w:t>
      </w:r>
    </w:p>
    <w:p w14:paraId="76EDD169" w14:textId="77777777" w:rsidR="00A70869" w:rsidRPr="00A70869" w:rsidRDefault="00A70869" w:rsidP="00A70869">
      <w:pPr>
        <w:pStyle w:val="ListParagraph"/>
        <w:numPr>
          <w:ilvl w:val="0"/>
          <w:numId w:val="50"/>
        </w:numPr>
        <w:autoSpaceDE w:val="0"/>
        <w:autoSpaceDN w:val="0"/>
        <w:adjustRightInd w:val="0"/>
        <w:jc w:val="both"/>
        <w:rPr>
          <w:rFonts w:ascii="Calibri" w:hAnsi="Calibri" w:cs="Calibri"/>
          <w:sz w:val="22"/>
          <w:szCs w:val="22"/>
          <w:lang w:val="en-US"/>
        </w:rPr>
      </w:pPr>
      <w:r w:rsidRPr="00A70869">
        <w:rPr>
          <w:rFonts w:ascii="Calibri" w:hAnsi="Calibri" w:cs="Calibri"/>
          <w:sz w:val="22"/>
          <w:szCs w:val="22"/>
          <w:lang w:val="en-US"/>
        </w:rPr>
        <w:t>Annual Improvements to IFRS Standards 2018-2020 (effective for fiscal periods beginning on or after January 1, 2022)</w:t>
      </w:r>
    </w:p>
    <w:p w14:paraId="63FDB276" w14:textId="463F94CA" w:rsidR="00010891" w:rsidRPr="00226493" w:rsidRDefault="00A70869" w:rsidP="008740A7">
      <w:pPr>
        <w:pStyle w:val="ListParagraph"/>
        <w:numPr>
          <w:ilvl w:val="0"/>
          <w:numId w:val="50"/>
        </w:numPr>
        <w:autoSpaceDE w:val="0"/>
        <w:autoSpaceDN w:val="0"/>
        <w:adjustRightInd w:val="0"/>
        <w:jc w:val="both"/>
        <w:rPr>
          <w:rFonts w:ascii="Calibri" w:hAnsi="Calibri" w:cs="Calibri"/>
          <w:sz w:val="22"/>
          <w:szCs w:val="22"/>
          <w:lang w:val="en-US"/>
        </w:rPr>
      </w:pPr>
      <w:r w:rsidRPr="00A70869">
        <w:rPr>
          <w:rFonts w:ascii="Calibri" w:hAnsi="Calibri" w:cs="Calibri"/>
          <w:sz w:val="22"/>
          <w:szCs w:val="22"/>
          <w:lang w:val="en-US"/>
        </w:rPr>
        <w:t>Amendments to IFRS 17 (effective for fiscal periods beginning on or after January 1, 2023)</w:t>
      </w:r>
    </w:p>
    <w:p w14:paraId="16B43D93" w14:textId="35F22D58" w:rsidR="00010891" w:rsidRPr="00A70869" w:rsidRDefault="00B50D05" w:rsidP="00A07B1D">
      <w:pPr>
        <w:numPr>
          <w:ilvl w:val="0"/>
          <w:numId w:val="50"/>
        </w:numPr>
        <w:autoSpaceDE w:val="0"/>
        <w:autoSpaceDN w:val="0"/>
        <w:adjustRightInd w:val="0"/>
        <w:jc w:val="both"/>
        <w:rPr>
          <w:rFonts w:ascii="Calibri" w:hAnsi="Calibri" w:cs="Calibri"/>
          <w:color w:val="FF0000"/>
          <w:sz w:val="22"/>
          <w:szCs w:val="22"/>
          <w:lang w:val="en-US"/>
        </w:rPr>
      </w:pPr>
      <w:r w:rsidRPr="00A70869">
        <w:rPr>
          <w:rFonts w:ascii="Calibri" w:hAnsi="Calibri" w:cs="Calibri"/>
          <w:sz w:val="22"/>
          <w:szCs w:val="22"/>
          <w:lang w:val="en-US"/>
        </w:rPr>
        <w:t>Amendments to IFRS 9, IAS 39</w:t>
      </w:r>
      <w:r w:rsidR="00A70869" w:rsidRPr="00A70869">
        <w:rPr>
          <w:rFonts w:ascii="Calibri" w:hAnsi="Calibri" w:cs="Calibri"/>
          <w:sz w:val="22"/>
          <w:szCs w:val="22"/>
          <w:lang w:val="en-US"/>
        </w:rPr>
        <w:t>,</w:t>
      </w:r>
      <w:r w:rsidRPr="00A70869">
        <w:rPr>
          <w:rFonts w:ascii="Calibri" w:hAnsi="Calibri" w:cs="Calibri"/>
          <w:sz w:val="22"/>
          <w:szCs w:val="22"/>
          <w:lang w:val="en-US"/>
        </w:rPr>
        <w:t xml:space="preserve"> IFRS 7</w:t>
      </w:r>
      <w:r w:rsidR="00A70869" w:rsidRPr="00A70869">
        <w:rPr>
          <w:rFonts w:ascii="Calibri" w:hAnsi="Calibri" w:cs="Calibri"/>
          <w:sz w:val="22"/>
          <w:szCs w:val="22"/>
          <w:lang w:val="en-US"/>
        </w:rPr>
        <w:t>, IFRS 4 and IFRS 16</w:t>
      </w:r>
      <w:r w:rsidRPr="00A70869">
        <w:rPr>
          <w:rFonts w:ascii="Calibri" w:hAnsi="Calibri" w:cs="Calibri"/>
          <w:sz w:val="22"/>
          <w:szCs w:val="22"/>
          <w:lang w:val="en-US"/>
        </w:rPr>
        <w:t xml:space="preserve"> – Interest Rate Benchmark Reform (effective for fiscal periods beginning on or after January 1, 202</w:t>
      </w:r>
      <w:r w:rsidR="00A70869" w:rsidRPr="00A70869">
        <w:rPr>
          <w:rFonts w:ascii="Calibri" w:hAnsi="Calibri" w:cs="Calibri"/>
          <w:sz w:val="22"/>
          <w:szCs w:val="22"/>
          <w:lang w:val="en-US"/>
        </w:rPr>
        <w:t>1</w:t>
      </w:r>
      <w:r w:rsidRPr="00A70869">
        <w:rPr>
          <w:rFonts w:ascii="Calibri" w:hAnsi="Calibri" w:cs="Calibri"/>
          <w:sz w:val="22"/>
          <w:szCs w:val="22"/>
          <w:lang w:val="en-US"/>
        </w:rPr>
        <w:t>)</w:t>
      </w:r>
    </w:p>
    <w:p w14:paraId="1BAAE8AD" w14:textId="77777777" w:rsidR="00010891" w:rsidRPr="00C82D1C" w:rsidRDefault="00010891" w:rsidP="00010891">
      <w:pPr>
        <w:pStyle w:val="ListParagraph"/>
        <w:rPr>
          <w:rFonts w:ascii="Calibri" w:hAnsi="Calibri" w:cs="Calibri"/>
          <w:color w:val="FF0000"/>
          <w:sz w:val="22"/>
          <w:szCs w:val="22"/>
          <w:lang w:val="en-US"/>
        </w:rPr>
      </w:pPr>
    </w:p>
    <w:bookmarkEnd w:id="8"/>
    <w:p w14:paraId="69A41AE7" w14:textId="4C1625D4" w:rsidR="00CA5925" w:rsidRDefault="00CA5925" w:rsidP="00CA5925">
      <w:pPr>
        <w:autoSpaceDE w:val="0"/>
        <w:autoSpaceDN w:val="0"/>
        <w:adjustRightInd w:val="0"/>
        <w:jc w:val="both"/>
        <w:rPr>
          <w:rFonts w:ascii="Calibri" w:hAnsi="Calibri" w:cs="Calibri"/>
          <w:i/>
          <w:sz w:val="22"/>
          <w:szCs w:val="22"/>
          <w:lang w:val="en-US"/>
        </w:rPr>
      </w:pPr>
      <w:r>
        <w:rPr>
          <w:rFonts w:ascii="Calibri" w:hAnsi="Calibri" w:cs="Calibri"/>
          <w:i/>
          <w:sz w:val="22"/>
          <w:szCs w:val="22"/>
          <w:lang w:val="en-US"/>
        </w:rPr>
        <w:t>Statement of Cash Flows re</w:t>
      </w:r>
      <w:r w:rsidR="00B47F14">
        <w:rPr>
          <w:rFonts w:ascii="Calibri" w:hAnsi="Calibri" w:cs="Calibri"/>
          <w:i/>
          <w:sz w:val="22"/>
          <w:szCs w:val="22"/>
          <w:lang w:val="en-US"/>
        </w:rPr>
        <w:t>statement</w:t>
      </w:r>
    </w:p>
    <w:p w14:paraId="57A8F4FF" w14:textId="77777777" w:rsidR="00CA5925" w:rsidRDefault="00CA5925" w:rsidP="00CA5925">
      <w:pPr>
        <w:autoSpaceDE w:val="0"/>
        <w:autoSpaceDN w:val="0"/>
        <w:adjustRightInd w:val="0"/>
        <w:jc w:val="both"/>
        <w:rPr>
          <w:rFonts w:ascii="Calibri" w:hAnsi="Calibri" w:cs="Calibri"/>
          <w:i/>
          <w:sz w:val="22"/>
          <w:szCs w:val="22"/>
          <w:lang w:val="en-US"/>
        </w:rPr>
      </w:pPr>
    </w:p>
    <w:p w14:paraId="34B80E8A" w14:textId="66E40DFB" w:rsidR="00010891" w:rsidRDefault="00CA5925" w:rsidP="00CA5925">
      <w:pPr>
        <w:autoSpaceDE w:val="0"/>
        <w:autoSpaceDN w:val="0"/>
        <w:adjustRightInd w:val="0"/>
        <w:jc w:val="both"/>
        <w:rPr>
          <w:rFonts w:ascii="Calibri" w:hAnsi="Calibri" w:cs="Calibri"/>
          <w:sz w:val="22"/>
          <w:szCs w:val="22"/>
        </w:rPr>
      </w:pPr>
      <w:r w:rsidRPr="001A7A25">
        <w:rPr>
          <w:rFonts w:ascii="Calibri" w:hAnsi="Calibri" w:cs="Calibri"/>
          <w:sz w:val="22"/>
          <w:szCs w:val="22"/>
        </w:rPr>
        <w:t>Operating cash inflows and investing cash outflows for the six month period ended 30 September 2019 have been reclassified</w:t>
      </w:r>
      <w:r w:rsidR="00B47F14">
        <w:rPr>
          <w:rFonts w:ascii="Calibri" w:hAnsi="Calibri" w:cs="Calibri"/>
          <w:sz w:val="22"/>
          <w:szCs w:val="22"/>
        </w:rPr>
        <w:t>. They</w:t>
      </w:r>
      <w:r w:rsidR="00105BF9">
        <w:rPr>
          <w:rFonts w:ascii="Calibri" w:hAnsi="Calibri" w:cs="Calibri"/>
          <w:sz w:val="22"/>
          <w:szCs w:val="22"/>
        </w:rPr>
        <w:t xml:space="preserve"> both</w:t>
      </w:r>
      <w:r w:rsidR="00B47F14">
        <w:rPr>
          <w:rFonts w:ascii="Calibri" w:hAnsi="Calibri" w:cs="Calibri"/>
          <w:sz w:val="22"/>
          <w:szCs w:val="22"/>
        </w:rPr>
        <w:t xml:space="preserve"> have</w:t>
      </w:r>
      <w:r w:rsidR="00105BF9">
        <w:rPr>
          <w:rFonts w:ascii="Calibri" w:hAnsi="Calibri" w:cs="Calibri"/>
          <w:sz w:val="22"/>
          <w:szCs w:val="22"/>
        </w:rPr>
        <w:t xml:space="preserve"> </w:t>
      </w:r>
      <w:r w:rsidR="00B47F14">
        <w:rPr>
          <w:rFonts w:ascii="Calibri" w:hAnsi="Calibri" w:cs="Calibri"/>
          <w:sz w:val="22"/>
          <w:szCs w:val="22"/>
        </w:rPr>
        <w:t>been reduced by</w:t>
      </w:r>
      <w:r w:rsidRPr="001A7A25">
        <w:rPr>
          <w:rFonts w:ascii="Calibri" w:hAnsi="Calibri" w:cs="Calibri"/>
          <w:sz w:val="22"/>
          <w:szCs w:val="22"/>
        </w:rPr>
        <w:t xml:space="preserve"> €</w:t>
      </w:r>
      <w:r>
        <w:rPr>
          <w:rFonts w:ascii="Calibri" w:hAnsi="Calibri" w:cs="Calibri"/>
          <w:sz w:val="22"/>
          <w:szCs w:val="22"/>
        </w:rPr>
        <w:t>274M</w:t>
      </w:r>
      <w:r w:rsidR="00B47F14">
        <w:rPr>
          <w:rFonts w:ascii="Calibri" w:hAnsi="Calibri" w:cs="Calibri"/>
          <w:sz w:val="22"/>
          <w:szCs w:val="22"/>
        </w:rPr>
        <w:t xml:space="preserve"> to reflect</w:t>
      </w:r>
      <w:r w:rsidRPr="001A7A25">
        <w:rPr>
          <w:rFonts w:ascii="Calibri" w:hAnsi="Calibri" w:cs="Calibri"/>
          <w:sz w:val="22"/>
          <w:szCs w:val="22"/>
        </w:rPr>
        <w:t xml:space="preserve"> accrued supplier payables which had </w:t>
      </w:r>
      <w:r w:rsidR="00B47F14">
        <w:rPr>
          <w:rFonts w:ascii="Calibri" w:hAnsi="Calibri" w:cs="Calibri"/>
          <w:sz w:val="22"/>
          <w:szCs w:val="22"/>
        </w:rPr>
        <w:t xml:space="preserve">previously </w:t>
      </w:r>
      <w:r w:rsidRPr="001A7A25">
        <w:rPr>
          <w:rFonts w:ascii="Calibri" w:hAnsi="Calibri" w:cs="Calibri"/>
          <w:sz w:val="22"/>
          <w:szCs w:val="22"/>
        </w:rPr>
        <w:t xml:space="preserve">been </w:t>
      </w:r>
      <w:r w:rsidR="00B47F14">
        <w:rPr>
          <w:rFonts w:ascii="Calibri" w:hAnsi="Calibri" w:cs="Calibri"/>
          <w:sz w:val="22"/>
          <w:szCs w:val="22"/>
        </w:rPr>
        <w:t>presented</w:t>
      </w:r>
      <w:r w:rsidRPr="001A7A25">
        <w:rPr>
          <w:rFonts w:ascii="Calibri" w:hAnsi="Calibri" w:cs="Calibri"/>
          <w:sz w:val="22"/>
          <w:szCs w:val="22"/>
        </w:rPr>
        <w:t xml:space="preserve"> as capital expenditure in the consolidated cash flows</w:t>
      </w:r>
      <w:r>
        <w:rPr>
          <w:rFonts w:ascii="Calibri" w:hAnsi="Calibri" w:cs="Calibri"/>
          <w:sz w:val="22"/>
          <w:szCs w:val="22"/>
        </w:rPr>
        <w:t>.</w:t>
      </w:r>
    </w:p>
    <w:p w14:paraId="34B65ACE" w14:textId="77777777" w:rsidR="00CA5925" w:rsidRDefault="00CA5925" w:rsidP="00CA5925">
      <w:pPr>
        <w:autoSpaceDE w:val="0"/>
        <w:autoSpaceDN w:val="0"/>
        <w:adjustRightInd w:val="0"/>
        <w:jc w:val="both"/>
        <w:rPr>
          <w:rFonts w:ascii="Calibri" w:hAnsi="Calibri" w:cs="Calibri"/>
          <w:i/>
          <w:iCs/>
          <w:color w:val="FF0000"/>
          <w:sz w:val="22"/>
          <w:szCs w:val="22"/>
          <w:lang w:val="en-US"/>
        </w:rPr>
      </w:pPr>
    </w:p>
    <w:p w14:paraId="31D2B1E7" w14:textId="77777777" w:rsidR="00B50D05" w:rsidRDefault="00B50D05" w:rsidP="00010891">
      <w:pPr>
        <w:autoSpaceDE w:val="0"/>
        <w:autoSpaceDN w:val="0"/>
        <w:adjustRightInd w:val="0"/>
        <w:jc w:val="both"/>
        <w:rPr>
          <w:rFonts w:ascii="Calibri" w:hAnsi="Calibri" w:cs="Calibri"/>
          <w:i/>
          <w:iCs/>
          <w:sz w:val="22"/>
          <w:szCs w:val="22"/>
          <w:lang w:val="en-US"/>
        </w:rPr>
      </w:pPr>
    </w:p>
    <w:p w14:paraId="141283FA" w14:textId="77777777" w:rsidR="00010891" w:rsidRDefault="00010891" w:rsidP="005C13A2">
      <w:pPr>
        <w:pStyle w:val="Outline3L1"/>
        <w:numPr>
          <w:ilvl w:val="0"/>
          <w:numId w:val="49"/>
        </w:numPr>
        <w:tabs>
          <w:tab w:val="clear" w:pos="720"/>
          <w:tab w:val="num" w:pos="709"/>
        </w:tabs>
        <w:spacing w:line="300" w:lineRule="exact"/>
        <w:rPr>
          <w:rFonts w:ascii="Calibri" w:hAnsi="Calibri" w:cs="Calibri"/>
          <w:b/>
          <w:bCs/>
          <w:sz w:val="22"/>
          <w:szCs w:val="22"/>
        </w:rPr>
      </w:pPr>
      <w:r>
        <w:rPr>
          <w:rFonts w:ascii="Calibri" w:hAnsi="Calibri" w:cs="Calibri"/>
          <w:b/>
          <w:bCs/>
          <w:sz w:val="22"/>
          <w:szCs w:val="22"/>
        </w:rPr>
        <w:t>Judgements and estimates</w:t>
      </w:r>
    </w:p>
    <w:p w14:paraId="255DB802" w14:textId="2706D085" w:rsidR="00010891" w:rsidRDefault="00C127CD" w:rsidP="00010891">
      <w:pPr>
        <w:tabs>
          <w:tab w:val="num" w:pos="0"/>
        </w:tabs>
        <w:spacing w:after="120" w:line="300" w:lineRule="exact"/>
        <w:jc w:val="both"/>
        <w:rPr>
          <w:rFonts w:ascii="Calibri" w:hAnsi="Calibri" w:cs="Calibri"/>
          <w:sz w:val="22"/>
          <w:szCs w:val="22"/>
        </w:rPr>
      </w:pPr>
      <w:r>
        <w:rPr>
          <w:rFonts w:ascii="Calibri" w:hAnsi="Calibri" w:cs="Calibri"/>
          <w:sz w:val="22"/>
          <w:szCs w:val="22"/>
        </w:rPr>
        <w:t>In preparing these condensed interim financial statements, management has made judgements and estimates that affect the application of accounting policies and the reported amounts of assets and liabilities, income and expense.  Actual results may differ from these estimates</w:t>
      </w:r>
      <w:r w:rsidR="00010891">
        <w:rPr>
          <w:rFonts w:ascii="Calibri" w:hAnsi="Calibri" w:cs="Calibri"/>
          <w:sz w:val="22"/>
          <w:szCs w:val="22"/>
        </w:rPr>
        <w:t>.</w:t>
      </w:r>
    </w:p>
    <w:p w14:paraId="1768E252" w14:textId="1B9C439B" w:rsidR="00010891" w:rsidRDefault="00C127CD" w:rsidP="00010891">
      <w:pPr>
        <w:tabs>
          <w:tab w:val="num" w:pos="0"/>
        </w:tabs>
        <w:spacing w:line="300" w:lineRule="exact"/>
        <w:jc w:val="both"/>
        <w:rPr>
          <w:rFonts w:ascii="Calibri" w:hAnsi="Calibri" w:cs="Calibri"/>
          <w:sz w:val="22"/>
          <w:szCs w:val="22"/>
        </w:rPr>
      </w:pPr>
      <w:r>
        <w:rPr>
          <w:rFonts w:ascii="Calibri" w:hAnsi="Calibri" w:cs="Calibri"/>
          <w:sz w:val="22"/>
          <w:szCs w:val="22"/>
        </w:rPr>
        <w:t>In preparing these condensed consolidated interim financial statements, the significant judgements and key sources of estimation uncertainty were the same as those that applied in the most recent published consolidated financial statements.</w:t>
      </w:r>
    </w:p>
    <w:p w14:paraId="2DBF231B" w14:textId="77777777" w:rsidR="00010891" w:rsidRDefault="00010891" w:rsidP="00010891">
      <w:pPr>
        <w:tabs>
          <w:tab w:val="num" w:pos="0"/>
        </w:tabs>
        <w:spacing w:line="300" w:lineRule="exact"/>
        <w:jc w:val="both"/>
        <w:rPr>
          <w:rFonts w:ascii="Calibri" w:hAnsi="Calibri" w:cs="Calibri"/>
          <w:sz w:val="22"/>
          <w:szCs w:val="22"/>
        </w:rPr>
      </w:pPr>
    </w:p>
    <w:p w14:paraId="18B288F2" w14:textId="77777777" w:rsidR="00010891" w:rsidRDefault="00010891" w:rsidP="00010891">
      <w:pPr>
        <w:tabs>
          <w:tab w:val="num" w:pos="0"/>
        </w:tabs>
        <w:spacing w:line="300" w:lineRule="exact"/>
        <w:jc w:val="both"/>
        <w:rPr>
          <w:rFonts w:ascii="Calibri" w:hAnsi="Calibri" w:cs="Calibri"/>
          <w:i/>
          <w:sz w:val="22"/>
          <w:szCs w:val="22"/>
        </w:rPr>
      </w:pPr>
      <w:r>
        <w:rPr>
          <w:rFonts w:ascii="Calibri" w:hAnsi="Calibri" w:cs="Calibri"/>
          <w:i/>
          <w:sz w:val="22"/>
          <w:szCs w:val="22"/>
        </w:rPr>
        <w:t>Derivative financial instruments</w:t>
      </w:r>
    </w:p>
    <w:p w14:paraId="143C5FFE" w14:textId="77777777" w:rsidR="00010891" w:rsidRDefault="00010891" w:rsidP="00010891">
      <w:pPr>
        <w:tabs>
          <w:tab w:val="num" w:pos="0"/>
        </w:tabs>
        <w:spacing w:line="300" w:lineRule="exact"/>
        <w:jc w:val="both"/>
        <w:rPr>
          <w:rFonts w:ascii="Calibri" w:hAnsi="Calibri" w:cs="Calibri"/>
          <w:i/>
          <w:sz w:val="22"/>
          <w:szCs w:val="22"/>
        </w:rPr>
      </w:pPr>
    </w:p>
    <w:p w14:paraId="6B3B4FF7" w14:textId="77777777" w:rsidR="00010891" w:rsidRDefault="00010891" w:rsidP="00010891">
      <w:pPr>
        <w:tabs>
          <w:tab w:val="num" w:pos="0"/>
        </w:tabs>
        <w:spacing w:line="300" w:lineRule="exact"/>
        <w:jc w:val="both"/>
        <w:rPr>
          <w:rFonts w:ascii="Calibri" w:hAnsi="Calibri" w:cs="Calibri"/>
          <w:sz w:val="22"/>
          <w:szCs w:val="22"/>
        </w:rPr>
      </w:pPr>
      <w:r>
        <w:rPr>
          <w:rFonts w:ascii="Calibri" w:hAnsi="Calibri" w:cs="Calibri"/>
          <w:sz w:val="22"/>
          <w:szCs w:val="22"/>
        </w:rPr>
        <w:t>The Group uses various derivative financial instruments to manage its exposure to market risks, including the risks relating to fluctuations in commodity prices and currency exchange rates. Ryanair uses forward contracts for the purchase of its jet fuel (jet kerosene) requirements to reduce its exposure to commodity price risk. It also uses foreign currency forward contracts to reduce its exposure to risks related to foreign currencies, principally the U.S. dollar exposure associated with the purchase of new Boeing 737 aircraft and the U.S. dollar exposure associated with the purchase of jet fuel.</w:t>
      </w:r>
    </w:p>
    <w:p w14:paraId="2389062A" w14:textId="77777777" w:rsidR="00010891" w:rsidRDefault="00010891" w:rsidP="00010891">
      <w:pPr>
        <w:tabs>
          <w:tab w:val="num" w:pos="0"/>
        </w:tabs>
        <w:spacing w:line="300" w:lineRule="exact"/>
        <w:jc w:val="both"/>
        <w:rPr>
          <w:rFonts w:ascii="Calibri" w:hAnsi="Calibri" w:cs="Calibri"/>
          <w:sz w:val="22"/>
          <w:szCs w:val="22"/>
        </w:rPr>
      </w:pPr>
    </w:p>
    <w:p w14:paraId="5ABE35B9" w14:textId="492B3ED3" w:rsidR="00010891" w:rsidRDefault="00C41099" w:rsidP="00010891">
      <w:pPr>
        <w:tabs>
          <w:tab w:val="num" w:pos="0"/>
        </w:tabs>
        <w:spacing w:line="300" w:lineRule="exact"/>
        <w:jc w:val="both"/>
        <w:rPr>
          <w:rFonts w:ascii="Calibri" w:hAnsi="Calibri" w:cs="Calibri"/>
          <w:sz w:val="22"/>
          <w:szCs w:val="22"/>
        </w:rPr>
      </w:pPr>
      <w:r>
        <w:rPr>
          <w:rFonts w:ascii="Calibri" w:hAnsi="Calibri" w:cs="Calibri"/>
          <w:sz w:val="22"/>
          <w:szCs w:val="22"/>
        </w:rPr>
        <w:t xml:space="preserve">The Group recognises all derivative instruments as either assets or liabilities in its consolidated balance sheet and measures them at fair value. At September 30, 2020, a net liability of €601.5M (2019 net asset €73.5M) was recognised on balance sheet in respect of the Group’s jet fuel derivative instruments and a </w:t>
      </w:r>
      <w:r>
        <w:rPr>
          <w:rFonts w:ascii="Calibri" w:hAnsi="Calibri" w:cs="Calibri"/>
          <w:sz w:val="22"/>
          <w:szCs w:val="22"/>
        </w:rPr>
        <w:lastRenderedPageBreak/>
        <w:t>net asset of €226.6M (2019 net asset €508.8M) was recognised in respect of its foreign currency derivative instruments associated with future aircraft purchases</w:t>
      </w:r>
      <w:r w:rsidR="00010891">
        <w:rPr>
          <w:rFonts w:ascii="Calibri" w:hAnsi="Calibri" w:cs="Calibri"/>
          <w:sz w:val="22"/>
          <w:szCs w:val="22"/>
        </w:rPr>
        <w:t>.</w:t>
      </w:r>
    </w:p>
    <w:p w14:paraId="4E1FEA73" w14:textId="77777777" w:rsidR="00010891" w:rsidRDefault="00010891" w:rsidP="00010891">
      <w:pPr>
        <w:tabs>
          <w:tab w:val="num" w:pos="0"/>
        </w:tabs>
        <w:spacing w:line="300" w:lineRule="exact"/>
        <w:jc w:val="both"/>
        <w:rPr>
          <w:rFonts w:ascii="Calibri" w:hAnsi="Calibri" w:cs="Calibri"/>
          <w:sz w:val="22"/>
          <w:szCs w:val="22"/>
        </w:rPr>
      </w:pPr>
    </w:p>
    <w:p w14:paraId="39721B5D" w14:textId="1F8DF57C" w:rsidR="00010891" w:rsidRDefault="00C41099" w:rsidP="00010891">
      <w:pPr>
        <w:tabs>
          <w:tab w:val="num" w:pos="0"/>
        </w:tabs>
        <w:spacing w:line="300" w:lineRule="exact"/>
        <w:jc w:val="both"/>
        <w:rPr>
          <w:rFonts w:ascii="Calibri" w:hAnsi="Calibri" w:cs="Calibri"/>
          <w:sz w:val="22"/>
          <w:szCs w:val="22"/>
        </w:rPr>
      </w:pPr>
      <w:r>
        <w:rPr>
          <w:rFonts w:ascii="Calibri" w:hAnsi="Calibri" w:cs="Calibri"/>
          <w:sz w:val="22"/>
          <w:szCs w:val="22"/>
        </w:rPr>
        <w:t>In determining the hedge effectiveness of derivative instruments used to hedge Ryanair’s fuel requirements, there is significant judgement involved in assessing whether the volumes of jet fuel hedged are still expected to be highly probable forecast transactions. Specifically, significant judgement is required in respect of the assumptions related to the timing of the full removal of flight restrictions imposed by governments relating to the Covid-19 pandemic, the expected recovery of passenger demand and the subsequent flight schedules. All of these assumptions impact upon forecast fuel consumption, and minor changes to these assumptions could have a significant effect on the assessment of hedge effectiveness</w:t>
      </w:r>
      <w:r w:rsidR="00010891">
        <w:rPr>
          <w:rFonts w:ascii="Calibri" w:hAnsi="Calibri" w:cs="Calibri"/>
          <w:sz w:val="22"/>
          <w:szCs w:val="22"/>
        </w:rPr>
        <w:t>.</w:t>
      </w:r>
    </w:p>
    <w:p w14:paraId="6990939A" w14:textId="73D44D17" w:rsidR="00010891" w:rsidRDefault="00010891" w:rsidP="00010891">
      <w:pPr>
        <w:tabs>
          <w:tab w:val="num" w:pos="0"/>
        </w:tabs>
        <w:spacing w:line="300" w:lineRule="exact"/>
        <w:jc w:val="both"/>
        <w:rPr>
          <w:rFonts w:ascii="Calibri" w:hAnsi="Calibri" w:cs="Calibri"/>
          <w:sz w:val="22"/>
          <w:szCs w:val="22"/>
        </w:rPr>
      </w:pPr>
    </w:p>
    <w:p w14:paraId="329E5F32" w14:textId="57F27564" w:rsidR="00E60FD3" w:rsidRDefault="00E60FD3" w:rsidP="00010891">
      <w:pPr>
        <w:tabs>
          <w:tab w:val="num" w:pos="0"/>
        </w:tabs>
        <w:spacing w:line="300" w:lineRule="exact"/>
        <w:jc w:val="both"/>
        <w:rPr>
          <w:rFonts w:ascii="Calibri" w:hAnsi="Calibri" w:cs="Calibri"/>
          <w:sz w:val="22"/>
          <w:szCs w:val="22"/>
        </w:rPr>
      </w:pPr>
      <w:r w:rsidRPr="000B38A8">
        <w:rPr>
          <w:rFonts w:ascii="Calibri" w:hAnsi="Calibri" w:cs="Calibri"/>
          <w:sz w:val="22"/>
          <w:szCs w:val="22"/>
        </w:rPr>
        <w:t xml:space="preserve">At March 31, 2020 the Group expected to operate </w:t>
      </w:r>
      <w:r w:rsidR="00B47F14">
        <w:rPr>
          <w:rFonts w:ascii="Calibri" w:hAnsi="Calibri" w:cs="Calibri"/>
          <w:sz w:val="22"/>
          <w:szCs w:val="22"/>
        </w:rPr>
        <w:t>much</w:t>
      </w:r>
      <w:r w:rsidRPr="000B38A8">
        <w:rPr>
          <w:rFonts w:ascii="Calibri" w:hAnsi="Calibri" w:cs="Calibri"/>
          <w:sz w:val="22"/>
          <w:szCs w:val="22"/>
        </w:rPr>
        <w:t xml:space="preserve"> of its normal Winter 2020/2021 schedule. The Group now believes it will operate approximately 40% of its Winter 2020/2021 schedule.</w:t>
      </w:r>
    </w:p>
    <w:p w14:paraId="00F412F0" w14:textId="77777777" w:rsidR="00E60FD3" w:rsidRDefault="00E60FD3" w:rsidP="00010891">
      <w:pPr>
        <w:tabs>
          <w:tab w:val="num" w:pos="0"/>
        </w:tabs>
        <w:spacing w:line="300" w:lineRule="exact"/>
        <w:jc w:val="both"/>
        <w:rPr>
          <w:rFonts w:ascii="Calibri" w:hAnsi="Calibri" w:cs="Calibri"/>
          <w:sz w:val="22"/>
          <w:szCs w:val="22"/>
        </w:rPr>
      </w:pPr>
    </w:p>
    <w:p w14:paraId="1BFCCBD4" w14:textId="2A2B130E" w:rsidR="00010891" w:rsidRDefault="00C41099" w:rsidP="005D479E">
      <w:pPr>
        <w:tabs>
          <w:tab w:val="num" w:pos="0"/>
        </w:tabs>
        <w:spacing w:line="300" w:lineRule="exact"/>
        <w:jc w:val="both"/>
        <w:rPr>
          <w:rFonts w:ascii="Calibri" w:hAnsi="Calibri" w:cs="Calibri"/>
          <w:sz w:val="22"/>
          <w:szCs w:val="22"/>
        </w:rPr>
      </w:pPr>
      <w:r>
        <w:rPr>
          <w:rFonts w:ascii="Calibri" w:hAnsi="Calibri" w:cs="Calibri"/>
          <w:sz w:val="22"/>
          <w:szCs w:val="22"/>
        </w:rPr>
        <w:t>In respect of foreign currency hedge effectiveness for future aircraft purchases, there is a high degree of judgement involved in assessing whether the future aircraft payments are still considered highly probable of occurring, and the timing of these future payments for aircraft. The timing of future payments for aircraft is dependent on the aircraft manufacturer’s ability to meet forecast aircraft delivery schedules.</w:t>
      </w:r>
    </w:p>
    <w:p w14:paraId="585BE675" w14:textId="58A4FC41" w:rsidR="00E60FD3" w:rsidRDefault="00E60FD3" w:rsidP="00C41099">
      <w:pPr>
        <w:jc w:val="both"/>
        <w:rPr>
          <w:rFonts w:ascii="Calibri" w:hAnsi="Calibri" w:cs="Calibri"/>
          <w:sz w:val="22"/>
          <w:szCs w:val="22"/>
        </w:rPr>
      </w:pPr>
    </w:p>
    <w:p w14:paraId="4C6E3D14" w14:textId="3C29FE95" w:rsidR="00E60FD3" w:rsidRDefault="00E60FD3" w:rsidP="00C41099">
      <w:pPr>
        <w:jc w:val="both"/>
        <w:rPr>
          <w:rFonts w:ascii="Calibri" w:hAnsi="Calibri" w:cs="Calibri"/>
          <w:sz w:val="22"/>
          <w:szCs w:val="22"/>
        </w:rPr>
      </w:pPr>
      <w:r w:rsidRPr="000B38A8">
        <w:rPr>
          <w:rFonts w:ascii="Calibri" w:hAnsi="Calibri" w:cs="Calibri"/>
          <w:sz w:val="22"/>
          <w:szCs w:val="22"/>
        </w:rPr>
        <w:t>The Boeing 737-MAX was grounded in 2019, Boeing are currently working with the FAA and EASA regarding a return to service. At March 31, 2020 the aircraft was expected to return to service in the United States in the third quarter of 2020, the current expectation is that the aircraft will return to service in the United States in the fourth quarter of 2020 with a return to service in Europe a number of months thereafter.</w:t>
      </w:r>
    </w:p>
    <w:p w14:paraId="4C243924" w14:textId="77777777" w:rsidR="00010891" w:rsidRDefault="00010891" w:rsidP="00010891">
      <w:pPr>
        <w:tabs>
          <w:tab w:val="num" w:pos="0"/>
        </w:tabs>
        <w:spacing w:line="300" w:lineRule="exact"/>
        <w:jc w:val="both"/>
        <w:rPr>
          <w:rFonts w:ascii="Calibri" w:hAnsi="Calibri" w:cs="Calibri"/>
          <w:sz w:val="22"/>
          <w:szCs w:val="22"/>
        </w:rPr>
      </w:pPr>
    </w:p>
    <w:p w14:paraId="24B0EB9A" w14:textId="77777777" w:rsidR="00010891" w:rsidRDefault="00010891" w:rsidP="005C13A2">
      <w:pPr>
        <w:pStyle w:val="Outline3L1"/>
        <w:numPr>
          <w:ilvl w:val="0"/>
          <w:numId w:val="49"/>
        </w:numPr>
        <w:tabs>
          <w:tab w:val="clear" w:pos="720"/>
          <w:tab w:val="num" w:pos="709"/>
        </w:tabs>
        <w:spacing w:line="300" w:lineRule="exact"/>
        <w:rPr>
          <w:rFonts w:ascii="Calibri" w:hAnsi="Calibri" w:cs="Calibri"/>
          <w:b/>
          <w:bCs/>
          <w:sz w:val="22"/>
          <w:szCs w:val="22"/>
        </w:rPr>
      </w:pPr>
      <w:r>
        <w:rPr>
          <w:rFonts w:ascii="Calibri" w:hAnsi="Calibri" w:cs="Calibri"/>
          <w:b/>
          <w:bCs/>
          <w:sz w:val="22"/>
          <w:szCs w:val="22"/>
        </w:rPr>
        <w:t>Seasonality of operations</w:t>
      </w:r>
    </w:p>
    <w:p w14:paraId="324B3E66" w14:textId="28E55A90" w:rsidR="00010891" w:rsidRDefault="00C41099" w:rsidP="00010891">
      <w:pPr>
        <w:keepNext/>
        <w:tabs>
          <w:tab w:val="num" w:pos="0"/>
        </w:tabs>
        <w:spacing w:line="300" w:lineRule="exact"/>
        <w:jc w:val="both"/>
        <w:rPr>
          <w:rFonts w:ascii="Calibri" w:hAnsi="Calibri" w:cs="Calibri"/>
          <w:sz w:val="22"/>
          <w:szCs w:val="22"/>
        </w:rPr>
      </w:pPr>
      <w:r>
        <w:rPr>
          <w:rFonts w:ascii="Calibri" w:hAnsi="Calibri" w:cs="Calibri"/>
          <w:sz w:val="22"/>
          <w:szCs w:val="22"/>
        </w:rPr>
        <w:t>The Group’s results of operations have varied significantly from quarter to quarter, and management expects these variations to continue.  Among the factors causing these variations are the airline industry’s sensitivity to general economic conditions and the seasonal nature of air travel. Accordingly, the first half-year has traditionally resulted in higher revenues and results</w:t>
      </w:r>
      <w:r w:rsidR="00010891">
        <w:rPr>
          <w:rFonts w:ascii="Calibri" w:hAnsi="Calibri" w:cs="Calibri"/>
          <w:sz w:val="22"/>
          <w:szCs w:val="22"/>
        </w:rPr>
        <w:t>.</w:t>
      </w:r>
    </w:p>
    <w:p w14:paraId="0BA5A587" w14:textId="77777777" w:rsidR="00010891" w:rsidRDefault="00010891" w:rsidP="00010891">
      <w:pPr>
        <w:widowControl w:val="0"/>
        <w:tabs>
          <w:tab w:val="num" w:pos="0"/>
        </w:tabs>
        <w:spacing w:line="300" w:lineRule="exact"/>
        <w:jc w:val="both"/>
        <w:rPr>
          <w:rFonts w:ascii="Calibri" w:hAnsi="Calibri" w:cs="Calibri"/>
          <w:sz w:val="22"/>
          <w:szCs w:val="22"/>
        </w:rPr>
      </w:pPr>
    </w:p>
    <w:p w14:paraId="6CCBD0AE" w14:textId="77777777" w:rsidR="00010891" w:rsidRDefault="00010891" w:rsidP="005C13A2">
      <w:pPr>
        <w:pStyle w:val="Outline3L1"/>
        <w:keepNext w:val="0"/>
        <w:numPr>
          <w:ilvl w:val="0"/>
          <w:numId w:val="49"/>
        </w:numPr>
        <w:tabs>
          <w:tab w:val="clear" w:pos="720"/>
          <w:tab w:val="num" w:pos="709"/>
          <w:tab w:val="num" w:pos="1855"/>
        </w:tabs>
        <w:spacing w:line="300" w:lineRule="exact"/>
        <w:rPr>
          <w:rFonts w:ascii="Calibri" w:hAnsi="Calibri" w:cs="Calibri"/>
          <w:b/>
          <w:bCs/>
          <w:sz w:val="22"/>
          <w:szCs w:val="22"/>
        </w:rPr>
      </w:pPr>
      <w:bookmarkStart w:id="9" w:name="_Hlk526950167"/>
      <w:r>
        <w:rPr>
          <w:rFonts w:ascii="Calibri" w:hAnsi="Calibri" w:cs="Calibri"/>
          <w:b/>
          <w:bCs/>
          <w:sz w:val="22"/>
          <w:szCs w:val="22"/>
        </w:rPr>
        <w:t>Income tax expense</w:t>
      </w:r>
    </w:p>
    <w:p w14:paraId="62119C98" w14:textId="1D2B7BF3" w:rsidR="00010891" w:rsidRDefault="00C41099" w:rsidP="00010891">
      <w:pPr>
        <w:pStyle w:val="Outline3L1"/>
        <w:keepNext w:val="0"/>
        <w:numPr>
          <w:ilvl w:val="0"/>
          <w:numId w:val="0"/>
        </w:numPr>
        <w:tabs>
          <w:tab w:val="num" w:pos="0"/>
        </w:tabs>
        <w:spacing w:after="0" w:line="300" w:lineRule="exact"/>
        <w:jc w:val="both"/>
        <w:rPr>
          <w:rFonts w:ascii="Calibri" w:hAnsi="Calibri" w:cs="Calibri"/>
          <w:sz w:val="22"/>
          <w:szCs w:val="22"/>
        </w:rPr>
      </w:pPr>
      <w:r>
        <w:rPr>
          <w:rFonts w:ascii="Calibri" w:hAnsi="Calibri" w:cs="Calibri"/>
          <w:sz w:val="22"/>
          <w:szCs w:val="22"/>
        </w:rPr>
        <w:lastRenderedPageBreak/>
        <w:t>The Group’s consolidated effective tax rate in respect of operations for the half-year ended September 30, 2020 was 5.0% (September 30, 2019: 8.5%).  The tax credit for the half-year ended September 30, 2020 of €21.8M (tax charge September 30, 2019: €106.8M) comprises a current tax charge of €9.5M</w:t>
      </w:r>
      <w:r w:rsidR="00AD4E99">
        <w:rPr>
          <w:rFonts w:ascii="Calibri" w:hAnsi="Calibri" w:cs="Calibri"/>
          <w:sz w:val="22"/>
          <w:szCs w:val="22"/>
        </w:rPr>
        <w:t xml:space="preserve"> and</w:t>
      </w:r>
      <w:r>
        <w:rPr>
          <w:rFonts w:ascii="Calibri" w:hAnsi="Calibri" w:cs="Calibri"/>
          <w:sz w:val="22"/>
          <w:szCs w:val="22"/>
        </w:rPr>
        <w:t>, a deferred tax credit of €31.3M primarily relating to the temporary differences for property, plant and equipment and net operating losses</w:t>
      </w:r>
      <w:r w:rsidR="00010891">
        <w:rPr>
          <w:rFonts w:ascii="Calibri" w:hAnsi="Calibri" w:cs="Calibri"/>
          <w:sz w:val="22"/>
          <w:szCs w:val="22"/>
        </w:rPr>
        <w:t xml:space="preserve">. </w:t>
      </w:r>
    </w:p>
    <w:bookmarkEnd w:id="9"/>
    <w:p w14:paraId="58B156F2" w14:textId="77777777" w:rsidR="00010891" w:rsidRDefault="00010891" w:rsidP="00010891">
      <w:pPr>
        <w:rPr>
          <w:lang w:val="en-US"/>
        </w:rPr>
      </w:pPr>
    </w:p>
    <w:p w14:paraId="2661790D" w14:textId="77777777" w:rsidR="00010891" w:rsidRDefault="00010891" w:rsidP="005C13A2">
      <w:pPr>
        <w:pStyle w:val="Outline3L1"/>
        <w:numPr>
          <w:ilvl w:val="0"/>
          <w:numId w:val="49"/>
        </w:numPr>
        <w:tabs>
          <w:tab w:val="clear" w:pos="720"/>
          <w:tab w:val="num" w:pos="709"/>
          <w:tab w:val="num" w:pos="1855"/>
        </w:tabs>
        <w:spacing w:line="300" w:lineRule="exact"/>
        <w:rPr>
          <w:rFonts w:ascii="Calibri" w:hAnsi="Calibri" w:cs="Calibri"/>
          <w:b/>
          <w:bCs/>
          <w:sz w:val="22"/>
          <w:szCs w:val="22"/>
        </w:rPr>
      </w:pPr>
      <w:r>
        <w:rPr>
          <w:rFonts w:ascii="Calibri" w:hAnsi="Calibri" w:cs="Calibri"/>
          <w:b/>
          <w:bCs/>
          <w:sz w:val="22"/>
          <w:szCs w:val="22"/>
        </w:rPr>
        <w:t>Share based payments</w:t>
      </w:r>
    </w:p>
    <w:p w14:paraId="046DBA39" w14:textId="619A41E4" w:rsidR="00010891" w:rsidRDefault="00C127CD" w:rsidP="00010891">
      <w:pPr>
        <w:tabs>
          <w:tab w:val="num" w:pos="0"/>
        </w:tabs>
        <w:spacing w:line="300" w:lineRule="exact"/>
        <w:jc w:val="both"/>
        <w:rPr>
          <w:rFonts w:ascii="Calibri" w:hAnsi="Calibri" w:cs="Calibri"/>
          <w:sz w:val="22"/>
          <w:szCs w:val="22"/>
        </w:rPr>
      </w:pPr>
      <w:r>
        <w:rPr>
          <w:rFonts w:ascii="Calibri" w:hAnsi="Calibri" w:cs="Calibri"/>
          <w:sz w:val="22"/>
          <w:szCs w:val="22"/>
        </w:rPr>
        <w:t>The terms and conditions of the Group’s share based remuneration programmes are disclosed in the most recent, published, consolidated financial statements. The charge of €2.1M in the half-year ended September 30, 2020 (September 30, 2019: €4.0M) is the fair value of options granted in prior periods, which is being recognised within the income statement in accordance with employee services rendered</w:t>
      </w:r>
      <w:r w:rsidR="00010891">
        <w:rPr>
          <w:rFonts w:ascii="Calibri" w:hAnsi="Calibri" w:cs="Calibri"/>
          <w:sz w:val="22"/>
          <w:szCs w:val="22"/>
        </w:rPr>
        <w:t xml:space="preserve">. </w:t>
      </w:r>
    </w:p>
    <w:p w14:paraId="008DCFAA" w14:textId="77777777" w:rsidR="00010891" w:rsidRDefault="00010891" w:rsidP="00010891">
      <w:pPr>
        <w:tabs>
          <w:tab w:val="num" w:pos="0"/>
        </w:tabs>
        <w:spacing w:line="300" w:lineRule="exact"/>
        <w:jc w:val="both"/>
        <w:rPr>
          <w:rFonts w:ascii="Calibri" w:hAnsi="Calibri" w:cs="Calibri"/>
          <w:sz w:val="22"/>
          <w:szCs w:val="22"/>
        </w:rPr>
      </w:pPr>
    </w:p>
    <w:p w14:paraId="5B644DA6" w14:textId="77777777" w:rsidR="00010891" w:rsidRDefault="00010891" w:rsidP="005C13A2">
      <w:pPr>
        <w:pStyle w:val="Outline3L1"/>
        <w:numPr>
          <w:ilvl w:val="0"/>
          <w:numId w:val="49"/>
        </w:numPr>
        <w:tabs>
          <w:tab w:val="clear" w:pos="720"/>
          <w:tab w:val="num" w:pos="709"/>
          <w:tab w:val="num" w:pos="1855"/>
        </w:tabs>
        <w:spacing w:line="300" w:lineRule="exact"/>
        <w:rPr>
          <w:rFonts w:ascii="Calibri" w:hAnsi="Calibri" w:cs="Calibri"/>
          <w:b/>
          <w:bCs/>
          <w:sz w:val="22"/>
          <w:szCs w:val="22"/>
        </w:rPr>
      </w:pPr>
      <w:r>
        <w:rPr>
          <w:rFonts w:ascii="Calibri" w:hAnsi="Calibri" w:cs="Calibri"/>
          <w:b/>
          <w:bCs/>
          <w:sz w:val="22"/>
          <w:szCs w:val="22"/>
        </w:rPr>
        <w:t>Contingencies</w:t>
      </w:r>
    </w:p>
    <w:p w14:paraId="3203CF8B" w14:textId="53B8CA9B" w:rsidR="00010891" w:rsidRDefault="004523FC" w:rsidP="00010891">
      <w:pPr>
        <w:tabs>
          <w:tab w:val="num" w:pos="0"/>
        </w:tabs>
        <w:spacing w:line="300" w:lineRule="exact"/>
        <w:jc w:val="both"/>
        <w:rPr>
          <w:rFonts w:ascii="Calibri" w:hAnsi="Calibri" w:cs="Calibri"/>
          <w:sz w:val="22"/>
          <w:szCs w:val="22"/>
        </w:rPr>
      </w:pPr>
      <w:r>
        <w:rPr>
          <w:rFonts w:ascii="Calibri" w:hAnsi="Calibri" w:cs="Calibri"/>
          <w:sz w:val="22"/>
          <w:szCs w:val="22"/>
        </w:rPr>
        <w:t>The Group is engaged in litigation arising in the ordinary course of its business.  The Group does not believe that any such litigation will individually, or in aggregate, have a material adverse effect on the financial condition of the Group. Should the Group be unsuccessful in these litigation actions, management believes the possible liabilities then arising cannot be determined but are not expected to materially adversely affect the Group’s results of operations or financial position</w:t>
      </w:r>
      <w:r w:rsidR="00010891">
        <w:rPr>
          <w:rFonts w:ascii="Calibri" w:hAnsi="Calibri" w:cs="Calibri"/>
          <w:sz w:val="22"/>
          <w:szCs w:val="22"/>
        </w:rPr>
        <w:t>.</w:t>
      </w:r>
    </w:p>
    <w:p w14:paraId="573DDE90" w14:textId="77777777" w:rsidR="00010891" w:rsidRDefault="00010891" w:rsidP="005C13A2">
      <w:pPr>
        <w:pStyle w:val="Outline3L1"/>
        <w:numPr>
          <w:ilvl w:val="0"/>
          <w:numId w:val="49"/>
        </w:numPr>
        <w:tabs>
          <w:tab w:val="clear" w:pos="720"/>
          <w:tab w:val="num" w:pos="709"/>
          <w:tab w:val="num" w:pos="1855"/>
        </w:tabs>
        <w:spacing w:before="240" w:line="300" w:lineRule="exact"/>
        <w:rPr>
          <w:rFonts w:ascii="Calibri" w:hAnsi="Calibri" w:cs="Calibri"/>
          <w:b/>
          <w:bCs/>
          <w:sz w:val="22"/>
          <w:szCs w:val="22"/>
        </w:rPr>
      </w:pPr>
      <w:r>
        <w:rPr>
          <w:rFonts w:ascii="Calibri" w:hAnsi="Calibri" w:cs="Calibri"/>
          <w:b/>
          <w:bCs/>
          <w:sz w:val="22"/>
          <w:szCs w:val="22"/>
        </w:rPr>
        <w:t>Capital commitments</w:t>
      </w:r>
    </w:p>
    <w:p w14:paraId="7B9016B2" w14:textId="65A88E95" w:rsidR="00010891" w:rsidRDefault="004523FC" w:rsidP="00010891">
      <w:pPr>
        <w:pStyle w:val="Outline3L1"/>
        <w:numPr>
          <w:ilvl w:val="0"/>
          <w:numId w:val="0"/>
        </w:numPr>
        <w:tabs>
          <w:tab w:val="num" w:pos="0"/>
        </w:tabs>
        <w:spacing w:after="120" w:line="300" w:lineRule="exact"/>
        <w:jc w:val="both"/>
        <w:rPr>
          <w:rFonts w:ascii="Calibri" w:hAnsi="Calibri" w:cs="Calibri"/>
          <w:sz w:val="22"/>
          <w:szCs w:val="22"/>
        </w:rPr>
      </w:pPr>
      <w:r>
        <w:rPr>
          <w:rFonts w:ascii="Calibri" w:hAnsi="Calibri" w:cs="Calibri"/>
          <w:sz w:val="22"/>
          <w:szCs w:val="22"/>
        </w:rPr>
        <w:t>At September 30, 2020 the Group had an operating fleet of 438 (2019: 455) Boeing 737 and 28 (2019: 21) Airbus A320 aircraft. The Group has agreed to purchase up to 210 (135 firm and 75 options) Boeing 737-MAX-200 aircraft from the Boeing Corporation which will deliver (subject to EASA &amp; FAA regulatory approval) over the next five or more years</w:t>
      </w:r>
      <w:r w:rsidR="00010891">
        <w:rPr>
          <w:rFonts w:ascii="Calibri" w:hAnsi="Calibri" w:cs="Calibri"/>
          <w:sz w:val="22"/>
          <w:szCs w:val="22"/>
        </w:rPr>
        <w:t>.</w:t>
      </w:r>
    </w:p>
    <w:p w14:paraId="61C3A971" w14:textId="77777777" w:rsidR="00010891" w:rsidRDefault="00010891" w:rsidP="00010891">
      <w:pPr>
        <w:rPr>
          <w:lang w:val="en-US"/>
        </w:rPr>
      </w:pPr>
    </w:p>
    <w:p w14:paraId="2A483AC7" w14:textId="6695DA1E" w:rsidR="00010891" w:rsidRPr="004523FC" w:rsidRDefault="004523FC" w:rsidP="004523FC">
      <w:pPr>
        <w:pStyle w:val="Outline3L1"/>
        <w:keepNext w:val="0"/>
        <w:numPr>
          <w:ilvl w:val="0"/>
          <w:numId w:val="49"/>
        </w:numPr>
        <w:tabs>
          <w:tab w:val="num" w:pos="1855"/>
        </w:tabs>
        <w:spacing w:line="300" w:lineRule="exact"/>
        <w:rPr>
          <w:rFonts w:ascii="Calibri" w:hAnsi="Calibri" w:cs="Calibri"/>
          <w:b/>
          <w:sz w:val="22"/>
          <w:szCs w:val="22"/>
        </w:rPr>
      </w:pPr>
      <w:r>
        <w:rPr>
          <w:rFonts w:ascii="Calibri" w:hAnsi="Calibri" w:cs="Calibri"/>
          <w:b/>
          <w:sz w:val="22"/>
          <w:szCs w:val="22"/>
        </w:rPr>
        <w:t>Analysis of operating revenues and segmental analysis</w:t>
      </w:r>
    </w:p>
    <w:p w14:paraId="3003BF42" w14:textId="77777777" w:rsidR="00010891" w:rsidRDefault="00010891" w:rsidP="00010891">
      <w:pPr>
        <w:pStyle w:val="Outline3L1"/>
        <w:numPr>
          <w:ilvl w:val="0"/>
          <w:numId w:val="0"/>
        </w:numPr>
        <w:tabs>
          <w:tab w:val="num" w:pos="0"/>
        </w:tabs>
        <w:spacing w:after="0" w:line="300" w:lineRule="exact"/>
        <w:jc w:val="both"/>
        <w:rPr>
          <w:rFonts w:ascii="Calibri" w:hAnsi="Calibri" w:cs="Calibri"/>
          <w:sz w:val="22"/>
          <w:szCs w:val="22"/>
        </w:rPr>
      </w:pPr>
      <w:r>
        <w:rPr>
          <w:rFonts w:ascii="Calibri" w:hAnsi="Calibri" w:cs="Calibri"/>
          <w:sz w:val="22"/>
          <w:szCs w:val="22"/>
        </w:rPr>
        <w:t xml:space="preserve">The Group determines and presents operating segments based on the information that internally is provided to the Group CEO, who is the Chief Operating Decision Maker (CODM).  </w:t>
      </w:r>
    </w:p>
    <w:p w14:paraId="1ACD0E16" w14:textId="77777777" w:rsidR="00010891" w:rsidRDefault="00010891" w:rsidP="00010891">
      <w:pPr>
        <w:rPr>
          <w:lang w:val="en-US"/>
        </w:rPr>
      </w:pPr>
    </w:p>
    <w:p w14:paraId="47A223EE" w14:textId="77777777" w:rsidR="00010891" w:rsidRDefault="00010891" w:rsidP="00010891">
      <w:pPr>
        <w:pStyle w:val="Outline3L1"/>
        <w:numPr>
          <w:ilvl w:val="0"/>
          <w:numId w:val="0"/>
        </w:numPr>
        <w:tabs>
          <w:tab w:val="num" w:pos="0"/>
        </w:tabs>
        <w:spacing w:after="0" w:line="300" w:lineRule="exact"/>
        <w:jc w:val="both"/>
        <w:rPr>
          <w:rFonts w:ascii="Calibri" w:hAnsi="Calibri" w:cs="Calibri"/>
          <w:sz w:val="22"/>
          <w:szCs w:val="22"/>
        </w:rPr>
      </w:pPr>
      <w:r>
        <w:rPr>
          <w:rFonts w:ascii="Calibri" w:hAnsi="Calibri" w:cs="Calibri"/>
          <w:sz w:val="22"/>
          <w:szCs w:val="22"/>
        </w:rPr>
        <w:lastRenderedPageBreak/>
        <w:t>The CODM assesses the performance of the business based on the profit/(loss) after tax of each airline for the reporting period. Resource allocation decisions for all airlines are based on airline performance for the relevant period, with the objective in making these resource allocation decisions being to optimize consolidated financial results.</w:t>
      </w:r>
    </w:p>
    <w:p w14:paraId="3249354F" w14:textId="77777777" w:rsidR="00010891" w:rsidRDefault="00010891" w:rsidP="00010891">
      <w:pPr>
        <w:rPr>
          <w:rFonts w:ascii="Calibri" w:hAnsi="Calibri" w:cs="Calibri"/>
          <w:sz w:val="22"/>
          <w:szCs w:val="22"/>
          <w:lang w:val="en-US"/>
        </w:rPr>
      </w:pPr>
    </w:p>
    <w:p w14:paraId="3D8ED4FE" w14:textId="77777777" w:rsidR="00010891" w:rsidRDefault="00010891" w:rsidP="00010891">
      <w:pPr>
        <w:rPr>
          <w:rFonts w:ascii="Calibri" w:hAnsi="Calibri" w:cs="Calibri"/>
          <w:sz w:val="22"/>
          <w:szCs w:val="22"/>
          <w:lang w:val="en-US"/>
        </w:rPr>
      </w:pPr>
      <w:r>
        <w:rPr>
          <w:rFonts w:ascii="Calibri" w:hAnsi="Calibri" w:cs="Calibri"/>
          <w:sz w:val="22"/>
          <w:szCs w:val="22"/>
          <w:lang w:val="en-US"/>
        </w:rPr>
        <w:t>Ryanair DAC (“Ryanair”) is a reportable segment for financial reporting purposes. Buzz, Lauda and Malta Air do not exceed the quantitative thresholds for reporting purposes and accordingly have been presented on an aggregate basis in the table below.</w:t>
      </w:r>
    </w:p>
    <w:p w14:paraId="2B8DDE14" w14:textId="77777777" w:rsidR="00010891" w:rsidRDefault="00010891" w:rsidP="00010891">
      <w:pPr>
        <w:rPr>
          <w:rFonts w:ascii="Calibri" w:hAnsi="Calibri" w:cs="Calibri"/>
          <w:sz w:val="22"/>
          <w:szCs w:val="22"/>
          <w:lang w:val="en-US"/>
        </w:rPr>
      </w:pPr>
    </w:p>
    <w:p w14:paraId="7C8D7BE1" w14:textId="0E7D3C1B" w:rsidR="00010891" w:rsidRDefault="00010891" w:rsidP="00010891">
      <w:pPr>
        <w:rPr>
          <w:rFonts w:ascii="Calibri" w:hAnsi="Calibri" w:cs="Calibri"/>
          <w:sz w:val="22"/>
          <w:szCs w:val="22"/>
          <w:lang w:val="en-US"/>
        </w:rPr>
      </w:pPr>
      <w:r>
        <w:rPr>
          <w:rFonts w:ascii="Calibri" w:hAnsi="Calibri" w:cs="Calibri"/>
          <w:sz w:val="22"/>
          <w:szCs w:val="22"/>
          <w:lang w:val="en-US"/>
        </w:rPr>
        <w:t>There are varying levels of integration between the operating segments. Inter-segment revenue is not material and thus not subject to separate disclosure.</w:t>
      </w:r>
    </w:p>
    <w:p w14:paraId="7577A103" w14:textId="77777777" w:rsidR="00010891" w:rsidRDefault="00010891" w:rsidP="00010891">
      <w:pPr>
        <w:rPr>
          <w:rFonts w:ascii="Calibri" w:hAnsi="Calibri" w:cs="Calibri"/>
          <w:sz w:val="22"/>
          <w:szCs w:val="22"/>
          <w:lang w:val="en-US"/>
        </w:rPr>
      </w:pPr>
    </w:p>
    <w:p w14:paraId="741946D2" w14:textId="7869DC4B" w:rsidR="00F90425" w:rsidRPr="00010891" w:rsidRDefault="00010891" w:rsidP="00BE4A5D">
      <w:pPr>
        <w:pStyle w:val="CG-Title-Center-Bold"/>
        <w:keepNext w:val="0"/>
        <w:tabs>
          <w:tab w:val="left" w:pos="-600"/>
          <w:tab w:val="left" w:pos="6120"/>
          <w:tab w:val="left" w:pos="6360"/>
          <w:tab w:val="left" w:pos="7800"/>
        </w:tabs>
        <w:spacing w:after="0"/>
        <w:ind w:left="-839" w:right="-595"/>
        <w:jc w:val="left"/>
        <w:rPr>
          <w:b w:val="0"/>
        </w:rPr>
      </w:pPr>
      <w:r w:rsidRPr="00010891">
        <w:rPr>
          <w:rFonts w:ascii="Calibri" w:hAnsi="Calibri" w:cs="Calibri"/>
          <w:b w:val="0"/>
          <w:bCs/>
          <w:color w:val="000000"/>
          <w:sz w:val="22"/>
          <w:szCs w:val="22"/>
        </w:rPr>
        <w:t>Reportable segment information is presented as follows:</w:t>
      </w:r>
    </w:p>
    <w:p w14:paraId="557D4378" w14:textId="23CB9F3E" w:rsidR="00A24B23" w:rsidRDefault="00A24B23" w:rsidP="00A24B23">
      <w:pPr>
        <w:pStyle w:val="Outline3L1"/>
        <w:keepNext w:val="0"/>
        <w:numPr>
          <w:ilvl w:val="0"/>
          <w:numId w:val="0"/>
        </w:numPr>
        <w:spacing w:after="0"/>
        <w:rPr>
          <w:rFonts w:ascii="Calibri" w:hAnsi="Calibri" w:cs="Calibri"/>
          <w:b/>
          <w:sz w:val="22"/>
          <w:szCs w:val="22"/>
        </w:rPr>
      </w:pPr>
    </w:p>
    <w:tbl>
      <w:tblPr>
        <w:tblW w:w="14601" w:type="dxa"/>
        <w:tblLook w:val="04A0" w:firstRow="1" w:lastRow="0" w:firstColumn="1" w:lastColumn="0" w:noHBand="0" w:noVBand="1"/>
      </w:tblPr>
      <w:tblGrid>
        <w:gridCol w:w="1735"/>
        <w:gridCol w:w="960"/>
        <w:gridCol w:w="1420"/>
        <w:gridCol w:w="960"/>
        <w:gridCol w:w="1480"/>
        <w:gridCol w:w="443"/>
        <w:gridCol w:w="1614"/>
        <w:gridCol w:w="443"/>
        <w:gridCol w:w="1480"/>
        <w:gridCol w:w="443"/>
        <w:gridCol w:w="1599"/>
        <w:gridCol w:w="443"/>
        <w:gridCol w:w="1581"/>
      </w:tblGrid>
      <w:tr w:rsidR="004F6A11" w:rsidRPr="004F6A11" w14:paraId="35FD82A1" w14:textId="77777777" w:rsidTr="004F6A11">
        <w:trPr>
          <w:trHeight w:val="300"/>
        </w:trPr>
        <w:tc>
          <w:tcPr>
            <w:tcW w:w="1743" w:type="dxa"/>
            <w:tcBorders>
              <w:top w:val="nil"/>
              <w:left w:val="nil"/>
              <w:bottom w:val="nil"/>
              <w:right w:val="nil"/>
            </w:tcBorders>
            <w:shd w:val="clear" w:color="auto" w:fill="auto"/>
            <w:vAlign w:val="center"/>
            <w:hideMark/>
          </w:tcPr>
          <w:p w14:paraId="2AD2D7B7" w14:textId="77777777" w:rsidR="004F6A11" w:rsidRPr="004F6A11" w:rsidRDefault="004F6A11" w:rsidP="004F6A11">
            <w:pPr>
              <w:rPr>
                <w:sz w:val="20"/>
                <w:szCs w:val="20"/>
                <w:lang w:eastAsia="en-IE"/>
              </w:rPr>
            </w:pPr>
          </w:p>
        </w:tc>
        <w:tc>
          <w:tcPr>
            <w:tcW w:w="960" w:type="dxa"/>
            <w:tcBorders>
              <w:top w:val="nil"/>
              <w:left w:val="nil"/>
              <w:bottom w:val="nil"/>
              <w:right w:val="nil"/>
            </w:tcBorders>
            <w:shd w:val="clear" w:color="auto" w:fill="auto"/>
            <w:noWrap/>
            <w:vAlign w:val="center"/>
            <w:hideMark/>
          </w:tcPr>
          <w:p w14:paraId="75AA52DB" w14:textId="77777777" w:rsidR="004F6A11" w:rsidRPr="004F6A11" w:rsidRDefault="004F6A11" w:rsidP="004F6A11">
            <w:pPr>
              <w:rPr>
                <w:sz w:val="20"/>
                <w:szCs w:val="20"/>
                <w:lang w:eastAsia="en-IE"/>
              </w:rPr>
            </w:pPr>
          </w:p>
        </w:tc>
        <w:tc>
          <w:tcPr>
            <w:tcW w:w="1420" w:type="dxa"/>
            <w:tcBorders>
              <w:top w:val="nil"/>
              <w:left w:val="nil"/>
              <w:bottom w:val="nil"/>
              <w:right w:val="nil"/>
            </w:tcBorders>
            <w:shd w:val="clear" w:color="000000" w:fill="FFFF00"/>
            <w:noWrap/>
            <w:vAlign w:val="center"/>
            <w:hideMark/>
          </w:tcPr>
          <w:p w14:paraId="2239916C"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960" w:type="dxa"/>
            <w:tcBorders>
              <w:top w:val="nil"/>
              <w:left w:val="nil"/>
              <w:bottom w:val="nil"/>
              <w:right w:val="nil"/>
            </w:tcBorders>
            <w:shd w:val="clear" w:color="000000" w:fill="FFFF00"/>
            <w:noWrap/>
            <w:vAlign w:val="center"/>
            <w:hideMark/>
          </w:tcPr>
          <w:p w14:paraId="158CAB70"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50999AF0"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441" w:type="dxa"/>
            <w:tcBorders>
              <w:top w:val="nil"/>
              <w:left w:val="nil"/>
              <w:bottom w:val="nil"/>
              <w:right w:val="nil"/>
            </w:tcBorders>
            <w:shd w:val="clear" w:color="000000" w:fill="FFFF00"/>
            <w:noWrap/>
            <w:vAlign w:val="center"/>
            <w:hideMark/>
          </w:tcPr>
          <w:p w14:paraId="2FD9CC52"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5180252D"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441" w:type="dxa"/>
            <w:tcBorders>
              <w:top w:val="nil"/>
              <w:left w:val="nil"/>
              <w:bottom w:val="nil"/>
              <w:right w:val="nil"/>
            </w:tcBorders>
            <w:shd w:val="clear" w:color="auto" w:fill="auto"/>
            <w:noWrap/>
            <w:vAlign w:val="center"/>
            <w:hideMark/>
          </w:tcPr>
          <w:p w14:paraId="3C1F22D0" w14:textId="77777777" w:rsidR="004F6A11" w:rsidRPr="004F6A11" w:rsidRDefault="004F6A11" w:rsidP="004F6A11">
            <w:pPr>
              <w:rPr>
                <w:rFonts w:ascii="Calibri" w:hAnsi="Calibri" w:cs="Calibri"/>
                <w:color w:val="000000"/>
                <w:sz w:val="20"/>
                <w:szCs w:val="20"/>
                <w:lang w:eastAsia="en-IE"/>
              </w:rPr>
            </w:pPr>
          </w:p>
        </w:tc>
        <w:tc>
          <w:tcPr>
            <w:tcW w:w="1480" w:type="dxa"/>
            <w:tcBorders>
              <w:top w:val="nil"/>
              <w:left w:val="nil"/>
              <w:bottom w:val="nil"/>
              <w:right w:val="nil"/>
            </w:tcBorders>
            <w:shd w:val="clear" w:color="auto" w:fill="auto"/>
            <w:noWrap/>
            <w:vAlign w:val="center"/>
            <w:hideMark/>
          </w:tcPr>
          <w:p w14:paraId="11875BE2" w14:textId="77777777" w:rsidR="004F6A11" w:rsidRPr="004F6A11" w:rsidRDefault="004F6A11" w:rsidP="004F6A11">
            <w:pPr>
              <w:rPr>
                <w:sz w:val="20"/>
                <w:szCs w:val="20"/>
                <w:lang w:eastAsia="en-IE"/>
              </w:rPr>
            </w:pPr>
          </w:p>
        </w:tc>
        <w:tc>
          <w:tcPr>
            <w:tcW w:w="441" w:type="dxa"/>
            <w:tcBorders>
              <w:top w:val="nil"/>
              <w:left w:val="nil"/>
              <w:bottom w:val="nil"/>
              <w:right w:val="nil"/>
            </w:tcBorders>
            <w:shd w:val="clear" w:color="auto" w:fill="auto"/>
            <w:noWrap/>
            <w:vAlign w:val="center"/>
            <w:hideMark/>
          </w:tcPr>
          <w:p w14:paraId="10DCAA2C" w14:textId="77777777" w:rsidR="004F6A11" w:rsidRPr="004F6A11" w:rsidRDefault="004F6A11" w:rsidP="004F6A11">
            <w:pPr>
              <w:rPr>
                <w:sz w:val="20"/>
                <w:szCs w:val="20"/>
                <w:lang w:eastAsia="en-IE"/>
              </w:rPr>
            </w:pPr>
          </w:p>
        </w:tc>
        <w:tc>
          <w:tcPr>
            <w:tcW w:w="1599" w:type="dxa"/>
            <w:tcBorders>
              <w:top w:val="nil"/>
              <w:left w:val="nil"/>
              <w:bottom w:val="nil"/>
              <w:right w:val="nil"/>
            </w:tcBorders>
            <w:shd w:val="clear" w:color="auto" w:fill="auto"/>
            <w:noWrap/>
            <w:vAlign w:val="center"/>
            <w:hideMark/>
          </w:tcPr>
          <w:p w14:paraId="7C790EE1" w14:textId="77777777" w:rsidR="004F6A11" w:rsidRPr="004F6A11" w:rsidRDefault="004F6A11" w:rsidP="004F6A11">
            <w:pPr>
              <w:rPr>
                <w:sz w:val="20"/>
                <w:szCs w:val="20"/>
                <w:lang w:eastAsia="en-IE"/>
              </w:rPr>
            </w:pPr>
          </w:p>
        </w:tc>
        <w:tc>
          <w:tcPr>
            <w:tcW w:w="441" w:type="dxa"/>
            <w:tcBorders>
              <w:top w:val="nil"/>
              <w:left w:val="nil"/>
              <w:bottom w:val="nil"/>
              <w:right w:val="nil"/>
            </w:tcBorders>
            <w:shd w:val="clear" w:color="auto" w:fill="auto"/>
            <w:noWrap/>
            <w:vAlign w:val="center"/>
            <w:hideMark/>
          </w:tcPr>
          <w:p w14:paraId="4B3CD715" w14:textId="77777777" w:rsidR="004F6A11" w:rsidRPr="004F6A11" w:rsidRDefault="004F6A11" w:rsidP="004F6A11">
            <w:pPr>
              <w:rPr>
                <w:sz w:val="20"/>
                <w:szCs w:val="20"/>
                <w:lang w:eastAsia="en-IE"/>
              </w:rPr>
            </w:pPr>
          </w:p>
        </w:tc>
        <w:tc>
          <w:tcPr>
            <w:tcW w:w="1581" w:type="dxa"/>
            <w:tcBorders>
              <w:top w:val="nil"/>
              <w:left w:val="nil"/>
              <w:bottom w:val="nil"/>
              <w:right w:val="nil"/>
            </w:tcBorders>
            <w:shd w:val="clear" w:color="auto" w:fill="auto"/>
            <w:noWrap/>
            <w:vAlign w:val="center"/>
            <w:hideMark/>
          </w:tcPr>
          <w:p w14:paraId="78141884" w14:textId="77777777" w:rsidR="004F6A11" w:rsidRPr="004F6A11" w:rsidRDefault="004F6A11" w:rsidP="004F6A11">
            <w:pPr>
              <w:rPr>
                <w:sz w:val="20"/>
                <w:szCs w:val="20"/>
                <w:lang w:eastAsia="en-IE"/>
              </w:rPr>
            </w:pPr>
          </w:p>
        </w:tc>
      </w:tr>
      <w:tr w:rsidR="004F6A11" w:rsidRPr="004F6A11" w14:paraId="5D6108BA" w14:textId="77777777" w:rsidTr="004F6A11">
        <w:trPr>
          <w:trHeight w:val="300"/>
        </w:trPr>
        <w:tc>
          <w:tcPr>
            <w:tcW w:w="1743" w:type="dxa"/>
            <w:tcBorders>
              <w:top w:val="nil"/>
              <w:left w:val="nil"/>
              <w:bottom w:val="nil"/>
              <w:right w:val="nil"/>
            </w:tcBorders>
            <w:shd w:val="clear" w:color="auto" w:fill="auto"/>
            <w:vAlign w:val="center"/>
            <w:hideMark/>
          </w:tcPr>
          <w:p w14:paraId="59892BEF" w14:textId="77777777" w:rsidR="004F6A11" w:rsidRPr="004F6A11" w:rsidRDefault="004F6A11" w:rsidP="004F6A11">
            <w:pPr>
              <w:rPr>
                <w:sz w:val="20"/>
                <w:szCs w:val="20"/>
                <w:lang w:eastAsia="en-IE"/>
              </w:rPr>
            </w:pPr>
          </w:p>
        </w:tc>
        <w:tc>
          <w:tcPr>
            <w:tcW w:w="960" w:type="dxa"/>
            <w:tcBorders>
              <w:top w:val="nil"/>
              <w:left w:val="nil"/>
              <w:bottom w:val="nil"/>
              <w:right w:val="nil"/>
            </w:tcBorders>
            <w:shd w:val="clear" w:color="auto" w:fill="auto"/>
            <w:noWrap/>
            <w:vAlign w:val="center"/>
            <w:hideMark/>
          </w:tcPr>
          <w:p w14:paraId="7E675AAB" w14:textId="77777777" w:rsidR="004F6A11" w:rsidRPr="004F6A11" w:rsidRDefault="004F6A11" w:rsidP="004F6A11">
            <w:pPr>
              <w:rPr>
                <w:sz w:val="20"/>
                <w:szCs w:val="20"/>
                <w:lang w:eastAsia="en-IE"/>
              </w:rPr>
            </w:pPr>
          </w:p>
        </w:tc>
        <w:tc>
          <w:tcPr>
            <w:tcW w:w="1420" w:type="dxa"/>
            <w:tcBorders>
              <w:top w:val="nil"/>
              <w:left w:val="nil"/>
              <w:bottom w:val="nil"/>
              <w:right w:val="nil"/>
            </w:tcBorders>
            <w:shd w:val="clear" w:color="000000" w:fill="FFFF00"/>
            <w:noWrap/>
            <w:vAlign w:val="center"/>
            <w:hideMark/>
          </w:tcPr>
          <w:p w14:paraId="5E0E5312"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Ryanair DAC</w:t>
            </w:r>
          </w:p>
        </w:tc>
        <w:tc>
          <w:tcPr>
            <w:tcW w:w="960" w:type="dxa"/>
            <w:tcBorders>
              <w:top w:val="nil"/>
              <w:left w:val="nil"/>
              <w:bottom w:val="nil"/>
              <w:right w:val="nil"/>
            </w:tcBorders>
            <w:shd w:val="clear" w:color="000000" w:fill="FFFF00"/>
            <w:noWrap/>
            <w:vAlign w:val="center"/>
            <w:hideMark/>
          </w:tcPr>
          <w:p w14:paraId="6695CA9B"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1B8A79D2"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Other</w:t>
            </w:r>
          </w:p>
        </w:tc>
        <w:tc>
          <w:tcPr>
            <w:tcW w:w="441" w:type="dxa"/>
            <w:tcBorders>
              <w:top w:val="nil"/>
              <w:left w:val="nil"/>
              <w:bottom w:val="nil"/>
              <w:right w:val="nil"/>
            </w:tcBorders>
            <w:shd w:val="clear" w:color="000000" w:fill="FFFF00"/>
            <w:noWrap/>
            <w:vAlign w:val="center"/>
            <w:hideMark/>
          </w:tcPr>
          <w:p w14:paraId="2A703B24"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2E99A35B"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Total</w:t>
            </w:r>
          </w:p>
        </w:tc>
        <w:tc>
          <w:tcPr>
            <w:tcW w:w="441" w:type="dxa"/>
            <w:tcBorders>
              <w:top w:val="nil"/>
              <w:left w:val="nil"/>
              <w:bottom w:val="nil"/>
              <w:right w:val="nil"/>
            </w:tcBorders>
            <w:shd w:val="clear" w:color="auto" w:fill="auto"/>
            <w:noWrap/>
            <w:vAlign w:val="center"/>
            <w:hideMark/>
          </w:tcPr>
          <w:p w14:paraId="571C9447"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nil"/>
              <w:right w:val="nil"/>
            </w:tcBorders>
            <w:shd w:val="clear" w:color="auto" w:fill="auto"/>
            <w:noWrap/>
            <w:vAlign w:val="center"/>
            <w:hideMark/>
          </w:tcPr>
          <w:p w14:paraId="7E7146CC"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Ryanair DAC</w:t>
            </w:r>
          </w:p>
        </w:tc>
        <w:tc>
          <w:tcPr>
            <w:tcW w:w="441" w:type="dxa"/>
            <w:tcBorders>
              <w:top w:val="nil"/>
              <w:left w:val="nil"/>
              <w:bottom w:val="nil"/>
              <w:right w:val="nil"/>
            </w:tcBorders>
            <w:shd w:val="clear" w:color="auto" w:fill="auto"/>
            <w:noWrap/>
            <w:vAlign w:val="center"/>
            <w:hideMark/>
          </w:tcPr>
          <w:p w14:paraId="5AB60C99" w14:textId="77777777" w:rsidR="004F6A11" w:rsidRPr="004F6A11" w:rsidRDefault="004F6A11" w:rsidP="004F6A11">
            <w:pPr>
              <w:jc w:val="right"/>
              <w:rPr>
                <w:rFonts w:ascii="Calibri" w:hAnsi="Calibri" w:cs="Calibri"/>
                <w:b/>
                <w:bCs/>
                <w:color w:val="000000"/>
                <w:sz w:val="20"/>
                <w:szCs w:val="20"/>
                <w:lang w:eastAsia="en-IE"/>
              </w:rPr>
            </w:pPr>
          </w:p>
        </w:tc>
        <w:tc>
          <w:tcPr>
            <w:tcW w:w="1599" w:type="dxa"/>
            <w:tcBorders>
              <w:top w:val="nil"/>
              <w:left w:val="nil"/>
              <w:bottom w:val="nil"/>
              <w:right w:val="nil"/>
            </w:tcBorders>
            <w:shd w:val="clear" w:color="auto" w:fill="auto"/>
            <w:noWrap/>
            <w:vAlign w:val="center"/>
            <w:hideMark/>
          </w:tcPr>
          <w:p w14:paraId="150E399A"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Other</w:t>
            </w:r>
          </w:p>
        </w:tc>
        <w:tc>
          <w:tcPr>
            <w:tcW w:w="441" w:type="dxa"/>
            <w:tcBorders>
              <w:top w:val="nil"/>
              <w:left w:val="nil"/>
              <w:bottom w:val="nil"/>
              <w:right w:val="nil"/>
            </w:tcBorders>
            <w:shd w:val="clear" w:color="auto" w:fill="auto"/>
            <w:noWrap/>
            <w:vAlign w:val="center"/>
            <w:hideMark/>
          </w:tcPr>
          <w:p w14:paraId="5DC491A0" w14:textId="77777777" w:rsidR="004F6A11" w:rsidRPr="004F6A11" w:rsidRDefault="004F6A11" w:rsidP="004F6A11">
            <w:pPr>
              <w:jc w:val="right"/>
              <w:rPr>
                <w:rFonts w:ascii="Calibri" w:hAnsi="Calibri" w:cs="Calibri"/>
                <w:b/>
                <w:bCs/>
                <w:color w:val="000000"/>
                <w:sz w:val="20"/>
                <w:szCs w:val="20"/>
                <w:lang w:eastAsia="en-IE"/>
              </w:rPr>
            </w:pPr>
          </w:p>
        </w:tc>
        <w:tc>
          <w:tcPr>
            <w:tcW w:w="1581" w:type="dxa"/>
            <w:tcBorders>
              <w:top w:val="nil"/>
              <w:left w:val="nil"/>
              <w:bottom w:val="nil"/>
              <w:right w:val="nil"/>
            </w:tcBorders>
            <w:shd w:val="clear" w:color="auto" w:fill="auto"/>
            <w:noWrap/>
            <w:vAlign w:val="center"/>
            <w:hideMark/>
          </w:tcPr>
          <w:p w14:paraId="5913884E"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Total</w:t>
            </w:r>
          </w:p>
        </w:tc>
      </w:tr>
      <w:tr w:rsidR="004F6A11" w:rsidRPr="004F6A11" w14:paraId="1A007007" w14:textId="77777777" w:rsidTr="004F6A11">
        <w:trPr>
          <w:trHeight w:val="300"/>
        </w:trPr>
        <w:tc>
          <w:tcPr>
            <w:tcW w:w="1743" w:type="dxa"/>
            <w:tcBorders>
              <w:top w:val="nil"/>
              <w:left w:val="nil"/>
              <w:bottom w:val="nil"/>
              <w:right w:val="nil"/>
            </w:tcBorders>
            <w:shd w:val="clear" w:color="auto" w:fill="auto"/>
            <w:vAlign w:val="center"/>
            <w:hideMark/>
          </w:tcPr>
          <w:p w14:paraId="6E98B317" w14:textId="77777777" w:rsidR="004F6A11" w:rsidRPr="004F6A11" w:rsidRDefault="004F6A11" w:rsidP="004F6A11">
            <w:pPr>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Half-year ended</w:t>
            </w:r>
          </w:p>
        </w:tc>
        <w:tc>
          <w:tcPr>
            <w:tcW w:w="960" w:type="dxa"/>
            <w:tcBorders>
              <w:top w:val="nil"/>
              <w:left w:val="nil"/>
              <w:bottom w:val="nil"/>
              <w:right w:val="nil"/>
            </w:tcBorders>
            <w:shd w:val="clear" w:color="auto" w:fill="auto"/>
            <w:noWrap/>
            <w:vAlign w:val="center"/>
            <w:hideMark/>
          </w:tcPr>
          <w:p w14:paraId="731B6C4B" w14:textId="77777777" w:rsidR="004F6A11" w:rsidRPr="004F6A11" w:rsidRDefault="004F6A11" w:rsidP="004F6A11">
            <w:pPr>
              <w:rPr>
                <w:rFonts w:ascii="Calibri" w:hAnsi="Calibri" w:cs="Calibri"/>
                <w:b/>
                <w:bCs/>
                <w:color w:val="000000"/>
                <w:sz w:val="20"/>
                <w:szCs w:val="20"/>
                <w:lang w:eastAsia="en-IE"/>
              </w:rPr>
            </w:pPr>
          </w:p>
        </w:tc>
        <w:tc>
          <w:tcPr>
            <w:tcW w:w="2380" w:type="dxa"/>
            <w:gridSpan w:val="2"/>
            <w:tcBorders>
              <w:top w:val="nil"/>
              <w:left w:val="nil"/>
              <w:bottom w:val="nil"/>
              <w:right w:val="nil"/>
            </w:tcBorders>
            <w:shd w:val="clear" w:color="000000" w:fill="FFFF00"/>
            <w:noWrap/>
            <w:vAlign w:val="center"/>
            <w:hideMark/>
          </w:tcPr>
          <w:p w14:paraId="7E166BA8" w14:textId="77777777" w:rsidR="004F6A11" w:rsidRPr="004F6A11" w:rsidRDefault="004F6A11" w:rsidP="004F6A11">
            <w:pPr>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Sep 30, 2020 </w:t>
            </w:r>
          </w:p>
        </w:tc>
        <w:tc>
          <w:tcPr>
            <w:tcW w:w="1921" w:type="dxa"/>
            <w:gridSpan w:val="2"/>
            <w:tcBorders>
              <w:top w:val="nil"/>
              <w:left w:val="nil"/>
              <w:bottom w:val="nil"/>
              <w:right w:val="nil"/>
            </w:tcBorders>
            <w:shd w:val="clear" w:color="000000" w:fill="FFFF00"/>
            <w:noWrap/>
            <w:vAlign w:val="center"/>
            <w:hideMark/>
          </w:tcPr>
          <w:p w14:paraId="3D2D1A52" w14:textId="77777777" w:rsidR="004F6A11" w:rsidRPr="004F6A11" w:rsidRDefault="004F6A11" w:rsidP="004F6A11">
            <w:pPr>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Sep 30, 2020 </w:t>
            </w:r>
          </w:p>
        </w:tc>
        <w:tc>
          <w:tcPr>
            <w:tcW w:w="1614" w:type="dxa"/>
            <w:tcBorders>
              <w:top w:val="nil"/>
              <w:left w:val="nil"/>
              <w:bottom w:val="nil"/>
              <w:right w:val="nil"/>
            </w:tcBorders>
            <w:shd w:val="clear" w:color="000000" w:fill="FFFF00"/>
            <w:noWrap/>
            <w:vAlign w:val="center"/>
            <w:hideMark/>
          </w:tcPr>
          <w:p w14:paraId="0657933C" w14:textId="77777777" w:rsidR="004F6A11" w:rsidRPr="004F6A11" w:rsidRDefault="004F6A11" w:rsidP="004F6A11">
            <w:pPr>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Sep 30, 2020 </w:t>
            </w:r>
          </w:p>
        </w:tc>
        <w:tc>
          <w:tcPr>
            <w:tcW w:w="441" w:type="dxa"/>
            <w:tcBorders>
              <w:top w:val="nil"/>
              <w:left w:val="nil"/>
              <w:bottom w:val="nil"/>
              <w:right w:val="nil"/>
            </w:tcBorders>
            <w:shd w:val="clear" w:color="auto" w:fill="auto"/>
            <w:noWrap/>
            <w:vAlign w:val="center"/>
            <w:hideMark/>
          </w:tcPr>
          <w:p w14:paraId="68B8174C" w14:textId="77777777" w:rsidR="004F6A11" w:rsidRPr="004F6A11" w:rsidRDefault="004F6A11" w:rsidP="004F6A11">
            <w:pPr>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921" w:type="dxa"/>
            <w:gridSpan w:val="2"/>
            <w:tcBorders>
              <w:top w:val="nil"/>
              <w:left w:val="nil"/>
              <w:bottom w:val="nil"/>
              <w:right w:val="nil"/>
            </w:tcBorders>
            <w:shd w:val="clear" w:color="auto" w:fill="auto"/>
            <w:noWrap/>
            <w:vAlign w:val="center"/>
            <w:hideMark/>
          </w:tcPr>
          <w:p w14:paraId="7962A8C8" w14:textId="77777777" w:rsidR="004F6A11" w:rsidRPr="004F6A11" w:rsidRDefault="004F6A11" w:rsidP="004F6A11">
            <w:pPr>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Sep 30, 2019 </w:t>
            </w:r>
          </w:p>
        </w:tc>
        <w:tc>
          <w:tcPr>
            <w:tcW w:w="1599" w:type="dxa"/>
            <w:tcBorders>
              <w:top w:val="nil"/>
              <w:left w:val="nil"/>
              <w:bottom w:val="nil"/>
              <w:right w:val="nil"/>
            </w:tcBorders>
            <w:shd w:val="clear" w:color="auto" w:fill="auto"/>
            <w:noWrap/>
            <w:vAlign w:val="center"/>
            <w:hideMark/>
          </w:tcPr>
          <w:p w14:paraId="58F1E941" w14:textId="77777777" w:rsidR="004F6A11" w:rsidRPr="004F6A11" w:rsidRDefault="004F6A11" w:rsidP="004F6A11">
            <w:pPr>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Sep 30, 2019</w:t>
            </w:r>
          </w:p>
        </w:tc>
        <w:tc>
          <w:tcPr>
            <w:tcW w:w="441" w:type="dxa"/>
            <w:tcBorders>
              <w:top w:val="nil"/>
              <w:left w:val="nil"/>
              <w:bottom w:val="nil"/>
              <w:right w:val="nil"/>
            </w:tcBorders>
            <w:shd w:val="clear" w:color="auto" w:fill="auto"/>
            <w:noWrap/>
            <w:vAlign w:val="center"/>
            <w:hideMark/>
          </w:tcPr>
          <w:p w14:paraId="538E5255" w14:textId="77777777" w:rsidR="004F6A11" w:rsidRPr="004F6A11" w:rsidRDefault="004F6A11" w:rsidP="004F6A11">
            <w:pPr>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581" w:type="dxa"/>
            <w:tcBorders>
              <w:top w:val="nil"/>
              <w:left w:val="nil"/>
              <w:bottom w:val="nil"/>
              <w:right w:val="nil"/>
            </w:tcBorders>
            <w:shd w:val="clear" w:color="auto" w:fill="auto"/>
            <w:noWrap/>
            <w:vAlign w:val="center"/>
            <w:hideMark/>
          </w:tcPr>
          <w:p w14:paraId="15F95A0D" w14:textId="77777777" w:rsidR="004F6A11" w:rsidRPr="004F6A11" w:rsidRDefault="004F6A11" w:rsidP="004F6A11">
            <w:pPr>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Sep 30, 2019</w:t>
            </w:r>
          </w:p>
        </w:tc>
      </w:tr>
      <w:tr w:rsidR="004F6A11" w:rsidRPr="004F6A11" w14:paraId="737C995B" w14:textId="77777777" w:rsidTr="004F6A11">
        <w:trPr>
          <w:trHeight w:val="300"/>
        </w:trPr>
        <w:tc>
          <w:tcPr>
            <w:tcW w:w="1743" w:type="dxa"/>
            <w:tcBorders>
              <w:top w:val="nil"/>
              <w:left w:val="nil"/>
              <w:bottom w:val="nil"/>
              <w:right w:val="nil"/>
            </w:tcBorders>
            <w:shd w:val="clear" w:color="auto" w:fill="auto"/>
            <w:vAlign w:val="center"/>
            <w:hideMark/>
          </w:tcPr>
          <w:p w14:paraId="1DD68513" w14:textId="77777777" w:rsidR="004F6A11" w:rsidRPr="004F6A11" w:rsidRDefault="004F6A11" w:rsidP="004F6A11">
            <w:pPr>
              <w:rPr>
                <w:rFonts w:ascii="Calibri" w:hAnsi="Calibri" w:cs="Calibri"/>
                <w:b/>
                <w:bCs/>
                <w:color w:val="000000"/>
                <w:sz w:val="20"/>
                <w:szCs w:val="20"/>
                <w:lang w:eastAsia="en-IE"/>
              </w:rPr>
            </w:pPr>
          </w:p>
        </w:tc>
        <w:tc>
          <w:tcPr>
            <w:tcW w:w="960" w:type="dxa"/>
            <w:tcBorders>
              <w:top w:val="nil"/>
              <w:left w:val="nil"/>
              <w:bottom w:val="nil"/>
              <w:right w:val="nil"/>
            </w:tcBorders>
            <w:shd w:val="clear" w:color="auto" w:fill="auto"/>
            <w:noWrap/>
            <w:vAlign w:val="bottom"/>
            <w:hideMark/>
          </w:tcPr>
          <w:p w14:paraId="49BBFD26" w14:textId="77777777" w:rsidR="004F6A11" w:rsidRPr="004F6A11" w:rsidRDefault="004F6A11" w:rsidP="004F6A11">
            <w:pPr>
              <w:rPr>
                <w:sz w:val="20"/>
                <w:szCs w:val="20"/>
                <w:lang w:eastAsia="en-IE"/>
              </w:rPr>
            </w:pPr>
          </w:p>
        </w:tc>
        <w:tc>
          <w:tcPr>
            <w:tcW w:w="1420" w:type="dxa"/>
            <w:tcBorders>
              <w:top w:val="nil"/>
              <w:left w:val="nil"/>
              <w:bottom w:val="nil"/>
              <w:right w:val="nil"/>
            </w:tcBorders>
            <w:shd w:val="clear" w:color="000000" w:fill="FFFF00"/>
            <w:noWrap/>
            <w:vAlign w:val="center"/>
            <w:hideMark/>
          </w:tcPr>
          <w:p w14:paraId="4BEB6D13"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c>
          <w:tcPr>
            <w:tcW w:w="960" w:type="dxa"/>
            <w:tcBorders>
              <w:top w:val="nil"/>
              <w:left w:val="nil"/>
              <w:bottom w:val="nil"/>
              <w:right w:val="nil"/>
            </w:tcBorders>
            <w:shd w:val="clear" w:color="000000" w:fill="FFFF00"/>
            <w:noWrap/>
            <w:vAlign w:val="center"/>
            <w:hideMark/>
          </w:tcPr>
          <w:p w14:paraId="21C45CAD"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05242C79"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c>
          <w:tcPr>
            <w:tcW w:w="441" w:type="dxa"/>
            <w:tcBorders>
              <w:top w:val="nil"/>
              <w:left w:val="nil"/>
              <w:bottom w:val="nil"/>
              <w:right w:val="nil"/>
            </w:tcBorders>
            <w:shd w:val="clear" w:color="000000" w:fill="FFFF00"/>
            <w:noWrap/>
            <w:vAlign w:val="center"/>
            <w:hideMark/>
          </w:tcPr>
          <w:p w14:paraId="57CAC658"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1927F424"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c>
          <w:tcPr>
            <w:tcW w:w="441" w:type="dxa"/>
            <w:tcBorders>
              <w:top w:val="nil"/>
              <w:left w:val="nil"/>
              <w:bottom w:val="nil"/>
              <w:right w:val="nil"/>
            </w:tcBorders>
            <w:shd w:val="clear" w:color="auto" w:fill="auto"/>
            <w:noWrap/>
            <w:vAlign w:val="center"/>
            <w:hideMark/>
          </w:tcPr>
          <w:p w14:paraId="2CCDB836"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480" w:type="dxa"/>
            <w:tcBorders>
              <w:top w:val="nil"/>
              <w:left w:val="nil"/>
              <w:bottom w:val="nil"/>
              <w:right w:val="nil"/>
            </w:tcBorders>
            <w:shd w:val="clear" w:color="auto" w:fill="auto"/>
            <w:noWrap/>
            <w:vAlign w:val="center"/>
            <w:hideMark/>
          </w:tcPr>
          <w:p w14:paraId="6B20ACC2"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c>
          <w:tcPr>
            <w:tcW w:w="441" w:type="dxa"/>
            <w:tcBorders>
              <w:top w:val="nil"/>
              <w:left w:val="nil"/>
              <w:bottom w:val="nil"/>
              <w:right w:val="nil"/>
            </w:tcBorders>
            <w:shd w:val="clear" w:color="auto" w:fill="auto"/>
            <w:noWrap/>
            <w:vAlign w:val="center"/>
            <w:hideMark/>
          </w:tcPr>
          <w:p w14:paraId="5F9070B5"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599" w:type="dxa"/>
            <w:tcBorders>
              <w:top w:val="nil"/>
              <w:left w:val="nil"/>
              <w:bottom w:val="nil"/>
              <w:right w:val="nil"/>
            </w:tcBorders>
            <w:shd w:val="clear" w:color="auto" w:fill="auto"/>
            <w:noWrap/>
            <w:vAlign w:val="center"/>
            <w:hideMark/>
          </w:tcPr>
          <w:p w14:paraId="4340AEB0"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c>
          <w:tcPr>
            <w:tcW w:w="441" w:type="dxa"/>
            <w:tcBorders>
              <w:top w:val="nil"/>
              <w:left w:val="nil"/>
              <w:bottom w:val="nil"/>
              <w:right w:val="nil"/>
            </w:tcBorders>
            <w:shd w:val="clear" w:color="auto" w:fill="auto"/>
            <w:noWrap/>
            <w:vAlign w:val="center"/>
            <w:hideMark/>
          </w:tcPr>
          <w:p w14:paraId="237A7519"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581" w:type="dxa"/>
            <w:tcBorders>
              <w:top w:val="nil"/>
              <w:left w:val="nil"/>
              <w:bottom w:val="nil"/>
              <w:right w:val="nil"/>
            </w:tcBorders>
            <w:shd w:val="clear" w:color="auto" w:fill="auto"/>
            <w:noWrap/>
            <w:vAlign w:val="center"/>
            <w:hideMark/>
          </w:tcPr>
          <w:p w14:paraId="2BEB0DC9"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r>
      <w:tr w:rsidR="004F6A11" w:rsidRPr="004F6A11" w14:paraId="337ED16F" w14:textId="77777777" w:rsidTr="004F6A11">
        <w:trPr>
          <w:trHeight w:val="315"/>
        </w:trPr>
        <w:tc>
          <w:tcPr>
            <w:tcW w:w="1743" w:type="dxa"/>
            <w:tcBorders>
              <w:top w:val="nil"/>
              <w:left w:val="nil"/>
              <w:bottom w:val="nil"/>
              <w:right w:val="nil"/>
            </w:tcBorders>
            <w:shd w:val="clear" w:color="auto" w:fill="auto"/>
            <w:vAlign w:val="center"/>
            <w:hideMark/>
          </w:tcPr>
          <w:p w14:paraId="0E1420E3" w14:textId="77777777" w:rsidR="004F6A11" w:rsidRPr="004F6A11" w:rsidRDefault="004F6A11" w:rsidP="004F6A11">
            <w:pPr>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Segment revenue</w:t>
            </w:r>
          </w:p>
        </w:tc>
        <w:tc>
          <w:tcPr>
            <w:tcW w:w="960" w:type="dxa"/>
            <w:tcBorders>
              <w:top w:val="nil"/>
              <w:left w:val="nil"/>
              <w:bottom w:val="nil"/>
              <w:right w:val="nil"/>
            </w:tcBorders>
            <w:shd w:val="clear" w:color="auto" w:fill="auto"/>
            <w:noWrap/>
            <w:vAlign w:val="center"/>
            <w:hideMark/>
          </w:tcPr>
          <w:p w14:paraId="353E5C70" w14:textId="77777777" w:rsidR="004F6A11" w:rsidRPr="004F6A11" w:rsidRDefault="004F6A11" w:rsidP="004F6A11">
            <w:pPr>
              <w:rPr>
                <w:rFonts w:ascii="Calibri" w:hAnsi="Calibri" w:cs="Calibri"/>
                <w:b/>
                <w:bCs/>
                <w:color w:val="000000"/>
                <w:sz w:val="20"/>
                <w:szCs w:val="20"/>
                <w:lang w:eastAsia="en-IE"/>
              </w:rPr>
            </w:pPr>
          </w:p>
        </w:tc>
        <w:tc>
          <w:tcPr>
            <w:tcW w:w="1420" w:type="dxa"/>
            <w:tcBorders>
              <w:top w:val="nil"/>
              <w:left w:val="nil"/>
              <w:bottom w:val="single" w:sz="8" w:space="0" w:color="000000"/>
              <w:right w:val="nil"/>
            </w:tcBorders>
            <w:shd w:val="clear" w:color="000000" w:fill="FFFF00"/>
            <w:noWrap/>
            <w:vAlign w:val="center"/>
            <w:hideMark/>
          </w:tcPr>
          <w:p w14:paraId="346D0277"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1,160.6 </w:t>
            </w:r>
          </w:p>
        </w:tc>
        <w:tc>
          <w:tcPr>
            <w:tcW w:w="960" w:type="dxa"/>
            <w:tcBorders>
              <w:top w:val="nil"/>
              <w:left w:val="nil"/>
              <w:bottom w:val="nil"/>
              <w:right w:val="nil"/>
            </w:tcBorders>
            <w:shd w:val="clear" w:color="000000" w:fill="FFFF00"/>
            <w:noWrap/>
            <w:vAlign w:val="bottom"/>
            <w:hideMark/>
          </w:tcPr>
          <w:p w14:paraId="55045789"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1480" w:type="dxa"/>
            <w:tcBorders>
              <w:top w:val="nil"/>
              <w:left w:val="nil"/>
              <w:bottom w:val="single" w:sz="8" w:space="0" w:color="000000"/>
              <w:right w:val="nil"/>
            </w:tcBorders>
            <w:shd w:val="clear" w:color="000000" w:fill="FFFF00"/>
            <w:noWrap/>
            <w:vAlign w:val="center"/>
            <w:hideMark/>
          </w:tcPr>
          <w:p w14:paraId="229F077A"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15.6 </w:t>
            </w:r>
          </w:p>
        </w:tc>
        <w:tc>
          <w:tcPr>
            <w:tcW w:w="441" w:type="dxa"/>
            <w:tcBorders>
              <w:top w:val="nil"/>
              <w:left w:val="nil"/>
              <w:bottom w:val="nil"/>
              <w:right w:val="nil"/>
            </w:tcBorders>
            <w:shd w:val="clear" w:color="000000" w:fill="FFFF00"/>
            <w:noWrap/>
            <w:vAlign w:val="bottom"/>
            <w:hideMark/>
          </w:tcPr>
          <w:p w14:paraId="49EE8B97"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1614" w:type="dxa"/>
            <w:tcBorders>
              <w:top w:val="nil"/>
              <w:left w:val="nil"/>
              <w:bottom w:val="single" w:sz="8" w:space="0" w:color="000000"/>
              <w:right w:val="nil"/>
            </w:tcBorders>
            <w:shd w:val="clear" w:color="000000" w:fill="FFFF00"/>
            <w:noWrap/>
            <w:vAlign w:val="center"/>
            <w:hideMark/>
          </w:tcPr>
          <w:p w14:paraId="5F6E0981"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1,176.2 </w:t>
            </w:r>
          </w:p>
        </w:tc>
        <w:tc>
          <w:tcPr>
            <w:tcW w:w="441" w:type="dxa"/>
            <w:tcBorders>
              <w:top w:val="nil"/>
              <w:left w:val="nil"/>
              <w:bottom w:val="nil"/>
              <w:right w:val="nil"/>
            </w:tcBorders>
            <w:shd w:val="clear" w:color="auto" w:fill="auto"/>
            <w:noWrap/>
            <w:vAlign w:val="bottom"/>
            <w:hideMark/>
          </w:tcPr>
          <w:p w14:paraId="1B6F780D"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single" w:sz="8" w:space="0" w:color="000000"/>
              <w:right w:val="nil"/>
            </w:tcBorders>
            <w:shd w:val="clear" w:color="auto" w:fill="auto"/>
            <w:noWrap/>
            <w:vAlign w:val="center"/>
            <w:hideMark/>
          </w:tcPr>
          <w:p w14:paraId="1E5D4A90"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5,149.0 </w:t>
            </w:r>
          </w:p>
        </w:tc>
        <w:tc>
          <w:tcPr>
            <w:tcW w:w="441" w:type="dxa"/>
            <w:tcBorders>
              <w:top w:val="nil"/>
              <w:left w:val="nil"/>
              <w:bottom w:val="nil"/>
              <w:right w:val="nil"/>
            </w:tcBorders>
            <w:shd w:val="clear" w:color="auto" w:fill="auto"/>
            <w:noWrap/>
            <w:vAlign w:val="bottom"/>
            <w:hideMark/>
          </w:tcPr>
          <w:p w14:paraId="7C0246DB" w14:textId="77777777" w:rsidR="004F6A11" w:rsidRPr="004F6A11" w:rsidRDefault="004F6A11" w:rsidP="004F6A11">
            <w:pPr>
              <w:jc w:val="right"/>
              <w:rPr>
                <w:rFonts w:ascii="Calibri" w:hAnsi="Calibri" w:cs="Calibri"/>
                <w:color w:val="000000"/>
                <w:sz w:val="20"/>
                <w:szCs w:val="20"/>
                <w:lang w:eastAsia="en-IE"/>
              </w:rPr>
            </w:pPr>
          </w:p>
        </w:tc>
        <w:tc>
          <w:tcPr>
            <w:tcW w:w="1599" w:type="dxa"/>
            <w:tcBorders>
              <w:top w:val="nil"/>
              <w:left w:val="nil"/>
              <w:bottom w:val="single" w:sz="8" w:space="0" w:color="000000"/>
              <w:right w:val="nil"/>
            </w:tcBorders>
            <w:shd w:val="clear" w:color="auto" w:fill="auto"/>
            <w:noWrap/>
            <w:vAlign w:val="center"/>
            <w:hideMark/>
          </w:tcPr>
          <w:p w14:paraId="7E6549DF"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240.6 </w:t>
            </w:r>
          </w:p>
        </w:tc>
        <w:tc>
          <w:tcPr>
            <w:tcW w:w="441" w:type="dxa"/>
            <w:tcBorders>
              <w:top w:val="nil"/>
              <w:left w:val="nil"/>
              <w:bottom w:val="nil"/>
              <w:right w:val="nil"/>
            </w:tcBorders>
            <w:shd w:val="clear" w:color="auto" w:fill="auto"/>
            <w:noWrap/>
            <w:vAlign w:val="bottom"/>
            <w:hideMark/>
          </w:tcPr>
          <w:p w14:paraId="0ECFFC35" w14:textId="77777777" w:rsidR="004F6A11" w:rsidRPr="004F6A11" w:rsidRDefault="004F6A11" w:rsidP="004F6A11">
            <w:pPr>
              <w:jc w:val="right"/>
              <w:rPr>
                <w:rFonts w:ascii="Calibri" w:hAnsi="Calibri" w:cs="Calibri"/>
                <w:color w:val="000000"/>
                <w:sz w:val="20"/>
                <w:szCs w:val="20"/>
                <w:lang w:eastAsia="en-IE"/>
              </w:rPr>
            </w:pPr>
          </w:p>
        </w:tc>
        <w:tc>
          <w:tcPr>
            <w:tcW w:w="1581" w:type="dxa"/>
            <w:tcBorders>
              <w:top w:val="nil"/>
              <w:left w:val="nil"/>
              <w:bottom w:val="single" w:sz="8" w:space="0" w:color="000000"/>
              <w:right w:val="nil"/>
            </w:tcBorders>
            <w:shd w:val="clear" w:color="auto" w:fill="auto"/>
            <w:noWrap/>
            <w:vAlign w:val="center"/>
            <w:hideMark/>
          </w:tcPr>
          <w:p w14:paraId="5C0B2B09"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5,389.6 </w:t>
            </w:r>
          </w:p>
        </w:tc>
      </w:tr>
      <w:tr w:rsidR="004F6A11" w:rsidRPr="004F6A11" w14:paraId="0EF3E351" w14:textId="77777777" w:rsidTr="004F6A11">
        <w:trPr>
          <w:trHeight w:val="300"/>
        </w:trPr>
        <w:tc>
          <w:tcPr>
            <w:tcW w:w="1743" w:type="dxa"/>
            <w:tcBorders>
              <w:top w:val="nil"/>
              <w:left w:val="nil"/>
              <w:bottom w:val="nil"/>
              <w:right w:val="nil"/>
            </w:tcBorders>
            <w:shd w:val="clear" w:color="auto" w:fill="auto"/>
            <w:vAlign w:val="bottom"/>
            <w:hideMark/>
          </w:tcPr>
          <w:p w14:paraId="23356F02" w14:textId="77777777" w:rsidR="004F6A11" w:rsidRPr="004F6A11" w:rsidRDefault="004F6A11" w:rsidP="004F6A11">
            <w:pPr>
              <w:jc w:val="right"/>
              <w:rPr>
                <w:rFonts w:ascii="Calibri" w:hAnsi="Calibri" w:cs="Calibri"/>
                <w:color w:val="000000"/>
                <w:sz w:val="20"/>
                <w:szCs w:val="20"/>
                <w:lang w:eastAsia="en-IE"/>
              </w:rPr>
            </w:pPr>
          </w:p>
        </w:tc>
        <w:tc>
          <w:tcPr>
            <w:tcW w:w="960" w:type="dxa"/>
            <w:tcBorders>
              <w:top w:val="nil"/>
              <w:left w:val="nil"/>
              <w:bottom w:val="nil"/>
              <w:right w:val="nil"/>
            </w:tcBorders>
            <w:shd w:val="clear" w:color="auto" w:fill="auto"/>
            <w:noWrap/>
            <w:vAlign w:val="center"/>
            <w:hideMark/>
          </w:tcPr>
          <w:p w14:paraId="53F077D7" w14:textId="77777777" w:rsidR="004F6A11" w:rsidRPr="004F6A11" w:rsidRDefault="004F6A11" w:rsidP="004F6A11">
            <w:pPr>
              <w:rPr>
                <w:sz w:val="20"/>
                <w:szCs w:val="20"/>
                <w:lang w:eastAsia="en-IE"/>
              </w:rPr>
            </w:pPr>
          </w:p>
        </w:tc>
        <w:tc>
          <w:tcPr>
            <w:tcW w:w="1420" w:type="dxa"/>
            <w:tcBorders>
              <w:top w:val="nil"/>
              <w:left w:val="nil"/>
              <w:bottom w:val="nil"/>
              <w:right w:val="nil"/>
            </w:tcBorders>
            <w:shd w:val="clear" w:color="000000" w:fill="FFFF00"/>
            <w:noWrap/>
            <w:vAlign w:val="center"/>
            <w:hideMark/>
          </w:tcPr>
          <w:p w14:paraId="4B326452"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960" w:type="dxa"/>
            <w:tcBorders>
              <w:top w:val="nil"/>
              <w:left w:val="nil"/>
              <w:bottom w:val="nil"/>
              <w:right w:val="nil"/>
            </w:tcBorders>
            <w:shd w:val="clear" w:color="000000" w:fill="FFFF00"/>
            <w:noWrap/>
            <w:vAlign w:val="center"/>
            <w:hideMark/>
          </w:tcPr>
          <w:p w14:paraId="673F893C"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eastAsia="Calibri" w:hAnsi="Calibri" w:cs="Calibri"/>
                <w:b/>
                <w:bCs/>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0B80AEC6"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441" w:type="dxa"/>
            <w:tcBorders>
              <w:top w:val="nil"/>
              <w:left w:val="nil"/>
              <w:bottom w:val="nil"/>
              <w:right w:val="nil"/>
            </w:tcBorders>
            <w:shd w:val="clear" w:color="000000" w:fill="FFFF00"/>
            <w:noWrap/>
            <w:vAlign w:val="center"/>
            <w:hideMark/>
          </w:tcPr>
          <w:p w14:paraId="62BD8B97"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eastAsia="Calibri" w:hAnsi="Calibri" w:cs="Calibri"/>
                <w:b/>
                <w:bCs/>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1CA0F966"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441" w:type="dxa"/>
            <w:tcBorders>
              <w:top w:val="nil"/>
              <w:left w:val="nil"/>
              <w:bottom w:val="nil"/>
              <w:right w:val="nil"/>
            </w:tcBorders>
            <w:shd w:val="clear" w:color="auto" w:fill="auto"/>
            <w:noWrap/>
            <w:vAlign w:val="center"/>
            <w:hideMark/>
          </w:tcPr>
          <w:p w14:paraId="668C73DA"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nil"/>
              <w:right w:val="nil"/>
            </w:tcBorders>
            <w:shd w:val="clear" w:color="auto" w:fill="auto"/>
            <w:noWrap/>
            <w:vAlign w:val="center"/>
            <w:hideMark/>
          </w:tcPr>
          <w:p w14:paraId="35455C12" w14:textId="77777777" w:rsidR="004F6A11" w:rsidRPr="004F6A11" w:rsidRDefault="004F6A11" w:rsidP="004F6A11">
            <w:pPr>
              <w:jc w:val="right"/>
              <w:rPr>
                <w:sz w:val="20"/>
                <w:szCs w:val="20"/>
                <w:lang w:eastAsia="en-IE"/>
              </w:rPr>
            </w:pPr>
          </w:p>
        </w:tc>
        <w:tc>
          <w:tcPr>
            <w:tcW w:w="441" w:type="dxa"/>
            <w:tcBorders>
              <w:top w:val="nil"/>
              <w:left w:val="nil"/>
              <w:bottom w:val="nil"/>
              <w:right w:val="nil"/>
            </w:tcBorders>
            <w:shd w:val="clear" w:color="auto" w:fill="auto"/>
            <w:noWrap/>
            <w:vAlign w:val="center"/>
            <w:hideMark/>
          </w:tcPr>
          <w:p w14:paraId="40E9EB44" w14:textId="77777777" w:rsidR="004F6A11" w:rsidRPr="004F6A11" w:rsidRDefault="004F6A11" w:rsidP="004F6A11">
            <w:pPr>
              <w:jc w:val="right"/>
              <w:rPr>
                <w:sz w:val="20"/>
                <w:szCs w:val="20"/>
                <w:lang w:eastAsia="en-IE"/>
              </w:rPr>
            </w:pPr>
          </w:p>
        </w:tc>
        <w:tc>
          <w:tcPr>
            <w:tcW w:w="1599" w:type="dxa"/>
            <w:tcBorders>
              <w:top w:val="nil"/>
              <w:left w:val="nil"/>
              <w:bottom w:val="nil"/>
              <w:right w:val="nil"/>
            </w:tcBorders>
            <w:shd w:val="clear" w:color="auto" w:fill="auto"/>
            <w:noWrap/>
            <w:vAlign w:val="center"/>
            <w:hideMark/>
          </w:tcPr>
          <w:p w14:paraId="68F3698A" w14:textId="77777777" w:rsidR="004F6A11" w:rsidRPr="004F6A11" w:rsidRDefault="004F6A11" w:rsidP="004F6A11">
            <w:pPr>
              <w:jc w:val="right"/>
              <w:rPr>
                <w:sz w:val="20"/>
                <w:szCs w:val="20"/>
                <w:lang w:eastAsia="en-IE"/>
              </w:rPr>
            </w:pPr>
          </w:p>
        </w:tc>
        <w:tc>
          <w:tcPr>
            <w:tcW w:w="441" w:type="dxa"/>
            <w:tcBorders>
              <w:top w:val="nil"/>
              <w:left w:val="nil"/>
              <w:bottom w:val="nil"/>
              <w:right w:val="nil"/>
            </w:tcBorders>
            <w:shd w:val="clear" w:color="auto" w:fill="auto"/>
            <w:noWrap/>
            <w:vAlign w:val="center"/>
            <w:hideMark/>
          </w:tcPr>
          <w:p w14:paraId="5D24CB2B" w14:textId="77777777" w:rsidR="004F6A11" w:rsidRPr="004F6A11" w:rsidRDefault="004F6A11" w:rsidP="004F6A11">
            <w:pPr>
              <w:jc w:val="right"/>
              <w:rPr>
                <w:sz w:val="20"/>
                <w:szCs w:val="20"/>
                <w:lang w:eastAsia="en-IE"/>
              </w:rPr>
            </w:pPr>
          </w:p>
        </w:tc>
        <w:tc>
          <w:tcPr>
            <w:tcW w:w="1581" w:type="dxa"/>
            <w:tcBorders>
              <w:top w:val="nil"/>
              <w:left w:val="nil"/>
              <w:bottom w:val="nil"/>
              <w:right w:val="nil"/>
            </w:tcBorders>
            <w:shd w:val="clear" w:color="auto" w:fill="auto"/>
            <w:noWrap/>
            <w:vAlign w:val="center"/>
            <w:hideMark/>
          </w:tcPr>
          <w:p w14:paraId="67930A02" w14:textId="77777777" w:rsidR="004F6A11" w:rsidRPr="004F6A11" w:rsidRDefault="004F6A11" w:rsidP="004F6A11">
            <w:pPr>
              <w:jc w:val="right"/>
              <w:rPr>
                <w:sz w:val="20"/>
                <w:szCs w:val="20"/>
                <w:lang w:eastAsia="en-IE"/>
              </w:rPr>
            </w:pPr>
          </w:p>
        </w:tc>
      </w:tr>
      <w:tr w:rsidR="004F6A11" w:rsidRPr="004F6A11" w14:paraId="32CCBBF0" w14:textId="77777777" w:rsidTr="004F6A11">
        <w:trPr>
          <w:trHeight w:val="315"/>
        </w:trPr>
        <w:tc>
          <w:tcPr>
            <w:tcW w:w="1743" w:type="dxa"/>
            <w:tcBorders>
              <w:top w:val="nil"/>
              <w:left w:val="nil"/>
              <w:bottom w:val="nil"/>
              <w:right w:val="nil"/>
            </w:tcBorders>
            <w:shd w:val="clear" w:color="auto" w:fill="auto"/>
            <w:vAlign w:val="center"/>
            <w:hideMark/>
          </w:tcPr>
          <w:p w14:paraId="3D64662E" w14:textId="77777777" w:rsidR="004F6A11" w:rsidRPr="004F6A11" w:rsidRDefault="004F6A11" w:rsidP="004F6A11">
            <w:pPr>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Segment (loss)/PAT</w:t>
            </w:r>
          </w:p>
        </w:tc>
        <w:tc>
          <w:tcPr>
            <w:tcW w:w="960" w:type="dxa"/>
            <w:tcBorders>
              <w:top w:val="nil"/>
              <w:left w:val="nil"/>
              <w:bottom w:val="nil"/>
              <w:right w:val="nil"/>
            </w:tcBorders>
            <w:shd w:val="clear" w:color="auto" w:fill="auto"/>
            <w:noWrap/>
            <w:vAlign w:val="center"/>
            <w:hideMark/>
          </w:tcPr>
          <w:p w14:paraId="4FB0BEB0" w14:textId="77777777" w:rsidR="004F6A11" w:rsidRPr="004F6A11" w:rsidRDefault="004F6A11" w:rsidP="004F6A11">
            <w:pPr>
              <w:rPr>
                <w:rFonts w:ascii="Calibri" w:hAnsi="Calibri" w:cs="Calibri"/>
                <w:b/>
                <w:bCs/>
                <w:color w:val="000000"/>
                <w:sz w:val="20"/>
                <w:szCs w:val="20"/>
                <w:lang w:eastAsia="en-IE"/>
              </w:rPr>
            </w:pPr>
          </w:p>
        </w:tc>
        <w:tc>
          <w:tcPr>
            <w:tcW w:w="1420" w:type="dxa"/>
            <w:tcBorders>
              <w:top w:val="nil"/>
              <w:left w:val="nil"/>
              <w:bottom w:val="single" w:sz="8" w:space="0" w:color="auto"/>
              <w:right w:val="nil"/>
            </w:tcBorders>
            <w:shd w:val="clear" w:color="000000" w:fill="FFFF00"/>
            <w:noWrap/>
            <w:vAlign w:val="center"/>
            <w:hideMark/>
          </w:tcPr>
          <w:p w14:paraId="4A9046D2"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(317.9)</w:t>
            </w:r>
          </w:p>
        </w:tc>
        <w:tc>
          <w:tcPr>
            <w:tcW w:w="960" w:type="dxa"/>
            <w:tcBorders>
              <w:top w:val="nil"/>
              <w:left w:val="nil"/>
              <w:bottom w:val="nil"/>
              <w:right w:val="nil"/>
            </w:tcBorders>
            <w:shd w:val="clear" w:color="000000" w:fill="FFFF00"/>
            <w:noWrap/>
            <w:vAlign w:val="center"/>
            <w:hideMark/>
          </w:tcPr>
          <w:p w14:paraId="1BF9BAD0"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eastAsia="Calibri" w:hAnsi="Calibri" w:cs="Calibri"/>
                <w:b/>
                <w:bCs/>
                <w:color w:val="000000"/>
                <w:sz w:val="20"/>
                <w:szCs w:val="20"/>
                <w:lang w:eastAsia="en-IE"/>
              </w:rPr>
              <w:t> </w:t>
            </w:r>
          </w:p>
        </w:tc>
        <w:tc>
          <w:tcPr>
            <w:tcW w:w="1480" w:type="dxa"/>
            <w:tcBorders>
              <w:top w:val="nil"/>
              <w:left w:val="nil"/>
              <w:bottom w:val="single" w:sz="8" w:space="0" w:color="auto"/>
              <w:right w:val="nil"/>
            </w:tcBorders>
            <w:shd w:val="clear" w:color="000000" w:fill="FFFF00"/>
            <w:noWrap/>
            <w:vAlign w:val="center"/>
            <w:hideMark/>
          </w:tcPr>
          <w:p w14:paraId="56806CD7"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(92.6)</w:t>
            </w:r>
          </w:p>
        </w:tc>
        <w:tc>
          <w:tcPr>
            <w:tcW w:w="441" w:type="dxa"/>
            <w:tcBorders>
              <w:top w:val="nil"/>
              <w:left w:val="nil"/>
              <w:bottom w:val="nil"/>
              <w:right w:val="nil"/>
            </w:tcBorders>
            <w:shd w:val="clear" w:color="000000" w:fill="FFFF00"/>
            <w:noWrap/>
            <w:vAlign w:val="center"/>
            <w:hideMark/>
          </w:tcPr>
          <w:p w14:paraId="17DC658D"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eastAsia="Calibri" w:hAnsi="Calibri" w:cs="Calibri"/>
                <w:b/>
                <w:bCs/>
                <w:color w:val="000000"/>
                <w:sz w:val="20"/>
                <w:szCs w:val="20"/>
                <w:lang w:eastAsia="en-IE"/>
              </w:rPr>
              <w:t> </w:t>
            </w:r>
          </w:p>
        </w:tc>
        <w:tc>
          <w:tcPr>
            <w:tcW w:w="1614" w:type="dxa"/>
            <w:tcBorders>
              <w:top w:val="nil"/>
              <w:left w:val="nil"/>
              <w:bottom w:val="single" w:sz="8" w:space="0" w:color="auto"/>
              <w:right w:val="nil"/>
            </w:tcBorders>
            <w:shd w:val="clear" w:color="000000" w:fill="FFFF00"/>
            <w:noWrap/>
            <w:vAlign w:val="center"/>
            <w:hideMark/>
          </w:tcPr>
          <w:p w14:paraId="7D3085D8"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(410.5)</w:t>
            </w:r>
          </w:p>
        </w:tc>
        <w:tc>
          <w:tcPr>
            <w:tcW w:w="441" w:type="dxa"/>
            <w:tcBorders>
              <w:top w:val="nil"/>
              <w:left w:val="nil"/>
              <w:bottom w:val="nil"/>
              <w:right w:val="nil"/>
            </w:tcBorders>
            <w:shd w:val="clear" w:color="auto" w:fill="auto"/>
            <w:noWrap/>
            <w:vAlign w:val="center"/>
            <w:hideMark/>
          </w:tcPr>
          <w:p w14:paraId="498BB571"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single" w:sz="8" w:space="0" w:color="auto"/>
              <w:right w:val="nil"/>
            </w:tcBorders>
            <w:shd w:val="clear" w:color="auto" w:fill="auto"/>
            <w:noWrap/>
            <w:vAlign w:val="center"/>
            <w:hideMark/>
          </w:tcPr>
          <w:p w14:paraId="0FBC8134"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1,209.2 </w:t>
            </w:r>
          </w:p>
        </w:tc>
        <w:tc>
          <w:tcPr>
            <w:tcW w:w="441" w:type="dxa"/>
            <w:tcBorders>
              <w:top w:val="nil"/>
              <w:left w:val="nil"/>
              <w:bottom w:val="nil"/>
              <w:right w:val="nil"/>
            </w:tcBorders>
            <w:shd w:val="clear" w:color="auto" w:fill="auto"/>
            <w:noWrap/>
            <w:vAlign w:val="center"/>
            <w:hideMark/>
          </w:tcPr>
          <w:p w14:paraId="4DB55080" w14:textId="77777777" w:rsidR="004F6A11" w:rsidRPr="004F6A11" w:rsidRDefault="004F6A11" w:rsidP="004F6A11">
            <w:pPr>
              <w:jc w:val="right"/>
              <w:rPr>
                <w:rFonts w:ascii="Calibri" w:hAnsi="Calibri" w:cs="Calibri"/>
                <w:color w:val="000000"/>
                <w:sz w:val="20"/>
                <w:szCs w:val="20"/>
                <w:lang w:eastAsia="en-IE"/>
              </w:rPr>
            </w:pPr>
          </w:p>
        </w:tc>
        <w:tc>
          <w:tcPr>
            <w:tcW w:w="1599" w:type="dxa"/>
            <w:tcBorders>
              <w:top w:val="nil"/>
              <w:left w:val="nil"/>
              <w:bottom w:val="single" w:sz="8" w:space="0" w:color="auto"/>
              <w:right w:val="nil"/>
            </w:tcBorders>
            <w:shd w:val="clear" w:color="auto" w:fill="auto"/>
            <w:noWrap/>
            <w:vAlign w:val="center"/>
            <w:hideMark/>
          </w:tcPr>
          <w:p w14:paraId="3FDE2993"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(56.5)</w:t>
            </w:r>
          </w:p>
        </w:tc>
        <w:tc>
          <w:tcPr>
            <w:tcW w:w="441" w:type="dxa"/>
            <w:tcBorders>
              <w:top w:val="nil"/>
              <w:left w:val="nil"/>
              <w:bottom w:val="nil"/>
              <w:right w:val="nil"/>
            </w:tcBorders>
            <w:shd w:val="clear" w:color="auto" w:fill="auto"/>
            <w:noWrap/>
            <w:vAlign w:val="center"/>
            <w:hideMark/>
          </w:tcPr>
          <w:p w14:paraId="48EDB588" w14:textId="77777777" w:rsidR="004F6A11" w:rsidRPr="004F6A11" w:rsidRDefault="004F6A11" w:rsidP="004F6A11">
            <w:pPr>
              <w:jc w:val="right"/>
              <w:rPr>
                <w:rFonts w:ascii="Calibri" w:hAnsi="Calibri" w:cs="Calibri"/>
                <w:color w:val="000000"/>
                <w:sz w:val="20"/>
                <w:szCs w:val="20"/>
                <w:lang w:eastAsia="en-IE"/>
              </w:rPr>
            </w:pPr>
          </w:p>
        </w:tc>
        <w:tc>
          <w:tcPr>
            <w:tcW w:w="1581" w:type="dxa"/>
            <w:tcBorders>
              <w:top w:val="nil"/>
              <w:left w:val="nil"/>
              <w:bottom w:val="single" w:sz="8" w:space="0" w:color="auto"/>
              <w:right w:val="nil"/>
            </w:tcBorders>
            <w:shd w:val="clear" w:color="auto" w:fill="auto"/>
            <w:noWrap/>
            <w:vAlign w:val="center"/>
            <w:hideMark/>
          </w:tcPr>
          <w:p w14:paraId="625A0708"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1,152.7 </w:t>
            </w:r>
          </w:p>
        </w:tc>
      </w:tr>
      <w:tr w:rsidR="004F6A11" w:rsidRPr="004F6A11" w14:paraId="7944A4AA" w14:textId="77777777" w:rsidTr="004F6A11">
        <w:trPr>
          <w:trHeight w:val="300"/>
        </w:trPr>
        <w:tc>
          <w:tcPr>
            <w:tcW w:w="1743" w:type="dxa"/>
            <w:tcBorders>
              <w:top w:val="nil"/>
              <w:left w:val="nil"/>
              <w:bottom w:val="nil"/>
              <w:right w:val="nil"/>
            </w:tcBorders>
            <w:shd w:val="clear" w:color="auto" w:fill="auto"/>
            <w:vAlign w:val="bottom"/>
            <w:hideMark/>
          </w:tcPr>
          <w:p w14:paraId="7352AD97" w14:textId="77777777" w:rsidR="004F6A11" w:rsidRPr="004F6A11" w:rsidRDefault="004F6A11" w:rsidP="004F6A11">
            <w:pPr>
              <w:jc w:val="right"/>
              <w:rPr>
                <w:rFonts w:ascii="Calibri" w:hAnsi="Calibri" w:cs="Calibri"/>
                <w:color w:val="000000"/>
                <w:sz w:val="20"/>
                <w:szCs w:val="20"/>
                <w:lang w:eastAsia="en-IE"/>
              </w:rPr>
            </w:pPr>
          </w:p>
        </w:tc>
        <w:tc>
          <w:tcPr>
            <w:tcW w:w="960" w:type="dxa"/>
            <w:tcBorders>
              <w:top w:val="nil"/>
              <w:left w:val="nil"/>
              <w:bottom w:val="nil"/>
              <w:right w:val="nil"/>
            </w:tcBorders>
            <w:shd w:val="clear" w:color="auto" w:fill="auto"/>
            <w:noWrap/>
            <w:vAlign w:val="center"/>
            <w:hideMark/>
          </w:tcPr>
          <w:p w14:paraId="45DA7E07" w14:textId="77777777" w:rsidR="004F6A11" w:rsidRPr="004F6A11" w:rsidRDefault="004F6A11" w:rsidP="004F6A11">
            <w:pPr>
              <w:rPr>
                <w:sz w:val="20"/>
                <w:szCs w:val="20"/>
                <w:lang w:eastAsia="en-IE"/>
              </w:rPr>
            </w:pPr>
          </w:p>
        </w:tc>
        <w:tc>
          <w:tcPr>
            <w:tcW w:w="1420" w:type="dxa"/>
            <w:tcBorders>
              <w:top w:val="nil"/>
              <w:left w:val="nil"/>
              <w:bottom w:val="nil"/>
              <w:right w:val="nil"/>
            </w:tcBorders>
            <w:shd w:val="clear" w:color="000000" w:fill="FFFF00"/>
            <w:noWrap/>
            <w:vAlign w:val="center"/>
            <w:hideMark/>
          </w:tcPr>
          <w:p w14:paraId="6A21BC44"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960" w:type="dxa"/>
            <w:tcBorders>
              <w:top w:val="nil"/>
              <w:left w:val="nil"/>
              <w:bottom w:val="nil"/>
              <w:right w:val="nil"/>
            </w:tcBorders>
            <w:shd w:val="clear" w:color="000000" w:fill="FFFF00"/>
            <w:noWrap/>
            <w:vAlign w:val="center"/>
            <w:hideMark/>
          </w:tcPr>
          <w:p w14:paraId="2B4061DC"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eastAsia="Calibri" w:hAnsi="Calibri" w:cs="Calibri"/>
                <w:b/>
                <w:bCs/>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5FF6F0A3"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441" w:type="dxa"/>
            <w:tcBorders>
              <w:top w:val="nil"/>
              <w:left w:val="nil"/>
              <w:bottom w:val="nil"/>
              <w:right w:val="nil"/>
            </w:tcBorders>
            <w:shd w:val="clear" w:color="000000" w:fill="FFFF00"/>
            <w:noWrap/>
            <w:vAlign w:val="center"/>
            <w:hideMark/>
          </w:tcPr>
          <w:p w14:paraId="1F7A9481"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eastAsia="Calibri" w:hAnsi="Calibri" w:cs="Calibri"/>
                <w:b/>
                <w:bCs/>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3C9FD2EF"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441" w:type="dxa"/>
            <w:tcBorders>
              <w:top w:val="nil"/>
              <w:left w:val="nil"/>
              <w:bottom w:val="nil"/>
              <w:right w:val="nil"/>
            </w:tcBorders>
            <w:shd w:val="clear" w:color="auto" w:fill="auto"/>
            <w:noWrap/>
            <w:vAlign w:val="center"/>
            <w:hideMark/>
          </w:tcPr>
          <w:p w14:paraId="5A6BEBE5"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nil"/>
              <w:right w:val="nil"/>
            </w:tcBorders>
            <w:shd w:val="clear" w:color="auto" w:fill="auto"/>
            <w:noWrap/>
            <w:vAlign w:val="center"/>
            <w:hideMark/>
          </w:tcPr>
          <w:p w14:paraId="79459E8F" w14:textId="77777777" w:rsidR="004F6A11" w:rsidRPr="004F6A11" w:rsidRDefault="004F6A11" w:rsidP="004F6A11">
            <w:pPr>
              <w:jc w:val="right"/>
              <w:rPr>
                <w:sz w:val="20"/>
                <w:szCs w:val="20"/>
                <w:lang w:eastAsia="en-IE"/>
              </w:rPr>
            </w:pPr>
          </w:p>
        </w:tc>
        <w:tc>
          <w:tcPr>
            <w:tcW w:w="441" w:type="dxa"/>
            <w:tcBorders>
              <w:top w:val="nil"/>
              <w:left w:val="nil"/>
              <w:bottom w:val="nil"/>
              <w:right w:val="nil"/>
            </w:tcBorders>
            <w:shd w:val="clear" w:color="auto" w:fill="auto"/>
            <w:noWrap/>
            <w:vAlign w:val="center"/>
            <w:hideMark/>
          </w:tcPr>
          <w:p w14:paraId="7EE0C324" w14:textId="77777777" w:rsidR="004F6A11" w:rsidRPr="004F6A11" w:rsidRDefault="004F6A11" w:rsidP="004F6A11">
            <w:pPr>
              <w:jc w:val="right"/>
              <w:rPr>
                <w:sz w:val="20"/>
                <w:szCs w:val="20"/>
                <w:lang w:eastAsia="en-IE"/>
              </w:rPr>
            </w:pPr>
          </w:p>
        </w:tc>
        <w:tc>
          <w:tcPr>
            <w:tcW w:w="1599" w:type="dxa"/>
            <w:tcBorders>
              <w:top w:val="nil"/>
              <w:left w:val="nil"/>
              <w:bottom w:val="nil"/>
              <w:right w:val="nil"/>
            </w:tcBorders>
            <w:shd w:val="clear" w:color="auto" w:fill="auto"/>
            <w:noWrap/>
            <w:vAlign w:val="center"/>
            <w:hideMark/>
          </w:tcPr>
          <w:p w14:paraId="0FAB2B33" w14:textId="77777777" w:rsidR="004F6A11" w:rsidRPr="004F6A11" w:rsidRDefault="004F6A11" w:rsidP="004F6A11">
            <w:pPr>
              <w:jc w:val="right"/>
              <w:rPr>
                <w:sz w:val="20"/>
                <w:szCs w:val="20"/>
                <w:lang w:eastAsia="en-IE"/>
              </w:rPr>
            </w:pPr>
          </w:p>
        </w:tc>
        <w:tc>
          <w:tcPr>
            <w:tcW w:w="441" w:type="dxa"/>
            <w:tcBorders>
              <w:top w:val="nil"/>
              <w:left w:val="nil"/>
              <w:bottom w:val="nil"/>
              <w:right w:val="nil"/>
            </w:tcBorders>
            <w:shd w:val="clear" w:color="auto" w:fill="auto"/>
            <w:noWrap/>
            <w:vAlign w:val="center"/>
            <w:hideMark/>
          </w:tcPr>
          <w:p w14:paraId="34A50564" w14:textId="77777777" w:rsidR="004F6A11" w:rsidRPr="004F6A11" w:rsidRDefault="004F6A11" w:rsidP="004F6A11">
            <w:pPr>
              <w:jc w:val="right"/>
              <w:rPr>
                <w:sz w:val="20"/>
                <w:szCs w:val="20"/>
                <w:lang w:eastAsia="en-IE"/>
              </w:rPr>
            </w:pPr>
          </w:p>
        </w:tc>
        <w:tc>
          <w:tcPr>
            <w:tcW w:w="1581" w:type="dxa"/>
            <w:tcBorders>
              <w:top w:val="nil"/>
              <w:left w:val="nil"/>
              <w:bottom w:val="nil"/>
              <w:right w:val="nil"/>
            </w:tcBorders>
            <w:shd w:val="clear" w:color="auto" w:fill="auto"/>
            <w:noWrap/>
            <w:vAlign w:val="center"/>
            <w:hideMark/>
          </w:tcPr>
          <w:p w14:paraId="39CC9A35" w14:textId="77777777" w:rsidR="004F6A11" w:rsidRPr="004F6A11" w:rsidRDefault="004F6A11" w:rsidP="004F6A11">
            <w:pPr>
              <w:jc w:val="right"/>
              <w:rPr>
                <w:sz w:val="20"/>
                <w:szCs w:val="20"/>
                <w:lang w:eastAsia="en-IE"/>
              </w:rPr>
            </w:pPr>
          </w:p>
        </w:tc>
      </w:tr>
      <w:tr w:rsidR="004F6A11" w:rsidRPr="004F6A11" w14:paraId="4AEBD57D" w14:textId="77777777" w:rsidTr="004F6A11">
        <w:trPr>
          <w:trHeight w:val="300"/>
        </w:trPr>
        <w:tc>
          <w:tcPr>
            <w:tcW w:w="1743" w:type="dxa"/>
            <w:tcBorders>
              <w:top w:val="nil"/>
              <w:left w:val="nil"/>
              <w:bottom w:val="nil"/>
              <w:right w:val="nil"/>
            </w:tcBorders>
            <w:shd w:val="clear" w:color="auto" w:fill="auto"/>
            <w:vAlign w:val="center"/>
            <w:hideMark/>
          </w:tcPr>
          <w:p w14:paraId="596DFD8D" w14:textId="77777777" w:rsidR="004F6A11" w:rsidRPr="004F6A11" w:rsidRDefault="004F6A11" w:rsidP="004F6A11">
            <w:pPr>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Other segment information: </w:t>
            </w:r>
          </w:p>
        </w:tc>
        <w:tc>
          <w:tcPr>
            <w:tcW w:w="960" w:type="dxa"/>
            <w:tcBorders>
              <w:top w:val="nil"/>
              <w:left w:val="nil"/>
              <w:bottom w:val="nil"/>
              <w:right w:val="nil"/>
            </w:tcBorders>
            <w:shd w:val="clear" w:color="auto" w:fill="auto"/>
            <w:noWrap/>
            <w:vAlign w:val="center"/>
            <w:hideMark/>
          </w:tcPr>
          <w:p w14:paraId="6BA4E45C" w14:textId="77777777" w:rsidR="004F6A11" w:rsidRPr="004F6A11" w:rsidRDefault="004F6A11" w:rsidP="004F6A11">
            <w:pPr>
              <w:rPr>
                <w:rFonts w:ascii="Calibri" w:hAnsi="Calibri" w:cs="Calibri"/>
                <w:b/>
                <w:bCs/>
                <w:color w:val="000000"/>
                <w:sz w:val="20"/>
                <w:szCs w:val="20"/>
                <w:lang w:eastAsia="en-IE"/>
              </w:rPr>
            </w:pPr>
          </w:p>
        </w:tc>
        <w:tc>
          <w:tcPr>
            <w:tcW w:w="1420" w:type="dxa"/>
            <w:tcBorders>
              <w:top w:val="nil"/>
              <w:left w:val="nil"/>
              <w:bottom w:val="nil"/>
              <w:right w:val="nil"/>
            </w:tcBorders>
            <w:shd w:val="clear" w:color="000000" w:fill="FFFF00"/>
            <w:noWrap/>
            <w:vAlign w:val="center"/>
            <w:hideMark/>
          </w:tcPr>
          <w:p w14:paraId="2FD98AF8"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960" w:type="dxa"/>
            <w:tcBorders>
              <w:top w:val="nil"/>
              <w:left w:val="nil"/>
              <w:bottom w:val="nil"/>
              <w:right w:val="nil"/>
            </w:tcBorders>
            <w:shd w:val="clear" w:color="000000" w:fill="FFFF00"/>
            <w:noWrap/>
            <w:vAlign w:val="center"/>
            <w:hideMark/>
          </w:tcPr>
          <w:p w14:paraId="47B51526"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eastAsia="Calibri" w:hAnsi="Calibri" w:cs="Calibri"/>
                <w:b/>
                <w:bCs/>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08F93078"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441" w:type="dxa"/>
            <w:tcBorders>
              <w:top w:val="nil"/>
              <w:left w:val="nil"/>
              <w:bottom w:val="nil"/>
              <w:right w:val="nil"/>
            </w:tcBorders>
            <w:shd w:val="clear" w:color="000000" w:fill="FFFF00"/>
            <w:noWrap/>
            <w:vAlign w:val="center"/>
            <w:hideMark/>
          </w:tcPr>
          <w:p w14:paraId="5AC52104"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eastAsia="Calibri" w:hAnsi="Calibri" w:cs="Calibri"/>
                <w:b/>
                <w:bCs/>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579083D9"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441" w:type="dxa"/>
            <w:tcBorders>
              <w:top w:val="nil"/>
              <w:left w:val="nil"/>
              <w:bottom w:val="nil"/>
              <w:right w:val="nil"/>
            </w:tcBorders>
            <w:shd w:val="clear" w:color="auto" w:fill="auto"/>
            <w:noWrap/>
            <w:vAlign w:val="center"/>
            <w:hideMark/>
          </w:tcPr>
          <w:p w14:paraId="5E1EFD2A"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nil"/>
              <w:right w:val="nil"/>
            </w:tcBorders>
            <w:shd w:val="clear" w:color="auto" w:fill="auto"/>
            <w:noWrap/>
            <w:vAlign w:val="center"/>
            <w:hideMark/>
          </w:tcPr>
          <w:p w14:paraId="65E30C39" w14:textId="77777777" w:rsidR="004F6A11" w:rsidRPr="004F6A11" w:rsidRDefault="004F6A11" w:rsidP="004F6A11">
            <w:pPr>
              <w:jc w:val="right"/>
              <w:rPr>
                <w:sz w:val="20"/>
                <w:szCs w:val="20"/>
                <w:lang w:eastAsia="en-IE"/>
              </w:rPr>
            </w:pPr>
          </w:p>
        </w:tc>
        <w:tc>
          <w:tcPr>
            <w:tcW w:w="441" w:type="dxa"/>
            <w:tcBorders>
              <w:top w:val="nil"/>
              <w:left w:val="nil"/>
              <w:bottom w:val="nil"/>
              <w:right w:val="nil"/>
            </w:tcBorders>
            <w:shd w:val="clear" w:color="auto" w:fill="auto"/>
            <w:noWrap/>
            <w:vAlign w:val="center"/>
            <w:hideMark/>
          </w:tcPr>
          <w:p w14:paraId="5258C9FC" w14:textId="77777777" w:rsidR="004F6A11" w:rsidRPr="004F6A11" w:rsidRDefault="004F6A11" w:rsidP="004F6A11">
            <w:pPr>
              <w:jc w:val="right"/>
              <w:rPr>
                <w:sz w:val="20"/>
                <w:szCs w:val="20"/>
                <w:lang w:eastAsia="en-IE"/>
              </w:rPr>
            </w:pPr>
          </w:p>
        </w:tc>
        <w:tc>
          <w:tcPr>
            <w:tcW w:w="1599" w:type="dxa"/>
            <w:tcBorders>
              <w:top w:val="nil"/>
              <w:left w:val="nil"/>
              <w:bottom w:val="nil"/>
              <w:right w:val="nil"/>
            </w:tcBorders>
            <w:shd w:val="clear" w:color="auto" w:fill="auto"/>
            <w:noWrap/>
            <w:vAlign w:val="center"/>
            <w:hideMark/>
          </w:tcPr>
          <w:p w14:paraId="3349BC3D" w14:textId="77777777" w:rsidR="004F6A11" w:rsidRPr="004F6A11" w:rsidRDefault="004F6A11" w:rsidP="004F6A11">
            <w:pPr>
              <w:jc w:val="right"/>
              <w:rPr>
                <w:sz w:val="20"/>
                <w:szCs w:val="20"/>
                <w:lang w:eastAsia="en-IE"/>
              </w:rPr>
            </w:pPr>
          </w:p>
        </w:tc>
        <w:tc>
          <w:tcPr>
            <w:tcW w:w="441" w:type="dxa"/>
            <w:tcBorders>
              <w:top w:val="nil"/>
              <w:left w:val="nil"/>
              <w:bottom w:val="nil"/>
              <w:right w:val="nil"/>
            </w:tcBorders>
            <w:shd w:val="clear" w:color="auto" w:fill="auto"/>
            <w:noWrap/>
            <w:vAlign w:val="center"/>
            <w:hideMark/>
          </w:tcPr>
          <w:p w14:paraId="2EC73505" w14:textId="77777777" w:rsidR="004F6A11" w:rsidRPr="004F6A11" w:rsidRDefault="004F6A11" w:rsidP="004F6A11">
            <w:pPr>
              <w:jc w:val="right"/>
              <w:rPr>
                <w:sz w:val="20"/>
                <w:szCs w:val="20"/>
                <w:lang w:eastAsia="en-IE"/>
              </w:rPr>
            </w:pPr>
          </w:p>
        </w:tc>
        <w:tc>
          <w:tcPr>
            <w:tcW w:w="1581" w:type="dxa"/>
            <w:tcBorders>
              <w:top w:val="nil"/>
              <w:left w:val="nil"/>
              <w:bottom w:val="nil"/>
              <w:right w:val="nil"/>
            </w:tcBorders>
            <w:shd w:val="clear" w:color="auto" w:fill="auto"/>
            <w:noWrap/>
            <w:vAlign w:val="center"/>
            <w:hideMark/>
          </w:tcPr>
          <w:p w14:paraId="2B49D7E2" w14:textId="77777777" w:rsidR="004F6A11" w:rsidRPr="004F6A11" w:rsidRDefault="004F6A11" w:rsidP="004F6A11">
            <w:pPr>
              <w:jc w:val="right"/>
              <w:rPr>
                <w:sz w:val="20"/>
                <w:szCs w:val="20"/>
                <w:lang w:eastAsia="en-IE"/>
              </w:rPr>
            </w:pPr>
          </w:p>
        </w:tc>
      </w:tr>
      <w:tr w:rsidR="004F6A11" w:rsidRPr="004F6A11" w14:paraId="018CFC12" w14:textId="77777777" w:rsidTr="004F6A11">
        <w:trPr>
          <w:trHeight w:val="300"/>
        </w:trPr>
        <w:tc>
          <w:tcPr>
            <w:tcW w:w="1743" w:type="dxa"/>
            <w:tcBorders>
              <w:top w:val="nil"/>
              <w:left w:val="nil"/>
              <w:bottom w:val="nil"/>
              <w:right w:val="nil"/>
            </w:tcBorders>
            <w:shd w:val="clear" w:color="auto" w:fill="auto"/>
            <w:vAlign w:val="center"/>
            <w:hideMark/>
          </w:tcPr>
          <w:p w14:paraId="5469F4D3"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Depreciation</w:t>
            </w:r>
          </w:p>
        </w:tc>
        <w:tc>
          <w:tcPr>
            <w:tcW w:w="960" w:type="dxa"/>
            <w:tcBorders>
              <w:top w:val="nil"/>
              <w:left w:val="nil"/>
              <w:bottom w:val="nil"/>
              <w:right w:val="nil"/>
            </w:tcBorders>
            <w:shd w:val="clear" w:color="auto" w:fill="auto"/>
            <w:noWrap/>
            <w:vAlign w:val="center"/>
            <w:hideMark/>
          </w:tcPr>
          <w:p w14:paraId="7FE22960" w14:textId="77777777" w:rsidR="004F6A11" w:rsidRPr="004F6A11" w:rsidRDefault="004F6A11" w:rsidP="004F6A11">
            <w:pPr>
              <w:rPr>
                <w:rFonts w:ascii="Calibri" w:hAnsi="Calibri" w:cs="Calibri"/>
                <w:color w:val="000000"/>
                <w:sz w:val="20"/>
                <w:szCs w:val="20"/>
                <w:lang w:eastAsia="en-IE"/>
              </w:rPr>
            </w:pPr>
          </w:p>
        </w:tc>
        <w:tc>
          <w:tcPr>
            <w:tcW w:w="1420" w:type="dxa"/>
            <w:tcBorders>
              <w:top w:val="nil"/>
              <w:left w:val="nil"/>
              <w:bottom w:val="nil"/>
              <w:right w:val="nil"/>
            </w:tcBorders>
            <w:shd w:val="clear" w:color="000000" w:fill="FFFF00"/>
            <w:noWrap/>
            <w:vAlign w:val="center"/>
            <w:hideMark/>
          </w:tcPr>
          <w:p w14:paraId="225A4934"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264.2 </w:t>
            </w:r>
          </w:p>
        </w:tc>
        <w:tc>
          <w:tcPr>
            <w:tcW w:w="960" w:type="dxa"/>
            <w:tcBorders>
              <w:top w:val="nil"/>
              <w:left w:val="nil"/>
              <w:bottom w:val="nil"/>
              <w:right w:val="nil"/>
            </w:tcBorders>
            <w:shd w:val="clear" w:color="000000" w:fill="FFFF00"/>
            <w:noWrap/>
            <w:vAlign w:val="center"/>
            <w:hideMark/>
          </w:tcPr>
          <w:p w14:paraId="7CB71725"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eastAsia="Calibri" w:hAnsi="Calibri" w:cs="Calibri"/>
                <w:b/>
                <w:bCs/>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16FFDCAE"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32.3 </w:t>
            </w:r>
          </w:p>
        </w:tc>
        <w:tc>
          <w:tcPr>
            <w:tcW w:w="441" w:type="dxa"/>
            <w:tcBorders>
              <w:top w:val="nil"/>
              <w:left w:val="nil"/>
              <w:bottom w:val="nil"/>
              <w:right w:val="nil"/>
            </w:tcBorders>
            <w:shd w:val="clear" w:color="000000" w:fill="FFFF00"/>
            <w:noWrap/>
            <w:vAlign w:val="center"/>
            <w:hideMark/>
          </w:tcPr>
          <w:p w14:paraId="70C1CAF6"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eastAsia="Calibri" w:hAnsi="Calibri" w:cs="Calibri"/>
                <w:b/>
                <w:bCs/>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559431B5"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296.5 </w:t>
            </w:r>
          </w:p>
        </w:tc>
        <w:tc>
          <w:tcPr>
            <w:tcW w:w="441" w:type="dxa"/>
            <w:tcBorders>
              <w:top w:val="nil"/>
              <w:left w:val="nil"/>
              <w:bottom w:val="nil"/>
              <w:right w:val="nil"/>
            </w:tcBorders>
            <w:shd w:val="clear" w:color="auto" w:fill="auto"/>
            <w:noWrap/>
            <w:vAlign w:val="center"/>
            <w:hideMark/>
          </w:tcPr>
          <w:p w14:paraId="3143CDCA"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nil"/>
              <w:right w:val="nil"/>
            </w:tcBorders>
            <w:shd w:val="clear" w:color="auto" w:fill="auto"/>
            <w:noWrap/>
            <w:vAlign w:val="center"/>
            <w:hideMark/>
          </w:tcPr>
          <w:p w14:paraId="113A7A7A"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356.0 </w:t>
            </w:r>
          </w:p>
        </w:tc>
        <w:tc>
          <w:tcPr>
            <w:tcW w:w="441" w:type="dxa"/>
            <w:tcBorders>
              <w:top w:val="nil"/>
              <w:left w:val="nil"/>
              <w:bottom w:val="nil"/>
              <w:right w:val="nil"/>
            </w:tcBorders>
            <w:shd w:val="clear" w:color="auto" w:fill="auto"/>
            <w:noWrap/>
            <w:vAlign w:val="center"/>
            <w:hideMark/>
          </w:tcPr>
          <w:p w14:paraId="0B7967BA" w14:textId="77777777" w:rsidR="004F6A11" w:rsidRPr="004F6A11" w:rsidRDefault="004F6A11" w:rsidP="004F6A11">
            <w:pPr>
              <w:jc w:val="right"/>
              <w:rPr>
                <w:rFonts w:ascii="Calibri" w:hAnsi="Calibri" w:cs="Calibri"/>
                <w:color w:val="000000"/>
                <w:sz w:val="20"/>
                <w:szCs w:val="20"/>
                <w:lang w:eastAsia="en-IE"/>
              </w:rPr>
            </w:pPr>
          </w:p>
        </w:tc>
        <w:tc>
          <w:tcPr>
            <w:tcW w:w="1599" w:type="dxa"/>
            <w:tcBorders>
              <w:top w:val="nil"/>
              <w:left w:val="nil"/>
              <w:bottom w:val="nil"/>
              <w:right w:val="nil"/>
            </w:tcBorders>
            <w:shd w:val="clear" w:color="auto" w:fill="auto"/>
            <w:noWrap/>
            <w:vAlign w:val="center"/>
            <w:hideMark/>
          </w:tcPr>
          <w:p w14:paraId="4B8CF009"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25.1 </w:t>
            </w:r>
          </w:p>
        </w:tc>
        <w:tc>
          <w:tcPr>
            <w:tcW w:w="441" w:type="dxa"/>
            <w:tcBorders>
              <w:top w:val="nil"/>
              <w:left w:val="nil"/>
              <w:bottom w:val="nil"/>
              <w:right w:val="nil"/>
            </w:tcBorders>
            <w:shd w:val="clear" w:color="auto" w:fill="auto"/>
            <w:noWrap/>
            <w:vAlign w:val="center"/>
            <w:hideMark/>
          </w:tcPr>
          <w:p w14:paraId="78E15C36" w14:textId="77777777" w:rsidR="004F6A11" w:rsidRPr="004F6A11" w:rsidRDefault="004F6A11" w:rsidP="004F6A11">
            <w:pPr>
              <w:jc w:val="right"/>
              <w:rPr>
                <w:rFonts w:ascii="Calibri" w:hAnsi="Calibri" w:cs="Calibri"/>
                <w:color w:val="000000"/>
                <w:sz w:val="20"/>
                <w:szCs w:val="20"/>
                <w:lang w:eastAsia="en-IE"/>
              </w:rPr>
            </w:pPr>
          </w:p>
        </w:tc>
        <w:tc>
          <w:tcPr>
            <w:tcW w:w="1581" w:type="dxa"/>
            <w:tcBorders>
              <w:top w:val="nil"/>
              <w:left w:val="nil"/>
              <w:bottom w:val="nil"/>
              <w:right w:val="nil"/>
            </w:tcBorders>
            <w:shd w:val="clear" w:color="auto" w:fill="auto"/>
            <w:noWrap/>
            <w:vAlign w:val="center"/>
            <w:hideMark/>
          </w:tcPr>
          <w:p w14:paraId="789B86BD"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381.1 </w:t>
            </w:r>
          </w:p>
        </w:tc>
      </w:tr>
      <w:tr w:rsidR="004F6A11" w:rsidRPr="004F6A11" w14:paraId="64EEA5AB" w14:textId="77777777" w:rsidTr="004F6A11">
        <w:trPr>
          <w:trHeight w:val="525"/>
        </w:trPr>
        <w:tc>
          <w:tcPr>
            <w:tcW w:w="1743" w:type="dxa"/>
            <w:tcBorders>
              <w:top w:val="nil"/>
              <w:left w:val="nil"/>
              <w:bottom w:val="nil"/>
              <w:right w:val="nil"/>
            </w:tcBorders>
            <w:shd w:val="clear" w:color="auto" w:fill="auto"/>
            <w:vAlign w:val="center"/>
            <w:hideMark/>
          </w:tcPr>
          <w:p w14:paraId="18AEF850"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Capex net of supplier proceeds</w:t>
            </w:r>
          </w:p>
        </w:tc>
        <w:tc>
          <w:tcPr>
            <w:tcW w:w="960" w:type="dxa"/>
            <w:tcBorders>
              <w:top w:val="nil"/>
              <w:left w:val="nil"/>
              <w:bottom w:val="nil"/>
              <w:right w:val="nil"/>
            </w:tcBorders>
            <w:shd w:val="clear" w:color="auto" w:fill="auto"/>
            <w:noWrap/>
            <w:vAlign w:val="center"/>
            <w:hideMark/>
          </w:tcPr>
          <w:p w14:paraId="0B78CA44" w14:textId="77777777" w:rsidR="004F6A11" w:rsidRPr="004F6A11" w:rsidRDefault="004F6A11" w:rsidP="004F6A11">
            <w:pPr>
              <w:rPr>
                <w:rFonts w:ascii="Calibri" w:hAnsi="Calibri" w:cs="Calibri"/>
                <w:color w:val="000000"/>
                <w:sz w:val="20"/>
                <w:szCs w:val="20"/>
                <w:lang w:eastAsia="en-IE"/>
              </w:rPr>
            </w:pPr>
          </w:p>
        </w:tc>
        <w:tc>
          <w:tcPr>
            <w:tcW w:w="1420" w:type="dxa"/>
            <w:tcBorders>
              <w:top w:val="nil"/>
              <w:left w:val="nil"/>
              <w:bottom w:val="single" w:sz="8" w:space="0" w:color="auto"/>
              <w:right w:val="nil"/>
            </w:tcBorders>
            <w:shd w:val="clear" w:color="000000" w:fill="FFFF00"/>
            <w:noWrap/>
            <w:vAlign w:val="center"/>
            <w:hideMark/>
          </w:tcPr>
          <w:p w14:paraId="33F45055"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(142.5)</w:t>
            </w:r>
          </w:p>
        </w:tc>
        <w:tc>
          <w:tcPr>
            <w:tcW w:w="960" w:type="dxa"/>
            <w:tcBorders>
              <w:top w:val="nil"/>
              <w:left w:val="nil"/>
              <w:bottom w:val="nil"/>
              <w:right w:val="nil"/>
            </w:tcBorders>
            <w:shd w:val="clear" w:color="000000" w:fill="FFFF00"/>
            <w:noWrap/>
            <w:vAlign w:val="center"/>
            <w:hideMark/>
          </w:tcPr>
          <w:p w14:paraId="3EBAA2DC"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480" w:type="dxa"/>
            <w:tcBorders>
              <w:top w:val="nil"/>
              <w:left w:val="nil"/>
              <w:bottom w:val="single" w:sz="8" w:space="0" w:color="auto"/>
              <w:right w:val="nil"/>
            </w:tcBorders>
            <w:shd w:val="clear" w:color="000000" w:fill="FFFF00"/>
            <w:noWrap/>
            <w:vAlign w:val="center"/>
            <w:hideMark/>
          </w:tcPr>
          <w:p w14:paraId="1906A92E"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 </w:t>
            </w:r>
          </w:p>
        </w:tc>
        <w:tc>
          <w:tcPr>
            <w:tcW w:w="441" w:type="dxa"/>
            <w:tcBorders>
              <w:top w:val="nil"/>
              <w:left w:val="nil"/>
              <w:bottom w:val="nil"/>
              <w:right w:val="nil"/>
            </w:tcBorders>
            <w:shd w:val="clear" w:color="000000" w:fill="FFFF00"/>
            <w:noWrap/>
            <w:vAlign w:val="center"/>
            <w:hideMark/>
          </w:tcPr>
          <w:p w14:paraId="2F94FE03"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614" w:type="dxa"/>
            <w:tcBorders>
              <w:top w:val="nil"/>
              <w:left w:val="nil"/>
              <w:bottom w:val="single" w:sz="8" w:space="0" w:color="auto"/>
              <w:right w:val="nil"/>
            </w:tcBorders>
            <w:shd w:val="clear" w:color="000000" w:fill="FFFF00"/>
            <w:noWrap/>
            <w:vAlign w:val="center"/>
            <w:hideMark/>
          </w:tcPr>
          <w:p w14:paraId="01E18AB1"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(142.5)</w:t>
            </w:r>
          </w:p>
        </w:tc>
        <w:tc>
          <w:tcPr>
            <w:tcW w:w="441" w:type="dxa"/>
            <w:tcBorders>
              <w:top w:val="nil"/>
              <w:left w:val="nil"/>
              <w:bottom w:val="nil"/>
              <w:right w:val="nil"/>
            </w:tcBorders>
            <w:shd w:val="clear" w:color="auto" w:fill="auto"/>
            <w:noWrap/>
            <w:vAlign w:val="center"/>
            <w:hideMark/>
          </w:tcPr>
          <w:p w14:paraId="4492545C"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single" w:sz="8" w:space="0" w:color="auto"/>
              <w:right w:val="nil"/>
            </w:tcBorders>
            <w:shd w:val="clear" w:color="auto" w:fill="auto"/>
            <w:noWrap/>
            <w:vAlign w:val="center"/>
            <w:hideMark/>
          </w:tcPr>
          <w:p w14:paraId="3CBB1FC5"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334.2 </w:t>
            </w:r>
          </w:p>
        </w:tc>
        <w:tc>
          <w:tcPr>
            <w:tcW w:w="441" w:type="dxa"/>
            <w:tcBorders>
              <w:top w:val="nil"/>
              <w:left w:val="nil"/>
              <w:bottom w:val="nil"/>
              <w:right w:val="nil"/>
            </w:tcBorders>
            <w:shd w:val="clear" w:color="auto" w:fill="auto"/>
            <w:noWrap/>
            <w:vAlign w:val="center"/>
            <w:hideMark/>
          </w:tcPr>
          <w:p w14:paraId="71BEAAF2" w14:textId="77777777" w:rsidR="004F6A11" w:rsidRPr="004F6A11" w:rsidRDefault="004F6A11" w:rsidP="004F6A11">
            <w:pPr>
              <w:jc w:val="right"/>
              <w:rPr>
                <w:rFonts w:ascii="Calibri" w:hAnsi="Calibri" w:cs="Calibri"/>
                <w:color w:val="000000"/>
                <w:sz w:val="20"/>
                <w:szCs w:val="20"/>
                <w:lang w:eastAsia="en-IE"/>
              </w:rPr>
            </w:pPr>
          </w:p>
        </w:tc>
        <w:tc>
          <w:tcPr>
            <w:tcW w:w="1599" w:type="dxa"/>
            <w:tcBorders>
              <w:top w:val="nil"/>
              <w:left w:val="nil"/>
              <w:bottom w:val="single" w:sz="8" w:space="0" w:color="auto"/>
              <w:right w:val="nil"/>
            </w:tcBorders>
            <w:shd w:val="clear" w:color="auto" w:fill="auto"/>
            <w:noWrap/>
            <w:vAlign w:val="center"/>
            <w:hideMark/>
          </w:tcPr>
          <w:p w14:paraId="3AB0F2B6"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 </w:t>
            </w:r>
          </w:p>
        </w:tc>
        <w:tc>
          <w:tcPr>
            <w:tcW w:w="441" w:type="dxa"/>
            <w:tcBorders>
              <w:top w:val="nil"/>
              <w:left w:val="nil"/>
              <w:bottom w:val="nil"/>
              <w:right w:val="nil"/>
            </w:tcBorders>
            <w:shd w:val="clear" w:color="auto" w:fill="auto"/>
            <w:noWrap/>
            <w:vAlign w:val="center"/>
            <w:hideMark/>
          </w:tcPr>
          <w:p w14:paraId="315C0011" w14:textId="77777777" w:rsidR="004F6A11" w:rsidRPr="004F6A11" w:rsidRDefault="004F6A11" w:rsidP="004F6A11">
            <w:pPr>
              <w:jc w:val="right"/>
              <w:rPr>
                <w:rFonts w:ascii="Calibri" w:hAnsi="Calibri" w:cs="Calibri"/>
                <w:color w:val="000000"/>
                <w:sz w:val="20"/>
                <w:szCs w:val="20"/>
                <w:lang w:eastAsia="en-IE"/>
              </w:rPr>
            </w:pPr>
          </w:p>
        </w:tc>
        <w:tc>
          <w:tcPr>
            <w:tcW w:w="1581" w:type="dxa"/>
            <w:tcBorders>
              <w:top w:val="nil"/>
              <w:left w:val="nil"/>
              <w:bottom w:val="single" w:sz="8" w:space="0" w:color="auto"/>
              <w:right w:val="nil"/>
            </w:tcBorders>
            <w:shd w:val="clear" w:color="auto" w:fill="auto"/>
            <w:noWrap/>
            <w:vAlign w:val="center"/>
            <w:hideMark/>
          </w:tcPr>
          <w:p w14:paraId="317B5EBF"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334.2 </w:t>
            </w:r>
          </w:p>
        </w:tc>
      </w:tr>
      <w:tr w:rsidR="004F6A11" w:rsidRPr="004F6A11" w14:paraId="06599D7E" w14:textId="77777777" w:rsidTr="004F6A11">
        <w:trPr>
          <w:trHeight w:val="300"/>
        </w:trPr>
        <w:tc>
          <w:tcPr>
            <w:tcW w:w="1743" w:type="dxa"/>
            <w:tcBorders>
              <w:top w:val="nil"/>
              <w:left w:val="nil"/>
              <w:bottom w:val="nil"/>
              <w:right w:val="nil"/>
            </w:tcBorders>
            <w:shd w:val="clear" w:color="auto" w:fill="auto"/>
            <w:vAlign w:val="bottom"/>
            <w:hideMark/>
          </w:tcPr>
          <w:p w14:paraId="32567A9F" w14:textId="77777777" w:rsidR="004F6A11" w:rsidRPr="004F6A11" w:rsidRDefault="004F6A11" w:rsidP="004F6A11">
            <w:pPr>
              <w:jc w:val="right"/>
              <w:rPr>
                <w:rFonts w:ascii="Calibri" w:hAnsi="Calibri" w:cs="Calibri"/>
                <w:color w:val="000000"/>
                <w:sz w:val="20"/>
                <w:szCs w:val="20"/>
                <w:lang w:eastAsia="en-IE"/>
              </w:rPr>
            </w:pPr>
          </w:p>
        </w:tc>
        <w:tc>
          <w:tcPr>
            <w:tcW w:w="960" w:type="dxa"/>
            <w:tcBorders>
              <w:top w:val="nil"/>
              <w:left w:val="nil"/>
              <w:bottom w:val="nil"/>
              <w:right w:val="nil"/>
            </w:tcBorders>
            <w:shd w:val="clear" w:color="auto" w:fill="auto"/>
            <w:noWrap/>
            <w:vAlign w:val="center"/>
            <w:hideMark/>
          </w:tcPr>
          <w:p w14:paraId="3AAAF603" w14:textId="77777777" w:rsidR="004F6A11" w:rsidRPr="004F6A11" w:rsidRDefault="004F6A11" w:rsidP="004F6A11">
            <w:pPr>
              <w:rPr>
                <w:sz w:val="20"/>
                <w:szCs w:val="20"/>
                <w:lang w:eastAsia="en-IE"/>
              </w:rPr>
            </w:pPr>
          </w:p>
        </w:tc>
        <w:tc>
          <w:tcPr>
            <w:tcW w:w="1420" w:type="dxa"/>
            <w:tcBorders>
              <w:top w:val="nil"/>
              <w:left w:val="nil"/>
              <w:bottom w:val="nil"/>
              <w:right w:val="nil"/>
            </w:tcBorders>
            <w:shd w:val="clear" w:color="000000" w:fill="FFFF00"/>
            <w:noWrap/>
            <w:vAlign w:val="center"/>
            <w:hideMark/>
          </w:tcPr>
          <w:p w14:paraId="4BAC992C"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960" w:type="dxa"/>
            <w:tcBorders>
              <w:top w:val="nil"/>
              <w:left w:val="nil"/>
              <w:bottom w:val="nil"/>
              <w:right w:val="nil"/>
            </w:tcBorders>
            <w:shd w:val="clear" w:color="000000" w:fill="FFFF00"/>
            <w:noWrap/>
            <w:vAlign w:val="center"/>
            <w:hideMark/>
          </w:tcPr>
          <w:p w14:paraId="377CFCC9"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eastAsia="Calibri" w:hAnsi="Calibri" w:cs="Calibri"/>
                <w:b/>
                <w:bCs/>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50FA6FA7"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441" w:type="dxa"/>
            <w:tcBorders>
              <w:top w:val="nil"/>
              <w:left w:val="nil"/>
              <w:bottom w:val="nil"/>
              <w:right w:val="nil"/>
            </w:tcBorders>
            <w:shd w:val="clear" w:color="000000" w:fill="FFFF00"/>
            <w:noWrap/>
            <w:vAlign w:val="center"/>
            <w:hideMark/>
          </w:tcPr>
          <w:p w14:paraId="329A4232"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eastAsia="Calibri" w:hAnsi="Calibri" w:cs="Calibri"/>
                <w:b/>
                <w:bCs/>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62EA3A8C"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441" w:type="dxa"/>
            <w:tcBorders>
              <w:top w:val="nil"/>
              <w:left w:val="nil"/>
              <w:bottom w:val="nil"/>
              <w:right w:val="nil"/>
            </w:tcBorders>
            <w:shd w:val="clear" w:color="auto" w:fill="auto"/>
            <w:noWrap/>
            <w:vAlign w:val="center"/>
            <w:hideMark/>
          </w:tcPr>
          <w:p w14:paraId="4ED50A83"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nil"/>
              <w:right w:val="nil"/>
            </w:tcBorders>
            <w:shd w:val="clear" w:color="auto" w:fill="auto"/>
            <w:noWrap/>
            <w:vAlign w:val="center"/>
            <w:hideMark/>
          </w:tcPr>
          <w:p w14:paraId="5E0134E1" w14:textId="77777777" w:rsidR="004F6A11" w:rsidRPr="004F6A11" w:rsidRDefault="004F6A11" w:rsidP="004F6A11">
            <w:pPr>
              <w:jc w:val="right"/>
              <w:rPr>
                <w:sz w:val="20"/>
                <w:szCs w:val="20"/>
                <w:lang w:eastAsia="en-IE"/>
              </w:rPr>
            </w:pPr>
          </w:p>
        </w:tc>
        <w:tc>
          <w:tcPr>
            <w:tcW w:w="441" w:type="dxa"/>
            <w:tcBorders>
              <w:top w:val="nil"/>
              <w:left w:val="nil"/>
              <w:bottom w:val="nil"/>
              <w:right w:val="nil"/>
            </w:tcBorders>
            <w:shd w:val="clear" w:color="auto" w:fill="auto"/>
            <w:noWrap/>
            <w:vAlign w:val="center"/>
            <w:hideMark/>
          </w:tcPr>
          <w:p w14:paraId="6F568E27" w14:textId="77777777" w:rsidR="004F6A11" w:rsidRPr="004F6A11" w:rsidRDefault="004F6A11" w:rsidP="004F6A11">
            <w:pPr>
              <w:jc w:val="right"/>
              <w:rPr>
                <w:sz w:val="20"/>
                <w:szCs w:val="20"/>
                <w:lang w:eastAsia="en-IE"/>
              </w:rPr>
            </w:pPr>
          </w:p>
        </w:tc>
        <w:tc>
          <w:tcPr>
            <w:tcW w:w="1599" w:type="dxa"/>
            <w:tcBorders>
              <w:top w:val="nil"/>
              <w:left w:val="nil"/>
              <w:bottom w:val="nil"/>
              <w:right w:val="nil"/>
            </w:tcBorders>
            <w:shd w:val="clear" w:color="auto" w:fill="auto"/>
            <w:noWrap/>
            <w:vAlign w:val="center"/>
            <w:hideMark/>
          </w:tcPr>
          <w:p w14:paraId="66985604" w14:textId="77777777" w:rsidR="004F6A11" w:rsidRPr="004F6A11" w:rsidRDefault="004F6A11" w:rsidP="004F6A11">
            <w:pPr>
              <w:jc w:val="right"/>
              <w:rPr>
                <w:sz w:val="20"/>
                <w:szCs w:val="20"/>
                <w:lang w:eastAsia="en-IE"/>
              </w:rPr>
            </w:pPr>
          </w:p>
        </w:tc>
        <w:tc>
          <w:tcPr>
            <w:tcW w:w="441" w:type="dxa"/>
            <w:tcBorders>
              <w:top w:val="nil"/>
              <w:left w:val="nil"/>
              <w:bottom w:val="nil"/>
              <w:right w:val="nil"/>
            </w:tcBorders>
            <w:shd w:val="clear" w:color="auto" w:fill="auto"/>
            <w:noWrap/>
            <w:vAlign w:val="center"/>
            <w:hideMark/>
          </w:tcPr>
          <w:p w14:paraId="7D28CE5C" w14:textId="77777777" w:rsidR="004F6A11" w:rsidRPr="004F6A11" w:rsidRDefault="004F6A11" w:rsidP="004F6A11">
            <w:pPr>
              <w:jc w:val="right"/>
              <w:rPr>
                <w:sz w:val="20"/>
                <w:szCs w:val="20"/>
                <w:lang w:eastAsia="en-IE"/>
              </w:rPr>
            </w:pPr>
          </w:p>
        </w:tc>
        <w:tc>
          <w:tcPr>
            <w:tcW w:w="1581" w:type="dxa"/>
            <w:tcBorders>
              <w:top w:val="nil"/>
              <w:left w:val="nil"/>
              <w:bottom w:val="nil"/>
              <w:right w:val="nil"/>
            </w:tcBorders>
            <w:shd w:val="clear" w:color="auto" w:fill="auto"/>
            <w:noWrap/>
            <w:vAlign w:val="center"/>
            <w:hideMark/>
          </w:tcPr>
          <w:p w14:paraId="2181A9BE" w14:textId="77777777" w:rsidR="004F6A11" w:rsidRPr="004F6A11" w:rsidRDefault="004F6A11" w:rsidP="004F6A11">
            <w:pPr>
              <w:jc w:val="right"/>
              <w:rPr>
                <w:sz w:val="20"/>
                <w:szCs w:val="20"/>
                <w:lang w:eastAsia="en-IE"/>
              </w:rPr>
            </w:pPr>
          </w:p>
        </w:tc>
      </w:tr>
      <w:tr w:rsidR="004F6A11" w:rsidRPr="004F6A11" w14:paraId="5194A315" w14:textId="77777777" w:rsidTr="004F6A11">
        <w:trPr>
          <w:trHeight w:val="300"/>
        </w:trPr>
        <w:tc>
          <w:tcPr>
            <w:tcW w:w="1743" w:type="dxa"/>
            <w:tcBorders>
              <w:top w:val="nil"/>
              <w:left w:val="nil"/>
              <w:bottom w:val="nil"/>
              <w:right w:val="nil"/>
            </w:tcBorders>
            <w:shd w:val="clear" w:color="auto" w:fill="auto"/>
            <w:vAlign w:val="center"/>
            <w:hideMark/>
          </w:tcPr>
          <w:p w14:paraId="36FB987B" w14:textId="77777777" w:rsidR="004F6A11" w:rsidRPr="004F6A11" w:rsidRDefault="004F6A11" w:rsidP="004F6A11">
            <w:pPr>
              <w:jc w:val="right"/>
              <w:rPr>
                <w:sz w:val="20"/>
                <w:szCs w:val="20"/>
                <w:lang w:eastAsia="en-IE"/>
              </w:rPr>
            </w:pPr>
          </w:p>
        </w:tc>
        <w:tc>
          <w:tcPr>
            <w:tcW w:w="960" w:type="dxa"/>
            <w:tcBorders>
              <w:top w:val="nil"/>
              <w:left w:val="nil"/>
              <w:bottom w:val="nil"/>
              <w:right w:val="nil"/>
            </w:tcBorders>
            <w:shd w:val="clear" w:color="auto" w:fill="auto"/>
            <w:noWrap/>
            <w:vAlign w:val="center"/>
            <w:hideMark/>
          </w:tcPr>
          <w:p w14:paraId="6D1578E1" w14:textId="77777777" w:rsidR="004F6A11" w:rsidRPr="004F6A11" w:rsidRDefault="004F6A11" w:rsidP="004F6A11">
            <w:pPr>
              <w:rPr>
                <w:sz w:val="20"/>
                <w:szCs w:val="20"/>
                <w:lang w:eastAsia="en-IE"/>
              </w:rPr>
            </w:pPr>
          </w:p>
        </w:tc>
        <w:tc>
          <w:tcPr>
            <w:tcW w:w="1420" w:type="dxa"/>
            <w:tcBorders>
              <w:top w:val="nil"/>
              <w:left w:val="nil"/>
              <w:bottom w:val="nil"/>
              <w:right w:val="nil"/>
            </w:tcBorders>
            <w:shd w:val="clear" w:color="000000" w:fill="FFFF00"/>
            <w:noWrap/>
            <w:vAlign w:val="center"/>
            <w:hideMark/>
          </w:tcPr>
          <w:p w14:paraId="6BCB338A"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Ryanair DAC </w:t>
            </w:r>
          </w:p>
        </w:tc>
        <w:tc>
          <w:tcPr>
            <w:tcW w:w="960" w:type="dxa"/>
            <w:tcBorders>
              <w:top w:val="nil"/>
              <w:left w:val="nil"/>
              <w:bottom w:val="nil"/>
              <w:right w:val="nil"/>
            </w:tcBorders>
            <w:shd w:val="clear" w:color="000000" w:fill="FFFF00"/>
            <w:noWrap/>
            <w:vAlign w:val="center"/>
            <w:hideMark/>
          </w:tcPr>
          <w:p w14:paraId="6D85333C"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2A0B799D"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Other</w:t>
            </w:r>
          </w:p>
        </w:tc>
        <w:tc>
          <w:tcPr>
            <w:tcW w:w="441" w:type="dxa"/>
            <w:tcBorders>
              <w:top w:val="nil"/>
              <w:left w:val="nil"/>
              <w:bottom w:val="nil"/>
              <w:right w:val="nil"/>
            </w:tcBorders>
            <w:shd w:val="clear" w:color="000000" w:fill="FFFF00"/>
            <w:noWrap/>
            <w:vAlign w:val="center"/>
            <w:hideMark/>
          </w:tcPr>
          <w:p w14:paraId="15453668"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1B44FA5E"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Total</w:t>
            </w:r>
          </w:p>
        </w:tc>
        <w:tc>
          <w:tcPr>
            <w:tcW w:w="441" w:type="dxa"/>
            <w:tcBorders>
              <w:top w:val="nil"/>
              <w:left w:val="nil"/>
              <w:bottom w:val="nil"/>
              <w:right w:val="nil"/>
            </w:tcBorders>
            <w:shd w:val="clear" w:color="auto" w:fill="auto"/>
            <w:noWrap/>
            <w:vAlign w:val="center"/>
            <w:hideMark/>
          </w:tcPr>
          <w:p w14:paraId="40459FAC"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nil"/>
              <w:right w:val="nil"/>
            </w:tcBorders>
            <w:shd w:val="clear" w:color="auto" w:fill="auto"/>
            <w:noWrap/>
            <w:vAlign w:val="center"/>
            <w:hideMark/>
          </w:tcPr>
          <w:p w14:paraId="4A0B53D0"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Ryanair DAC </w:t>
            </w:r>
          </w:p>
        </w:tc>
        <w:tc>
          <w:tcPr>
            <w:tcW w:w="441" w:type="dxa"/>
            <w:tcBorders>
              <w:top w:val="nil"/>
              <w:left w:val="nil"/>
              <w:bottom w:val="nil"/>
              <w:right w:val="nil"/>
            </w:tcBorders>
            <w:shd w:val="clear" w:color="auto" w:fill="auto"/>
            <w:noWrap/>
            <w:vAlign w:val="center"/>
            <w:hideMark/>
          </w:tcPr>
          <w:p w14:paraId="2F9B3399" w14:textId="77777777" w:rsidR="004F6A11" w:rsidRPr="004F6A11" w:rsidRDefault="004F6A11" w:rsidP="004F6A11">
            <w:pPr>
              <w:jc w:val="right"/>
              <w:rPr>
                <w:rFonts w:ascii="Calibri" w:hAnsi="Calibri" w:cs="Calibri"/>
                <w:b/>
                <w:bCs/>
                <w:color w:val="000000"/>
                <w:sz w:val="20"/>
                <w:szCs w:val="20"/>
                <w:lang w:eastAsia="en-IE"/>
              </w:rPr>
            </w:pPr>
          </w:p>
        </w:tc>
        <w:tc>
          <w:tcPr>
            <w:tcW w:w="1599" w:type="dxa"/>
            <w:tcBorders>
              <w:top w:val="nil"/>
              <w:left w:val="nil"/>
              <w:bottom w:val="nil"/>
              <w:right w:val="nil"/>
            </w:tcBorders>
            <w:shd w:val="clear" w:color="auto" w:fill="auto"/>
            <w:noWrap/>
            <w:vAlign w:val="center"/>
            <w:hideMark/>
          </w:tcPr>
          <w:p w14:paraId="701730AC"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Other</w:t>
            </w:r>
          </w:p>
        </w:tc>
        <w:tc>
          <w:tcPr>
            <w:tcW w:w="441" w:type="dxa"/>
            <w:tcBorders>
              <w:top w:val="nil"/>
              <w:left w:val="nil"/>
              <w:bottom w:val="nil"/>
              <w:right w:val="nil"/>
            </w:tcBorders>
            <w:shd w:val="clear" w:color="auto" w:fill="auto"/>
            <w:noWrap/>
            <w:vAlign w:val="center"/>
            <w:hideMark/>
          </w:tcPr>
          <w:p w14:paraId="44B32A40" w14:textId="77777777" w:rsidR="004F6A11" w:rsidRPr="004F6A11" w:rsidRDefault="004F6A11" w:rsidP="004F6A11">
            <w:pPr>
              <w:jc w:val="right"/>
              <w:rPr>
                <w:rFonts w:ascii="Calibri" w:hAnsi="Calibri" w:cs="Calibri"/>
                <w:b/>
                <w:bCs/>
                <w:color w:val="000000"/>
                <w:sz w:val="20"/>
                <w:szCs w:val="20"/>
                <w:lang w:eastAsia="en-IE"/>
              </w:rPr>
            </w:pPr>
          </w:p>
        </w:tc>
        <w:tc>
          <w:tcPr>
            <w:tcW w:w="1581" w:type="dxa"/>
            <w:tcBorders>
              <w:top w:val="nil"/>
              <w:left w:val="nil"/>
              <w:bottom w:val="nil"/>
              <w:right w:val="nil"/>
            </w:tcBorders>
            <w:shd w:val="clear" w:color="auto" w:fill="auto"/>
            <w:noWrap/>
            <w:vAlign w:val="center"/>
            <w:hideMark/>
          </w:tcPr>
          <w:p w14:paraId="2868A527"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Total</w:t>
            </w:r>
          </w:p>
        </w:tc>
      </w:tr>
      <w:tr w:rsidR="004F6A11" w:rsidRPr="004F6A11" w14:paraId="6C305DDE" w14:textId="77777777" w:rsidTr="004F6A11">
        <w:trPr>
          <w:trHeight w:val="300"/>
        </w:trPr>
        <w:tc>
          <w:tcPr>
            <w:tcW w:w="1743" w:type="dxa"/>
            <w:tcBorders>
              <w:top w:val="nil"/>
              <w:left w:val="nil"/>
              <w:bottom w:val="nil"/>
              <w:right w:val="nil"/>
            </w:tcBorders>
            <w:shd w:val="clear" w:color="auto" w:fill="auto"/>
            <w:vAlign w:val="center"/>
            <w:hideMark/>
          </w:tcPr>
          <w:p w14:paraId="4E413545" w14:textId="77777777" w:rsidR="004F6A11" w:rsidRPr="004F6A11" w:rsidRDefault="004F6A11" w:rsidP="004F6A11">
            <w:pPr>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Quarter ended</w:t>
            </w:r>
          </w:p>
        </w:tc>
        <w:tc>
          <w:tcPr>
            <w:tcW w:w="960" w:type="dxa"/>
            <w:tcBorders>
              <w:top w:val="nil"/>
              <w:left w:val="nil"/>
              <w:bottom w:val="nil"/>
              <w:right w:val="nil"/>
            </w:tcBorders>
            <w:shd w:val="clear" w:color="auto" w:fill="auto"/>
            <w:noWrap/>
            <w:vAlign w:val="center"/>
            <w:hideMark/>
          </w:tcPr>
          <w:p w14:paraId="36A56D56" w14:textId="77777777" w:rsidR="004F6A11" w:rsidRPr="004F6A11" w:rsidRDefault="004F6A11" w:rsidP="004F6A11">
            <w:pPr>
              <w:rPr>
                <w:rFonts w:ascii="Calibri" w:hAnsi="Calibri" w:cs="Calibri"/>
                <w:b/>
                <w:bCs/>
                <w:color w:val="000000"/>
                <w:sz w:val="20"/>
                <w:szCs w:val="20"/>
                <w:lang w:eastAsia="en-IE"/>
              </w:rPr>
            </w:pPr>
          </w:p>
        </w:tc>
        <w:tc>
          <w:tcPr>
            <w:tcW w:w="1420" w:type="dxa"/>
            <w:tcBorders>
              <w:top w:val="nil"/>
              <w:left w:val="nil"/>
              <w:bottom w:val="nil"/>
              <w:right w:val="nil"/>
            </w:tcBorders>
            <w:shd w:val="clear" w:color="000000" w:fill="FFFF00"/>
            <w:noWrap/>
            <w:vAlign w:val="center"/>
            <w:hideMark/>
          </w:tcPr>
          <w:p w14:paraId="03604AD9"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Sep 30, 2020</w:t>
            </w:r>
          </w:p>
        </w:tc>
        <w:tc>
          <w:tcPr>
            <w:tcW w:w="960" w:type="dxa"/>
            <w:tcBorders>
              <w:top w:val="nil"/>
              <w:left w:val="nil"/>
              <w:bottom w:val="nil"/>
              <w:right w:val="nil"/>
            </w:tcBorders>
            <w:shd w:val="clear" w:color="000000" w:fill="FFFF00"/>
            <w:noWrap/>
            <w:vAlign w:val="center"/>
            <w:hideMark/>
          </w:tcPr>
          <w:p w14:paraId="202408B4"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216E98C4"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Sep 30, 2020</w:t>
            </w:r>
          </w:p>
        </w:tc>
        <w:tc>
          <w:tcPr>
            <w:tcW w:w="441" w:type="dxa"/>
            <w:tcBorders>
              <w:top w:val="nil"/>
              <w:left w:val="nil"/>
              <w:bottom w:val="nil"/>
              <w:right w:val="nil"/>
            </w:tcBorders>
            <w:shd w:val="clear" w:color="000000" w:fill="FFFF00"/>
            <w:noWrap/>
            <w:vAlign w:val="center"/>
            <w:hideMark/>
          </w:tcPr>
          <w:p w14:paraId="2AE75399"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077ED77F"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Sep 30, 2020 </w:t>
            </w:r>
          </w:p>
        </w:tc>
        <w:tc>
          <w:tcPr>
            <w:tcW w:w="441" w:type="dxa"/>
            <w:tcBorders>
              <w:top w:val="nil"/>
              <w:left w:val="nil"/>
              <w:bottom w:val="nil"/>
              <w:right w:val="nil"/>
            </w:tcBorders>
            <w:shd w:val="clear" w:color="auto" w:fill="auto"/>
            <w:noWrap/>
            <w:vAlign w:val="center"/>
            <w:hideMark/>
          </w:tcPr>
          <w:p w14:paraId="281DDE7B"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480" w:type="dxa"/>
            <w:tcBorders>
              <w:top w:val="nil"/>
              <w:left w:val="nil"/>
              <w:bottom w:val="nil"/>
              <w:right w:val="nil"/>
            </w:tcBorders>
            <w:shd w:val="clear" w:color="auto" w:fill="auto"/>
            <w:noWrap/>
            <w:vAlign w:val="center"/>
            <w:hideMark/>
          </w:tcPr>
          <w:p w14:paraId="1CECE921"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Sep 30, 2019</w:t>
            </w:r>
          </w:p>
        </w:tc>
        <w:tc>
          <w:tcPr>
            <w:tcW w:w="441" w:type="dxa"/>
            <w:tcBorders>
              <w:top w:val="nil"/>
              <w:left w:val="nil"/>
              <w:bottom w:val="nil"/>
              <w:right w:val="nil"/>
            </w:tcBorders>
            <w:shd w:val="clear" w:color="auto" w:fill="auto"/>
            <w:noWrap/>
            <w:vAlign w:val="center"/>
            <w:hideMark/>
          </w:tcPr>
          <w:p w14:paraId="47B865AA" w14:textId="77777777" w:rsidR="004F6A11" w:rsidRPr="004F6A11" w:rsidRDefault="004F6A11" w:rsidP="004F6A11">
            <w:pPr>
              <w:jc w:val="right"/>
              <w:rPr>
                <w:rFonts w:ascii="Calibri" w:hAnsi="Calibri" w:cs="Calibri"/>
                <w:b/>
                <w:bCs/>
                <w:color w:val="000000"/>
                <w:sz w:val="20"/>
                <w:szCs w:val="20"/>
                <w:lang w:eastAsia="en-IE"/>
              </w:rPr>
            </w:pPr>
          </w:p>
        </w:tc>
        <w:tc>
          <w:tcPr>
            <w:tcW w:w="1599" w:type="dxa"/>
            <w:tcBorders>
              <w:top w:val="nil"/>
              <w:left w:val="nil"/>
              <w:bottom w:val="nil"/>
              <w:right w:val="nil"/>
            </w:tcBorders>
            <w:shd w:val="clear" w:color="auto" w:fill="auto"/>
            <w:noWrap/>
            <w:vAlign w:val="center"/>
            <w:hideMark/>
          </w:tcPr>
          <w:p w14:paraId="0820F9F6"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Sep 30, 2019</w:t>
            </w:r>
          </w:p>
        </w:tc>
        <w:tc>
          <w:tcPr>
            <w:tcW w:w="441" w:type="dxa"/>
            <w:tcBorders>
              <w:top w:val="nil"/>
              <w:left w:val="nil"/>
              <w:bottom w:val="nil"/>
              <w:right w:val="nil"/>
            </w:tcBorders>
            <w:shd w:val="clear" w:color="auto" w:fill="auto"/>
            <w:noWrap/>
            <w:vAlign w:val="center"/>
            <w:hideMark/>
          </w:tcPr>
          <w:p w14:paraId="7422059E"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581" w:type="dxa"/>
            <w:tcBorders>
              <w:top w:val="nil"/>
              <w:left w:val="nil"/>
              <w:bottom w:val="nil"/>
              <w:right w:val="nil"/>
            </w:tcBorders>
            <w:shd w:val="clear" w:color="auto" w:fill="auto"/>
            <w:noWrap/>
            <w:vAlign w:val="center"/>
            <w:hideMark/>
          </w:tcPr>
          <w:p w14:paraId="583E6187"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Sep 30, 2019</w:t>
            </w:r>
          </w:p>
        </w:tc>
      </w:tr>
      <w:tr w:rsidR="004F6A11" w:rsidRPr="004F6A11" w14:paraId="6A951D19" w14:textId="77777777" w:rsidTr="004F6A11">
        <w:trPr>
          <w:trHeight w:val="300"/>
        </w:trPr>
        <w:tc>
          <w:tcPr>
            <w:tcW w:w="1743" w:type="dxa"/>
            <w:tcBorders>
              <w:top w:val="nil"/>
              <w:left w:val="nil"/>
              <w:bottom w:val="nil"/>
              <w:right w:val="nil"/>
            </w:tcBorders>
            <w:shd w:val="clear" w:color="auto" w:fill="auto"/>
            <w:vAlign w:val="center"/>
            <w:hideMark/>
          </w:tcPr>
          <w:p w14:paraId="168E0816" w14:textId="77777777" w:rsidR="004F6A11" w:rsidRPr="004F6A11" w:rsidRDefault="004F6A11" w:rsidP="004F6A11">
            <w:pPr>
              <w:jc w:val="right"/>
              <w:rPr>
                <w:rFonts w:ascii="Calibri" w:hAnsi="Calibri" w:cs="Calibri"/>
                <w:b/>
                <w:bCs/>
                <w:color w:val="000000"/>
                <w:sz w:val="20"/>
                <w:szCs w:val="20"/>
                <w:lang w:eastAsia="en-IE"/>
              </w:rPr>
            </w:pPr>
          </w:p>
        </w:tc>
        <w:tc>
          <w:tcPr>
            <w:tcW w:w="960" w:type="dxa"/>
            <w:tcBorders>
              <w:top w:val="nil"/>
              <w:left w:val="nil"/>
              <w:bottom w:val="nil"/>
              <w:right w:val="nil"/>
            </w:tcBorders>
            <w:shd w:val="clear" w:color="auto" w:fill="auto"/>
            <w:noWrap/>
            <w:vAlign w:val="center"/>
            <w:hideMark/>
          </w:tcPr>
          <w:p w14:paraId="61D8DFF9" w14:textId="77777777" w:rsidR="004F6A11" w:rsidRPr="004F6A11" w:rsidRDefault="004F6A11" w:rsidP="004F6A11">
            <w:pPr>
              <w:rPr>
                <w:sz w:val="20"/>
                <w:szCs w:val="20"/>
                <w:lang w:eastAsia="en-IE"/>
              </w:rPr>
            </w:pPr>
          </w:p>
        </w:tc>
        <w:tc>
          <w:tcPr>
            <w:tcW w:w="1420" w:type="dxa"/>
            <w:tcBorders>
              <w:top w:val="nil"/>
              <w:left w:val="nil"/>
              <w:bottom w:val="nil"/>
              <w:right w:val="nil"/>
            </w:tcBorders>
            <w:shd w:val="clear" w:color="000000" w:fill="FFFF00"/>
            <w:noWrap/>
            <w:vAlign w:val="center"/>
            <w:hideMark/>
          </w:tcPr>
          <w:p w14:paraId="58154532"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c>
          <w:tcPr>
            <w:tcW w:w="960" w:type="dxa"/>
            <w:tcBorders>
              <w:top w:val="nil"/>
              <w:left w:val="nil"/>
              <w:bottom w:val="nil"/>
              <w:right w:val="nil"/>
            </w:tcBorders>
            <w:shd w:val="clear" w:color="000000" w:fill="FFFF00"/>
            <w:noWrap/>
            <w:vAlign w:val="center"/>
            <w:hideMark/>
          </w:tcPr>
          <w:p w14:paraId="430C8507"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52582CAB"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c>
          <w:tcPr>
            <w:tcW w:w="441" w:type="dxa"/>
            <w:tcBorders>
              <w:top w:val="nil"/>
              <w:left w:val="nil"/>
              <w:bottom w:val="nil"/>
              <w:right w:val="nil"/>
            </w:tcBorders>
            <w:shd w:val="clear" w:color="000000" w:fill="FFFF00"/>
            <w:noWrap/>
            <w:vAlign w:val="center"/>
            <w:hideMark/>
          </w:tcPr>
          <w:p w14:paraId="1BB66EC5"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40C43C74"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c>
          <w:tcPr>
            <w:tcW w:w="441" w:type="dxa"/>
            <w:tcBorders>
              <w:top w:val="nil"/>
              <w:left w:val="nil"/>
              <w:bottom w:val="nil"/>
              <w:right w:val="nil"/>
            </w:tcBorders>
            <w:shd w:val="clear" w:color="auto" w:fill="auto"/>
            <w:noWrap/>
            <w:vAlign w:val="center"/>
            <w:hideMark/>
          </w:tcPr>
          <w:p w14:paraId="43501385"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480" w:type="dxa"/>
            <w:tcBorders>
              <w:top w:val="nil"/>
              <w:left w:val="nil"/>
              <w:bottom w:val="nil"/>
              <w:right w:val="nil"/>
            </w:tcBorders>
            <w:shd w:val="clear" w:color="auto" w:fill="auto"/>
            <w:noWrap/>
            <w:vAlign w:val="center"/>
            <w:hideMark/>
          </w:tcPr>
          <w:p w14:paraId="7209A5F0"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c>
          <w:tcPr>
            <w:tcW w:w="441" w:type="dxa"/>
            <w:tcBorders>
              <w:top w:val="nil"/>
              <w:left w:val="nil"/>
              <w:bottom w:val="nil"/>
              <w:right w:val="nil"/>
            </w:tcBorders>
            <w:shd w:val="clear" w:color="auto" w:fill="auto"/>
            <w:noWrap/>
            <w:vAlign w:val="center"/>
            <w:hideMark/>
          </w:tcPr>
          <w:p w14:paraId="772FD31B"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599" w:type="dxa"/>
            <w:tcBorders>
              <w:top w:val="nil"/>
              <w:left w:val="nil"/>
              <w:bottom w:val="nil"/>
              <w:right w:val="nil"/>
            </w:tcBorders>
            <w:shd w:val="clear" w:color="auto" w:fill="auto"/>
            <w:noWrap/>
            <w:vAlign w:val="center"/>
            <w:hideMark/>
          </w:tcPr>
          <w:p w14:paraId="00C2BACF"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c>
          <w:tcPr>
            <w:tcW w:w="441" w:type="dxa"/>
            <w:tcBorders>
              <w:top w:val="nil"/>
              <w:left w:val="nil"/>
              <w:bottom w:val="nil"/>
              <w:right w:val="nil"/>
            </w:tcBorders>
            <w:shd w:val="clear" w:color="auto" w:fill="auto"/>
            <w:noWrap/>
            <w:vAlign w:val="center"/>
            <w:hideMark/>
          </w:tcPr>
          <w:p w14:paraId="49853E63"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581" w:type="dxa"/>
            <w:tcBorders>
              <w:top w:val="nil"/>
              <w:left w:val="nil"/>
              <w:bottom w:val="nil"/>
              <w:right w:val="nil"/>
            </w:tcBorders>
            <w:shd w:val="clear" w:color="auto" w:fill="auto"/>
            <w:noWrap/>
            <w:vAlign w:val="center"/>
            <w:hideMark/>
          </w:tcPr>
          <w:p w14:paraId="17B735BC"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r>
      <w:tr w:rsidR="004F6A11" w:rsidRPr="004F6A11" w14:paraId="15533DD4" w14:textId="77777777" w:rsidTr="004F6A11">
        <w:trPr>
          <w:trHeight w:val="315"/>
        </w:trPr>
        <w:tc>
          <w:tcPr>
            <w:tcW w:w="1743" w:type="dxa"/>
            <w:tcBorders>
              <w:top w:val="nil"/>
              <w:left w:val="nil"/>
              <w:bottom w:val="nil"/>
              <w:right w:val="nil"/>
            </w:tcBorders>
            <w:shd w:val="clear" w:color="auto" w:fill="auto"/>
            <w:vAlign w:val="center"/>
            <w:hideMark/>
          </w:tcPr>
          <w:p w14:paraId="758A43F0" w14:textId="77777777" w:rsidR="004F6A11" w:rsidRPr="004F6A11" w:rsidRDefault="004F6A11" w:rsidP="004F6A11">
            <w:pPr>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Segment revenue</w:t>
            </w:r>
          </w:p>
        </w:tc>
        <w:tc>
          <w:tcPr>
            <w:tcW w:w="960" w:type="dxa"/>
            <w:tcBorders>
              <w:top w:val="nil"/>
              <w:left w:val="nil"/>
              <w:bottom w:val="nil"/>
              <w:right w:val="nil"/>
            </w:tcBorders>
            <w:shd w:val="clear" w:color="auto" w:fill="auto"/>
            <w:noWrap/>
            <w:vAlign w:val="center"/>
            <w:hideMark/>
          </w:tcPr>
          <w:p w14:paraId="545D31B1" w14:textId="77777777" w:rsidR="004F6A11" w:rsidRPr="004F6A11" w:rsidRDefault="004F6A11" w:rsidP="004F6A11">
            <w:pPr>
              <w:rPr>
                <w:rFonts w:ascii="Calibri" w:hAnsi="Calibri" w:cs="Calibri"/>
                <w:b/>
                <w:bCs/>
                <w:color w:val="000000"/>
                <w:sz w:val="20"/>
                <w:szCs w:val="20"/>
                <w:lang w:eastAsia="en-IE"/>
              </w:rPr>
            </w:pPr>
          </w:p>
        </w:tc>
        <w:tc>
          <w:tcPr>
            <w:tcW w:w="1420" w:type="dxa"/>
            <w:tcBorders>
              <w:top w:val="nil"/>
              <w:left w:val="nil"/>
              <w:bottom w:val="single" w:sz="8" w:space="0" w:color="auto"/>
              <w:right w:val="nil"/>
            </w:tcBorders>
            <w:shd w:val="clear" w:color="000000" w:fill="FFFF00"/>
            <w:noWrap/>
            <w:vAlign w:val="center"/>
            <w:hideMark/>
          </w:tcPr>
          <w:p w14:paraId="16483589"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1,039.3 </w:t>
            </w:r>
          </w:p>
        </w:tc>
        <w:tc>
          <w:tcPr>
            <w:tcW w:w="960" w:type="dxa"/>
            <w:tcBorders>
              <w:top w:val="nil"/>
              <w:left w:val="nil"/>
              <w:bottom w:val="nil"/>
              <w:right w:val="nil"/>
            </w:tcBorders>
            <w:shd w:val="clear" w:color="000000" w:fill="FFFF00"/>
            <w:noWrap/>
            <w:vAlign w:val="center"/>
            <w:hideMark/>
          </w:tcPr>
          <w:p w14:paraId="6B3A8143"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480" w:type="dxa"/>
            <w:tcBorders>
              <w:top w:val="nil"/>
              <w:left w:val="nil"/>
              <w:bottom w:val="single" w:sz="8" w:space="0" w:color="auto"/>
              <w:right w:val="nil"/>
            </w:tcBorders>
            <w:shd w:val="clear" w:color="000000" w:fill="FFFF00"/>
            <w:noWrap/>
            <w:vAlign w:val="center"/>
            <w:hideMark/>
          </w:tcPr>
          <w:p w14:paraId="3E7DE5E5"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11.7 </w:t>
            </w:r>
          </w:p>
        </w:tc>
        <w:tc>
          <w:tcPr>
            <w:tcW w:w="441" w:type="dxa"/>
            <w:tcBorders>
              <w:top w:val="nil"/>
              <w:left w:val="nil"/>
              <w:bottom w:val="nil"/>
              <w:right w:val="nil"/>
            </w:tcBorders>
            <w:shd w:val="clear" w:color="000000" w:fill="FFFF00"/>
            <w:noWrap/>
            <w:vAlign w:val="center"/>
            <w:hideMark/>
          </w:tcPr>
          <w:p w14:paraId="7EE95416"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614" w:type="dxa"/>
            <w:tcBorders>
              <w:top w:val="nil"/>
              <w:left w:val="nil"/>
              <w:bottom w:val="single" w:sz="8" w:space="0" w:color="auto"/>
              <w:right w:val="nil"/>
            </w:tcBorders>
            <w:shd w:val="clear" w:color="000000" w:fill="FFFF00"/>
            <w:noWrap/>
            <w:vAlign w:val="center"/>
            <w:hideMark/>
          </w:tcPr>
          <w:p w14:paraId="584BBE49"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1,051.0 </w:t>
            </w:r>
          </w:p>
        </w:tc>
        <w:tc>
          <w:tcPr>
            <w:tcW w:w="441" w:type="dxa"/>
            <w:tcBorders>
              <w:top w:val="nil"/>
              <w:left w:val="nil"/>
              <w:bottom w:val="nil"/>
              <w:right w:val="nil"/>
            </w:tcBorders>
            <w:shd w:val="clear" w:color="auto" w:fill="auto"/>
            <w:noWrap/>
            <w:vAlign w:val="center"/>
            <w:hideMark/>
          </w:tcPr>
          <w:p w14:paraId="6CCFDEBE"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single" w:sz="8" w:space="0" w:color="auto"/>
              <w:right w:val="nil"/>
            </w:tcBorders>
            <w:shd w:val="clear" w:color="auto" w:fill="auto"/>
            <w:noWrap/>
            <w:vAlign w:val="center"/>
            <w:hideMark/>
          </w:tcPr>
          <w:p w14:paraId="7DA11242"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2,934.3 </w:t>
            </w:r>
          </w:p>
        </w:tc>
        <w:tc>
          <w:tcPr>
            <w:tcW w:w="441" w:type="dxa"/>
            <w:tcBorders>
              <w:top w:val="nil"/>
              <w:left w:val="nil"/>
              <w:bottom w:val="nil"/>
              <w:right w:val="nil"/>
            </w:tcBorders>
            <w:shd w:val="clear" w:color="auto" w:fill="auto"/>
            <w:noWrap/>
            <w:vAlign w:val="center"/>
            <w:hideMark/>
          </w:tcPr>
          <w:p w14:paraId="27467C44" w14:textId="77777777" w:rsidR="004F6A11" w:rsidRPr="004F6A11" w:rsidRDefault="004F6A11" w:rsidP="004F6A11">
            <w:pPr>
              <w:jc w:val="right"/>
              <w:rPr>
                <w:rFonts w:ascii="Calibri" w:hAnsi="Calibri" w:cs="Calibri"/>
                <w:color w:val="000000"/>
                <w:sz w:val="20"/>
                <w:szCs w:val="20"/>
                <w:lang w:eastAsia="en-IE"/>
              </w:rPr>
            </w:pPr>
          </w:p>
        </w:tc>
        <w:tc>
          <w:tcPr>
            <w:tcW w:w="1599" w:type="dxa"/>
            <w:tcBorders>
              <w:top w:val="nil"/>
              <w:left w:val="nil"/>
              <w:bottom w:val="single" w:sz="8" w:space="0" w:color="auto"/>
              <w:right w:val="nil"/>
            </w:tcBorders>
            <w:shd w:val="clear" w:color="auto" w:fill="auto"/>
            <w:noWrap/>
            <w:vAlign w:val="center"/>
            <w:hideMark/>
          </w:tcPr>
          <w:p w14:paraId="561A1425"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143.2 </w:t>
            </w:r>
          </w:p>
        </w:tc>
        <w:tc>
          <w:tcPr>
            <w:tcW w:w="441" w:type="dxa"/>
            <w:tcBorders>
              <w:top w:val="nil"/>
              <w:left w:val="nil"/>
              <w:bottom w:val="nil"/>
              <w:right w:val="nil"/>
            </w:tcBorders>
            <w:shd w:val="clear" w:color="auto" w:fill="auto"/>
            <w:noWrap/>
            <w:vAlign w:val="center"/>
            <w:hideMark/>
          </w:tcPr>
          <w:p w14:paraId="4183A84E" w14:textId="77777777" w:rsidR="004F6A11" w:rsidRPr="004F6A11" w:rsidRDefault="004F6A11" w:rsidP="004F6A11">
            <w:pPr>
              <w:jc w:val="right"/>
              <w:rPr>
                <w:rFonts w:ascii="Calibri" w:hAnsi="Calibri" w:cs="Calibri"/>
                <w:color w:val="000000"/>
                <w:sz w:val="20"/>
                <w:szCs w:val="20"/>
                <w:lang w:eastAsia="en-IE"/>
              </w:rPr>
            </w:pPr>
          </w:p>
        </w:tc>
        <w:tc>
          <w:tcPr>
            <w:tcW w:w="1581" w:type="dxa"/>
            <w:tcBorders>
              <w:top w:val="nil"/>
              <w:left w:val="nil"/>
              <w:bottom w:val="single" w:sz="8" w:space="0" w:color="auto"/>
              <w:right w:val="nil"/>
            </w:tcBorders>
            <w:shd w:val="clear" w:color="auto" w:fill="auto"/>
            <w:noWrap/>
            <w:vAlign w:val="center"/>
            <w:hideMark/>
          </w:tcPr>
          <w:p w14:paraId="72DCA282"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3,077.5 </w:t>
            </w:r>
          </w:p>
        </w:tc>
      </w:tr>
      <w:tr w:rsidR="004F6A11" w:rsidRPr="004F6A11" w14:paraId="0E59AA20" w14:textId="77777777" w:rsidTr="004F6A11">
        <w:trPr>
          <w:trHeight w:val="300"/>
        </w:trPr>
        <w:tc>
          <w:tcPr>
            <w:tcW w:w="1743" w:type="dxa"/>
            <w:tcBorders>
              <w:top w:val="nil"/>
              <w:left w:val="nil"/>
              <w:bottom w:val="nil"/>
              <w:right w:val="nil"/>
            </w:tcBorders>
            <w:shd w:val="clear" w:color="auto" w:fill="auto"/>
            <w:vAlign w:val="center"/>
            <w:hideMark/>
          </w:tcPr>
          <w:p w14:paraId="3577B75F" w14:textId="77777777" w:rsidR="004F6A11" w:rsidRPr="004F6A11" w:rsidRDefault="004F6A11" w:rsidP="004F6A11">
            <w:pPr>
              <w:jc w:val="right"/>
              <w:rPr>
                <w:rFonts w:ascii="Calibri" w:hAnsi="Calibri" w:cs="Calibri"/>
                <w:color w:val="000000"/>
                <w:sz w:val="20"/>
                <w:szCs w:val="20"/>
                <w:lang w:eastAsia="en-IE"/>
              </w:rPr>
            </w:pPr>
          </w:p>
        </w:tc>
        <w:tc>
          <w:tcPr>
            <w:tcW w:w="960" w:type="dxa"/>
            <w:tcBorders>
              <w:top w:val="nil"/>
              <w:left w:val="nil"/>
              <w:bottom w:val="nil"/>
              <w:right w:val="nil"/>
            </w:tcBorders>
            <w:shd w:val="clear" w:color="auto" w:fill="auto"/>
            <w:noWrap/>
            <w:vAlign w:val="center"/>
            <w:hideMark/>
          </w:tcPr>
          <w:p w14:paraId="4CC28AAF" w14:textId="77777777" w:rsidR="004F6A11" w:rsidRPr="004F6A11" w:rsidRDefault="004F6A11" w:rsidP="004F6A11">
            <w:pPr>
              <w:rPr>
                <w:sz w:val="20"/>
                <w:szCs w:val="20"/>
                <w:lang w:eastAsia="en-IE"/>
              </w:rPr>
            </w:pPr>
          </w:p>
        </w:tc>
        <w:tc>
          <w:tcPr>
            <w:tcW w:w="1420" w:type="dxa"/>
            <w:tcBorders>
              <w:top w:val="nil"/>
              <w:left w:val="nil"/>
              <w:bottom w:val="nil"/>
              <w:right w:val="nil"/>
            </w:tcBorders>
            <w:shd w:val="clear" w:color="000000" w:fill="FFFF00"/>
            <w:noWrap/>
            <w:vAlign w:val="center"/>
            <w:hideMark/>
          </w:tcPr>
          <w:p w14:paraId="5E4F26E0"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960" w:type="dxa"/>
            <w:tcBorders>
              <w:top w:val="nil"/>
              <w:left w:val="nil"/>
              <w:bottom w:val="nil"/>
              <w:right w:val="nil"/>
            </w:tcBorders>
            <w:shd w:val="clear" w:color="000000" w:fill="FFFF00"/>
            <w:noWrap/>
            <w:vAlign w:val="center"/>
            <w:hideMark/>
          </w:tcPr>
          <w:p w14:paraId="1D934E45"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372E8050"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441" w:type="dxa"/>
            <w:tcBorders>
              <w:top w:val="nil"/>
              <w:left w:val="nil"/>
              <w:bottom w:val="nil"/>
              <w:right w:val="nil"/>
            </w:tcBorders>
            <w:shd w:val="clear" w:color="000000" w:fill="FFFF00"/>
            <w:noWrap/>
            <w:vAlign w:val="center"/>
            <w:hideMark/>
          </w:tcPr>
          <w:p w14:paraId="0DFD4F56"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49D95AA7"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441" w:type="dxa"/>
            <w:tcBorders>
              <w:top w:val="nil"/>
              <w:left w:val="nil"/>
              <w:bottom w:val="nil"/>
              <w:right w:val="nil"/>
            </w:tcBorders>
            <w:shd w:val="clear" w:color="auto" w:fill="auto"/>
            <w:noWrap/>
            <w:vAlign w:val="center"/>
            <w:hideMark/>
          </w:tcPr>
          <w:p w14:paraId="32778C4A"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nil"/>
              <w:right w:val="nil"/>
            </w:tcBorders>
            <w:shd w:val="clear" w:color="auto" w:fill="auto"/>
            <w:noWrap/>
            <w:vAlign w:val="center"/>
            <w:hideMark/>
          </w:tcPr>
          <w:p w14:paraId="2F4DC1A2" w14:textId="77777777" w:rsidR="004F6A11" w:rsidRPr="004F6A11" w:rsidRDefault="004F6A11" w:rsidP="004F6A11">
            <w:pPr>
              <w:jc w:val="right"/>
              <w:rPr>
                <w:sz w:val="20"/>
                <w:szCs w:val="20"/>
                <w:lang w:eastAsia="en-IE"/>
              </w:rPr>
            </w:pPr>
          </w:p>
        </w:tc>
        <w:tc>
          <w:tcPr>
            <w:tcW w:w="441" w:type="dxa"/>
            <w:tcBorders>
              <w:top w:val="nil"/>
              <w:left w:val="nil"/>
              <w:bottom w:val="nil"/>
              <w:right w:val="nil"/>
            </w:tcBorders>
            <w:shd w:val="clear" w:color="auto" w:fill="auto"/>
            <w:noWrap/>
            <w:vAlign w:val="center"/>
            <w:hideMark/>
          </w:tcPr>
          <w:p w14:paraId="550A3A05" w14:textId="77777777" w:rsidR="004F6A11" w:rsidRPr="004F6A11" w:rsidRDefault="004F6A11" w:rsidP="004F6A11">
            <w:pPr>
              <w:jc w:val="right"/>
              <w:rPr>
                <w:sz w:val="20"/>
                <w:szCs w:val="20"/>
                <w:lang w:eastAsia="en-IE"/>
              </w:rPr>
            </w:pPr>
          </w:p>
        </w:tc>
        <w:tc>
          <w:tcPr>
            <w:tcW w:w="1599" w:type="dxa"/>
            <w:tcBorders>
              <w:top w:val="nil"/>
              <w:left w:val="nil"/>
              <w:bottom w:val="nil"/>
              <w:right w:val="nil"/>
            </w:tcBorders>
            <w:shd w:val="clear" w:color="auto" w:fill="auto"/>
            <w:noWrap/>
            <w:vAlign w:val="center"/>
            <w:hideMark/>
          </w:tcPr>
          <w:p w14:paraId="0460A750" w14:textId="77777777" w:rsidR="004F6A11" w:rsidRPr="004F6A11" w:rsidRDefault="004F6A11" w:rsidP="004F6A11">
            <w:pPr>
              <w:jc w:val="right"/>
              <w:rPr>
                <w:sz w:val="20"/>
                <w:szCs w:val="20"/>
                <w:lang w:eastAsia="en-IE"/>
              </w:rPr>
            </w:pPr>
          </w:p>
        </w:tc>
        <w:tc>
          <w:tcPr>
            <w:tcW w:w="441" w:type="dxa"/>
            <w:tcBorders>
              <w:top w:val="nil"/>
              <w:left w:val="nil"/>
              <w:bottom w:val="nil"/>
              <w:right w:val="nil"/>
            </w:tcBorders>
            <w:shd w:val="clear" w:color="auto" w:fill="auto"/>
            <w:noWrap/>
            <w:vAlign w:val="center"/>
            <w:hideMark/>
          </w:tcPr>
          <w:p w14:paraId="0AFF6535" w14:textId="77777777" w:rsidR="004F6A11" w:rsidRPr="004F6A11" w:rsidRDefault="004F6A11" w:rsidP="004F6A11">
            <w:pPr>
              <w:jc w:val="right"/>
              <w:rPr>
                <w:sz w:val="20"/>
                <w:szCs w:val="20"/>
                <w:lang w:eastAsia="en-IE"/>
              </w:rPr>
            </w:pPr>
          </w:p>
        </w:tc>
        <w:tc>
          <w:tcPr>
            <w:tcW w:w="1581" w:type="dxa"/>
            <w:tcBorders>
              <w:top w:val="nil"/>
              <w:left w:val="nil"/>
              <w:bottom w:val="nil"/>
              <w:right w:val="nil"/>
            </w:tcBorders>
            <w:shd w:val="clear" w:color="auto" w:fill="auto"/>
            <w:noWrap/>
            <w:vAlign w:val="center"/>
            <w:hideMark/>
          </w:tcPr>
          <w:p w14:paraId="02DA5E20" w14:textId="77777777" w:rsidR="004F6A11" w:rsidRPr="004F6A11" w:rsidRDefault="004F6A11" w:rsidP="004F6A11">
            <w:pPr>
              <w:jc w:val="right"/>
              <w:rPr>
                <w:sz w:val="20"/>
                <w:szCs w:val="20"/>
                <w:lang w:eastAsia="en-IE"/>
              </w:rPr>
            </w:pPr>
          </w:p>
        </w:tc>
      </w:tr>
      <w:tr w:rsidR="004F6A11" w:rsidRPr="004F6A11" w14:paraId="4576BDF4" w14:textId="77777777" w:rsidTr="004F6A11">
        <w:trPr>
          <w:trHeight w:val="315"/>
        </w:trPr>
        <w:tc>
          <w:tcPr>
            <w:tcW w:w="1743" w:type="dxa"/>
            <w:tcBorders>
              <w:top w:val="nil"/>
              <w:left w:val="nil"/>
              <w:bottom w:val="nil"/>
              <w:right w:val="nil"/>
            </w:tcBorders>
            <w:shd w:val="clear" w:color="auto" w:fill="auto"/>
            <w:vAlign w:val="center"/>
            <w:hideMark/>
          </w:tcPr>
          <w:p w14:paraId="20E03F75" w14:textId="77777777" w:rsidR="004F6A11" w:rsidRPr="004F6A11" w:rsidRDefault="004F6A11" w:rsidP="004F6A11">
            <w:pPr>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Segment (loss)/PAT</w:t>
            </w:r>
          </w:p>
        </w:tc>
        <w:tc>
          <w:tcPr>
            <w:tcW w:w="960" w:type="dxa"/>
            <w:tcBorders>
              <w:top w:val="nil"/>
              <w:left w:val="nil"/>
              <w:bottom w:val="nil"/>
              <w:right w:val="nil"/>
            </w:tcBorders>
            <w:shd w:val="clear" w:color="auto" w:fill="auto"/>
            <w:noWrap/>
            <w:vAlign w:val="center"/>
            <w:hideMark/>
          </w:tcPr>
          <w:p w14:paraId="55EF2DF7" w14:textId="77777777" w:rsidR="004F6A11" w:rsidRPr="004F6A11" w:rsidRDefault="004F6A11" w:rsidP="004F6A11">
            <w:pPr>
              <w:rPr>
                <w:rFonts w:ascii="Calibri" w:hAnsi="Calibri" w:cs="Calibri"/>
                <w:b/>
                <w:bCs/>
                <w:color w:val="000000"/>
                <w:sz w:val="20"/>
                <w:szCs w:val="20"/>
                <w:lang w:eastAsia="en-IE"/>
              </w:rPr>
            </w:pPr>
          </w:p>
        </w:tc>
        <w:tc>
          <w:tcPr>
            <w:tcW w:w="1420" w:type="dxa"/>
            <w:tcBorders>
              <w:top w:val="nil"/>
              <w:left w:val="nil"/>
              <w:bottom w:val="single" w:sz="8" w:space="0" w:color="auto"/>
              <w:right w:val="nil"/>
            </w:tcBorders>
            <w:shd w:val="clear" w:color="000000" w:fill="FFFF00"/>
            <w:noWrap/>
            <w:vAlign w:val="center"/>
            <w:hideMark/>
          </w:tcPr>
          <w:p w14:paraId="53C33AFD"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(190.9)</w:t>
            </w:r>
          </w:p>
        </w:tc>
        <w:tc>
          <w:tcPr>
            <w:tcW w:w="960" w:type="dxa"/>
            <w:tcBorders>
              <w:top w:val="nil"/>
              <w:left w:val="nil"/>
              <w:bottom w:val="nil"/>
              <w:right w:val="nil"/>
            </w:tcBorders>
            <w:shd w:val="clear" w:color="000000" w:fill="FFFF00"/>
            <w:noWrap/>
            <w:vAlign w:val="center"/>
            <w:hideMark/>
          </w:tcPr>
          <w:p w14:paraId="03BAE916"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480" w:type="dxa"/>
            <w:tcBorders>
              <w:top w:val="nil"/>
              <w:left w:val="nil"/>
              <w:bottom w:val="single" w:sz="8" w:space="0" w:color="auto"/>
              <w:right w:val="nil"/>
            </w:tcBorders>
            <w:shd w:val="clear" w:color="000000" w:fill="FFFF00"/>
            <w:noWrap/>
            <w:vAlign w:val="center"/>
            <w:hideMark/>
          </w:tcPr>
          <w:p w14:paraId="348C970F"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(34.6)</w:t>
            </w:r>
          </w:p>
        </w:tc>
        <w:tc>
          <w:tcPr>
            <w:tcW w:w="441" w:type="dxa"/>
            <w:tcBorders>
              <w:top w:val="nil"/>
              <w:left w:val="nil"/>
              <w:bottom w:val="nil"/>
              <w:right w:val="nil"/>
            </w:tcBorders>
            <w:shd w:val="clear" w:color="000000" w:fill="FFFF00"/>
            <w:noWrap/>
            <w:vAlign w:val="center"/>
            <w:hideMark/>
          </w:tcPr>
          <w:p w14:paraId="108BD86B"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614" w:type="dxa"/>
            <w:tcBorders>
              <w:top w:val="nil"/>
              <w:left w:val="nil"/>
              <w:bottom w:val="single" w:sz="8" w:space="0" w:color="auto"/>
              <w:right w:val="nil"/>
            </w:tcBorders>
            <w:shd w:val="clear" w:color="000000" w:fill="FFFF00"/>
            <w:noWrap/>
            <w:vAlign w:val="center"/>
            <w:hideMark/>
          </w:tcPr>
          <w:p w14:paraId="5FFA3CAA"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(225.5)</w:t>
            </w:r>
          </w:p>
        </w:tc>
        <w:tc>
          <w:tcPr>
            <w:tcW w:w="441" w:type="dxa"/>
            <w:tcBorders>
              <w:top w:val="nil"/>
              <w:left w:val="nil"/>
              <w:bottom w:val="nil"/>
              <w:right w:val="nil"/>
            </w:tcBorders>
            <w:shd w:val="clear" w:color="auto" w:fill="auto"/>
            <w:noWrap/>
            <w:vAlign w:val="center"/>
            <w:hideMark/>
          </w:tcPr>
          <w:p w14:paraId="1DF61DA7"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single" w:sz="8" w:space="0" w:color="auto"/>
              <w:right w:val="nil"/>
            </w:tcBorders>
            <w:shd w:val="clear" w:color="auto" w:fill="auto"/>
            <w:noWrap/>
            <w:vAlign w:val="center"/>
            <w:hideMark/>
          </w:tcPr>
          <w:p w14:paraId="05DC459F"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931.4 </w:t>
            </w:r>
          </w:p>
        </w:tc>
        <w:tc>
          <w:tcPr>
            <w:tcW w:w="441" w:type="dxa"/>
            <w:tcBorders>
              <w:top w:val="nil"/>
              <w:left w:val="nil"/>
              <w:bottom w:val="nil"/>
              <w:right w:val="nil"/>
            </w:tcBorders>
            <w:shd w:val="clear" w:color="auto" w:fill="auto"/>
            <w:noWrap/>
            <w:vAlign w:val="center"/>
            <w:hideMark/>
          </w:tcPr>
          <w:p w14:paraId="6E678FD8" w14:textId="77777777" w:rsidR="004F6A11" w:rsidRPr="004F6A11" w:rsidRDefault="004F6A11" w:rsidP="004F6A11">
            <w:pPr>
              <w:jc w:val="right"/>
              <w:rPr>
                <w:rFonts w:ascii="Calibri" w:hAnsi="Calibri" w:cs="Calibri"/>
                <w:color w:val="000000"/>
                <w:sz w:val="20"/>
                <w:szCs w:val="20"/>
                <w:lang w:eastAsia="en-IE"/>
              </w:rPr>
            </w:pPr>
          </w:p>
        </w:tc>
        <w:tc>
          <w:tcPr>
            <w:tcW w:w="1599" w:type="dxa"/>
            <w:tcBorders>
              <w:top w:val="nil"/>
              <w:left w:val="nil"/>
              <w:bottom w:val="single" w:sz="8" w:space="0" w:color="auto"/>
              <w:right w:val="nil"/>
            </w:tcBorders>
            <w:shd w:val="clear" w:color="auto" w:fill="auto"/>
            <w:noWrap/>
            <w:vAlign w:val="center"/>
            <w:hideMark/>
          </w:tcPr>
          <w:p w14:paraId="16063C52"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(21.2)</w:t>
            </w:r>
          </w:p>
        </w:tc>
        <w:tc>
          <w:tcPr>
            <w:tcW w:w="441" w:type="dxa"/>
            <w:tcBorders>
              <w:top w:val="nil"/>
              <w:left w:val="nil"/>
              <w:bottom w:val="nil"/>
              <w:right w:val="nil"/>
            </w:tcBorders>
            <w:shd w:val="clear" w:color="auto" w:fill="auto"/>
            <w:noWrap/>
            <w:vAlign w:val="center"/>
            <w:hideMark/>
          </w:tcPr>
          <w:p w14:paraId="0844CA2B" w14:textId="77777777" w:rsidR="004F6A11" w:rsidRPr="004F6A11" w:rsidRDefault="004F6A11" w:rsidP="004F6A11">
            <w:pPr>
              <w:jc w:val="right"/>
              <w:rPr>
                <w:rFonts w:ascii="Calibri" w:hAnsi="Calibri" w:cs="Calibri"/>
                <w:color w:val="000000"/>
                <w:sz w:val="20"/>
                <w:szCs w:val="20"/>
                <w:lang w:eastAsia="en-IE"/>
              </w:rPr>
            </w:pPr>
          </w:p>
        </w:tc>
        <w:tc>
          <w:tcPr>
            <w:tcW w:w="1581" w:type="dxa"/>
            <w:tcBorders>
              <w:top w:val="nil"/>
              <w:left w:val="nil"/>
              <w:bottom w:val="single" w:sz="8" w:space="0" w:color="auto"/>
              <w:right w:val="nil"/>
            </w:tcBorders>
            <w:shd w:val="clear" w:color="auto" w:fill="auto"/>
            <w:noWrap/>
            <w:vAlign w:val="center"/>
            <w:hideMark/>
          </w:tcPr>
          <w:p w14:paraId="520C85D3"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910.2 </w:t>
            </w:r>
          </w:p>
        </w:tc>
      </w:tr>
      <w:tr w:rsidR="004F6A11" w:rsidRPr="004F6A11" w14:paraId="2B7404A4" w14:textId="77777777" w:rsidTr="004F6A11">
        <w:trPr>
          <w:trHeight w:val="300"/>
        </w:trPr>
        <w:tc>
          <w:tcPr>
            <w:tcW w:w="1743" w:type="dxa"/>
            <w:tcBorders>
              <w:top w:val="nil"/>
              <w:left w:val="nil"/>
              <w:bottom w:val="nil"/>
              <w:right w:val="nil"/>
            </w:tcBorders>
            <w:shd w:val="clear" w:color="auto" w:fill="auto"/>
            <w:vAlign w:val="center"/>
            <w:hideMark/>
          </w:tcPr>
          <w:p w14:paraId="77620C5C" w14:textId="77777777" w:rsidR="004F6A11" w:rsidRPr="004F6A11" w:rsidRDefault="004F6A11" w:rsidP="004F6A11">
            <w:pPr>
              <w:jc w:val="right"/>
              <w:rPr>
                <w:rFonts w:ascii="Calibri" w:hAnsi="Calibri" w:cs="Calibri"/>
                <w:color w:val="000000"/>
                <w:sz w:val="20"/>
                <w:szCs w:val="20"/>
                <w:lang w:eastAsia="en-IE"/>
              </w:rPr>
            </w:pPr>
          </w:p>
        </w:tc>
        <w:tc>
          <w:tcPr>
            <w:tcW w:w="960" w:type="dxa"/>
            <w:tcBorders>
              <w:top w:val="nil"/>
              <w:left w:val="nil"/>
              <w:bottom w:val="nil"/>
              <w:right w:val="nil"/>
            </w:tcBorders>
            <w:shd w:val="clear" w:color="auto" w:fill="auto"/>
            <w:noWrap/>
            <w:vAlign w:val="center"/>
            <w:hideMark/>
          </w:tcPr>
          <w:p w14:paraId="078113A5" w14:textId="77777777" w:rsidR="004F6A11" w:rsidRPr="004F6A11" w:rsidRDefault="004F6A11" w:rsidP="004F6A11">
            <w:pPr>
              <w:rPr>
                <w:sz w:val="20"/>
                <w:szCs w:val="20"/>
                <w:lang w:eastAsia="en-IE"/>
              </w:rPr>
            </w:pPr>
          </w:p>
        </w:tc>
        <w:tc>
          <w:tcPr>
            <w:tcW w:w="1420" w:type="dxa"/>
            <w:tcBorders>
              <w:top w:val="nil"/>
              <w:left w:val="nil"/>
              <w:bottom w:val="nil"/>
              <w:right w:val="nil"/>
            </w:tcBorders>
            <w:shd w:val="clear" w:color="000000" w:fill="FFFF00"/>
            <w:noWrap/>
            <w:vAlign w:val="center"/>
            <w:hideMark/>
          </w:tcPr>
          <w:p w14:paraId="7DDB5BE8"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960" w:type="dxa"/>
            <w:tcBorders>
              <w:top w:val="nil"/>
              <w:left w:val="nil"/>
              <w:bottom w:val="nil"/>
              <w:right w:val="nil"/>
            </w:tcBorders>
            <w:shd w:val="clear" w:color="000000" w:fill="FFFF00"/>
            <w:noWrap/>
            <w:vAlign w:val="center"/>
            <w:hideMark/>
          </w:tcPr>
          <w:p w14:paraId="6361D19C"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3AB3311A"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441" w:type="dxa"/>
            <w:tcBorders>
              <w:top w:val="nil"/>
              <w:left w:val="nil"/>
              <w:bottom w:val="nil"/>
              <w:right w:val="nil"/>
            </w:tcBorders>
            <w:shd w:val="clear" w:color="000000" w:fill="FFFF00"/>
            <w:noWrap/>
            <w:vAlign w:val="center"/>
            <w:hideMark/>
          </w:tcPr>
          <w:p w14:paraId="076F8DB6"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5D9C3BBC"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441" w:type="dxa"/>
            <w:tcBorders>
              <w:top w:val="nil"/>
              <w:left w:val="nil"/>
              <w:bottom w:val="nil"/>
              <w:right w:val="nil"/>
            </w:tcBorders>
            <w:shd w:val="clear" w:color="auto" w:fill="auto"/>
            <w:noWrap/>
            <w:vAlign w:val="center"/>
            <w:hideMark/>
          </w:tcPr>
          <w:p w14:paraId="4DAC731D"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nil"/>
              <w:right w:val="nil"/>
            </w:tcBorders>
            <w:shd w:val="clear" w:color="auto" w:fill="auto"/>
            <w:noWrap/>
            <w:vAlign w:val="center"/>
            <w:hideMark/>
          </w:tcPr>
          <w:p w14:paraId="6BC8F4E0" w14:textId="77777777" w:rsidR="004F6A11" w:rsidRPr="004F6A11" w:rsidRDefault="004F6A11" w:rsidP="004F6A11">
            <w:pPr>
              <w:jc w:val="right"/>
              <w:rPr>
                <w:sz w:val="20"/>
                <w:szCs w:val="20"/>
                <w:lang w:eastAsia="en-IE"/>
              </w:rPr>
            </w:pPr>
          </w:p>
        </w:tc>
        <w:tc>
          <w:tcPr>
            <w:tcW w:w="441" w:type="dxa"/>
            <w:tcBorders>
              <w:top w:val="nil"/>
              <w:left w:val="nil"/>
              <w:bottom w:val="nil"/>
              <w:right w:val="nil"/>
            </w:tcBorders>
            <w:shd w:val="clear" w:color="auto" w:fill="auto"/>
            <w:noWrap/>
            <w:vAlign w:val="center"/>
            <w:hideMark/>
          </w:tcPr>
          <w:p w14:paraId="1767314F" w14:textId="77777777" w:rsidR="004F6A11" w:rsidRPr="004F6A11" w:rsidRDefault="004F6A11" w:rsidP="004F6A11">
            <w:pPr>
              <w:jc w:val="right"/>
              <w:rPr>
                <w:sz w:val="20"/>
                <w:szCs w:val="20"/>
                <w:lang w:eastAsia="en-IE"/>
              </w:rPr>
            </w:pPr>
          </w:p>
        </w:tc>
        <w:tc>
          <w:tcPr>
            <w:tcW w:w="1599" w:type="dxa"/>
            <w:tcBorders>
              <w:top w:val="nil"/>
              <w:left w:val="nil"/>
              <w:bottom w:val="nil"/>
              <w:right w:val="nil"/>
            </w:tcBorders>
            <w:shd w:val="clear" w:color="auto" w:fill="auto"/>
            <w:noWrap/>
            <w:vAlign w:val="center"/>
            <w:hideMark/>
          </w:tcPr>
          <w:p w14:paraId="6CDB67F5" w14:textId="77777777" w:rsidR="004F6A11" w:rsidRPr="004F6A11" w:rsidRDefault="004F6A11" w:rsidP="004F6A11">
            <w:pPr>
              <w:jc w:val="right"/>
              <w:rPr>
                <w:sz w:val="20"/>
                <w:szCs w:val="20"/>
                <w:lang w:eastAsia="en-IE"/>
              </w:rPr>
            </w:pPr>
          </w:p>
        </w:tc>
        <w:tc>
          <w:tcPr>
            <w:tcW w:w="441" w:type="dxa"/>
            <w:tcBorders>
              <w:top w:val="nil"/>
              <w:left w:val="nil"/>
              <w:bottom w:val="nil"/>
              <w:right w:val="nil"/>
            </w:tcBorders>
            <w:shd w:val="clear" w:color="auto" w:fill="auto"/>
            <w:noWrap/>
            <w:vAlign w:val="center"/>
            <w:hideMark/>
          </w:tcPr>
          <w:p w14:paraId="38300E0D" w14:textId="77777777" w:rsidR="004F6A11" w:rsidRPr="004F6A11" w:rsidRDefault="004F6A11" w:rsidP="004F6A11">
            <w:pPr>
              <w:jc w:val="right"/>
              <w:rPr>
                <w:sz w:val="20"/>
                <w:szCs w:val="20"/>
                <w:lang w:eastAsia="en-IE"/>
              </w:rPr>
            </w:pPr>
          </w:p>
        </w:tc>
        <w:tc>
          <w:tcPr>
            <w:tcW w:w="1581" w:type="dxa"/>
            <w:tcBorders>
              <w:top w:val="nil"/>
              <w:left w:val="nil"/>
              <w:bottom w:val="nil"/>
              <w:right w:val="nil"/>
            </w:tcBorders>
            <w:shd w:val="clear" w:color="auto" w:fill="auto"/>
            <w:noWrap/>
            <w:vAlign w:val="center"/>
            <w:hideMark/>
          </w:tcPr>
          <w:p w14:paraId="2697DFDE" w14:textId="77777777" w:rsidR="004F6A11" w:rsidRPr="004F6A11" w:rsidRDefault="004F6A11" w:rsidP="004F6A11">
            <w:pPr>
              <w:jc w:val="right"/>
              <w:rPr>
                <w:sz w:val="20"/>
                <w:szCs w:val="20"/>
                <w:lang w:eastAsia="en-IE"/>
              </w:rPr>
            </w:pPr>
          </w:p>
        </w:tc>
      </w:tr>
      <w:tr w:rsidR="004F6A11" w:rsidRPr="004F6A11" w14:paraId="4A466E77" w14:textId="77777777" w:rsidTr="004F6A11">
        <w:trPr>
          <w:trHeight w:val="300"/>
        </w:trPr>
        <w:tc>
          <w:tcPr>
            <w:tcW w:w="1743" w:type="dxa"/>
            <w:tcBorders>
              <w:top w:val="nil"/>
              <w:left w:val="nil"/>
              <w:bottom w:val="nil"/>
              <w:right w:val="nil"/>
            </w:tcBorders>
            <w:shd w:val="clear" w:color="auto" w:fill="auto"/>
            <w:vAlign w:val="center"/>
            <w:hideMark/>
          </w:tcPr>
          <w:p w14:paraId="1CE2DBE0" w14:textId="77777777" w:rsidR="004F6A11" w:rsidRPr="004F6A11" w:rsidRDefault="004F6A11" w:rsidP="004F6A11">
            <w:pPr>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Other segment information: </w:t>
            </w:r>
          </w:p>
        </w:tc>
        <w:tc>
          <w:tcPr>
            <w:tcW w:w="960" w:type="dxa"/>
            <w:tcBorders>
              <w:top w:val="nil"/>
              <w:left w:val="nil"/>
              <w:bottom w:val="nil"/>
              <w:right w:val="nil"/>
            </w:tcBorders>
            <w:shd w:val="clear" w:color="auto" w:fill="auto"/>
            <w:noWrap/>
            <w:vAlign w:val="center"/>
            <w:hideMark/>
          </w:tcPr>
          <w:p w14:paraId="4619E11D" w14:textId="77777777" w:rsidR="004F6A11" w:rsidRPr="004F6A11" w:rsidRDefault="004F6A11" w:rsidP="004F6A11">
            <w:pPr>
              <w:rPr>
                <w:rFonts w:ascii="Calibri" w:hAnsi="Calibri" w:cs="Calibri"/>
                <w:b/>
                <w:bCs/>
                <w:color w:val="000000"/>
                <w:sz w:val="20"/>
                <w:szCs w:val="20"/>
                <w:lang w:eastAsia="en-IE"/>
              </w:rPr>
            </w:pPr>
          </w:p>
        </w:tc>
        <w:tc>
          <w:tcPr>
            <w:tcW w:w="1420" w:type="dxa"/>
            <w:tcBorders>
              <w:top w:val="nil"/>
              <w:left w:val="nil"/>
              <w:bottom w:val="nil"/>
              <w:right w:val="nil"/>
            </w:tcBorders>
            <w:shd w:val="clear" w:color="000000" w:fill="FFFF00"/>
            <w:noWrap/>
            <w:vAlign w:val="center"/>
            <w:hideMark/>
          </w:tcPr>
          <w:p w14:paraId="69DDECF9"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960" w:type="dxa"/>
            <w:tcBorders>
              <w:top w:val="nil"/>
              <w:left w:val="nil"/>
              <w:bottom w:val="nil"/>
              <w:right w:val="nil"/>
            </w:tcBorders>
            <w:shd w:val="clear" w:color="000000" w:fill="FFFF00"/>
            <w:noWrap/>
            <w:vAlign w:val="center"/>
            <w:hideMark/>
          </w:tcPr>
          <w:p w14:paraId="01D90BB0"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7EA222BE"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441" w:type="dxa"/>
            <w:tcBorders>
              <w:top w:val="nil"/>
              <w:left w:val="nil"/>
              <w:bottom w:val="nil"/>
              <w:right w:val="nil"/>
            </w:tcBorders>
            <w:shd w:val="clear" w:color="000000" w:fill="FFFF00"/>
            <w:noWrap/>
            <w:vAlign w:val="center"/>
            <w:hideMark/>
          </w:tcPr>
          <w:p w14:paraId="2D1BE1FE"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21B98758"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441" w:type="dxa"/>
            <w:tcBorders>
              <w:top w:val="nil"/>
              <w:left w:val="nil"/>
              <w:bottom w:val="nil"/>
              <w:right w:val="nil"/>
            </w:tcBorders>
            <w:shd w:val="clear" w:color="auto" w:fill="auto"/>
            <w:noWrap/>
            <w:vAlign w:val="center"/>
            <w:hideMark/>
          </w:tcPr>
          <w:p w14:paraId="658A0C0A"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nil"/>
              <w:right w:val="nil"/>
            </w:tcBorders>
            <w:shd w:val="clear" w:color="auto" w:fill="auto"/>
            <w:noWrap/>
            <w:vAlign w:val="center"/>
            <w:hideMark/>
          </w:tcPr>
          <w:p w14:paraId="7BFCCA00" w14:textId="77777777" w:rsidR="004F6A11" w:rsidRPr="004F6A11" w:rsidRDefault="004F6A11" w:rsidP="004F6A11">
            <w:pPr>
              <w:jc w:val="right"/>
              <w:rPr>
                <w:sz w:val="20"/>
                <w:szCs w:val="20"/>
                <w:lang w:eastAsia="en-IE"/>
              </w:rPr>
            </w:pPr>
          </w:p>
        </w:tc>
        <w:tc>
          <w:tcPr>
            <w:tcW w:w="441" w:type="dxa"/>
            <w:tcBorders>
              <w:top w:val="nil"/>
              <w:left w:val="nil"/>
              <w:bottom w:val="nil"/>
              <w:right w:val="nil"/>
            </w:tcBorders>
            <w:shd w:val="clear" w:color="auto" w:fill="auto"/>
            <w:noWrap/>
            <w:vAlign w:val="center"/>
            <w:hideMark/>
          </w:tcPr>
          <w:p w14:paraId="2BDE5132" w14:textId="77777777" w:rsidR="004F6A11" w:rsidRPr="004F6A11" w:rsidRDefault="004F6A11" w:rsidP="004F6A11">
            <w:pPr>
              <w:jc w:val="right"/>
              <w:rPr>
                <w:sz w:val="20"/>
                <w:szCs w:val="20"/>
                <w:lang w:eastAsia="en-IE"/>
              </w:rPr>
            </w:pPr>
          </w:p>
        </w:tc>
        <w:tc>
          <w:tcPr>
            <w:tcW w:w="1599" w:type="dxa"/>
            <w:tcBorders>
              <w:top w:val="nil"/>
              <w:left w:val="nil"/>
              <w:bottom w:val="nil"/>
              <w:right w:val="nil"/>
            </w:tcBorders>
            <w:shd w:val="clear" w:color="auto" w:fill="auto"/>
            <w:noWrap/>
            <w:vAlign w:val="center"/>
            <w:hideMark/>
          </w:tcPr>
          <w:p w14:paraId="0ADDB3EC" w14:textId="77777777" w:rsidR="004F6A11" w:rsidRPr="004F6A11" w:rsidRDefault="004F6A11" w:rsidP="004F6A11">
            <w:pPr>
              <w:jc w:val="right"/>
              <w:rPr>
                <w:sz w:val="20"/>
                <w:szCs w:val="20"/>
                <w:lang w:eastAsia="en-IE"/>
              </w:rPr>
            </w:pPr>
          </w:p>
        </w:tc>
        <w:tc>
          <w:tcPr>
            <w:tcW w:w="441" w:type="dxa"/>
            <w:tcBorders>
              <w:top w:val="nil"/>
              <w:left w:val="nil"/>
              <w:bottom w:val="nil"/>
              <w:right w:val="nil"/>
            </w:tcBorders>
            <w:shd w:val="clear" w:color="auto" w:fill="auto"/>
            <w:noWrap/>
            <w:vAlign w:val="center"/>
            <w:hideMark/>
          </w:tcPr>
          <w:p w14:paraId="764C2685" w14:textId="77777777" w:rsidR="004F6A11" w:rsidRPr="004F6A11" w:rsidRDefault="004F6A11" w:rsidP="004F6A11">
            <w:pPr>
              <w:jc w:val="right"/>
              <w:rPr>
                <w:sz w:val="20"/>
                <w:szCs w:val="20"/>
                <w:lang w:eastAsia="en-IE"/>
              </w:rPr>
            </w:pPr>
          </w:p>
        </w:tc>
        <w:tc>
          <w:tcPr>
            <w:tcW w:w="1581" w:type="dxa"/>
            <w:tcBorders>
              <w:top w:val="nil"/>
              <w:left w:val="nil"/>
              <w:bottom w:val="nil"/>
              <w:right w:val="nil"/>
            </w:tcBorders>
            <w:shd w:val="clear" w:color="auto" w:fill="auto"/>
            <w:noWrap/>
            <w:vAlign w:val="center"/>
            <w:hideMark/>
          </w:tcPr>
          <w:p w14:paraId="626EA896" w14:textId="77777777" w:rsidR="004F6A11" w:rsidRPr="004F6A11" w:rsidRDefault="004F6A11" w:rsidP="004F6A11">
            <w:pPr>
              <w:jc w:val="right"/>
              <w:rPr>
                <w:sz w:val="20"/>
                <w:szCs w:val="20"/>
                <w:lang w:eastAsia="en-IE"/>
              </w:rPr>
            </w:pPr>
          </w:p>
        </w:tc>
      </w:tr>
      <w:tr w:rsidR="004F6A11" w:rsidRPr="004F6A11" w14:paraId="66A35651" w14:textId="77777777" w:rsidTr="004F6A11">
        <w:trPr>
          <w:trHeight w:val="300"/>
        </w:trPr>
        <w:tc>
          <w:tcPr>
            <w:tcW w:w="1743" w:type="dxa"/>
            <w:tcBorders>
              <w:top w:val="nil"/>
              <w:left w:val="nil"/>
              <w:bottom w:val="nil"/>
              <w:right w:val="nil"/>
            </w:tcBorders>
            <w:shd w:val="clear" w:color="auto" w:fill="auto"/>
            <w:vAlign w:val="center"/>
            <w:hideMark/>
          </w:tcPr>
          <w:p w14:paraId="0B089B42"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Depreciation</w:t>
            </w:r>
          </w:p>
        </w:tc>
        <w:tc>
          <w:tcPr>
            <w:tcW w:w="960" w:type="dxa"/>
            <w:tcBorders>
              <w:top w:val="nil"/>
              <w:left w:val="nil"/>
              <w:bottom w:val="nil"/>
              <w:right w:val="nil"/>
            </w:tcBorders>
            <w:shd w:val="clear" w:color="auto" w:fill="auto"/>
            <w:noWrap/>
            <w:vAlign w:val="center"/>
            <w:hideMark/>
          </w:tcPr>
          <w:p w14:paraId="6438E627" w14:textId="77777777" w:rsidR="004F6A11" w:rsidRPr="004F6A11" w:rsidRDefault="004F6A11" w:rsidP="004F6A11">
            <w:pPr>
              <w:rPr>
                <w:rFonts w:ascii="Calibri" w:hAnsi="Calibri" w:cs="Calibri"/>
                <w:color w:val="000000"/>
                <w:sz w:val="20"/>
                <w:szCs w:val="20"/>
                <w:lang w:eastAsia="en-IE"/>
              </w:rPr>
            </w:pPr>
          </w:p>
        </w:tc>
        <w:tc>
          <w:tcPr>
            <w:tcW w:w="1420" w:type="dxa"/>
            <w:tcBorders>
              <w:top w:val="nil"/>
              <w:left w:val="nil"/>
              <w:bottom w:val="nil"/>
              <w:right w:val="nil"/>
            </w:tcBorders>
            <w:shd w:val="clear" w:color="000000" w:fill="FFFF00"/>
            <w:noWrap/>
            <w:vAlign w:val="center"/>
            <w:hideMark/>
          </w:tcPr>
          <w:p w14:paraId="75E24254"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146.8 </w:t>
            </w:r>
          </w:p>
        </w:tc>
        <w:tc>
          <w:tcPr>
            <w:tcW w:w="960" w:type="dxa"/>
            <w:tcBorders>
              <w:top w:val="nil"/>
              <w:left w:val="nil"/>
              <w:bottom w:val="nil"/>
              <w:right w:val="nil"/>
            </w:tcBorders>
            <w:shd w:val="clear" w:color="000000" w:fill="FFFF00"/>
            <w:noWrap/>
            <w:vAlign w:val="center"/>
            <w:hideMark/>
          </w:tcPr>
          <w:p w14:paraId="04177A65"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13BF1B22"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15.7 </w:t>
            </w:r>
          </w:p>
        </w:tc>
        <w:tc>
          <w:tcPr>
            <w:tcW w:w="441" w:type="dxa"/>
            <w:tcBorders>
              <w:top w:val="nil"/>
              <w:left w:val="nil"/>
              <w:bottom w:val="nil"/>
              <w:right w:val="nil"/>
            </w:tcBorders>
            <w:shd w:val="clear" w:color="000000" w:fill="FFFF00"/>
            <w:noWrap/>
            <w:vAlign w:val="center"/>
            <w:hideMark/>
          </w:tcPr>
          <w:p w14:paraId="2580A1CC"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52CBDCA9"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162.5 </w:t>
            </w:r>
          </w:p>
        </w:tc>
        <w:tc>
          <w:tcPr>
            <w:tcW w:w="441" w:type="dxa"/>
            <w:tcBorders>
              <w:top w:val="nil"/>
              <w:left w:val="nil"/>
              <w:bottom w:val="nil"/>
              <w:right w:val="nil"/>
            </w:tcBorders>
            <w:shd w:val="clear" w:color="auto" w:fill="auto"/>
            <w:noWrap/>
            <w:vAlign w:val="center"/>
            <w:hideMark/>
          </w:tcPr>
          <w:p w14:paraId="71DD1928"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nil"/>
              <w:right w:val="nil"/>
            </w:tcBorders>
            <w:shd w:val="clear" w:color="auto" w:fill="auto"/>
            <w:noWrap/>
            <w:vAlign w:val="center"/>
            <w:hideMark/>
          </w:tcPr>
          <w:p w14:paraId="4A1B0499"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174.8 </w:t>
            </w:r>
          </w:p>
        </w:tc>
        <w:tc>
          <w:tcPr>
            <w:tcW w:w="441" w:type="dxa"/>
            <w:tcBorders>
              <w:top w:val="nil"/>
              <w:left w:val="nil"/>
              <w:bottom w:val="nil"/>
              <w:right w:val="nil"/>
            </w:tcBorders>
            <w:shd w:val="clear" w:color="auto" w:fill="auto"/>
            <w:noWrap/>
            <w:vAlign w:val="center"/>
            <w:hideMark/>
          </w:tcPr>
          <w:p w14:paraId="098C3F2C" w14:textId="77777777" w:rsidR="004F6A11" w:rsidRPr="004F6A11" w:rsidRDefault="004F6A11" w:rsidP="004F6A11">
            <w:pPr>
              <w:jc w:val="right"/>
              <w:rPr>
                <w:rFonts w:ascii="Calibri" w:hAnsi="Calibri" w:cs="Calibri"/>
                <w:color w:val="000000"/>
                <w:sz w:val="20"/>
                <w:szCs w:val="20"/>
                <w:lang w:eastAsia="en-IE"/>
              </w:rPr>
            </w:pPr>
          </w:p>
        </w:tc>
        <w:tc>
          <w:tcPr>
            <w:tcW w:w="1599" w:type="dxa"/>
            <w:tcBorders>
              <w:top w:val="nil"/>
              <w:left w:val="nil"/>
              <w:bottom w:val="nil"/>
              <w:right w:val="nil"/>
            </w:tcBorders>
            <w:shd w:val="clear" w:color="auto" w:fill="auto"/>
            <w:noWrap/>
            <w:vAlign w:val="center"/>
            <w:hideMark/>
          </w:tcPr>
          <w:p w14:paraId="64602970"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13.4 </w:t>
            </w:r>
          </w:p>
        </w:tc>
        <w:tc>
          <w:tcPr>
            <w:tcW w:w="441" w:type="dxa"/>
            <w:tcBorders>
              <w:top w:val="nil"/>
              <w:left w:val="nil"/>
              <w:bottom w:val="nil"/>
              <w:right w:val="nil"/>
            </w:tcBorders>
            <w:shd w:val="clear" w:color="auto" w:fill="auto"/>
            <w:noWrap/>
            <w:vAlign w:val="center"/>
            <w:hideMark/>
          </w:tcPr>
          <w:p w14:paraId="58229F34" w14:textId="77777777" w:rsidR="004F6A11" w:rsidRPr="004F6A11" w:rsidRDefault="004F6A11" w:rsidP="004F6A11">
            <w:pPr>
              <w:jc w:val="right"/>
              <w:rPr>
                <w:rFonts w:ascii="Calibri" w:hAnsi="Calibri" w:cs="Calibri"/>
                <w:color w:val="000000"/>
                <w:sz w:val="20"/>
                <w:szCs w:val="20"/>
                <w:lang w:eastAsia="en-IE"/>
              </w:rPr>
            </w:pPr>
          </w:p>
        </w:tc>
        <w:tc>
          <w:tcPr>
            <w:tcW w:w="1581" w:type="dxa"/>
            <w:tcBorders>
              <w:top w:val="nil"/>
              <w:left w:val="nil"/>
              <w:bottom w:val="nil"/>
              <w:right w:val="nil"/>
            </w:tcBorders>
            <w:shd w:val="clear" w:color="auto" w:fill="auto"/>
            <w:noWrap/>
            <w:vAlign w:val="center"/>
            <w:hideMark/>
          </w:tcPr>
          <w:p w14:paraId="43426ED9"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188.2 </w:t>
            </w:r>
          </w:p>
        </w:tc>
      </w:tr>
      <w:tr w:rsidR="004F6A11" w:rsidRPr="004F6A11" w14:paraId="262A1EB2" w14:textId="77777777" w:rsidTr="004F6A11">
        <w:trPr>
          <w:trHeight w:val="525"/>
        </w:trPr>
        <w:tc>
          <w:tcPr>
            <w:tcW w:w="1743" w:type="dxa"/>
            <w:tcBorders>
              <w:top w:val="nil"/>
              <w:left w:val="nil"/>
              <w:bottom w:val="nil"/>
              <w:right w:val="nil"/>
            </w:tcBorders>
            <w:shd w:val="clear" w:color="auto" w:fill="auto"/>
            <w:vAlign w:val="center"/>
            <w:hideMark/>
          </w:tcPr>
          <w:p w14:paraId="23335950"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Capex net of supplier proceeds</w:t>
            </w:r>
          </w:p>
        </w:tc>
        <w:tc>
          <w:tcPr>
            <w:tcW w:w="960" w:type="dxa"/>
            <w:tcBorders>
              <w:top w:val="nil"/>
              <w:left w:val="nil"/>
              <w:bottom w:val="nil"/>
              <w:right w:val="nil"/>
            </w:tcBorders>
            <w:shd w:val="clear" w:color="auto" w:fill="auto"/>
            <w:noWrap/>
            <w:vAlign w:val="center"/>
            <w:hideMark/>
          </w:tcPr>
          <w:p w14:paraId="03F61D85" w14:textId="77777777" w:rsidR="004F6A11" w:rsidRPr="004F6A11" w:rsidRDefault="004F6A11" w:rsidP="004F6A11">
            <w:pPr>
              <w:rPr>
                <w:rFonts w:ascii="Calibri" w:hAnsi="Calibri" w:cs="Calibri"/>
                <w:color w:val="000000"/>
                <w:sz w:val="20"/>
                <w:szCs w:val="20"/>
                <w:lang w:eastAsia="en-IE"/>
              </w:rPr>
            </w:pPr>
          </w:p>
        </w:tc>
        <w:tc>
          <w:tcPr>
            <w:tcW w:w="1420" w:type="dxa"/>
            <w:tcBorders>
              <w:top w:val="nil"/>
              <w:left w:val="nil"/>
              <w:bottom w:val="single" w:sz="8" w:space="0" w:color="auto"/>
              <w:right w:val="nil"/>
            </w:tcBorders>
            <w:shd w:val="clear" w:color="000000" w:fill="FFFF00"/>
            <w:noWrap/>
            <w:vAlign w:val="center"/>
            <w:hideMark/>
          </w:tcPr>
          <w:p w14:paraId="13D7276C"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(279.9)</w:t>
            </w:r>
          </w:p>
        </w:tc>
        <w:tc>
          <w:tcPr>
            <w:tcW w:w="960" w:type="dxa"/>
            <w:tcBorders>
              <w:top w:val="nil"/>
              <w:left w:val="nil"/>
              <w:bottom w:val="nil"/>
              <w:right w:val="nil"/>
            </w:tcBorders>
            <w:shd w:val="clear" w:color="000000" w:fill="FFFF00"/>
            <w:noWrap/>
            <w:vAlign w:val="center"/>
            <w:hideMark/>
          </w:tcPr>
          <w:p w14:paraId="4010253D"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480" w:type="dxa"/>
            <w:tcBorders>
              <w:top w:val="nil"/>
              <w:left w:val="nil"/>
              <w:bottom w:val="single" w:sz="8" w:space="0" w:color="auto"/>
              <w:right w:val="nil"/>
            </w:tcBorders>
            <w:shd w:val="clear" w:color="000000" w:fill="FFFF00"/>
            <w:noWrap/>
            <w:vAlign w:val="center"/>
            <w:hideMark/>
          </w:tcPr>
          <w:p w14:paraId="4671682E"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 </w:t>
            </w:r>
          </w:p>
        </w:tc>
        <w:tc>
          <w:tcPr>
            <w:tcW w:w="441" w:type="dxa"/>
            <w:tcBorders>
              <w:top w:val="nil"/>
              <w:left w:val="nil"/>
              <w:bottom w:val="nil"/>
              <w:right w:val="nil"/>
            </w:tcBorders>
            <w:shd w:val="clear" w:color="000000" w:fill="FFFF00"/>
            <w:noWrap/>
            <w:vAlign w:val="center"/>
            <w:hideMark/>
          </w:tcPr>
          <w:p w14:paraId="07B69072"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614" w:type="dxa"/>
            <w:tcBorders>
              <w:top w:val="nil"/>
              <w:left w:val="nil"/>
              <w:bottom w:val="single" w:sz="8" w:space="0" w:color="auto"/>
              <w:right w:val="nil"/>
            </w:tcBorders>
            <w:shd w:val="clear" w:color="000000" w:fill="FFFF00"/>
            <w:noWrap/>
            <w:vAlign w:val="center"/>
            <w:hideMark/>
          </w:tcPr>
          <w:p w14:paraId="01D00FD4"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(279.9)</w:t>
            </w:r>
          </w:p>
        </w:tc>
        <w:tc>
          <w:tcPr>
            <w:tcW w:w="441" w:type="dxa"/>
            <w:tcBorders>
              <w:top w:val="nil"/>
              <w:left w:val="nil"/>
              <w:bottom w:val="nil"/>
              <w:right w:val="nil"/>
            </w:tcBorders>
            <w:shd w:val="clear" w:color="auto" w:fill="auto"/>
            <w:noWrap/>
            <w:vAlign w:val="center"/>
            <w:hideMark/>
          </w:tcPr>
          <w:p w14:paraId="25FBE426"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single" w:sz="8" w:space="0" w:color="auto"/>
              <w:right w:val="nil"/>
            </w:tcBorders>
            <w:shd w:val="clear" w:color="auto" w:fill="auto"/>
            <w:noWrap/>
            <w:vAlign w:val="center"/>
            <w:hideMark/>
          </w:tcPr>
          <w:p w14:paraId="4B6C5F1F"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97.6 </w:t>
            </w:r>
          </w:p>
        </w:tc>
        <w:tc>
          <w:tcPr>
            <w:tcW w:w="441" w:type="dxa"/>
            <w:tcBorders>
              <w:top w:val="nil"/>
              <w:left w:val="nil"/>
              <w:bottom w:val="nil"/>
              <w:right w:val="nil"/>
            </w:tcBorders>
            <w:shd w:val="clear" w:color="auto" w:fill="auto"/>
            <w:noWrap/>
            <w:vAlign w:val="center"/>
            <w:hideMark/>
          </w:tcPr>
          <w:p w14:paraId="178A0686" w14:textId="77777777" w:rsidR="004F6A11" w:rsidRPr="004F6A11" w:rsidRDefault="004F6A11" w:rsidP="004F6A11">
            <w:pPr>
              <w:jc w:val="right"/>
              <w:rPr>
                <w:rFonts w:ascii="Calibri" w:hAnsi="Calibri" w:cs="Calibri"/>
                <w:color w:val="000000"/>
                <w:sz w:val="20"/>
                <w:szCs w:val="20"/>
                <w:lang w:eastAsia="en-IE"/>
              </w:rPr>
            </w:pPr>
          </w:p>
        </w:tc>
        <w:tc>
          <w:tcPr>
            <w:tcW w:w="1599" w:type="dxa"/>
            <w:tcBorders>
              <w:top w:val="nil"/>
              <w:left w:val="nil"/>
              <w:bottom w:val="single" w:sz="8" w:space="0" w:color="auto"/>
              <w:right w:val="nil"/>
            </w:tcBorders>
            <w:shd w:val="clear" w:color="auto" w:fill="auto"/>
            <w:noWrap/>
            <w:vAlign w:val="center"/>
            <w:hideMark/>
          </w:tcPr>
          <w:p w14:paraId="2529097D"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 </w:t>
            </w:r>
          </w:p>
        </w:tc>
        <w:tc>
          <w:tcPr>
            <w:tcW w:w="441" w:type="dxa"/>
            <w:tcBorders>
              <w:top w:val="nil"/>
              <w:left w:val="nil"/>
              <w:bottom w:val="nil"/>
              <w:right w:val="nil"/>
            </w:tcBorders>
            <w:shd w:val="clear" w:color="auto" w:fill="auto"/>
            <w:noWrap/>
            <w:vAlign w:val="center"/>
            <w:hideMark/>
          </w:tcPr>
          <w:p w14:paraId="325DCCD7" w14:textId="77777777" w:rsidR="004F6A11" w:rsidRPr="004F6A11" w:rsidRDefault="004F6A11" w:rsidP="004F6A11">
            <w:pPr>
              <w:jc w:val="right"/>
              <w:rPr>
                <w:rFonts w:ascii="Calibri" w:hAnsi="Calibri" w:cs="Calibri"/>
                <w:color w:val="000000"/>
                <w:sz w:val="20"/>
                <w:szCs w:val="20"/>
                <w:lang w:eastAsia="en-IE"/>
              </w:rPr>
            </w:pPr>
          </w:p>
        </w:tc>
        <w:tc>
          <w:tcPr>
            <w:tcW w:w="1581" w:type="dxa"/>
            <w:tcBorders>
              <w:top w:val="nil"/>
              <w:left w:val="nil"/>
              <w:bottom w:val="single" w:sz="8" w:space="0" w:color="auto"/>
              <w:right w:val="nil"/>
            </w:tcBorders>
            <w:shd w:val="clear" w:color="auto" w:fill="auto"/>
            <w:noWrap/>
            <w:vAlign w:val="center"/>
            <w:hideMark/>
          </w:tcPr>
          <w:p w14:paraId="53881212"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97.6 </w:t>
            </w:r>
          </w:p>
        </w:tc>
      </w:tr>
      <w:tr w:rsidR="004F6A11" w:rsidRPr="004F6A11" w14:paraId="13D4C729" w14:textId="77777777" w:rsidTr="004F6A11">
        <w:trPr>
          <w:trHeight w:val="300"/>
        </w:trPr>
        <w:tc>
          <w:tcPr>
            <w:tcW w:w="1743" w:type="dxa"/>
            <w:tcBorders>
              <w:top w:val="nil"/>
              <w:left w:val="nil"/>
              <w:bottom w:val="nil"/>
              <w:right w:val="nil"/>
            </w:tcBorders>
            <w:shd w:val="clear" w:color="auto" w:fill="auto"/>
            <w:vAlign w:val="center"/>
            <w:hideMark/>
          </w:tcPr>
          <w:p w14:paraId="38E86A8E" w14:textId="77777777" w:rsidR="004F6A11" w:rsidRPr="004F6A11" w:rsidRDefault="004F6A11" w:rsidP="004F6A11">
            <w:pPr>
              <w:jc w:val="right"/>
              <w:rPr>
                <w:rFonts w:ascii="Calibri" w:hAnsi="Calibri" w:cs="Calibri"/>
                <w:color w:val="000000"/>
                <w:sz w:val="20"/>
                <w:szCs w:val="20"/>
                <w:lang w:eastAsia="en-IE"/>
              </w:rPr>
            </w:pPr>
          </w:p>
        </w:tc>
        <w:tc>
          <w:tcPr>
            <w:tcW w:w="960" w:type="dxa"/>
            <w:tcBorders>
              <w:top w:val="nil"/>
              <w:left w:val="nil"/>
              <w:bottom w:val="nil"/>
              <w:right w:val="nil"/>
            </w:tcBorders>
            <w:shd w:val="clear" w:color="auto" w:fill="auto"/>
            <w:noWrap/>
            <w:vAlign w:val="center"/>
            <w:hideMark/>
          </w:tcPr>
          <w:p w14:paraId="474CA5E6" w14:textId="77777777" w:rsidR="004F6A11" w:rsidRPr="004F6A11" w:rsidRDefault="004F6A11" w:rsidP="004F6A11">
            <w:pPr>
              <w:rPr>
                <w:sz w:val="20"/>
                <w:szCs w:val="20"/>
                <w:lang w:eastAsia="en-IE"/>
              </w:rPr>
            </w:pPr>
          </w:p>
        </w:tc>
        <w:tc>
          <w:tcPr>
            <w:tcW w:w="1420" w:type="dxa"/>
            <w:tcBorders>
              <w:top w:val="nil"/>
              <w:left w:val="nil"/>
              <w:bottom w:val="nil"/>
              <w:right w:val="nil"/>
            </w:tcBorders>
            <w:shd w:val="clear" w:color="000000" w:fill="FFFF00"/>
            <w:noWrap/>
            <w:vAlign w:val="center"/>
            <w:hideMark/>
          </w:tcPr>
          <w:p w14:paraId="62853A00"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960" w:type="dxa"/>
            <w:tcBorders>
              <w:top w:val="nil"/>
              <w:left w:val="nil"/>
              <w:bottom w:val="nil"/>
              <w:right w:val="nil"/>
            </w:tcBorders>
            <w:shd w:val="clear" w:color="000000" w:fill="FFFF00"/>
            <w:noWrap/>
            <w:vAlign w:val="center"/>
            <w:hideMark/>
          </w:tcPr>
          <w:p w14:paraId="2C0EFCD9"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5606EB6B"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441" w:type="dxa"/>
            <w:tcBorders>
              <w:top w:val="nil"/>
              <w:left w:val="nil"/>
              <w:bottom w:val="nil"/>
              <w:right w:val="nil"/>
            </w:tcBorders>
            <w:shd w:val="clear" w:color="000000" w:fill="FFFF00"/>
            <w:noWrap/>
            <w:vAlign w:val="center"/>
            <w:hideMark/>
          </w:tcPr>
          <w:p w14:paraId="628258DC" w14:textId="77777777" w:rsidR="004F6A11" w:rsidRPr="004F6A11" w:rsidRDefault="004F6A11" w:rsidP="004F6A11">
            <w:pPr>
              <w:jc w:val="right"/>
              <w:rPr>
                <w:rFonts w:ascii="Calibri" w:hAnsi="Calibri" w:cs="Calibri"/>
                <w:color w:val="000000"/>
                <w:sz w:val="20"/>
                <w:szCs w:val="20"/>
                <w:lang w:eastAsia="en-IE"/>
              </w:rPr>
            </w:pPr>
            <w:r w:rsidRPr="004F6A11">
              <w:rPr>
                <w:rFonts w:ascii="Calibri" w:eastAsia="Calibri" w:hAnsi="Calibri" w:cs="Calibri"/>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3D97ECD4"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441" w:type="dxa"/>
            <w:tcBorders>
              <w:top w:val="nil"/>
              <w:left w:val="nil"/>
              <w:bottom w:val="nil"/>
              <w:right w:val="nil"/>
            </w:tcBorders>
            <w:shd w:val="clear" w:color="auto" w:fill="auto"/>
            <w:noWrap/>
            <w:vAlign w:val="center"/>
            <w:hideMark/>
          </w:tcPr>
          <w:p w14:paraId="086552FE"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nil"/>
              <w:right w:val="nil"/>
            </w:tcBorders>
            <w:shd w:val="clear" w:color="auto" w:fill="auto"/>
            <w:noWrap/>
            <w:vAlign w:val="center"/>
            <w:hideMark/>
          </w:tcPr>
          <w:p w14:paraId="322D82D0" w14:textId="77777777" w:rsidR="004F6A11" w:rsidRPr="004F6A11" w:rsidRDefault="004F6A11" w:rsidP="004F6A11">
            <w:pPr>
              <w:jc w:val="right"/>
              <w:rPr>
                <w:sz w:val="20"/>
                <w:szCs w:val="20"/>
                <w:lang w:eastAsia="en-IE"/>
              </w:rPr>
            </w:pPr>
          </w:p>
        </w:tc>
        <w:tc>
          <w:tcPr>
            <w:tcW w:w="441" w:type="dxa"/>
            <w:tcBorders>
              <w:top w:val="nil"/>
              <w:left w:val="nil"/>
              <w:bottom w:val="nil"/>
              <w:right w:val="nil"/>
            </w:tcBorders>
            <w:shd w:val="clear" w:color="auto" w:fill="auto"/>
            <w:noWrap/>
            <w:vAlign w:val="center"/>
            <w:hideMark/>
          </w:tcPr>
          <w:p w14:paraId="1700234E" w14:textId="77777777" w:rsidR="004F6A11" w:rsidRPr="004F6A11" w:rsidRDefault="004F6A11" w:rsidP="004F6A11">
            <w:pPr>
              <w:jc w:val="right"/>
              <w:rPr>
                <w:sz w:val="20"/>
                <w:szCs w:val="20"/>
                <w:lang w:eastAsia="en-IE"/>
              </w:rPr>
            </w:pPr>
          </w:p>
        </w:tc>
        <w:tc>
          <w:tcPr>
            <w:tcW w:w="1599" w:type="dxa"/>
            <w:tcBorders>
              <w:top w:val="nil"/>
              <w:left w:val="nil"/>
              <w:bottom w:val="nil"/>
              <w:right w:val="nil"/>
            </w:tcBorders>
            <w:shd w:val="clear" w:color="auto" w:fill="auto"/>
            <w:noWrap/>
            <w:vAlign w:val="center"/>
            <w:hideMark/>
          </w:tcPr>
          <w:p w14:paraId="7B573495" w14:textId="77777777" w:rsidR="004F6A11" w:rsidRPr="004F6A11" w:rsidRDefault="004F6A11" w:rsidP="004F6A11">
            <w:pPr>
              <w:jc w:val="right"/>
              <w:rPr>
                <w:sz w:val="20"/>
                <w:szCs w:val="20"/>
                <w:lang w:eastAsia="en-IE"/>
              </w:rPr>
            </w:pPr>
          </w:p>
        </w:tc>
        <w:tc>
          <w:tcPr>
            <w:tcW w:w="441" w:type="dxa"/>
            <w:tcBorders>
              <w:top w:val="nil"/>
              <w:left w:val="nil"/>
              <w:bottom w:val="nil"/>
              <w:right w:val="nil"/>
            </w:tcBorders>
            <w:shd w:val="clear" w:color="auto" w:fill="auto"/>
            <w:noWrap/>
            <w:vAlign w:val="center"/>
            <w:hideMark/>
          </w:tcPr>
          <w:p w14:paraId="5B8942BF" w14:textId="77777777" w:rsidR="004F6A11" w:rsidRPr="004F6A11" w:rsidRDefault="004F6A11" w:rsidP="004F6A11">
            <w:pPr>
              <w:jc w:val="right"/>
              <w:rPr>
                <w:sz w:val="20"/>
                <w:szCs w:val="20"/>
                <w:lang w:eastAsia="en-IE"/>
              </w:rPr>
            </w:pPr>
          </w:p>
        </w:tc>
        <w:tc>
          <w:tcPr>
            <w:tcW w:w="1581" w:type="dxa"/>
            <w:tcBorders>
              <w:top w:val="nil"/>
              <w:left w:val="nil"/>
              <w:bottom w:val="nil"/>
              <w:right w:val="nil"/>
            </w:tcBorders>
            <w:shd w:val="clear" w:color="auto" w:fill="auto"/>
            <w:noWrap/>
            <w:vAlign w:val="center"/>
            <w:hideMark/>
          </w:tcPr>
          <w:p w14:paraId="3BD274BA" w14:textId="77777777" w:rsidR="004F6A11" w:rsidRPr="004F6A11" w:rsidRDefault="004F6A11" w:rsidP="004F6A11">
            <w:pPr>
              <w:jc w:val="right"/>
              <w:rPr>
                <w:sz w:val="20"/>
                <w:szCs w:val="20"/>
                <w:lang w:eastAsia="en-IE"/>
              </w:rPr>
            </w:pPr>
          </w:p>
        </w:tc>
      </w:tr>
      <w:tr w:rsidR="004F6A11" w:rsidRPr="004F6A11" w14:paraId="4BF77D8A" w14:textId="77777777" w:rsidTr="004F6A11">
        <w:trPr>
          <w:trHeight w:val="300"/>
        </w:trPr>
        <w:tc>
          <w:tcPr>
            <w:tcW w:w="1743" w:type="dxa"/>
            <w:tcBorders>
              <w:top w:val="nil"/>
              <w:left w:val="nil"/>
              <w:bottom w:val="nil"/>
              <w:right w:val="nil"/>
            </w:tcBorders>
            <w:shd w:val="clear" w:color="auto" w:fill="auto"/>
            <w:vAlign w:val="center"/>
            <w:hideMark/>
          </w:tcPr>
          <w:p w14:paraId="64E91D39" w14:textId="77777777" w:rsidR="004F6A11" w:rsidRPr="004F6A11" w:rsidRDefault="004F6A11" w:rsidP="004F6A11">
            <w:pPr>
              <w:jc w:val="right"/>
              <w:rPr>
                <w:sz w:val="20"/>
                <w:szCs w:val="20"/>
                <w:lang w:eastAsia="en-IE"/>
              </w:rPr>
            </w:pPr>
          </w:p>
        </w:tc>
        <w:tc>
          <w:tcPr>
            <w:tcW w:w="960" w:type="dxa"/>
            <w:tcBorders>
              <w:top w:val="nil"/>
              <w:left w:val="nil"/>
              <w:bottom w:val="nil"/>
              <w:right w:val="nil"/>
            </w:tcBorders>
            <w:shd w:val="clear" w:color="auto" w:fill="auto"/>
            <w:noWrap/>
            <w:vAlign w:val="center"/>
            <w:hideMark/>
          </w:tcPr>
          <w:p w14:paraId="5E130FC9" w14:textId="77777777" w:rsidR="004F6A11" w:rsidRPr="004F6A11" w:rsidRDefault="004F6A11" w:rsidP="004F6A11">
            <w:pPr>
              <w:rPr>
                <w:sz w:val="20"/>
                <w:szCs w:val="20"/>
                <w:lang w:eastAsia="en-IE"/>
              </w:rPr>
            </w:pPr>
          </w:p>
        </w:tc>
        <w:tc>
          <w:tcPr>
            <w:tcW w:w="1420" w:type="dxa"/>
            <w:tcBorders>
              <w:top w:val="nil"/>
              <w:left w:val="nil"/>
              <w:bottom w:val="nil"/>
              <w:right w:val="nil"/>
            </w:tcBorders>
            <w:shd w:val="clear" w:color="000000" w:fill="FFFF00"/>
            <w:noWrap/>
            <w:vAlign w:val="center"/>
            <w:hideMark/>
          </w:tcPr>
          <w:p w14:paraId="1C518A6F"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Sep 30,</w:t>
            </w:r>
          </w:p>
        </w:tc>
        <w:tc>
          <w:tcPr>
            <w:tcW w:w="960" w:type="dxa"/>
            <w:tcBorders>
              <w:top w:val="nil"/>
              <w:left w:val="nil"/>
              <w:bottom w:val="nil"/>
              <w:right w:val="nil"/>
            </w:tcBorders>
            <w:shd w:val="clear" w:color="000000" w:fill="FFFF00"/>
            <w:noWrap/>
            <w:vAlign w:val="center"/>
            <w:hideMark/>
          </w:tcPr>
          <w:p w14:paraId="7F3873D3"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33C06C00"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Sep 30,</w:t>
            </w:r>
          </w:p>
        </w:tc>
        <w:tc>
          <w:tcPr>
            <w:tcW w:w="441" w:type="dxa"/>
            <w:tcBorders>
              <w:top w:val="nil"/>
              <w:left w:val="nil"/>
              <w:bottom w:val="nil"/>
              <w:right w:val="nil"/>
            </w:tcBorders>
            <w:shd w:val="clear" w:color="000000" w:fill="FFFF00"/>
            <w:noWrap/>
            <w:vAlign w:val="center"/>
            <w:hideMark/>
          </w:tcPr>
          <w:p w14:paraId="77FC09B3"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1B0CFFBB"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Sep 30, </w:t>
            </w:r>
          </w:p>
        </w:tc>
        <w:tc>
          <w:tcPr>
            <w:tcW w:w="441" w:type="dxa"/>
            <w:tcBorders>
              <w:top w:val="nil"/>
              <w:left w:val="nil"/>
              <w:bottom w:val="nil"/>
              <w:right w:val="nil"/>
            </w:tcBorders>
            <w:shd w:val="clear" w:color="auto" w:fill="auto"/>
            <w:noWrap/>
            <w:vAlign w:val="center"/>
            <w:hideMark/>
          </w:tcPr>
          <w:p w14:paraId="5CBB6B65"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nil"/>
              <w:right w:val="nil"/>
            </w:tcBorders>
            <w:shd w:val="clear" w:color="auto" w:fill="auto"/>
            <w:noWrap/>
            <w:vAlign w:val="center"/>
            <w:hideMark/>
          </w:tcPr>
          <w:p w14:paraId="1D13DFF4"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Mar 31, </w:t>
            </w:r>
          </w:p>
        </w:tc>
        <w:tc>
          <w:tcPr>
            <w:tcW w:w="441" w:type="dxa"/>
            <w:tcBorders>
              <w:top w:val="nil"/>
              <w:left w:val="nil"/>
              <w:bottom w:val="nil"/>
              <w:right w:val="nil"/>
            </w:tcBorders>
            <w:shd w:val="clear" w:color="auto" w:fill="auto"/>
            <w:noWrap/>
            <w:vAlign w:val="center"/>
            <w:hideMark/>
          </w:tcPr>
          <w:p w14:paraId="1E835A73" w14:textId="77777777" w:rsidR="004F6A11" w:rsidRPr="004F6A11" w:rsidRDefault="004F6A11" w:rsidP="004F6A11">
            <w:pPr>
              <w:jc w:val="right"/>
              <w:rPr>
                <w:rFonts w:ascii="Calibri" w:hAnsi="Calibri" w:cs="Calibri"/>
                <w:b/>
                <w:bCs/>
                <w:color w:val="000000"/>
                <w:sz w:val="20"/>
                <w:szCs w:val="20"/>
                <w:lang w:eastAsia="en-IE"/>
              </w:rPr>
            </w:pPr>
          </w:p>
        </w:tc>
        <w:tc>
          <w:tcPr>
            <w:tcW w:w="1599" w:type="dxa"/>
            <w:tcBorders>
              <w:top w:val="nil"/>
              <w:left w:val="nil"/>
              <w:bottom w:val="nil"/>
              <w:right w:val="nil"/>
            </w:tcBorders>
            <w:shd w:val="clear" w:color="auto" w:fill="auto"/>
            <w:noWrap/>
            <w:vAlign w:val="center"/>
            <w:hideMark/>
          </w:tcPr>
          <w:p w14:paraId="3031BA35"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Mar 31, </w:t>
            </w:r>
          </w:p>
        </w:tc>
        <w:tc>
          <w:tcPr>
            <w:tcW w:w="441" w:type="dxa"/>
            <w:tcBorders>
              <w:top w:val="nil"/>
              <w:left w:val="nil"/>
              <w:bottom w:val="nil"/>
              <w:right w:val="nil"/>
            </w:tcBorders>
            <w:shd w:val="clear" w:color="auto" w:fill="auto"/>
            <w:noWrap/>
            <w:vAlign w:val="center"/>
            <w:hideMark/>
          </w:tcPr>
          <w:p w14:paraId="7EC14137" w14:textId="77777777" w:rsidR="004F6A11" w:rsidRPr="004F6A11" w:rsidRDefault="004F6A11" w:rsidP="004F6A11">
            <w:pPr>
              <w:jc w:val="right"/>
              <w:rPr>
                <w:rFonts w:ascii="Calibri" w:hAnsi="Calibri" w:cs="Calibri"/>
                <w:b/>
                <w:bCs/>
                <w:color w:val="000000"/>
                <w:sz w:val="20"/>
                <w:szCs w:val="20"/>
                <w:lang w:eastAsia="en-IE"/>
              </w:rPr>
            </w:pPr>
          </w:p>
        </w:tc>
        <w:tc>
          <w:tcPr>
            <w:tcW w:w="1581" w:type="dxa"/>
            <w:tcBorders>
              <w:top w:val="nil"/>
              <w:left w:val="nil"/>
              <w:bottom w:val="nil"/>
              <w:right w:val="nil"/>
            </w:tcBorders>
            <w:shd w:val="clear" w:color="auto" w:fill="auto"/>
            <w:noWrap/>
            <w:vAlign w:val="center"/>
            <w:hideMark/>
          </w:tcPr>
          <w:p w14:paraId="56EFE380"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At Mar 31,</w:t>
            </w:r>
          </w:p>
        </w:tc>
      </w:tr>
      <w:tr w:rsidR="004F6A11" w:rsidRPr="004F6A11" w14:paraId="26CEA9DE" w14:textId="77777777" w:rsidTr="004F6A11">
        <w:trPr>
          <w:trHeight w:val="315"/>
        </w:trPr>
        <w:tc>
          <w:tcPr>
            <w:tcW w:w="1743" w:type="dxa"/>
            <w:tcBorders>
              <w:top w:val="nil"/>
              <w:left w:val="nil"/>
              <w:bottom w:val="nil"/>
              <w:right w:val="nil"/>
            </w:tcBorders>
            <w:shd w:val="clear" w:color="auto" w:fill="auto"/>
            <w:vAlign w:val="center"/>
            <w:hideMark/>
          </w:tcPr>
          <w:p w14:paraId="70980161" w14:textId="77777777" w:rsidR="004F6A11" w:rsidRPr="004F6A11" w:rsidRDefault="004F6A11" w:rsidP="004F6A11">
            <w:pPr>
              <w:jc w:val="right"/>
              <w:rPr>
                <w:rFonts w:ascii="Calibri" w:hAnsi="Calibri" w:cs="Calibri"/>
                <w:b/>
                <w:bCs/>
                <w:color w:val="000000"/>
                <w:sz w:val="20"/>
                <w:szCs w:val="20"/>
                <w:lang w:eastAsia="en-IE"/>
              </w:rPr>
            </w:pPr>
          </w:p>
        </w:tc>
        <w:tc>
          <w:tcPr>
            <w:tcW w:w="960" w:type="dxa"/>
            <w:tcBorders>
              <w:top w:val="nil"/>
              <w:left w:val="nil"/>
              <w:bottom w:val="nil"/>
              <w:right w:val="nil"/>
            </w:tcBorders>
            <w:shd w:val="clear" w:color="auto" w:fill="auto"/>
            <w:noWrap/>
            <w:vAlign w:val="center"/>
            <w:hideMark/>
          </w:tcPr>
          <w:p w14:paraId="1279D5CF"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1420" w:type="dxa"/>
            <w:tcBorders>
              <w:top w:val="nil"/>
              <w:left w:val="nil"/>
              <w:bottom w:val="single" w:sz="8" w:space="0" w:color="000000"/>
              <w:right w:val="nil"/>
            </w:tcBorders>
            <w:shd w:val="clear" w:color="000000" w:fill="FFFF00"/>
            <w:noWrap/>
            <w:vAlign w:val="center"/>
            <w:hideMark/>
          </w:tcPr>
          <w:p w14:paraId="670C2B81"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2020</w:t>
            </w:r>
          </w:p>
        </w:tc>
        <w:tc>
          <w:tcPr>
            <w:tcW w:w="960" w:type="dxa"/>
            <w:tcBorders>
              <w:top w:val="nil"/>
              <w:left w:val="nil"/>
              <w:bottom w:val="nil"/>
              <w:right w:val="nil"/>
            </w:tcBorders>
            <w:shd w:val="clear" w:color="000000" w:fill="FFFF00"/>
            <w:noWrap/>
            <w:vAlign w:val="center"/>
            <w:hideMark/>
          </w:tcPr>
          <w:p w14:paraId="58EDF4BD"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1480" w:type="dxa"/>
            <w:tcBorders>
              <w:top w:val="nil"/>
              <w:left w:val="nil"/>
              <w:bottom w:val="single" w:sz="8" w:space="0" w:color="000000"/>
              <w:right w:val="nil"/>
            </w:tcBorders>
            <w:shd w:val="clear" w:color="000000" w:fill="FFFF00"/>
            <w:noWrap/>
            <w:vAlign w:val="center"/>
            <w:hideMark/>
          </w:tcPr>
          <w:p w14:paraId="3BD2E0AF"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2020</w:t>
            </w:r>
          </w:p>
        </w:tc>
        <w:tc>
          <w:tcPr>
            <w:tcW w:w="441" w:type="dxa"/>
            <w:tcBorders>
              <w:top w:val="nil"/>
              <w:left w:val="nil"/>
              <w:bottom w:val="nil"/>
              <w:right w:val="nil"/>
            </w:tcBorders>
            <w:shd w:val="clear" w:color="000000" w:fill="FFFF00"/>
            <w:noWrap/>
            <w:vAlign w:val="center"/>
            <w:hideMark/>
          </w:tcPr>
          <w:p w14:paraId="2402743D"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1614" w:type="dxa"/>
            <w:tcBorders>
              <w:top w:val="nil"/>
              <w:left w:val="nil"/>
              <w:bottom w:val="single" w:sz="8" w:space="0" w:color="000000"/>
              <w:right w:val="nil"/>
            </w:tcBorders>
            <w:shd w:val="clear" w:color="000000" w:fill="FFFF00"/>
            <w:noWrap/>
            <w:vAlign w:val="center"/>
            <w:hideMark/>
          </w:tcPr>
          <w:p w14:paraId="0D3219C3"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2020</w:t>
            </w:r>
          </w:p>
        </w:tc>
        <w:tc>
          <w:tcPr>
            <w:tcW w:w="441" w:type="dxa"/>
            <w:tcBorders>
              <w:top w:val="nil"/>
              <w:left w:val="nil"/>
              <w:bottom w:val="nil"/>
              <w:right w:val="nil"/>
            </w:tcBorders>
            <w:shd w:val="clear" w:color="auto" w:fill="auto"/>
            <w:noWrap/>
            <w:vAlign w:val="center"/>
            <w:hideMark/>
          </w:tcPr>
          <w:p w14:paraId="5612F9E6"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single" w:sz="8" w:space="0" w:color="000000"/>
              <w:right w:val="nil"/>
            </w:tcBorders>
            <w:shd w:val="clear" w:color="auto" w:fill="auto"/>
            <w:noWrap/>
            <w:vAlign w:val="center"/>
            <w:hideMark/>
          </w:tcPr>
          <w:p w14:paraId="3109BEE7"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2020</w:t>
            </w:r>
          </w:p>
        </w:tc>
        <w:tc>
          <w:tcPr>
            <w:tcW w:w="441" w:type="dxa"/>
            <w:tcBorders>
              <w:top w:val="nil"/>
              <w:left w:val="nil"/>
              <w:bottom w:val="nil"/>
              <w:right w:val="nil"/>
            </w:tcBorders>
            <w:shd w:val="clear" w:color="auto" w:fill="auto"/>
            <w:noWrap/>
            <w:vAlign w:val="center"/>
            <w:hideMark/>
          </w:tcPr>
          <w:p w14:paraId="5DED6F4B" w14:textId="77777777" w:rsidR="004F6A11" w:rsidRPr="004F6A11" w:rsidRDefault="004F6A11" w:rsidP="004F6A11">
            <w:pPr>
              <w:jc w:val="right"/>
              <w:rPr>
                <w:rFonts w:ascii="Calibri" w:hAnsi="Calibri" w:cs="Calibri"/>
                <w:b/>
                <w:bCs/>
                <w:color w:val="000000"/>
                <w:sz w:val="20"/>
                <w:szCs w:val="20"/>
                <w:lang w:eastAsia="en-IE"/>
              </w:rPr>
            </w:pPr>
          </w:p>
        </w:tc>
        <w:tc>
          <w:tcPr>
            <w:tcW w:w="1599" w:type="dxa"/>
            <w:tcBorders>
              <w:top w:val="nil"/>
              <w:left w:val="nil"/>
              <w:bottom w:val="single" w:sz="8" w:space="0" w:color="000000"/>
              <w:right w:val="nil"/>
            </w:tcBorders>
            <w:shd w:val="clear" w:color="auto" w:fill="auto"/>
            <w:noWrap/>
            <w:vAlign w:val="center"/>
            <w:hideMark/>
          </w:tcPr>
          <w:p w14:paraId="78D3861B"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2020</w:t>
            </w:r>
          </w:p>
        </w:tc>
        <w:tc>
          <w:tcPr>
            <w:tcW w:w="441" w:type="dxa"/>
            <w:tcBorders>
              <w:top w:val="nil"/>
              <w:left w:val="nil"/>
              <w:bottom w:val="nil"/>
              <w:right w:val="nil"/>
            </w:tcBorders>
            <w:shd w:val="clear" w:color="auto" w:fill="auto"/>
            <w:noWrap/>
            <w:vAlign w:val="center"/>
            <w:hideMark/>
          </w:tcPr>
          <w:p w14:paraId="65CCAF4B" w14:textId="77777777" w:rsidR="004F6A11" w:rsidRPr="004F6A11" w:rsidRDefault="004F6A11" w:rsidP="004F6A11">
            <w:pPr>
              <w:jc w:val="right"/>
              <w:rPr>
                <w:rFonts w:ascii="Calibri" w:hAnsi="Calibri" w:cs="Calibri"/>
                <w:b/>
                <w:bCs/>
                <w:color w:val="000000"/>
                <w:sz w:val="20"/>
                <w:szCs w:val="20"/>
                <w:lang w:eastAsia="en-IE"/>
              </w:rPr>
            </w:pPr>
          </w:p>
        </w:tc>
        <w:tc>
          <w:tcPr>
            <w:tcW w:w="1581" w:type="dxa"/>
            <w:tcBorders>
              <w:top w:val="nil"/>
              <w:left w:val="nil"/>
              <w:bottom w:val="single" w:sz="8" w:space="0" w:color="000000"/>
              <w:right w:val="nil"/>
            </w:tcBorders>
            <w:shd w:val="clear" w:color="auto" w:fill="auto"/>
            <w:noWrap/>
            <w:vAlign w:val="center"/>
            <w:hideMark/>
          </w:tcPr>
          <w:p w14:paraId="786DC941"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2020</w:t>
            </w:r>
          </w:p>
        </w:tc>
      </w:tr>
      <w:tr w:rsidR="004F6A11" w:rsidRPr="004F6A11" w14:paraId="44D4337A" w14:textId="77777777" w:rsidTr="004F6A11">
        <w:trPr>
          <w:trHeight w:val="300"/>
        </w:trPr>
        <w:tc>
          <w:tcPr>
            <w:tcW w:w="1743" w:type="dxa"/>
            <w:tcBorders>
              <w:top w:val="nil"/>
              <w:left w:val="nil"/>
              <w:bottom w:val="nil"/>
              <w:right w:val="nil"/>
            </w:tcBorders>
            <w:shd w:val="clear" w:color="auto" w:fill="auto"/>
            <w:vAlign w:val="center"/>
            <w:hideMark/>
          </w:tcPr>
          <w:p w14:paraId="615768D0" w14:textId="77777777" w:rsidR="004F6A11" w:rsidRPr="004F6A11" w:rsidRDefault="004F6A11" w:rsidP="004F6A11">
            <w:pPr>
              <w:jc w:val="right"/>
              <w:rPr>
                <w:rFonts w:ascii="Calibri" w:hAnsi="Calibri" w:cs="Calibri"/>
                <w:b/>
                <w:bCs/>
                <w:color w:val="000000"/>
                <w:sz w:val="20"/>
                <w:szCs w:val="20"/>
                <w:lang w:eastAsia="en-IE"/>
              </w:rPr>
            </w:pPr>
          </w:p>
        </w:tc>
        <w:tc>
          <w:tcPr>
            <w:tcW w:w="960" w:type="dxa"/>
            <w:tcBorders>
              <w:top w:val="nil"/>
              <w:left w:val="nil"/>
              <w:bottom w:val="nil"/>
              <w:right w:val="nil"/>
            </w:tcBorders>
            <w:shd w:val="clear" w:color="auto" w:fill="auto"/>
            <w:noWrap/>
            <w:vAlign w:val="center"/>
            <w:hideMark/>
          </w:tcPr>
          <w:p w14:paraId="715CD21F" w14:textId="77777777" w:rsidR="004F6A11" w:rsidRPr="004F6A11" w:rsidRDefault="004F6A11" w:rsidP="004F6A11">
            <w:pPr>
              <w:rPr>
                <w:sz w:val="20"/>
                <w:szCs w:val="20"/>
                <w:lang w:eastAsia="en-IE"/>
              </w:rPr>
            </w:pPr>
          </w:p>
        </w:tc>
        <w:tc>
          <w:tcPr>
            <w:tcW w:w="1420" w:type="dxa"/>
            <w:tcBorders>
              <w:top w:val="nil"/>
              <w:left w:val="nil"/>
              <w:bottom w:val="nil"/>
              <w:right w:val="nil"/>
            </w:tcBorders>
            <w:shd w:val="clear" w:color="000000" w:fill="FFFF00"/>
            <w:noWrap/>
            <w:vAlign w:val="center"/>
            <w:hideMark/>
          </w:tcPr>
          <w:p w14:paraId="10F5D1F2"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c>
          <w:tcPr>
            <w:tcW w:w="960" w:type="dxa"/>
            <w:tcBorders>
              <w:top w:val="nil"/>
              <w:left w:val="nil"/>
              <w:bottom w:val="nil"/>
              <w:right w:val="nil"/>
            </w:tcBorders>
            <w:shd w:val="clear" w:color="000000" w:fill="FFFF00"/>
            <w:noWrap/>
            <w:vAlign w:val="center"/>
            <w:hideMark/>
          </w:tcPr>
          <w:p w14:paraId="4183ECEF"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7D255341"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c>
          <w:tcPr>
            <w:tcW w:w="441" w:type="dxa"/>
            <w:tcBorders>
              <w:top w:val="nil"/>
              <w:left w:val="nil"/>
              <w:bottom w:val="nil"/>
              <w:right w:val="nil"/>
            </w:tcBorders>
            <w:shd w:val="clear" w:color="000000" w:fill="FFFF00"/>
            <w:noWrap/>
            <w:vAlign w:val="center"/>
            <w:hideMark/>
          </w:tcPr>
          <w:p w14:paraId="1BF7DAED"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0E9688BF"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c>
          <w:tcPr>
            <w:tcW w:w="441" w:type="dxa"/>
            <w:tcBorders>
              <w:top w:val="nil"/>
              <w:left w:val="nil"/>
              <w:bottom w:val="nil"/>
              <w:right w:val="nil"/>
            </w:tcBorders>
            <w:shd w:val="clear" w:color="auto" w:fill="auto"/>
            <w:noWrap/>
            <w:vAlign w:val="center"/>
            <w:hideMark/>
          </w:tcPr>
          <w:p w14:paraId="4008C846"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nil"/>
              <w:right w:val="nil"/>
            </w:tcBorders>
            <w:shd w:val="clear" w:color="auto" w:fill="auto"/>
            <w:noWrap/>
            <w:vAlign w:val="center"/>
            <w:hideMark/>
          </w:tcPr>
          <w:p w14:paraId="2BF80ACF"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c>
          <w:tcPr>
            <w:tcW w:w="441" w:type="dxa"/>
            <w:tcBorders>
              <w:top w:val="nil"/>
              <w:left w:val="nil"/>
              <w:bottom w:val="nil"/>
              <w:right w:val="nil"/>
            </w:tcBorders>
            <w:shd w:val="clear" w:color="auto" w:fill="auto"/>
            <w:noWrap/>
            <w:vAlign w:val="center"/>
            <w:hideMark/>
          </w:tcPr>
          <w:p w14:paraId="65C377D2" w14:textId="77777777" w:rsidR="004F6A11" w:rsidRPr="004F6A11" w:rsidRDefault="004F6A11" w:rsidP="004F6A11">
            <w:pPr>
              <w:jc w:val="right"/>
              <w:rPr>
                <w:rFonts w:ascii="Calibri" w:hAnsi="Calibri" w:cs="Calibri"/>
                <w:b/>
                <w:bCs/>
                <w:color w:val="000000"/>
                <w:sz w:val="20"/>
                <w:szCs w:val="20"/>
                <w:lang w:eastAsia="en-IE"/>
              </w:rPr>
            </w:pPr>
          </w:p>
        </w:tc>
        <w:tc>
          <w:tcPr>
            <w:tcW w:w="1599" w:type="dxa"/>
            <w:tcBorders>
              <w:top w:val="nil"/>
              <w:left w:val="nil"/>
              <w:bottom w:val="nil"/>
              <w:right w:val="nil"/>
            </w:tcBorders>
            <w:shd w:val="clear" w:color="auto" w:fill="auto"/>
            <w:noWrap/>
            <w:vAlign w:val="center"/>
            <w:hideMark/>
          </w:tcPr>
          <w:p w14:paraId="16D89E37"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c>
          <w:tcPr>
            <w:tcW w:w="441" w:type="dxa"/>
            <w:tcBorders>
              <w:top w:val="nil"/>
              <w:left w:val="nil"/>
              <w:bottom w:val="nil"/>
              <w:right w:val="nil"/>
            </w:tcBorders>
            <w:shd w:val="clear" w:color="auto" w:fill="auto"/>
            <w:noWrap/>
            <w:vAlign w:val="center"/>
            <w:hideMark/>
          </w:tcPr>
          <w:p w14:paraId="0F3A5F2D" w14:textId="77777777" w:rsidR="004F6A11" w:rsidRPr="004F6A11" w:rsidRDefault="004F6A11" w:rsidP="004F6A11">
            <w:pPr>
              <w:jc w:val="right"/>
              <w:rPr>
                <w:rFonts w:ascii="Calibri" w:hAnsi="Calibri" w:cs="Calibri"/>
                <w:b/>
                <w:bCs/>
                <w:color w:val="000000"/>
                <w:sz w:val="20"/>
                <w:szCs w:val="20"/>
                <w:lang w:eastAsia="en-IE"/>
              </w:rPr>
            </w:pPr>
          </w:p>
        </w:tc>
        <w:tc>
          <w:tcPr>
            <w:tcW w:w="1581" w:type="dxa"/>
            <w:tcBorders>
              <w:top w:val="nil"/>
              <w:left w:val="nil"/>
              <w:bottom w:val="nil"/>
              <w:right w:val="nil"/>
            </w:tcBorders>
            <w:shd w:val="clear" w:color="auto" w:fill="auto"/>
            <w:noWrap/>
            <w:vAlign w:val="center"/>
            <w:hideMark/>
          </w:tcPr>
          <w:p w14:paraId="4D6207DB"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€M</w:t>
            </w:r>
          </w:p>
        </w:tc>
      </w:tr>
      <w:tr w:rsidR="004F6A11" w:rsidRPr="004F6A11" w14:paraId="2DF8F3FC" w14:textId="77777777" w:rsidTr="004F6A11">
        <w:trPr>
          <w:trHeight w:val="300"/>
        </w:trPr>
        <w:tc>
          <w:tcPr>
            <w:tcW w:w="1743" w:type="dxa"/>
            <w:tcBorders>
              <w:top w:val="nil"/>
              <w:left w:val="nil"/>
              <w:bottom w:val="nil"/>
              <w:right w:val="nil"/>
            </w:tcBorders>
            <w:shd w:val="clear" w:color="auto" w:fill="auto"/>
            <w:vAlign w:val="center"/>
            <w:hideMark/>
          </w:tcPr>
          <w:p w14:paraId="1BC79DC6"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Segment assets</w:t>
            </w:r>
          </w:p>
        </w:tc>
        <w:tc>
          <w:tcPr>
            <w:tcW w:w="960" w:type="dxa"/>
            <w:tcBorders>
              <w:top w:val="nil"/>
              <w:left w:val="nil"/>
              <w:bottom w:val="nil"/>
              <w:right w:val="nil"/>
            </w:tcBorders>
            <w:shd w:val="clear" w:color="auto" w:fill="auto"/>
            <w:noWrap/>
            <w:vAlign w:val="center"/>
            <w:hideMark/>
          </w:tcPr>
          <w:p w14:paraId="53FC6F39" w14:textId="77777777" w:rsidR="004F6A11" w:rsidRPr="004F6A11" w:rsidRDefault="004F6A11" w:rsidP="004F6A11">
            <w:pPr>
              <w:rPr>
                <w:rFonts w:ascii="Calibri" w:hAnsi="Calibri" w:cs="Calibri"/>
                <w:color w:val="000000"/>
                <w:sz w:val="20"/>
                <w:szCs w:val="20"/>
                <w:lang w:eastAsia="en-IE"/>
              </w:rPr>
            </w:pPr>
          </w:p>
        </w:tc>
        <w:tc>
          <w:tcPr>
            <w:tcW w:w="1420" w:type="dxa"/>
            <w:tcBorders>
              <w:top w:val="nil"/>
              <w:left w:val="nil"/>
              <w:bottom w:val="nil"/>
              <w:right w:val="nil"/>
            </w:tcBorders>
            <w:shd w:val="clear" w:color="000000" w:fill="FFFF00"/>
            <w:noWrap/>
            <w:vAlign w:val="center"/>
            <w:hideMark/>
          </w:tcPr>
          <w:p w14:paraId="1643C3B0" w14:textId="6C16E1D6"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14,</w:t>
            </w:r>
            <w:r w:rsidR="00F20F07">
              <w:rPr>
                <w:rFonts w:ascii="Calibri" w:hAnsi="Calibri" w:cs="Calibri"/>
                <w:b/>
                <w:bCs/>
                <w:color w:val="000000"/>
                <w:sz w:val="20"/>
                <w:szCs w:val="20"/>
                <w:lang w:eastAsia="en-IE"/>
              </w:rPr>
              <w:t>100</w:t>
            </w:r>
            <w:r w:rsidRPr="004F6A11">
              <w:rPr>
                <w:rFonts w:ascii="Calibri" w:hAnsi="Calibri" w:cs="Calibri"/>
                <w:b/>
                <w:bCs/>
                <w:color w:val="000000"/>
                <w:sz w:val="20"/>
                <w:szCs w:val="20"/>
                <w:lang w:eastAsia="en-IE"/>
              </w:rPr>
              <w:t>.</w:t>
            </w:r>
            <w:r w:rsidR="00F20F07">
              <w:rPr>
                <w:rFonts w:ascii="Calibri" w:hAnsi="Calibri" w:cs="Calibri"/>
                <w:b/>
                <w:bCs/>
                <w:color w:val="000000"/>
                <w:sz w:val="20"/>
                <w:szCs w:val="20"/>
                <w:lang w:eastAsia="en-IE"/>
              </w:rPr>
              <w:t>7</w:t>
            </w:r>
            <w:r w:rsidRPr="004F6A11">
              <w:rPr>
                <w:rFonts w:ascii="Calibri" w:hAnsi="Calibri" w:cs="Calibri"/>
                <w:b/>
                <w:bCs/>
                <w:color w:val="000000"/>
                <w:sz w:val="20"/>
                <w:szCs w:val="20"/>
                <w:lang w:eastAsia="en-IE"/>
              </w:rPr>
              <w:t xml:space="preserve"> </w:t>
            </w:r>
          </w:p>
        </w:tc>
        <w:tc>
          <w:tcPr>
            <w:tcW w:w="960" w:type="dxa"/>
            <w:tcBorders>
              <w:top w:val="nil"/>
              <w:left w:val="nil"/>
              <w:bottom w:val="nil"/>
              <w:right w:val="nil"/>
            </w:tcBorders>
            <w:shd w:val="clear" w:color="000000" w:fill="FFFF00"/>
            <w:noWrap/>
            <w:vAlign w:val="bottom"/>
            <w:hideMark/>
          </w:tcPr>
          <w:p w14:paraId="40B6F295"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1480" w:type="dxa"/>
            <w:tcBorders>
              <w:top w:val="nil"/>
              <w:left w:val="nil"/>
              <w:bottom w:val="nil"/>
              <w:right w:val="nil"/>
            </w:tcBorders>
            <w:shd w:val="clear" w:color="000000" w:fill="FFFF00"/>
            <w:noWrap/>
            <w:vAlign w:val="center"/>
            <w:hideMark/>
          </w:tcPr>
          <w:p w14:paraId="45850815"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583.7 </w:t>
            </w:r>
          </w:p>
        </w:tc>
        <w:tc>
          <w:tcPr>
            <w:tcW w:w="441" w:type="dxa"/>
            <w:tcBorders>
              <w:top w:val="nil"/>
              <w:left w:val="nil"/>
              <w:bottom w:val="nil"/>
              <w:right w:val="nil"/>
            </w:tcBorders>
            <w:shd w:val="clear" w:color="000000" w:fill="FFFF00"/>
            <w:noWrap/>
            <w:vAlign w:val="bottom"/>
            <w:hideMark/>
          </w:tcPr>
          <w:p w14:paraId="1B93F22F"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1614" w:type="dxa"/>
            <w:tcBorders>
              <w:top w:val="nil"/>
              <w:left w:val="nil"/>
              <w:bottom w:val="nil"/>
              <w:right w:val="nil"/>
            </w:tcBorders>
            <w:shd w:val="clear" w:color="000000" w:fill="FFFF00"/>
            <w:noWrap/>
            <w:vAlign w:val="center"/>
            <w:hideMark/>
          </w:tcPr>
          <w:p w14:paraId="15BEC5C6"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14,684.4 </w:t>
            </w:r>
          </w:p>
        </w:tc>
        <w:tc>
          <w:tcPr>
            <w:tcW w:w="441" w:type="dxa"/>
            <w:tcBorders>
              <w:top w:val="nil"/>
              <w:left w:val="nil"/>
              <w:bottom w:val="nil"/>
              <w:right w:val="nil"/>
            </w:tcBorders>
            <w:shd w:val="clear" w:color="auto" w:fill="auto"/>
            <w:noWrap/>
            <w:vAlign w:val="center"/>
            <w:hideMark/>
          </w:tcPr>
          <w:p w14:paraId="52B60875"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nil"/>
              <w:right w:val="nil"/>
            </w:tcBorders>
            <w:shd w:val="clear" w:color="auto" w:fill="auto"/>
            <w:noWrap/>
            <w:vAlign w:val="center"/>
            <w:hideMark/>
          </w:tcPr>
          <w:p w14:paraId="2C6F4DF1"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14,194.5 </w:t>
            </w:r>
          </w:p>
        </w:tc>
        <w:tc>
          <w:tcPr>
            <w:tcW w:w="441" w:type="dxa"/>
            <w:tcBorders>
              <w:top w:val="nil"/>
              <w:left w:val="nil"/>
              <w:bottom w:val="nil"/>
              <w:right w:val="nil"/>
            </w:tcBorders>
            <w:shd w:val="clear" w:color="auto" w:fill="auto"/>
            <w:noWrap/>
            <w:vAlign w:val="center"/>
            <w:hideMark/>
          </w:tcPr>
          <w:p w14:paraId="450DDD6F" w14:textId="77777777" w:rsidR="004F6A11" w:rsidRPr="004F6A11" w:rsidRDefault="004F6A11" w:rsidP="004F6A11">
            <w:pPr>
              <w:jc w:val="right"/>
              <w:rPr>
                <w:rFonts w:ascii="Calibri" w:hAnsi="Calibri" w:cs="Calibri"/>
                <w:color w:val="000000"/>
                <w:sz w:val="20"/>
                <w:szCs w:val="20"/>
                <w:lang w:eastAsia="en-IE"/>
              </w:rPr>
            </w:pPr>
          </w:p>
        </w:tc>
        <w:tc>
          <w:tcPr>
            <w:tcW w:w="1599" w:type="dxa"/>
            <w:tcBorders>
              <w:top w:val="nil"/>
              <w:left w:val="nil"/>
              <w:bottom w:val="nil"/>
              <w:right w:val="nil"/>
            </w:tcBorders>
            <w:shd w:val="clear" w:color="auto" w:fill="auto"/>
            <w:noWrap/>
            <w:vAlign w:val="center"/>
            <w:hideMark/>
          </w:tcPr>
          <w:p w14:paraId="3FF4BEB8"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552.7 </w:t>
            </w:r>
          </w:p>
        </w:tc>
        <w:tc>
          <w:tcPr>
            <w:tcW w:w="441" w:type="dxa"/>
            <w:tcBorders>
              <w:top w:val="nil"/>
              <w:left w:val="nil"/>
              <w:bottom w:val="nil"/>
              <w:right w:val="nil"/>
            </w:tcBorders>
            <w:shd w:val="clear" w:color="auto" w:fill="auto"/>
            <w:noWrap/>
            <w:vAlign w:val="center"/>
            <w:hideMark/>
          </w:tcPr>
          <w:p w14:paraId="2B45790E" w14:textId="77777777" w:rsidR="004F6A11" w:rsidRPr="004F6A11" w:rsidRDefault="004F6A11" w:rsidP="004F6A11">
            <w:pPr>
              <w:jc w:val="right"/>
              <w:rPr>
                <w:rFonts w:ascii="Calibri" w:hAnsi="Calibri" w:cs="Calibri"/>
                <w:color w:val="000000"/>
                <w:sz w:val="20"/>
                <w:szCs w:val="20"/>
                <w:lang w:eastAsia="en-IE"/>
              </w:rPr>
            </w:pPr>
          </w:p>
        </w:tc>
        <w:tc>
          <w:tcPr>
            <w:tcW w:w="1581" w:type="dxa"/>
            <w:tcBorders>
              <w:top w:val="nil"/>
              <w:left w:val="nil"/>
              <w:bottom w:val="nil"/>
              <w:right w:val="nil"/>
            </w:tcBorders>
            <w:shd w:val="clear" w:color="auto" w:fill="auto"/>
            <w:noWrap/>
            <w:vAlign w:val="center"/>
            <w:hideMark/>
          </w:tcPr>
          <w:p w14:paraId="2341CA41"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14,747.2 </w:t>
            </w:r>
          </w:p>
        </w:tc>
      </w:tr>
      <w:tr w:rsidR="004F6A11" w:rsidRPr="004F6A11" w14:paraId="68F12B61" w14:textId="77777777" w:rsidTr="004F6A11">
        <w:trPr>
          <w:trHeight w:val="315"/>
        </w:trPr>
        <w:tc>
          <w:tcPr>
            <w:tcW w:w="1743" w:type="dxa"/>
            <w:tcBorders>
              <w:top w:val="nil"/>
              <w:left w:val="nil"/>
              <w:bottom w:val="nil"/>
              <w:right w:val="nil"/>
            </w:tcBorders>
            <w:shd w:val="clear" w:color="auto" w:fill="auto"/>
            <w:vAlign w:val="center"/>
            <w:hideMark/>
          </w:tcPr>
          <w:p w14:paraId="42B4D241"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Segment liabilities</w:t>
            </w:r>
          </w:p>
        </w:tc>
        <w:tc>
          <w:tcPr>
            <w:tcW w:w="960" w:type="dxa"/>
            <w:tcBorders>
              <w:top w:val="nil"/>
              <w:left w:val="nil"/>
              <w:bottom w:val="nil"/>
              <w:right w:val="nil"/>
            </w:tcBorders>
            <w:shd w:val="clear" w:color="auto" w:fill="auto"/>
            <w:noWrap/>
            <w:vAlign w:val="center"/>
            <w:hideMark/>
          </w:tcPr>
          <w:p w14:paraId="2DF2DAEF" w14:textId="77777777" w:rsidR="004F6A11" w:rsidRPr="004F6A11" w:rsidRDefault="004F6A11" w:rsidP="004F6A11">
            <w:pPr>
              <w:rPr>
                <w:rFonts w:ascii="Calibri" w:hAnsi="Calibri" w:cs="Calibri"/>
                <w:color w:val="000000"/>
                <w:sz w:val="20"/>
                <w:szCs w:val="20"/>
                <w:lang w:eastAsia="en-IE"/>
              </w:rPr>
            </w:pPr>
          </w:p>
        </w:tc>
        <w:tc>
          <w:tcPr>
            <w:tcW w:w="1420" w:type="dxa"/>
            <w:tcBorders>
              <w:top w:val="nil"/>
              <w:left w:val="nil"/>
              <w:bottom w:val="single" w:sz="8" w:space="0" w:color="auto"/>
              <w:right w:val="nil"/>
            </w:tcBorders>
            <w:shd w:val="clear" w:color="000000" w:fill="FFFF00"/>
            <w:noWrap/>
            <w:vAlign w:val="center"/>
            <w:hideMark/>
          </w:tcPr>
          <w:p w14:paraId="58C5DC10" w14:textId="7F4E6176"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w:t>
            </w:r>
            <w:r w:rsidR="005241F2">
              <w:rPr>
                <w:rFonts w:ascii="Calibri" w:hAnsi="Calibri" w:cs="Calibri"/>
                <w:b/>
                <w:bCs/>
                <w:color w:val="000000"/>
                <w:sz w:val="20"/>
                <w:szCs w:val="20"/>
                <w:lang w:eastAsia="en-IE"/>
              </w:rPr>
              <w:t>8</w:t>
            </w:r>
            <w:r w:rsidRPr="004F6A11">
              <w:rPr>
                <w:rFonts w:ascii="Calibri" w:hAnsi="Calibri" w:cs="Calibri"/>
                <w:b/>
                <w:bCs/>
                <w:color w:val="000000"/>
                <w:sz w:val="20"/>
                <w:szCs w:val="20"/>
                <w:lang w:eastAsia="en-IE"/>
              </w:rPr>
              <w:t>,</w:t>
            </w:r>
            <w:r w:rsidR="005241F2">
              <w:rPr>
                <w:rFonts w:ascii="Calibri" w:hAnsi="Calibri" w:cs="Calibri"/>
                <w:b/>
                <w:bCs/>
                <w:color w:val="000000"/>
                <w:sz w:val="20"/>
                <w:szCs w:val="20"/>
                <w:lang w:eastAsia="en-IE"/>
              </w:rPr>
              <w:t>780</w:t>
            </w:r>
            <w:r w:rsidRPr="004F6A11">
              <w:rPr>
                <w:rFonts w:ascii="Calibri" w:hAnsi="Calibri" w:cs="Calibri"/>
                <w:b/>
                <w:bCs/>
                <w:color w:val="000000"/>
                <w:sz w:val="20"/>
                <w:szCs w:val="20"/>
                <w:lang w:eastAsia="en-IE"/>
              </w:rPr>
              <w:t>.</w:t>
            </w:r>
            <w:r w:rsidR="005241F2">
              <w:rPr>
                <w:rFonts w:ascii="Calibri" w:hAnsi="Calibri" w:cs="Calibri"/>
                <w:b/>
                <w:bCs/>
                <w:color w:val="000000"/>
                <w:sz w:val="20"/>
                <w:szCs w:val="20"/>
                <w:lang w:eastAsia="en-IE"/>
              </w:rPr>
              <w:t>3</w:t>
            </w:r>
            <w:r w:rsidRPr="004F6A11">
              <w:rPr>
                <w:rFonts w:ascii="Calibri" w:hAnsi="Calibri" w:cs="Calibri"/>
                <w:b/>
                <w:bCs/>
                <w:color w:val="000000"/>
                <w:sz w:val="20"/>
                <w:szCs w:val="20"/>
                <w:lang w:eastAsia="en-IE"/>
              </w:rPr>
              <w:t xml:space="preserve"> </w:t>
            </w:r>
          </w:p>
        </w:tc>
        <w:tc>
          <w:tcPr>
            <w:tcW w:w="960" w:type="dxa"/>
            <w:tcBorders>
              <w:top w:val="nil"/>
              <w:left w:val="nil"/>
              <w:bottom w:val="nil"/>
              <w:right w:val="nil"/>
            </w:tcBorders>
            <w:shd w:val="clear" w:color="000000" w:fill="FFFF00"/>
            <w:noWrap/>
            <w:vAlign w:val="bottom"/>
            <w:hideMark/>
          </w:tcPr>
          <w:p w14:paraId="39983877"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1480" w:type="dxa"/>
            <w:tcBorders>
              <w:top w:val="nil"/>
              <w:left w:val="nil"/>
              <w:bottom w:val="single" w:sz="8" w:space="0" w:color="auto"/>
              <w:right w:val="nil"/>
            </w:tcBorders>
            <w:shd w:val="clear" w:color="000000" w:fill="FFFF00"/>
            <w:noWrap/>
            <w:vAlign w:val="center"/>
            <w:hideMark/>
          </w:tcPr>
          <w:p w14:paraId="1FBB013A" w14:textId="7777777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925.4 </w:t>
            </w:r>
          </w:p>
        </w:tc>
        <w:tc>
          <w:tcPr>
            <w:tcW w:w="441" w:type="dxa"/>
            <w:tcBorders>
              <w:top w:val="nil"/>
              <w:left w:val="nil"/>
              <w:bottom w:val="nil"/>
              <w:right w:val="nil"/>
            </w:tcBorders>
            <w:shd w:val="clear" w:color="000000" w:fill="FFFF00"/>
            <w:noWrap/>
            <w:vAlign w:val="bottom"/>
            <w:hideMark/>
          </w:tcPr>
          <w:p w14:paraId="642AD94C" w14:textId="77777777" w:rsidR="004F6A11" w:rsidRPr="004F6A11" w:rsidRDefault="004F6A11" w:rsidP="004F6A11">
            <w:pPr>
              <w:rPr>
                <w:rFonts w:ascii="Calibri" w:hAnsi="Calibri" w:cs="Calibri"/>
                <w:color w:val="000000"/>
                <w:sz w:val="20"/>
                <w:szCs w:val="20"/>
                <w:lang w:eastAsia="en-IE"/>
              </w:rPr>
            </w:pPr>
            <w:r w:rsidRPr="004F6A11">
              <w:rPr>
                <w:rFonts w:ascii="Calibri" w:hAnsi="Calibri" w:cs="Calibri"/>
                <w:color w:val="000000"/>
                <w:sz w:val="20"/>
                <w:szCs w:val="20"/>
                <w:lang w:eastAsia="en-IE"/>
              </w:rPr>
              <w:t> </w:t>
            </w:r>
          </w:p>
        </w:tc>
        <w:tc>
          <w:tcPr>
            <w:tcW w:w="1614" w:type="dxa"/>
            <w:tcBorders>
              <w:top w:val="nil"/>
              <w:left w:val="nil"/>
              <w:bottom w:val="single" w:sz="8" w:space="0" w:color="auto"/>
              <w:right w:val="nil"/>
            </w:tcBorders>
            <w:shd w:val="clear" w:color="000000" w:fill="FFFF00"/>
            <w:noWrap/>
            <w:vAlign w:val="center"/>
            <w:hideMark/>
          </w:tcPr>
          <w:p w14:paraId="5ADF2089" w14:textId="6F1E69D7" w:rsidR="004F6A11" w:rsidRPr="004F6A11" w:rsidRDefault="004F6A11" w:rsidP="004F6A11">
            <w:pPr>
              <w:jc w:val="right"/>
              <w:rPr>
                <w:rFonts w:ascii="Calibri" w:hAnsi="Calibri" w:cs="Calibri"/>
                <w:b/>
                <w:bCs/>
                <w:color w:val="000000"/>
                <w:sz w:val="20"/>
                <w:szCs w:val="20"/>
                <w:lang w:eastAsia="en-IE"/>
              </w:rPr>
            </w:pPr>
            <w:r w:rsidRPr="004F6A11">
              <w:rPr>
                <w:rFonts w:ascii="Calibri" w:hAnsi="Calibri" w:cs="Calibri"/>
                <w:b/>
                <w:bCs/>
                <w:color w:val="000000"/>
                <w:sz w:val="20"/>
                <w:szCs w:val="20"/>
                <w:lang w:eastAsia="en-IE"/>
              </w:rPr>
              <w:t xml:space="preserve">   </w:t>
            </w:r>
            <w:r w:rsidR="00484518">
              <w:rPr>
                <w:rFonts w:ascii="Calibri" w:hAnsi="Calibri" w:cs="Calibri"/>
                <w:b/>
                <w:bCs/>
                <w:color w:val="000000"/>
                <w:sz w:val="20"/>
                <w:szCs w:val="20"/>
                <w:lang w:eastAsia="en-IE"/>
              </w:rPr>
              <w:t>9</w:t>
            </w:r>
            <w:r w:rsidRPr="004F6A11">
              <w:rPr>
                <w:rFonts w:ascii="Calibri" w:hAnsi="Calibri" w:cs="Calibri"/>
                <w:b/>
                <w:bCs/>
                <w:color w:val="000000"/>
                <w:sz w:val="20"/>
                <w:szCs w:val="20"/>
                <w:lang w:eastAsia="en-IE"/>
              </w:rPr>
              <w:t>,</w:t>
            </w:r>
            <w:r w:rsidR="00484518">
              <w:rPr>
                <w:rFonts w:ascii="Calibri" w:hAnsi="Calibri" w:cs="Calibri"/>
                <w:b/>
                <w:bCs/>
                <w:color w:val="000000"/>
                <w:sz w:val="20"/>
                <w:szCs w:val="20"/>
                <w:lang w:eastAsia="en-IE"/>
              </w:rPr>
              <w:t>705</w:t>
            </w:r>
            <w:r w:rsidRPr="004F6A11">
              <w:rPr>
                <w:rFonts w:ascii="Calibri" w:hAnsi="Calibri" w:cs="Calibri"/>
                <w:b/>
                <w:bCs/>
                <w:color w:val="000000"/>
                <w:sz w:val="20"/>
                <w:szCs w:val="20"/>
                <w:lang w:eastAsia="en-IE"/>
              </w:rPr>
              <w:t>.</w:t>
            </w:r>
            <w:r w:rsidR="00484518">
              <w:rPr>
                <w:rFonts w:ascii="Calibri" w:hAnsi="Calibri" w:cs="Calibri"/>
                <w:b/>
                <w:bCs/>
                <w:color w:val="000000"/>
                <w:sz w:val="20"/>
                <w:szCs w:val="20"/>
                <w:lang w:eastAsia="en-IE"/>
              </w:rPr>
              <w:t>7</w:t>
            </w:r>
            <w:r w:rsidRPr="004F6A11">
              <w:rPr>
                <w:rFonts w:ascii="Calibri" w:hAnsi="Calibri" w:cs="Calibri"/>
                <w:b/>
                <w:bCs/>
                <w:color w:val="000000"/>
                <w:sz w:val="20"/>
                <w:szCs w:val="20"/>
                <w:lang w:eastAsia="en-IE"/>
              </w:rPr>
              <w:t xml:space="preserve"> </w:t>
            </w:r>
          </w:p>
        </w:tc>
        <w:tc>
          <w:tcPr>
            <w:tcW w:w="441" w:type="dxa"/>
            <w:tcBorders>
              <w:top w:val="nil"/>
              <w:left w:val="nil"/>
              <w:bottom w:val="nil"/>
              <w:right w:val="nil"/>
            </w:tcBorders>
            <w:shd w:val="clear" w:color="auto" w:fill="auto"/>
            <w:noWrap/>
            <w:vAlign w:val="center"/>
            <w:hideMark/>
          </w:tcPr>
          <w:p w14:paraId="3CEFFF23" w14:textId="77777777" w:rsidR="004F6A11" w:rsidRPr="004F6A11" w:rsidRDefault="004F6A11" w:rsidP="004F6A11">
            <w:pPr>
              <w:jc w:val="right"/>
              <w:rPr>
                <w:rFonts w:ascii="Calibri" w:hAnsi="Calibri" w:cs="Calibri"/>
                <w:b/>
                <w:bCs/>
                <w:color w:val="000000"/>
                <w:sz w:val="20"/>
                <w:szCs w:val="20"/>
                <w:lang w:eastAsia="en-IE"/>
              </w:rPr>
            </w:pPr>
          </w:p>
        </w:tc>
        <w:tc>
          <w:tcPr>
            <w:tcW w:w="1480" w:type="dxa"/>
            <w:tcBorders>
              <w:top w:val="nil"/>
              <w:left w:val="nil"/>
              <w:bottom w:val="single" w:sz="8" w:space="0" w:color="auto"/>
              <w:right w:val="nil"/>
            </w:tcBorders>
            <w:shd w:val="clear" w:color="auto" w:fill="auto"/>
            <w:noWrap/>
            <w:vAlign w:val="center"/>
            <w:hideMark/>
          </w:tcPr>
          <w:p w14:paraId="5E1BB39C"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8,995.2 </w:t>
            </w:r>
          </w:p>
        </w:tc>
        <w:tc>
          <w:tcPr>
            <w:tcW w:w="441" w:type="dxa"/>
            <w:tcBorders>
              <w:top w:val="nil"/>
              <w:left w:val="nil"/>
              <w:bottom w:val="nil"/>
              <w:right w:val="nil"/>
            </w:tcBorders>
            <w:shd w:val="clear" w:color="auto" w:fill="auto"/>
            <w:noWrap/>
            <w:vAlign w:val="center"/>
            <w:hideMark/>
          </w:tcPr>
          <w:p w14:paraId="67C655F7" w14:textId="77777777" w:rsidR="004F6A11" w:rsidRPr="004F6A11" w:rsidRDefault="004F6A11" w:rsidP="004F6A11">
            <w:pPr>
              <w:jc w:val="right"/>
              <w:rPr>
                <w:rFonts w:ascii="Calibri" w:hAnsi="Calibri" w:cs="Calibri"/>
                <w:color w:val="000000"/>
                <w:sz w:val="20"/>
                <w:szCs w:val="20"/>
                <w:lang w:eastAsia="en-IE"/>
              </w:rPr>
            </w:pPr>
          </w:p>
        </w:tc>
        <w:tc>
          <w:tcPr>
            <w:tcW w:w="1599" w:type="dxa"/>
            <w:tcBorders>
              <w:top w:val="nil"/>
              <w:left w:val="nil"/>
              <w:bottom w:val="single" w:sz="8" w:space="0" w:color="auto"/>
              <w:right w:val="nil"/>
            </w:tcBorders>
            <w:shd w:val="clear" w:color="auto" w:fill="auto"/>
            <w:noWrap/>
            <w:vAlign w:val="center"/>
            <w:hideMark/>
          </w:tcPr>
          <w:p w14:paraId="3EDCCCF5"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837.5 </w:t>
            </w:r>
          </w:p>
        </w:tc>
        <w:tc>
          <w:tcPr>
            <w:tcW w:w="441" w:type="dxa"/>
            <w:tcBorders>
              <w:top w:val="nil"/>
              <w:left w:val="nil"/>
              <w:bottom w:val="nil"/>
              <w:right w:val="nil"/>
            </w:tcBorders>
            <w:shd w:val="clear" w:color="auto" w:fill="auto"/>
            <w:noWrap/>
            <w:vAlign w:val="center"/>
            <w:hideMark/>
          </w:tcPr>
          <w:p w14:paraId="37AF9FE2" w14:textId="77777777" w:rsidR="004F6A11" w:rsidRPr="004F6A11" w:rsidRDefault="004F6A11" w:rsidP="004F6A11">
            <w:pPr>
              <w:jc w:val="right"/>
              <w:rPr>
                <w:rFonts w:ascii="Calibri" w:hAnsi="Calibri" w:cs="Calibri"/>
                <w:color w:val="000000"/>
                <w:sz w:val="20"/>
                <w:szCs w:val="20"/>
                <w:lang w:eastAsia="en-IE"/>
              </w:rPr>
            </w:pPr>
          </w:p>
        </w:tc>
        <w:tc>
          <w:tcPr>
            <w:tcW w:w="1581" w:type="dxa"/>
            <w:tcBorders>
              <w:top w:val="nil"/>
              <w:left w:val="nil"/>
              <w:bottom w:val="single" w:sz="8" w:space="0" w:color="auto"/>
              <w:right w:val="nil"/>
            </w:tcBorders>
            <w:shd w:val="clear" w:color="auto" w:fill="auto"/>
            <w:noWrap/>
            <w:vAlign w:val="center"/>
            <w:hideMark/>
          </w:tcPr>
          <w:p w14:paraId="67956283" w14:textId="77777777" w:rsidR="004F6A11" w:rsidRPr="004F6A11" w:rsidRDefault="004F6A11" w:rsidP="004F6A11">
            <w:pPr>
              <w:jc w:val="right"/>
              <w:rPr>
                <w:rFonts w:ascii="Calibri" w:hAnsi="Calibri" w:cs="Calibri"/>
                <w:color w:val="000000"/>
                <w:sz w:val="20"/>
                <w:szCs w:val="20"/>
                <w:lang w:eastAsia="en-IE"/>
              </w:rPr>
            </w:pPr>
            <w:r w:rsidRPr="004F6A11">
              <w:rPr>
                <w:rFonts w:ascii="Calibri" w:hAnsi="Calibri" w:cs="Calibri"/>
                <w:color w:val="000000"/>
                <w:sz w:val="20"/>
                <w:szCs w:val="20"/>
                <w:lang w:eastAsia="en-IE"/>
              </w:rPr>
              <w:t xml:space="preserve">    9,832.7 </w:t>
            </w:r>
          </w:p>
        </w:tc>
      </w:tr>
    </w:tbl>
    <w:p w14:paraId="55A8E244" w14:textId="4AFD3540" w:rsidR="005532A2" w:rsidRDefault="005532A2" w:rsidP="005532A2">
      <w:pPr>
        <w:rPr>
          <w:lang w:val="en-US"/>
        </w:rPr>
      </w:pPr>
    </w:p>
    <w:p w14:paraId="702934AE" w14:textId="552E1B61" w:rsidR="00EC7DFF" w:rsidRPr="005325EA" w:rsidRDefault="004B4B15" w:rsidP="005325EA">
      <w:pPr>
        <w:spacing w:after="240" w:line="300" w:lineRule="exact"/>
        <w:jc w:val="both"/>
        <w:rPr>
          <w:rFonts w:ascii="Calibri" w:hAnsi="Calibri" w:cs="Calibri"/>
          <w:sz w:val="22"/>
          <w:szCs w:val="22"/>
        </w:rPr>
      </w:pPr>
      <w:r>
        <w:rPr>
          <w:lang w:val="en-US"/>
        </w:rPr>
        <w:tab/>
      </w:r>
      <w:r>
        <w:rPr>
          <w:lang w:val="en-US"/>
        </w:rPr>
        <w:tab/>
      </w:r>
      <w:r>
        <w:rPr>
          <w:lang w:val="en-US"/>
        </w:rPr>
        <w:tab/>
      </w:r>
      <w:r>
        <w:rPr>
          <w:lang w:val="en-US"/>
        </w:rPr>
        <w:tab/>
      </w:r>
      <w:r>
        <w:rPr>
          <w:lang w:val="en-US"/>
        </w:rPr>
        <w:tab/>
      </w:r>
      <w:r>
        <w:rPr>
          <w:lang w:val="en-US"/>
        </w:rPr>
        <w:tab/>
      </w:r>
    </w:p>
    <w:p w14:paraId="2244CE94" w14:textId="77777777" w:rsidR="00473464" w:rsidRPr="00DB22BA" w:rsidRDefault="00473464" w:rsidP="00473464">
      <w:pPr>
        <w:pStyle w:val="Outline3L1"/>
        <w:numPr>
          <w:ilvl w:val="0"/>
          <w:numId w:val="0"/>
        </w:numPr>
        <w:spacing w:after="120"/>
        <w:rPr>
          <w:rFonts w:ascii="Calibri" w:hAnsi="Calibri" w:cs="Calibri"/>
          <w:b/>
          <w:sz w:val="22"/>
          <w:szCs w:val="22"/>
        </w:rPr>
      </w:pPr>
      <w:bookmarkStart w:id="10" w:name="_Hlk20754019"/>
      <w:bookmarkStart w:id="11" w:name="_Hlk527705971"/>
      <w:bookmarkStart w:id="12" w:name="_Hlk483400216"/>
      <w:r>
        <w:rPr>
          <w:rFonts w:ascii="Calibri" w:hAnsi="Calibri" w:cs="Calibri"/>
          <w:b/>
          <w:sz w:val="22"/>
          <w:szCs w:val="22"/>
        </w:rPr>
        <w:t>9.</w:t>
      </w:r>
      <w:r>
        <w:rPr>
          <w:rFonts w:ascii="Calibri" w:hAnsi="Calibri" w:cs="Calibri"/>
          <w:b/>
          <w:sz w:val="22"/>
          <w:szCs w:val="22"/>
        </w:rPr>
        <w:tab/>
      </w:r>
      <w:r w:rsidRPr="00DB22BA">
        <w:rPr>
          <w:rFonts w:ascii="Calibri" w:hAnsi="Calibri" w:cs="Calibri"/>
          <w:b/>
          <w:sz w:val="22"/>
          <w:szCs w:val="22"/>
        </w:rPr>
        <w:t>Earnings per share</w:t>
      </w:r>
      <w:r w:rsidRPr="00DB22BA">
        <w:rPr>
          <w:rFonts w:ascii="Calibri" w:hAnsi="Calibri" w:cs="Calibri"/>
          <w:b/>
          <w:sz w:val="22"/>
          <w:szCs w:val="22"/>
        </w:rPr>
        <w:tab/>
      </w:r>
      <w:r w:rsidRPr="00DB22BA">
        <w:rPr>
          <w:rFonts w:ascii="Calibri" w:hAnsi="Calibri" w:cs="Calibri"/>
          <w:b/>
          <w:sz w:val="22"/>
          <w:szCs w:val="22"/>
        </w:rPr>
        <w:tab/>
      </w:r>
    </w:p>
    <w:tbl>
      <w:tblPr>
        <w:tblW w:w="10240" w:type="dxa"/>
        <w:tblInd w:w="108" w:type="dxa"/>
        <w:tblLayout w:type="fixed"/>
        <w:tblLook w:val="0000" w:firstRow="0" w:lastRow="0" w:firstColumn="0" w:lastColumn="0" w:noHBand="0" w:noVBand="0"/>
      </w:tblPr>
      <w:tblGrid>
        <w:gridCol w:w="5937"/>
        <w:gridCol w:w="1126"/>
        <w:gridCol w:w="1153"/>
        <w:gridCol w:w="1012"/>
        <w:gridCol w:w="1012"/>
      </w:tblGrid>
      <w:tr w:rsidR="00473464" w:rsidRPr="00505482" w14:paraId="09627DF2" w14:textId="77777777" w:rsidTr="00B83D66">
        <w:trPr>
          <w:trHeight w:val="251"/>
        </w:trPr>
        <w:tc>
          <w:tcPr>
            <w:tcW w:w="5937" w:type="dxa"/>
            <w:tcBorders>
              <w:top w:val="nil"/>
              <w:left w:val="nil"/>
              <w:bottom w:val="nil"/>
            </w:tcBorders>
          </w:tcPr>
          <w:p w14:paraId="44B5C6D4" w14:textId="77777777" w:rsidR="00473464" w:rsidRPr="00DB22BA" w:rsidRDefault="00473464" w:rsidP="00B83D66">
            <w:pPr>
              <w:autoSpaceDE w:val="0"/>
              <w:autoSpaceDN w:val="0"/>
              <w:adjustRightInd w:val="0"/>
              <w:jc w:val="right"/>
              <w:rPr>
                <w:rFonts w:ascii="Calibri" w:hAnsi="Calibri" w:cs="Calibri"/>
                <w:color w:val="000000"/>
                <w:sz w:val="22"/>
                <w:szCs w:val="22"/>
              </w:rPr>
            </w:pPr>
          </w:p>
        </w:tc>
        <w:tc>
          <w:tcPr>
            <w:tcW w:w="1126" w:type="dxa"/>
            <w:tcBorders>
              <w:bottom w:val="nil"/>
            </w:tcBorders>
            <w:shd w:val="clear" w:color="auto" w:fill="FFFF00"/>
          </w:tcPr>
          <w:p w14:paraId="0C997C4D" w14:textId="77777777" w:rsidR="00473464" w:rsidRDefault="00473464" w:rsidP="00B83D66">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Half-Year</w:t>
            </w:r>
          </w:p>
        </w:tc>
        <w:tc>
          <w:tcPr>
            <w:tcW w:w="1153" w:type="dxa"/>
            <w:tcBorders>
              <w:bottom w:val="nil"/>
            </w:tcBorders>
          </w:tcPr>
          <w:p w14:paraId="77423BCF" w14:textId="77777777" w:rsidR="00473464" w:rsidRDefault="00473464" w:rsidP="00B83D66">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Half-Year</w:t>
            </w:r>
          </w:p>
        </w:tc>
        <w:tc>
          <w:tcPr>
            <w:tcW w:w="1012" w:type="dxa"/>
            <w:tcBorders>
              <w:bottom w:val="nil"/>
            </w:tcBorders>
            <w:shd w:val="clear" w:color="auto" w:fill="FFFF00"/>
          </w:tcPr>
          <w:p w14:paraId="42FD69FD" w14:textId="77777777" w:rsidR="00473464" w:rsidRDefault="00473464" w:rsidP="00B83D66">
            <w:pPr>
              <w:autoSpaceDE w:val="0"/>
              <w:autoSpaceDN w:val="0"/>
              <w:adjustRightInd w:val="0"/>
              <w:jc w:val="right"/>
              <w:rPr>
                <w:rFonts w:ascii="Calibri" w:hAnsi="Calibri" w:cs="Calibri"/>
                <w:color w:val="000000"/>
                <w:sz w:val="22"/>
                <w:szCs w:val="22"/>
              </w:rPr>
            </w:pPr>
            <w:r>
              <w:rPr>
                <w:rFonts w:ascii="Calibri" w:hAnsi="Calibri" w:cs="Calibri"/>
                <w:b/>
                <w:color w:val="000000"/>
                <w:sz w:val="22"/>
                <w:szCs w:val="22"/>
              </w:rPr>
              <w:t>Quarter</w:t>
            </w:r>
          </w:p>
        </w:tc>
        <w:tc>
          <w:tcPr>
            <w:tcW w:w="1012" w:type="dxa"/>
            <w:tcBorders>
              <w:bottom w:val="nil"/>
            </w:tcBorders>
          </w:tcPr>
          <w:p w14:paraId="0ED7D712" w14:textId="77777777" w:rsidR="00473464" w:rsidRDefault="00473464" w:rsidP="00B83D66">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Quarter</w:t>
            </w:r>
          </w:p>
        </w:tc>
      </w:tr>
      <w:tr w:rsidR="00473464" w:rsidRPr="00505482" w14:paraId="200BDB0C" w14:textId="77777777" w:rsidTr="00B83D66">
        <w:trPr>
          <w:trHeight w:val="251"/>
        </w:trPr>
        <w:tc>
          <w:tcPr>
            <w:tcW w:w="5937" w:type="dxa"/>
            <w:tcBorders>
              <w:top w:val="nil"/>
              <w:left w:val="nil"/>
              <w:bottom w:val="nil"/>
            </w:tcBorders>
          </w:tcPr>
          <w:p w14:paraId="22866D6E" w14:textId="77777777" w:rsidR="00473464" w:rsidRPr="00DB22BA" w:rsidRDefault="00473464" w:rsidP="00B83D66">
            <w:pPr>
              <w:autoSpaceDE w:val="0"/>
              <w:autoSpaceDN w:val="0"/>
              <w:adjustRightInd w:val="0"/>
              <w:jc w:val="right"/>
              <w:rPr>
                <w:rFonts w:ascii="Calibri" w:hAnsi="Calibri" w:cs="Calibri"/>
                <w:color w:val="000000"/>
                <w:sz w:val="22"/>
                <w:szCs w:val="22"/>
              </w:rPr>
            </w:pPr>
          </w:p>
        </w:tc>
        <w:tc>
          <w:tcPr>
            <w:tcW w:w="1126" w:type="dxa"/>
            <w:tcBorders>
              <w:bottom w:val="nil"/>
            </w:tcBorders>
            <w:shd w:val="clear" w:color="auto" w:fill="FFFF00"/>
          </w:tcPr>
          <w:p w14:paraId="1A20D780" w14:textId="77777777" w:rsidR="00473464" w:rsidRDefault="00473464" w:rsidP="00B83D66">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Ended</w:t>
            </w:r>
          </w:p>
        </w:tc>
        <w:tc>
          <w:tcPr>
            <w:tcW w:w="1153" w:type="dxa"/>
            <w:tcBorders>
              <w:bottom w:val="nil"/>
            </w:tcBorders>
          </w:tcPr>
          <w:p w14:paraId="78F8085D" w14:textId="77777777" w:rsidR="00473464" w:rsidRDefault="00473464" w:rsidP="00B83D66">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Ended</w:t>
            </w:r>
          </w:p>
        </w:tc>
        <w:tc>
          <w:tcPr>
            <w:tcW w:w="1012" w:type="dxa"/>
            <w:tcBorders>
              <w:bottom w:val="nil"/>
            </w:tcBorders>
            <w:shd w:val="clear" w:color="auto" w:fill="FFFF00"/>
          </w:tcPr>
          <w:p w14:paraId="5E65C0D5" w14:textId="77777777" w:rsidR="00473464" w:rsidRDefault="00473464" w:rsidP="00B83D66">
            <w:pPr>
              <w:autoSpaceDE w:val="0"/>
              <w:autoSpaceDN w:val="0"/>
              <w:adjustRightInd w:val="0"/>
              <w:jc w:val="right"/>
              <w:rPr>
                <w:rFonts w:ascii="Calibri" w:hAnsi="Calibri" w:cs="Calibri"/>
                <w:color w:val="000000"/>
                <w:sz w:val="22"/>
                <w:szCs w:val="22"/>
              </w:rPr>
            </w:pPr>
            <w:r>
              <w:rPr>
                <w:rFonts w:ascii="Calibri" w:hAnsi="Calibri" w:cs="Calibri"/>
                <w:b/>
                <w:color w:val="000000"/>
                <w:sz w:val="22"/>
                <w:szCs w:val="22"/>
              </w:rPr>
              <w:t>Ended</w:t>
            </w:r>
          </w:p>
        </w:tc>
        <w:tc>
          <w:tcPr>
            <w:tcW w:w="1012" w:type="dxa"/>
            <w:tcBorders>
              <w:bottom w:val="nil"/>
            </w:tcBorders>
          </w:tcPr>
          <w:p w14:paraId="00A39EB3" w14:textId="77777777" w:rsidR="00473464" w:rsidRDefault="00473464" w:rsidP="00B83D66">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Ended</w:t>
            </w:r>
          </w:p>
        </w:tc>
      </w:tr>
      <w:tr w:rsidR="00473464" w:rsidRPr="00505482" w14:paraId="2306F77C" w14:textId="77777777" w:rsidTr="00B83D66">
        <w:trPr>
          <w:trHeight w:val="251"/>
        </w:trPr>
        <w:tc>
          <w:tcPr>
            <w:tcW w:w="5937" w:type="dxa"/>
            <w:tcBorders>
              <w:top w:val="nil"/>
              <w:left w:val="nil"/>
              <w:bottom w:val="nil"/>
            </w:tcBorders>
          </w:tcPr>
          <w:p w14:paraId="01DF20AC" w14:textId="77777777" w:rsidR="00473464" w:rsidRPr="00DB22BA" w:rsidRDefault="00473464" w:rsidP="00B83D66">
            <w:pPr>
              <w:autoSpaceDE w:val="0"/>
              <w:autoSpaceDN w:val="0"/>
              <w:adjustRightInd w:val="0"/>
              <w:jc w:val="right"/>
              <w:rPr>
                <w:rFonts w:ascii="Calibri" w:hAnsi="Calibri" w:cs="Calibri"/>
                <w:color w:val="000000"/>
                <w:sz w:val="22"/>
                <w:szCs w:val="22"/>
              </w:rPr>
            </w:pPr>
          </w:p>
        </w:tc>
        <w:tc>
          <w:tcPr>
            <w:tcW w:w="1126" w:type="dxa"/>
            <w:tcBorders>
              <w:bottom w:val="nil"/>
            </w:tcBorders>
            <w:shd w:val="clear" w:color="auto" w:fill="FFFF00"/>
          </w:tcPr>
          <w:p w14:paraId="67F52622" w14:textId="77777777" w:rsidR="00473464" w:rsidRDefault="00473464" w:rsidP="00B83D66">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Sep 30,</w:t>
            </w:r>
          </w:p>
        </w:tc>
        <w:tc>
          <w:tcPr>
            <w:tcW w:w="1153" w:type="dxa"/>
            <w:tcBorders>
              <w:bottom w:val="nil"/>
            </w:tcBorders>
          </w:tcPr>
          <w:p w14:paraId="42C4DF07" w14:textId="77777777" w:rsidR="00473464" w:rsidRDefault="00473464" w:rsidP="00B83D66">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Sep 30,</w:t>
            </w:r>
          </w:p>
        </w:tc>
        <w:tc>
          <w:tcPr>
            <w:tcW w:w="1012" w:type="dxa"/>
            <w:tcBorders>
              <w:bottom w:val="nil"/>
            </w:tcBorders>
            <w:shd w:val="clear" w:color="auto" w:fill="FFFF00"/>
          </w:tcPr>
          <w:p w14:paraId="15ACDB39" w14:textId="77777777" w:rsidR="00473464" w:rsidRDefault="00473464" w:rsidP="00B83D66">
            <w:pPr>
              <w:autoSpaceDE w:val="0"/>
              <w:autoSpaceDN w:val="0"/>
              <w:adjustRightInd w:val="0"/>
              <w:jc w:val="right"/>
              <w:rPr>
                <w:rFonts w:ascii="Calibri" w:hAnsi="Calibri" w:cs="Calibri"/>
                <w:color w:val="000000"/>
                <w:sz w:val="22"/>
                <w:szCs w:val="22"/>
              </w:rPr>
            </w:pPr>
            <w:r>
              <w:rPr>
                <w:rFonts w:ascii="Calibri" w:hAnsi="Calibri" w:cs="Calibri"/>
                <w:b/>
                <w:color w:val="000000"/>
                <w:sz w:val="22"/>
                <w:szCs w:val="22"/>
              </w:rPr>
              <w:t>Sep 30,</w:t>
            </w:r>
          </w:p>
        </w:tc>
        <w:tc>
          <w:tcPr>
            <w:tcW w:w="1012" w:type="dxa"/>
            <w:tcBorders>
              <w:bottom w:val="nil"/>
            </w:tcBorders>
          </w:tcPr>
          <w:p w14:paraId="2362DEB8" w14:textId="77777777" w:rsidR="00473464" w:rsidRDefault="00473464" w:rsidP="00B83D66">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Sep 30,</w:t>
            </w:r>
          </w:p>
        </w:tc>
      </w:tr>
      <w:tr w:rsidR="00473464" w:rsidRPr="00505482" w14:paraId="79309344" w14:textId="77777777" w:rsidTr="00B83D66">
        <w:trPr>
          <w:trHeight w:val="251"/>
        </w:trPr>
        <w:tc>
          <w:tcPr>
            <w:tcW w:w="5937" w:type="dxa"/>
            <w:tcBorders>
              <w:top w:val="nil"/>
              <w:left w:val="nil"/>
              <w:bottom w:val="nil"/>
            </w:tcBorders>
          </w:tcPr>
          <w:p w14:paraId="5D512431" w14:textId="77777777" w:rsidR="00473464" w:rsidRPr="00DB22BA" w:rsidRDefault="00473464" w:rsidP="00B83D66">
            <w:pPr>
              <w:autoSpaceDE w:val="0"/>
              <w:autoSpaceDN w:val="0"/>
              <w:adjustRightInd w:val="0"/>
              <w:jc w:val="right"/>
              <w:rPr>
                <w:rFonts w:ascii="Calibri" w:hAnsi="Calibri" w:cs="Calibri"/>
                <w:color w:val="000000"/>
                <w:sz w:val="22"/>
                <w:szCs w:val="22"/>
              </w:rPr>
            </w:pPr>
          </w:p>
        </w:tc>
        <w:tc>
          <w:tcPr>
            <w:tcW w:w="1126" w:type="dxa"/>
            <w:tcBorders>
              <w:top w:val="nil"/>
              <w:bottom w:val="nil"/>
            </w:tcBorders>
            <w:shd w:val="clear" w:color="auto" w:fill="FFFF00"/>
          </w:tcPr>
          <w:p w14:paraId="0CE644F8" w14:textId="78B2BB43" w:rsidR="00473464" w:rsidRPr="00664FA5" w:rsidRDefault="00473464" w:rsidP="00B83D66">
            <w:pPr>
              <w:autoSpaceDE w:val="0"/>
              <w:autoSpaceDN w:val="0"/>
              <w:adjustRightInd w:val="0"/>
              <w:ind w:left="-245"/>
              <w:jc w:val="right"/>
              <w:rPr>
                <w:rFonts w:ascii="Calibri" w:hAnsi="Calibri" w:cs="Calibri"/>
                <w:b/>
                <w:bCs/>
                <w:color w:val="000000"/>
                <w:sz w:val="22"/>
                <w:szCs w:val="22"/>
              </w:rPr>
            </w:pPr>
            <w:r>
              <w:rPr>
                <w:rFonts w:ascii="Calibri" w:hAnsi="Calibri" w:cs="Calibri"/>
                <w:b/>
                <w:bCs/>
                <w:color w:val="000000"/>
                <w:sz w:val="22"/>
                <w:szCs w:val="22"/>
              </w:rPr>
              <w:t>2020</w:t>
            </w:r>
          </w:p>
        </w:tc>
        <w:tc>
          <w:tcPr>
            <w:tcW w:w="1153" w:type="dxa"/>
            <w:tcBorders>
              <w:top w:val="nil"/>
              <w:bottom w:val="nil"/>
            </w:tcBorders>
          </w:tcPr>
          <w:p w14:paraId="78F09769" w14:textId="7CB32F52" w:rsidR="00473464" w:rsidRDefault="00473464" w:rsidP="00B83D66">
            <w:pPr>
              <w:autoSpaceDE w:val="0"/>
              <w:autoSpaceDN w:val="0"/>
              <w:adjustRightInd w:val="0"/>
              <w:ind w:left="-109"/>
              <w:jc w:val="right"/>
              <w:rPr>
                <w:rFonts w:ascii="Calibri" w:hAnsi="Calibri" w:cs="Calibri"/>
                <w:bCs/>
                <w:color w:val="000000"/>
                <w:sz w:val="22"/>
                <w:szCs w:val="22"/>
              </w:rPr>
            </w:pPr>
            <w:r>
              <w:rPr>
                <w:rFonts w:ascii="Calibri" w:hAnsi="Calibri" w:cs="Calibri"/>
                <w:bCs/>
                <w:color w:val="000000"/>
                <w:sz w:val="22"/>
                <w:szCs w:val="22"/>
              </w:rPr>
              <w:t>2019</w:t>
            </w:r>
          </w:p>
        </w:tc>
        <w:tc>
          <w:tcPr>
            <w:tcW w:w="1012" w:type="dxa"/>
            <w:tcBorders>
              <w:top w:val="nil"/>
              <w:bottom w:val="nil"/>
            </w:tcBorders>
            <w:shd w:val="clear" w:color="auto" w:fill="FFFF00"/>
          </w:tcPr>
          <w:p w14:paraId="40ED95A0" w14:textId="0608CE62" w:rsidR="00473464" w:rsidRDefault="00473464" w:rsidP="00B83D66">
            <w:pPr>
              <w:autoSpaceDE w:val="0"/>
              <w:autoSpaceDN w:val="0"/>
              <w:adjustRightInd w:val="0"/>
              <w:ind w:left="-109"/>
              <w:jc w:val="right"/>
              <w:rPr>
                <w:rFonts w:ascii="Calibri" w:hAnsi="Calibri" w:cs="Calibri"/>
                <w:bCs/>
                <w:color w:val="000000"/>
                <w:sz w:val="22"/>
                <w:szCs w:val="22"/>
              </w:rPr>
            </w:pPr>
            <w:r>
              <w:rPr>
                <w:rFonts w:ascii="Calibri" w:hAnsi="Calibri" w:cs="Calibri"/>
                <w:b/>
                <w:bCs/>
                <w:color w:val="000000"/>
                <w:sz w:val="22"/>
                <w:szCs w:val="22"/>
              </w:rPr>
              <w:t>2020</w:t>
            </w:r>
          </w:p>
        </w:tc>
        <w:tc>
          <w:tcPr>
            <w:tcW w:w="1012" w:type="dxa"/>
            <w:tcBorders>
              <w:top w:val="nil"/>
              <w:bottom w:val="nil"/>
            </w:tcBorders>
          </w:tcPr>
          <w:p w14:paraId="7591E5FA" w14:textId="059A1076" w:rsidR="00473464" w:rsidRDefault="00473464" w:rsidP="00B83D66">
            <w:pPr>
              <w:autoSpaceDE w:val="0"/>
              <w:autoSpaceDN w:val="0"/>
              <w:adjustRightInd w:val="0"/>
              <w:ind w:left="-109"/>
              <w:jc w:val="right"/>
              <w:rPr>
                <w:rFonts w:ascii="Calibri" w:hAnsi="Calibri" w:cs="Calibri"/>
                <w:bCs/>
                <w:color w:val="000000"/>
                <w:sz w:val="22"/>
                <w:szCs w:val="22"/>
              </w:rPr>
            </w:pPr>
            <w:r>
              <w:rPr>
                <w:rFonts w:ascii="Calibri" w:hAnsi="Calibri" w:cs="Calibri"/>
                <w:bCs/>
                <w:color w:val="000000"/>
                <w:sz w:val="22"/>
                <w:szCs w:val="22"/>
              </w:rPr>
              <w:t>2019</w:t>
            </w:r>
          </w:p>
        </w:tc>
      </w:tr>
      <w:tr w:rsidR="00473464" w:rsidRPr="00505482" w14:paraId="072FC33C" w14:textId="77777777" w:rsidTr="00B83D66">
        <w:trPr>
          <w:trHeight w:val="251"/>
        </w:trPr>
        <w:tc>
          <w:tcPr>
            <w:tcW w:w="5937" w:type="dxa"/>
            <w:tcBorders>
              <w:top w:val="nil"/>
              <w:left w:val="nil"/>
              <w:bottom w:val="nil"/>
            </w:tcBorders>
          </w:tcPr>
          <w:p w14:paraId="578E83D3" w14:textId="77777777" w:rsidR="00473464" w:rsidRPr="00DB22BA" w:rsidRDefault="00473464" w:rsidP="00B83D66">
            <w:pPr>
              <w:autoSpaceDE w:val="0"/>
              <w:autoSpaceDN w:val="0"/>
              <w:adjustRightInd w:val="0"/>
              <w:jc w:val="right"/>
              <w:rPr>
                <w:rFonts w:ascii="Calibri" w:hAnsi="Calibri" w:cs="Calibri"/>
                <w:color w:val="000000"/>
                <w:sz w:val="22"/>
                <w:szCs w:val="22"/>
              </w:rPr>
            </w:pPr>
          </w:p>
        </w:tc>
        <w:tc>
          <w:tcPr>
            <w:tcW w:w="1126" w:type="dxa"/>
            <w:tcBorders>
              <w:top w:val="nil"/>
              <w:bottom w:val="nil"/>
            </w:tcBorders>
            <w:shd w:val="clear" w:color="auto" w:fill="FFFF00"/>
          </w:tcPr>
          <w:p w14:paraId="116413B1" w14:textId="77777777" w:rsidR="00473464" w:rsidRPr="00664FA5" w:rsidRDefault="00473464" w:rsidP="00B83D66">
            <w:pPr>
              <w:autoSpaceDE w:val="0"/>
              <w:autoSpaceDN w:val="0"/>
              <w:adjustRightInd w:val="0"/>
              <w:jc w:val="right"/>
              <w:rPr>
                <w:rFonts w:ascii="Calibri" w:hAnsi="Calibri" w:cs="Calibri"/>
                <w:b/>
                <w:bCs/>
                <w:color w:val="000000"/>
                <w:sz w:val="22"/>
                <w:szCs w:val="22"/>
              </w:rPr>
            </w:pPr>
          </w:p>
        </w:tc>
        <w:tc>
          <w:tcPr>
            <w:tcW w:w="1153" w:type="dxa"/>
            <w:tcBorders>
              <w:top w:val="nil"/>
              <w:bottom w:val="nil"/>
            </w:tcBorders>
          </w:tcPr>
          <w:p w14:paraId="47541F34" w14:textId="77777777" w:rsidR="00473464" w:rsidRPr="00DB22BA" w:rsidRDefault="00473464" w:rsidP="00B83D66">
            <w:pPr>
              <w:autoSpaceDE w:val="0"/>
              <w:autoSpaceDN w:val="0"/>
              <w:adjustRightInd w:val="0"/>
              <w:jc w:val="right"/>
              <w:rPr>
                <w:rFonts w:ascii="Calibri" w:hAnsi="Calibri" w:cs="Calibri"/>
                <w:bCs/>
                <w:color w:val="000000"/>
                <w:sz w:val="22"/>
                <w:szCs w:val="22"/>
              </w:rPr>
            </w:pPr>
          </w:p>
        </w:tc>
        <w:tc>
          <w:tcPr>
            <w:tcW w:w="1012" w:type="dxa"/>
            <w:tcBorders>
              <w:top w:val="nil"/>
              <w:bottom w:val="nil"/>
            </w:tcBorders>
            <w:shd w:val="clear" w:color="auto" w:fill="FFFF00"/>
          </w:tcPr>
          <w:p w14:paraId="013DE6AF" w14:textId="77777777" w:rsidR="00473464" w:rsidRPr="00DB22BA" w:rsidRDefault="00473464" w:rsidP="00B83D66">
            <w:pPr>
              <w:autoSpaceDE w:val="0"/>
              <w:autoSpaceDN w:val="0"/>
              <w:adjustRightInd w:val="0"/>
              <w:jc w:val="right"/>
              <w:rPr>
                <w:rFonts w:ascii="Calibri" w:hAnsi="Calibri" w:cs="Calibri"/>
                <w:bCs/>
                <w:color w:val="000000"/>
                <w:sz w:val="22"/>
                <w:szCs w:val="22"/>
              </w:rPr>
            </w:pPr>
          </w:p>
        </w:tc>
        <w:tc>
          <w:tcPr>
            <w:tcW w:w="1012" w:type="dxa"/>
            <w:tcBorders>
              <w:top w:val="nil"/>
              <w:bottom w:val="nil"/>
            </w:tcBorders>
          </w:tcPr>
          <w:p w14:paraId="3EC7846B" w14:textId="77777777" w:rsidR="00473464" w:rsidRPr="00DB22BA" w:rsidRDefault="00473464" w:rsidP="00B83D66">
            <w:pPr>
              <w:autoSpaceDE w:val="0"/>
              <w:autoSpaceDN w:val="0"/>
              <w:adjustRightInd w:val="0"/>
              <w:jc w:val="right"/>
              <w:rPr>
                <w:rFonts w:ascii="Calibri" w:hAnsi="Calibri" w:cs="Calibri"/>
                <w:bCs/>
                <w:color w:val="000000"/>
                <w:sz w:val="22"/>
                <w:szCs w:val="22"/>
              </w:rPr>
            </w:pPr>
          </w:p>
        </w:tc>
      </w:tr>
      <w:tr w:rsidR="00473464" w:rsidRPr="00505482" w14:paraId="168BB48C" w14:textId="77777777" w:rsidTr="00B83D66">
        <w:trPr>
          <w:trHeight w:val="251"/>
        </w:trPr>
        <w:tc>
          <w:tcPr>
            <w:tcW w:w="5937" w:type="dxa"/>
            <w:tcBorders>
              <w:top w:val="nil"/>
              <w:left w:val="nil"/>
              <w:bottom w:val="nil"/>
            </w:tcBorders>
          </w:tcPr>
          <w:p w14:paraId="4E6182E1" w14:textId="15040FF1" w:rsidR="00473464" w:rsidRPr="00DB22BA" w:rsidRDefault="00473464" w:rsidP="00B83D66">
            <w:pPr>
              <w:autoSpaceDE w:val="0"/>
              <w:autoSpaceDN w:val="0"/>
              <w:adjustRightInd w:val="0"/>
              <w:rPr>
                <w:rFonts w:ascii="Calibri" w:hAnsi="Calibri" w:cs="Calibri"/>
                <w:color w:val="000000"/>
                <w:sz w:val="22"/>
                <w:szCs w:val="22"/>
              </w:rPr>
            </w:pPr>
            <w:r w:rsidRPr="00DB22BA">
              <w:rPr>
                <w:rFonts w:ascii="Calibri" w:hAnsi="Calibri" w:cs="Calibri"/>
                <w:color w:val="000000"/>
                <w:sz w:val="22"/>
                <w:szCs w:val="22"/>
              </w:rPr>
              <w:t xml:space="preserve">Basic </w:t>
            </w:r>
            <w:r w:rsidR="00A70869">
              <w:rPr>
                <w:rFonts w:ascii="Calibri" w:hAnsi="Calibri" w:cs="Calibri"/>
                <w:color w:val="000000"/>
                <w:sz w:val="22"/>
                <w:szCs w:val="22"/>
              </w:rPr>
              <w:t>(loss)/</w:t>
            </w:r>
            <w:r w:rsidRPr="00DB22BA">
              <w:rPr>
                <w:rFonts w:ascii="Calibri" w:hAnsi="Calibri" w:cs="Calibri"/>
                <w:color w:val="000000"/>
                <w:sz w:val="22"/>
                <w:szCs w:val="22"/>
              </w:rPr>
              <w:t xml:space="preserve">earnings per ordinary share </w:t>
            </w:r>
            <w:r>
              <w:rPr>
                <w:rFonts w:ascii="Calibri" w:hAnsi="Calibri" w:cs="Calibri"/>
                <w:color w:val="000000"/>
                <w:sz w:val="22"/>
                <w:szCs w:val="22"/>
              </w:rPr>
              <w:t>(€)</w:t>
            </w:r>
          </w:p>
        </w:tc>
        <w:tc>
          <w:tcPr>
            <w:tcW w:w="1126" w:type="dxa"/>
            <w:tcBorders>
              <w:top w:val="nil"/>
              <w:bottom w:val="nil"/>
            </w:tcBorders>
            <w:shd w:val="clear" w:color="auto" w:fill="FFFF00"/>
          </w:tcPr>
          <w:p w14:paraId="0DE6C06B" w14:textId="13EEE30A" w:rsidR="00473464" w:rsidRPr="00A93AF2" w:rsidRDefault="00C41099" w:rsidP="00B83D66">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(0.3752)</w:t>
            </w:r>
          </w:p>
        </w:tc>
        <w:tc>
          <w:tcPr>
            <w:tcW w:w="1153" w:type="dxa"/>
            <w:tcBorders>
              <w:top w:val="nil"/>
              <w:bottom w:val="nil"/>
            </w:tcBorders>
          </w:tcPr>
          <w:p w14:paraId="687071B4" w14:textId="4AB2FD77" w:rsidR="00473464" w:rsidRPr="00433050" w:rsidRDefault="00005AD5" w:rsidP="00B83D66">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1.0247</w:t>
            </w:r>
          </w:p>
        </w:tc>
        <w:tc>
          <w:tcPr>
            <w:tcW w:w="1012" w:type="dxa"/>
            <w:tcBorders>
              <w:top w:val="nil"/>
              <w:bottom w:val="nil"/>
            </w:tcBorders>
            <w:shd w:val="clear" w:color="auto" w:fill="FFFF00"/>
          </w:tcPr>
          <w:p w14:paraId="3CC7065E" w14:textId="61DA30CC" w:rsidR="00473464" w:rsidRDefault="00C41099" w:rsidP="00B83D66">
            <w:pPr>
              <w:autoSpaceDE w:val="0"/>
              <w:autoSpaceDN w:val="0"/>
              <w:adjustRightInd w:val="0"/>
              <w:jc w:val="right"/>
              <w:rPr>
                <w:rFonts w:ascii="Calibri" w:hAnsi="Calibri" w:cs="Calibri"/>
                <w:bCs/>
                <w:color w:val="000000"/>
                <w:sz w:val="22"/>
                <w:szCs w:val="22"/>
              </w:rPr>
            </w:pPr>
            <w:r>
              <w:rPr>
                <w:rFonts w:ascii="Calibri" w:hAnsi="Calibri" w:cs="Calibri"/>
                <w:b/>
                <w:bCs/>
                <w:sz w:val="22"/>
                <w:szCs w:val="22"/>
              </w:rPr>
              <w:t>(0.20</w:t>
            </w:r>
            <w:r w:rsidR="00A00B7A">
              <w:rPr>
                <w:rFonts w:ascii="Calibri" w:hAnsi="Calibri" w:cs="Calibri"/>
                <w:b/>
                <w:bCs/>
                <w:sz w:val="22"/>
                <w:szCs w:val="22"/>
              </w:rPr>
              <w:t>53</w:t>
            </w:r>
            <w:r>
              <w:rPr>
                <w:rFonts w:ascii="Calibri" w:hAnsi="Calibri" w:cs="Calibri"/>
                <w:b/>
                <w:bCs/>
                <w:sz w:val="22"/>
                <w:szCs w:val="22"/>
              </w:rPr>
              <w:t>)</w:t>
            </w:r>
          </w:p>
        </w:tc>
        <w:tc>
          <w:tcPr>
            <w:tcW w:w="1012" w:type="dxa"/>
            <w:tcBorders>
              <w:top w:val="nil"/>
              <w:bottom w:val="nil"/>
            </w:tcBorders>
          </w:tcPr>
          <w:p w14:paraId="3A4C2747" w14:textId="564DCE7C" w:rsidR="00473464" w:rsidRPr="00433050" w:rsidRDefault="00473464" w:rsidP="00B83D66">
            <w:pPr>
              <w:autoSpaceDE w:val="0"/>
              <w:autoSpaceDN w:val="0"/>
              <w:adjustRightInd w:val="0"/>
              <w:jc w:val="right"/>
              <w:rPr>
                <w:rFonts w:ascii="Calibri" w:hAnsi="Calibri" w:cs="Calibri"/>
                <w:color w:val="000000"/>
                <w:sz w:val="22"/>
                <w:szCs w:val="22"/>
              </w:rPr>
            </w:pPr>
            <w:r w:rsidRPr="00433050">
              <w:rPr>
                <w:rFonts w:ascii="Calibri" w:hAnsi="Calibri" w:cs="Calibri"/>
                <w:color w:val="000000"/>
                <w:sz w:val="22"/>
                <w:szCs w:val="22"/>
              </w:rPr>
              <w:t>0.</w:t>
            </w:r>
            <w:r w:rsidR="00005AD5">
              <w:rPr>
                <w:rFonts w:ascii="Calibri" w:hAnsi="Calibri" w:cs="Calibri"/>
                <w:color w:val="000000"/>
                <w:sz w:val="22"/>
                <w:szCs w:val="22"/>
              </w:rPr>
              <w:t>8139</w:t>
            </w:r>
          </w:p>
        </w:tc>
      </w:tr>
      <w:tr w:rsidR="00473464" w:rsidRPr="00505482" w14:paraId="7E8778B2" w14:textId="77777777" w:rsidTr="00B83D66">
        <w:trPr>
          <w:trHeight w:val="251"/>
        </w:trPr>
        <w:tc>
          <w:tcPr>
            <w:tcW w:w="5937" w:type="dxa"/>
            <w:tcBorders>
              <w:top w:val="nil"/>
              <w:left w:val="nil"/>
              <w:bottom w:val="nil"/>
            </w:tcBorders>
          </w:tcPr>
          <w:p w14:paraId="089A2BF7" w14:textId="77777777" w:rsidR="00473464" w:rsidRPr="00DB22BA" w:rsidRDefault="00473464" w:rsidP="00B83D66">
            <w:pPr>
              <w:autoSpaceDE w:val="0"/>
              <w:autoSpaceDN w:val="0"/>
              <w:adjustRightInd w:val="0"/>
              <w:rPr>
                <w:rFonts w:ascii="Calibri" w:hAnsi="Calibri" w:cs="Calibri"/>
                <w:color w:val="000000"/>
                <w:sz w:val="22"/>
                <w:szCs w:val="22"/>
              </w:rPr>
            </w:pPr>
            <w:r w:rsidRPr="00DB22BA">
              <w:rPr>
                <w:rFonts w:ascii="Calibri" w:hAnsi="Calibri" w:cs="Calibri"/>
                <w:color w:val="000000"/>
                <w:sz w:val="22"/>
                <w:szCs w:val="22"/>
              </w:rPr>
              <w:t xml:space="preserve">Diluted earnings per ordinary share </w:t>
            </w:r>
            <w:r>
              <w:rPr>
                <w:rFonts w:ascii="Calibri" w:hAnsi="Calibri" w:cs="Calibri"/>
                <w:color w:val="000000"/>
                <w:sz w:val="22"/>
                <w:szCs w:val="22"/>
              </w:rPr>
              <w:t>(€)</w:t>
            </w:r>
          </w:p>
        </w:tc>
        <w:tc>
          <w:tcPr>
            <w:tcW w:w="1126" w:type="dxa"/>
            <w:tcBorders>
              <w:top w:val="nil"/>
              <w:bottom w:val="nil"/>
            </w:tcBorders>
            <w:shd w:val="clear" w:color="auto" w:fill="FFFF00"/>
          </w:tcPr>
          <w:p w14:paraId="1D9552B0" w14:textId="0FC84D3A" w:rsidR="00473464" w:rsidRPr="00A93AF2" w:rsidRDefault="00C41099" w:rsidP="00B83D66">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(0.3752)</w:t>
            </w:r>
          </w:p>
        </w:tc>
        <w:tc>
          <w:tcPr>
            <w:tcW w:w="1153" w:type="dxa"/>
            <w:tcBorders>
              <w:top w:val="nil"/>
              <w:bottom w:val="nil"/>
            </w:tcBorders>
          </w:tcPr>
          <w:p w14:paraId="0491E702" w14:textId="6E82DBE7" w:rsidR="00473464" w:rsidRPr="00433050" w:rsidRDefault="00005AD5" w:rsidP="00B83D66">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1.0204</w:t>
            </w:r>
          </w:p>
        </w:tc>
        <w:tc>
          <w:tcPr>
            <w:tcW w:w="1012" w:type="dxa"/>
            <w:tcBorders>
              <w:top w:val="nil"/>
              <w:bottom w:val="nil"/>
            </w:tcBorders>
            <w:shd w:val="clear" w:color="auto" w:fill="FFFF00"/>
          </w:tcPr>
          <w:p w14:paraId="6C57ECA0" w14:textId="3D752D2C" w:rsidR="00473464" w:rsidRDefault="00C41099" w:rsidP="00B83D66">
            <w:pPr>
              <w:autoSpaceDE w:val="0"/>
              <w:autoSpaceDN w:val="0"/>
              <w:adjustRightInd w:val="0"/>
              <w:jc w:val="right"/>
              <w:rPr>
                <w:rFonts w:ascii="Calibri" w:hAnsi="Calibri" w:cs="Calibri"/>
                <w:bCs/>
                <w:color w:val="000000"/>
                <w:sz w:val="22"/>
                <w:szCs w:val="22"/>
              </w:rPr>
            </w:pPr>
            <w:r>
              <w:rPr>
                <w:rFonts w:ascii="Calibri" w:hAnsi="Calibri" w:cs="Calibri"/>
                <w:b/>
                <w:bCs/>
                <w:sz w:val="22"/>
                <w:szCs w:val="22"/>
              </w:rPr>
              <w:t>(0.20</w:t>
            </w:r>
            <w:r w:rsidR="00A00B7A">
              <w:rPr>
                <w:rFonts w:ascii="Calibri" w:hAnsi="Calibri" w:cs="Calibri"/>
                <w:b/>
                <w:bCs/>
                <w:sz w:val="22"/>
                <w:szCs w:val="22"/>
              </w:rPr>
              <w:t>53</w:t>
            </w:r>
            <w:r>
              <w:rPr>
                <w:rFonts w:ascii="Calibri" w:hAnsi="Calibri" w:cs="Calibri"/>
                <w:b/>
                <w:bCs/>
                <w:sz w:val="22"/>
                <w:szCs w:val="22"/>
              </w:rPr>
              <w:t>)</w:t>
            </w:r>
          </w:p>
        </w:tc>
        <w:tc>
          <w:tcPr>
            <w:tcW w:w="1012" w:type="dxa"/>
            <w:tcBorders>
              <w:top w:val="nil"/>
              <w:bottom w:val="nil"/>
            </w:tcBorders>
          </w:tcPr>
          <w:p w14:paraId="041D991C" w14:textId="19B22C8B" w:rsidR="00473464" w:rsidRPr="00433050" w:rsidRDefault="00473464" w:rsidP="00B83D66">
            <w:pPr>
              <w:autoSpaceDE w:val="0"/>
              <w:autoSpaceDN w:val="0"/>
              <w:adjustRightInd w:val="0"/>
              <w:jc w:val="right"/>
              <w:rPr>
                <w:rFonts w:ascii="Calibri" w:hAnsi="Calibri" w:cs="Calibri"/>
                <w:color w:val="000000"/>
                <w:sz w:val="22"/>
                <w:szCs w:val="22"/>
              </w:rPr>
            </w:pPr>
            <w:r w:rsidRPr="00433050">
              <w:rPr>
                <w:rFonts w:ascii="Calibri" w:hAnsi="Calibri" w:cs="Calibri"/>
                <w:color w:val="000000"/>
                <w:sz w:val="22"/>
                <w:szCs w:val="22"/>
              </w:rPr>
              <w:t>0.</w:t>
            </w:r>
            <w:r w:rsidR="00005AD5">
              <w:rPr>
                <w:rFonts w:ascii="Calibri" w:hAnsi="Calibri" w:cs="Calibri"/>
                <w:color w:val="000000"/>
                <w:sz w:val="22"/>
                <w:szCs w:val="22"/>
              </w:rPr>
              <w:t>8107</w:t>
            </w:r>
          </w:p>
        </w:tc>
      </w:tr>
      <w:tr w:rsidR="00473464" w:rsidRPr="00505482" w14:paraId="1AD75E71" w14:textId="77777777" w:rsidTr="00B83D66">
        <w:trPr>
          <w:trHeight w:val="251"/>
        </w:trPr>
        <w:tc>
          <w:tcPr>
            <w:tcW w:w="5937" w:type="dxa"/>
            <w:tcBorders>
              <w:top w:val="nil"/>
              <w:left w:val="nil"/>
              <w:bottom w:val="nil"/>
            </w:tcBorders>
          </w:tcPr>
          <w:p w14:paraId="2E2E4757" w14:textId="77777777" w:rsidR="00473464" w:rsidRPr="00DB22BA" w:rsidRDefault="00473464" w:rsidP="00B83D66">
            <w:pPr>
              <w:autoSpaceDE w:val="0"/>
              <w:autoSpaceDN w:val="0"/>
              <w:adjustRightInd w:val="0"/>
              <w:rPr>
                <w:rFonts w:ascii="Calibri" w:hAnsi="Calibri" w:cs="Calibri"/>
                <w:color w:val="000000"/>
                <w:sz w:val="22"/>
                <w:szCs w:val="22"/>
              </w:rPr>
            </w:pPr>
            <w:r w:rsidRPr="00DB22BA">
              <w:rPr>
                <w:rFonts w:ascii="Calibri" w:hAnsi="Calibri" w:cs="Calibri"/>
                <w:color w:val="000000"/>
                <w:sz w:val="22"/>
                <w:szCs w:val="22"/>
              </w:rPr>
              <w:t>Weighted average number of ordinary shares (in M’s) – basic</w:t>
            </w:r>
          </w:p>
        </w:tc>
        <w:tc>
          <w:tcPr>
            <w:tcW w:w="1126" w:type="dxa"/>
            <w:tcBorders>
              <w:top w:val="nil"/>
              <w:bottom w:val="nil"/>
            </w:tcBorders>
            <w:shd w:val="clear" w:color="auto" w:fill="FFFF00"/>
          </w:tcPr>
          <w:p w14:paraId="4073A60E" w14:textId="4D0C2DDE" w:rsidR="00473464" w:rsidRPr="00A93AF2" w:rsidRDefault="00C41099" w:rsidP="00B83D66">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1,094.0</w:t>
            </w:r>
          </w:p>
        </w:tc>
        <w:tc>
          <w:tcPr>
            <w:tcW w:w="1153" w:type="dxa"/>
            <w:tcBorders>
              <w:top w:val="nil"/>
              <w:bottom w:val="nil"/>
            </w:tcBorders>
          </w:tcPr>
          <w:p w14:paraId="2FB62B92" w14:textId="087EF67C" w:rsidR="00473464" w:rsidRPr="00433050" w:rsidRDefault="00473464" w:rsidP="00B83D66">
            <w:pPr>
              <w:autoSpaceDE w:val="0"/>
              <w:autoSpaceDN w:val="0"/>
              <w:adjustRightInd w:val="0"/>
              <w:jc w:val="right"/>
              <w:rPr>
                <w:rFonts w:ascii="Calibri" w:hAnsi="Calibri" w:cs="Calibri"/>
                <w:color w:val="000000"/>
                <w:sz w:val="22"/>
                <w:szCs w:val="22"/>
              </w:rPr>
            </w:pPr>
            <w:r w:rsidRPr="00433050">
              <w:rPr>
                <w:rFonts w:ascii="Calibri" w:hAnsi="Calibri" w:cs="Calibri"/>
                <w:color w:val="000000"/>
                <w:sz w:val="22"/>
                <w:szCs w:val="22"/>
              </w:rPr>
              <w:t>1,</w:t>
            </w:r>
            <w:r w:rsidR="00005AD5">
              <w:rPr>
                <w:rFonts w:ascii="Calibri" w:hAnsi="Calibri" w:cs="Calibri"/>
                <w:color w:val="000000"/>
                <w:sz w:val="22"/>
                <w:szCs w:val="22"/>
              </w:rPr>
              <w:t>124.9</w:t>
            </w:r>
          </w:p>
        </w:tc>
        <w:tc>
          <w:tcPr>
            <w:tcW w:w="1012" w:type="dxa"/>
            <w:tcBorders>
              <w:top w:val="nil"/>
              <w:bottom w:val="nil"/>
            </w:tcBorders>
            <w:shd w:val="clear" w:color="auto" w:fill="FFFF00"/>
          </w:tcPr>
          <w:p w14:paraId="7AB25AA0" w14:textId="75DEDDF5" w:rsidR="00473464" w:rsidRPr="00383D77" w:rsidRDefault="00C41099" w:rsidP="00B83D66">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1,09</w:t>
            </w:r>
            <w:r w:rsidR="00A00B7A">
              <w:rPr>
                <w:rFonts w:ascii="Calibri" w:hAnsi="Calibri" w:cs="Calibri"/>
                <w:b/>
                <w:bCs/>
                <w:color w:val="000000"/>
                <w:sz w:val="22"/>
                <w:szCs w:val="22"/>
              </w:rPr>
              <w:t>8</w:t>
            </w:r>
            <w:r>
              <w:rPr>
                <w:rFonts w:ascii="Calibri" w:hAnsi="Calibri" w:cs="Calibri"/>
                <w:b/>
                <w:bCs/>
                <w:color w:val="000000"/>
                <w:sz w:val="22"/>
                <w:szCs w:val="22"/>
              </w:rPr>
              <w:t>.</w:t>
            </w:r>
            <w:r w:rsidR="00A00B7A">
              <w:rPr>
                <w:rFonts w:ascii="Calibri" w:hAnsi="Calibri" w:cs="Calibri"/>
                <w:b/>
                <w:bCs/>
                <w:color w:val="000000"/>
                <w:sz w:val="22"/>
                <w:szCs w:val="22"/>
              </w:rPr>
              <w:t>6</w:t>
            </w:r>
          </w:p>
        </w:tc>
        <w:tc>
          <w:tcPr>
            <w:tcW w:w="1012" w:type="dxa"/>
            <w:tcBorders>
              <w:top w:val="nil"/>
              <w:bottom w:val="nil"/>
            </w:tcBorders>
          </w:tcPr>
          <w:p w14:paraId="274B9D1E" w14:textId="4B8355D3" w:rsidR="00473464" w:rsidRPr="00433050" w:rsidRDefault="00473464" w:rsidP="00B83D66">
            <w:pPr>
              <w:autoSpaceDE w:val="0"/>
              <w:autoSpaceDN w:val="0"/>
              <w:adjustRightInd w:val="0"/>
              <w:jc w:val="right"/>
              <w:rPr>
                <w:rFonts w:ascii="Calibri" w:hAnsi="Calibri" w:cs="Calibri"/>
                <w:color w:val="000000"/>
                <w:sz w:val="22"/>
                <w:szCs w:val="22"/>
              </w:rPr>
            </w:pPr>
            <w:r w:rsidRPr="00433050">
              <w:rPr>
                <w:rFonts w:ascii="Calibri" w:hAnsi="Calibri" w:cs="Calibri"/>
                <w:color w:val="000000"/>
                <w:sz w:val="22"/>
                <w:szCs w:val="22"/>
              </w:rPr>
              <w:t>1,1</w:t>
            </w:r>
            <w:r w:rsidR="00005AD5">
              <w:rPr>
                <w:rFonts w:ascii="Calibri" w:hAnsi="Calibri" w:cs="Calibri"/>
                <w:color w:val="000000"/>
                <w:sz w:val="22"/>
                <w:szCs w:val="22"/>
              </w:rPr>
              <w:t>18.3</w:t>
            </w:r>
          </w:p>
        </w:tc>
      </w:tr>
      <w:tr w:rsidR="00473464" w:rsidRPr="00505482" w14:paraId="05E7FCC8" w14:textId="77777777" w:rsidTr="00B83D66">
        <w:trPr>
          <w:trHeight w:val="251"/>
        </w:trPr>
        <w:tc>
          <w:tcPr>
            <w:tcW w:w="5937" w:type="dxa"/>
            <w:tcBorders>
              <w:top w:val="nil"/>
              <w:left w:val="nil"/>
              <w:bottom w:val="nil"/>
            </w:tcBorders>
          </w:tcPr>
          <w:p w14:paraId="534EE705" w14:textId="77777777" w:rsidR="00473464" w:rsidRPr="00DB22BA" w:rsidRDefault="00473464" w:rsidP="00B83D66">
            <w:pPr>
              <w:autoSpaceDE w:val="0"/>
              <w:autoSpaceDN w:val="0"/>
              <w:adjustRightInd w:val="0"/>
              <w:rPr>
                <w:rFonts w:ascii="Calibri" w:hAnsi="Calibri" w:cs="Calibri"/>
                <w:color w:val="000000"/>
                <w:sz w:val="22"/>
                <w:szCs w:val="22"/>
              </w:rPr>
            </w:pPr>
            <w:r w:rsidRPr="00DB22BA">
              <w:rPr>
                <w:rFonts w:ascii="Calibri" w:hAnsi="Calibri" w:cs="Calibri"/>
                <w:color w:val="000000"/>
                <w:sz w:val="22"/>
                <w:szCs w:val="22"/>
              </w:rPr>
              <w:t>Weighted average number of ordinary shares (in M’s) – diluted</w:t>
            </w:r>
          </w:p>
        </w:tc>
        <w:tc>
          <w:tcPr>
            <w:tcW w:w="1126" w:type="dxa"/>
            <w:tcBorders>
              <w:top w:val="nil"/>
              <w:bottom w:val="nil"/>
            </w:tcBorders>
            <w:shd w:val="clear" w:color="auto" w:fill="FFFF00"/>
          </w:tcPr>
          <w:p w14:paraId="1501A015" w14:textId="79EB0DC4" w:rsidR="00473464" w:rsidRPr="00A93AF2" w:rsidRDefault="00C41099" w:rsidP="00B83D66">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1,094.0</w:t>
            </w:r>
          </w:p>
        </w:tc>
        <w:tc>
          <w:tcPr>
            <w:tcW w:w="1153" w:type="dxa"/>
            <w:tcBorders>
              <w:top w:val="nil"/>
              <w:bottom w:val="nil"/>
            </w:tcBorders>
          </w:tcPr>
          <w:p w14:paraId="7A67035E" w14:textId="37B354B4" w:rsidR="00473464" w:rsidRPr="00433050" w:rsidRDefault="00473464" w:rsidP="00B83D66">
            <w:pPr>
              <w:autoSpaceDE w:val="0"/>
              <w:autoSpaceDN w:val="0"/>
              <w:adjustRightInd w:val="0"/>
              <w:jc w:val="right"/>
              <w:rPr>
                <w:rFonts w:ascii="Calibri" w:hAnsi="Calibri" w:cs="Calibri"/>
                <w:color w:val="000000"/>
                <w:sz w:val="22"/>
                <w:szCs w:val="22"/>
              </w:rPr>
            </w:pPr>
            <w:r w:rsidRPr="00433050">
              <w:rPr>
                <w:rFonts w:ascii="Calibri" w:hAnsi="Calibri" w:cs="Calibri"/>
                <w:color w:val="000000"/>
                <w:sz w:val="22"/>
                <w:szCs w:val="22"/>
              </w:rPr>
              <w:t>1,1</w:t>
            </w:r>
            <w:r w:rsidR="00005AD5">
              <w:rPr>
                <w:rFonts w:ascii="Calibri" w:hAnsi="Calibri" w:cs="Calibri"/>
                <w:color w:val="000000"/>
                <w:sz w:val="22"/>
                <w:szCs w:val="22"/>
              </w:rPr>
              <w:t>29.7</w:t>
            </w:r>
          </w:p>
        </w:tc>
        <w:tc>
          <w:tcPr>
            <w:tcW w:w="1012" w:type="dxa"/>
            <w:tcBorders>
              <w:top w:val="nil"/>
              <w:bottom w:val="nil"/>
            </w:tcBorders>
            <w:shd w:val="clear" w:color="auto" w:fill="FFFF00"/>
          </w:tcPr>
          <w:p w14:paraId="5CF920C3" w14:textId="5D8B4111" w:rsidR="00473464" w:rsidRDefault="00C41099" w:rsidP="00B83D66">
            <w:pPr>
              <w:autoSpaceDE w:val="0"/>
              <w:autoSpaceDN w:val="0"/>
              <w:adjustRightInd w:val="0"/>
              <w:jc w:val="right"/>
              <w:rPr>
                <w:rFonts w:ascii="Calibri" w:hAnsi="Calibri" w:cs="Calibri"/>
                <w:bCs/>
                <w:color w:val="000000"/>
                <w:sz w:val="22"/>
                <w:szCs w:val="22"/>
              </w:rPr>
            </w:pPr>
            <w:r>
              <w:rPr>
                <w:rFonts w:ascii="Calibri" w:hAnsi="Calibri" w:cs="Calibri"/>
                <w:b/>
                <w:bCs/>
                <w:sz w:val="22"/>
                <w:szCs w:val="22"/>
              </w:rPr>
              <w:t>1,09</w:t>
            </w:r>
            <w:r w:rsidR="00A00B7A">
              <w:rPr>
                <w:rFonts w:ascii="Calibri" w:hAnsi="Calibri" w:cs="Calibri"/>
                <w:b/>
                <w:bCs/>
                <w:sz w:val="22"/>
                <w:szCs w:val="22"/>
              </w:rPr>
              <w:t>8</w:t>
            </w:r>
            <w:r>
              <w:rPr>
                <w:rFonts w:ascii="Calibri" w:hAnsi="Calibri" w:cs="Calibri"/>
                <w:b/>
                <w:bCs/>
                <w:sz w:val="22"/>
                <w:szCs w:val="22"/>
              </w:rPr>
              <w:t>.</w:t>
            </w:r>
            <w:r w:rsidR="00A00B7A">
              <w:rPr>
                <w:rFonts w:ascii="Calibri" w:hAnsi="Calibri" w:cs="Calibri"/>
                <w:b/>
                <w:bCs/>
                <w:sz w:val="22"/>
                <w:szCs w:val="22"/>
              </w:rPr>
              <w:t>6</w:t>
            </w:r>
          </w:p>
        </w:tc>
        <w:tc>
          <w:tcPr>
            <w:tcW w:w="1012" w:type="dxa"/>
            <w:tcBorders>
              <w:top w:val="nil"/>
              <w:bottom w:val="nil"/>
            </w:tcBorders>
          </w:tcPr>
          <w:p w14:paraId="5C6ABD2B" w14:textId="70D64E1E" w:rsidR="00473464" w:rsidRPr="00433050" w:rsidRDefault="00473464" w:rsidP="00B83D66">
            <w:pPr>
              <w:autoSpaceDE w:val="0"/>
              <w:autoSpaceDN w:val="0"/>
              <w:adjustRightInd w:val="0"/>
              <w:jc w:val="right"/>
              <w:rPr>
                <w:rFonts w:ascii="Calibri" w:hAnsi="Calibri" w:cs="Calibri"/>
                <w:color w:val="000000"/>
                <w:sz w:val="22"/>
                <w:szCs w:val="22"/>
              </w:rPr>
            </w:pPr>
            <w:r w:rsidRPr="00433050">
              <w:rPr>
                <w:rFonts w:ascii="Calibri" w:hAnsi="Calibri" w:cs="Calibri"/>
                <w:color w:val="000000"/>
                <w:sz w:val="22"/>
                <w:szCs w:val="22"/>
              </w:rPr>
              <w:t>1,1</w:t>
            </w:r>
            <w:r w:rsidR="00005AD5">
              <w:rPr>
                <w:rFonts w:ascii="Calibri" w:hAnsi="Calibri" w:cs="Calibri"/>
                <w:color w:val="000000"/>
                <w:sz w:val="22"/>
                <w:szCs w:val="22"/>
              </w:rPr>
              <w:t>22.7</w:t>
            </w:r>
          </w:p>
        </w:tc>
      </w:tr>
    </w:tbl>
    <w:p w14:paraId="2FD9362F" w14:textId="79BB243E" w:rsidR="00473464" w:rsidRDefault="0018626B" w:rsidP="00473464">
      <w:pPr>
        <w:autoSpaceDE w:val="0"/>
        <w:autoSpaceDN w:val="0"/>
        <w:adjustRightInd w:val="0"/>
        <w:spacing w:before="120" w:line="300" w:lineRule="exact"/>
        <w:ind w:right="-23"/>
        <w:jc w:val="both"/>
        <w:rPr>
          <w:rFonts w:ascii="Calibri" w:hAnsi="Calibri" w:cs="Calibri"/>
          <w:sz w:val="22"/>
          <w:szCs w:val="22"/>
        </w:rPr>
      </w:pPr>
      <w:r>
        <w:rPr>
          <w:rFonts w:ascii="Calibri" w:hAnsi="Calibri" w:cs="Calibri"/>
          <w:sz w:val="22"/>
          <w:szCs w:val="22"/>
        </w:rPr>
        <w:lastRenderedPageBreak/>
        <w:t>Diluted earnings per share takes account solely of the potential future exercises of share options granted under the Company’s share option schemes and the weighted average number of shares includes weighted average share options assumed to be converted of 4.1M (2019: 2.8M) and weighted issued share capital of 4.8M (2019: Nil)</w:t>
      </w:r>
      <w:r w:rsidR="00473464" w:rsidRPr="00DB22BA">
        <w:rPr>
          <w:rFonts w:ascii="Calibri" w:hAnsi="Calibri" w:cs="Calibri"/>
          <w:sz w:val="22"/>
          <w:szCs w:val="22"/>
        </w:rPr>
        <w:t>.</w:t>
      </w:r>
    </w:p>
    <w:bookmarkEnd w:id="10"/>
    <w:p w14:paraId="1C14E2F2" w14:textId="77777777" w:rsidR="00F01730" w:rsidRDefault="00F01730" w:rsidP="00CD3BC4">
      <w:pPr>
        <w:pStyle w:val="Outline3L1"/>
        <w:numPr>
          <w:ilvl w:val="0"/>
          <w:numId w:val="0"/>
        </w:numPr>
        <w:spacing w:after="0"/>
        <w:rPr>
          <w:rFonts w:ascii="Calibri" w:hAnsi="Calibri" w:cs="Calibri"/>
          <w:b/>
          <w:sz w:val="22"/>
          <w:szCs w:val="22"/>
        </w:rPr>
      </w:pPr>
    </w:p>
    <w:bookmarkEnd w:id="11"/>
    <w:bookmarkEnd w:id="12"/>
    <w:p w14:paraId="28DF4079" w14:textId="77777777" w:rsidR="00F007CB" w:rsidRDefault="00F007CB" w:rsidP="00F007CB">
      <w:pPr>
        <w:pStyle w:val="Outline3L1"/>
        <w:numPr>
          <w:ilvl w:val="0"/>
          <w:numId w:val="0"/>
        </w:numPr>
        <w:tabs>
          <w:tab w:val="left" w:pos="720"/>
        </w:tabs>
        <w:spacing w:after="0"/>
        <w:rPr>
          <w:rFonts w:ascii="Calibri" w:hAnsi="Calibri" w:cs="Calibri"/>
          <w:b/>
          <w:sz w:val="22"/>
          <w:szCs w:val="22"/>
        </w:rPr>
      </w:pPr>
      <w:r>
        <w:rPr>
          <w:rFonts w:ascii="Calibri" w:hAnsi="Calibri" w:cs="Calibri"/>
          <w:b/>
          <w:sz w:val="22"/>
          <w:szCs w:val="22"/>
        </w:rPr>
        <w:t>10.</w:t>
      </w:r>
      <w:r>
        <w:rPr>
          <w:rFonts w:ascii="Calibri" w:hAnsi="Calibri" w:cs="Calibri"/>
          <w:b/>
          <w:sz w:val="22"/>
          <w:szCs w:val="22"/>
        </w:rPr>
        <w:tab/>
        <w:t>Property, plant and equipment</w:t>
      </w:r>
    </w:p>
    <w:p w14:paraId="17B9373A" w14:textId="77777777" w:rsidR="00F007CB" w:rsidRDefault="00F007CB" w:rsidP="00F007CB">
      <w:pPr>
        <w:rPr>
          <w:lang w:val="en-US"/>
        </w:rPr>
      </w:pPr>
    </w:p>
    <w:p w14:paraId="37887AAC" w14:textId="77777777" w:rsidR="00F007CB" w:rsidRDefault="00F007CB" w:rsidP="00F007CB">
      <w:pPr>
        <w:autoSpaceDE w:val="0"/>
        <w:autoSpaceDN w:val="0"/>
        <w:adjustRightInd w:val="0"/>
        <w:spacing w:after="120"/>
        <w:ind w:right="-23"/>
        <w:jc w:val="both"/>
        <w:rPr>
          <w:rFonts w:ascii="Calibri" w:hAnsi="Calibri" w:cs="Calibri"/>
          <w:i/>
          <w:sz w:val="22"/>
          <w:szCs w:val="22"/>
        </w:rPr>
      </w:pPr>
      <w:r>
        <w:rPr>
          <w:rFonts w:ascii="Calibri" w:hAnsi="Calibri" w:cs="Calibri"/>
          <w:i/>
          <w:sz w:val="22"/>
          <w:szCs w:val="22"/>
        </w:rPr>
        <w:t>Acquisitions and disposals</w:t>
      </w:r>
    </w:p>
    <w:p w14:paraId="09D6E0B8" w14:textId="352722BF" w:rsidR="00F007CB" w:rsidRDefault="0018626B" w:rsidP="00F007CB">
      <w:pPr>
        <w:autoSpaceDE w:val="0"/>
        <w:autoSpaceDN w:val="0"/>
        <w:adjustRightInd w:val="0"/>
        <w:spacing w:line="300" w:lineRule="exact"/>
        <w:ind w:right="-24"/>
        <w:jc w:val="both"/>
        <w:rPr>
          <w:rFonts w:ascii="Calibri" w:hAnsi="Calibri" w:cs="Calibri"/>
          <w:sz w:val="22"/>
          <w:szCs w:val="22"/>
        </w:rPr>
      </w:pPr>
      <w:r>
        <w:rPr>
          <w:rFonts w:ascii="Calibri" w:hAnsi="Calibri" w:cs="Calibri"/>
          <w:sz w:val="22"/>
          <w:szCs w:val="22"/>
        </w:rPr>
        <w:t xml:space="preserve">Capital expenditure in the half-year ended September 30, 2020 amounted to </w:t>
      </w:r>
      <w:r w:rsidR="005C3BCE">
        <w:rPr>
          <w:rFonts w:ascii="Calibri" w:hAnsi="Calibri" w:cs="Calibri"/>
          <w:sz w:val="22"/>
          <w:szCs w:val="22"/>
        </w:rPr>
        <w:t>a credit of €14</w:t>
      </w:r>
      <w:r w:rsidR="00B20726">
        <w:rPr>
          <w:rFonts w:ascii="Calibri" w:hAnsi="Calibri" w:cs="Calibri"/>
          <w:sz w:val="22"/>
          <w:szCs w:val="22"/>
        </w:rPr>
        <w:t>3</w:t>
      </w:r>
      <w:r w:rsidR="00B17018">
        <w:rPr>
          <w:rFonts w:ascii="Calibri" w:hAnsi="Calibri" w:cs="Calibri"/>
          <w:sz w:val="22"/>
          <w:szCs w:val="22"/>
        </w:rPr>
        <w:t>M</w:t>
      </w:r>
      <w:r w:rsidR="005C3BCE">
        <w:rPr>
          <w:rFonts w:ascii="Calibri" w:hAnsi="Calibri" w:cs="Calibri"/>
          <w:sz w:val="22"/>
          <w:szCs w:val="22"/>
        </w:rPr>
        <w:t xml:space="preserve"> this includes €250M supplier proceeds and capital expenditure of </w:t>
      </w:r>
      <w:r w:rsidR="000F7124">
        <w:rPr>
          <w:rFonts w:ascii="Calibri" w:hAnsi="Calibri" w:cs="Calibri"/>
          <w:sz w:val="22"/>
          <w:szCs w:val="22"/>
        </w:rPr>
        <w:t>€10</w:t>
      </w:r>
      <w:r w:rsidR="00B20726">
        <w:rPr>
          <w:rFonts w:ascii="Calibri" w:hAnsi="Calibri" w:cs="Calibri"/>
          <w:sz w:val="22"/>
          <w:szCs w:val="22"/>
        </w:rPr>
        <w:t>8</w:t>
      </w:r>
      <w:r w:rsidR="000F7124">
        <w:rPr>
          <w:rFonts w:ascii="Calibri" w:hAnsi="Calibri" w:cs="Calibri"/>
          <w:sz w:val="22"/>
          <w:szCs w:val="22"/>
        </w:rPr>
        <w:t xml:space="preserve">M </w:t>
      </w:r>
      <w:r w:rsidR="00AF0939">
        <w:rPr>
          <w:rFonts w:ascii="Calibri" w:hAnsi="Calibri" w:cs="Calibri"/>
          <w:sz w:val="22"/>
          <w:szCs w:val="22"/>
        </w:rPr>
        <w:t xml:space="preserve">that </w:t>
      </w:r>
      <w:r>
        <w:rPr>
          <w:rFonts w:ascii="Calibri" w:hAnsi="Calibri" w:cs="Calibri"/>
          <w:sz w:val="22"/>
          <w:szCs w:val="22"/>
        </w:rPr>
        <w:t>primarily relates to heavy maintenance checks</w:t>
      </w:r>
      <w:r w:rsidR="00F007CB">
        <w:rPr>
          <w:rFonts w:ascii="Calibri" w:hAnsi="Calibri" w:cs="Calibri"/>
          <w:sz w:val="22"/>
          <w:szCs w:val="22"/>
        </w:rPr>
        <w:t xml:space="preserve">. </w:t>
      </w:r>
    </w:p>
    <w:p w14:paraId="1377AA38" w14:textId="77777777" w:rsidR="00F007CB" w:rsidRDefault="00F007CB" w:rsidP="00F007CB">
      <w:pPr>
        <w:autoSpaceDE w:val="0"/>
        <w:autoSpaceDN w:val="0"/>
        <w:adjustRightInd w:val="0"/>
        <w:spacing w:line="300" w:lineRule="exact"/>
        <w:ind w:right="-24"/>
        <w:jc w:val="both"/>
        <w:rPr>
          <w:rFonts w:ascii="Calibri" w:hAnsi="Calibri" w:cs="Calibri"/>
          <w:sz w:val="22"/>
          <w:szCs w:val="22"/>
        </w:rPr>
      </w:pPr>
    </w:p>
    <w:p w14:paraId="70C9E2BC" w14:textId="77777777" w:rsidR="00F007CB" w:rsidRDefault="00F007CB" w:rsidP="00F007CB">
      <w:pPr>
        <w:autoSpaceDE w:val="0"/>
        <w:autoSpaceDN w:val="0"/>
        <w:adjustRightInd w:val="0"/>
        <w:spacing w:line="300" w:lineRule="exact"/>
        <w:ind w:right="-24"/>
        <w:jc w:val="both"/>
        <w:rPr>
          <w:rFonts w:ascii="Calibri" w:hAnsi="Calibri" w:cs="Calibri"/>
          <w:b/>
          <w:sz w:val="22"/>
          <w:szCs w:val="22"/>
        </w:rPr>
      </w:pPr>
      <w:r>
        <w:rPr>
          <w:rFonts w:ascii="Calibri" w:hAnsi="Calibri" w:cs="Calibri"/>
          <w:b/>
          <w:sz w:val="22"/>
          <w:szCs w:val="22"/>
        </w:rPr>
        <w:t>11.</w:t>
      </w:r>
      <w:r>
        <w:rPr>
          <w:rFonts w:ascii="Calibri" w:hAnsi="Calibri" w:cs="Calibri"/>
          <w:b/>
          <w:sz w:val="22"/>
          <w:szCs w:val="22"/>
        </w:rPr>
        <w:tab/>
        <w:t>Assets held for sale</w:t>
      </w:r>
    </w:p>
    <w:p w14:paraId="0C0C2F93" w14:textId="77777777" w:rsidR="00F007CB" w:rsidRDefault="00F007CB" w:rsidP="00F007CB">
      <w:pPr>
        <w:autoSpaceDE w:val="0"/>
        <w:autoSpaceDN w:val="0"/>
        <w:adjustRightInd w:val="0"/>
        <w:spacing w:line="300" w:lineRule="exact"/>
        <w:ind w:right="-24"/>
        <w:jc w:val="both"/>
        <w:rPr>
          <w:rFonts w:ascii="Calibri" w:hAnsi="Calibri" w:cs="Calibri"/>
          <w:b/>
          <w:sz w:val="22"/>
          <w:szCs w:val="22"/>
        </w:rPr>
      </w:pPr>
    </w:p>
    <w:p w14:paraId="4A89D5D2" w14:textId="05D16C06" w:rsidR="00F007CB" w:rsidRDefault="0018626B" w:rsidP="00F007CB">
      <w:pPr>
        <w:autoSpaceDE w:val="0"/>
        <w:autoSpaceDN w:val="0"/>
        <w:adjustRightInd w:val="0"/>
        <w:spacing w:line="300" w:lineRule="exact"/>
        <w:ind w:right="-24"/>
        <w:jc w:val="both"/>
        <w:rPr>
          <w:rFonts w:ascii="Calibri" w:hAnsi="Calibri" w:cs="Calibri"/>
          <w:sz w:val="22"/>
          <w:szCs w:val="22"/>
        </w:rPr>
      </w:pPr>
      <w:r>
        <w:rPr>
          <w:rFonts w:ascii="Calibri" w:hAnsi="Calibri" w:cs="Calibri"/>
          <w:sz w:val="22"/>
          <w:szCs w:val="22"/>
        </w:rPr>
        <w:t>In August 2019, the Group entered into an agreement to sell 10 Boeing 737 aircraft in the years ending March 31, 2020 and 2021. 3 of these aircraft were sold during the year ended March 31, 2020. A further 2 aircraft were sold during the half-year ended September 30, 2020. The remaining 5 aircraft are presented as assets held for sale as at September 30, 2020 and are stated at the lower of their carrying amount and fair value less costs to sell</w:t>
      </w:r>
      <w:r w:rsidR="00F007CB">
        <w:rPr>
          <w:rFonts w:ascii="Calibri" w:hAnsi="Calibri" w:cs="Calibri"/>
          <w:sz w:val="22"/>
          <w:szCs w:val="22"/>
        </w:rPr>
        <w:t>.</w:t>
      </w:r>
    </w:p>
    <w:p w14:paraId="4E29DE0C" w14:textId="37385138" w:rsidR="0018626B" w:rsidRDefault="0018626B" w:rsidP="00F007CB">
      <w:pPr>
        <w:autoSpaceDE w:val="0"/>
        <w:autoSpaceDN w:val="0"/>
        <w:adjustRightInd w:val="0"/>
        <w:spacing w:line="300" w:lineRule="exact"/>
        <w:ind w:right="-24"/>
        <w:jc w:val="both"/>
        <w:rPr>
          <w:rFonts w:ascii="Calibri" w:hAnsi="Calibri" w:cs="Calibri"/>
          <w:sz w:val="22"/>
          <w:szCs w:val="22"/>
        </w:rPr>
      </w:pPr>
    </w:p>
    <w:p w14:paraId="2D727D6A" w14:textId="084A6340" w:rsidR="0018626B" w:rsidRDefault="0018626B" w:rsidP="0018626B">
      <w:pPr>
        <w:autoSpaceDE w:val="0"/>
        <w:autoSpaceDN w:val="0"/>
        <w:adjustRightInd w:val="0"/>
        <w:spacing w:after="240"/>
        <w:jc w:val="both"/>
        <w:rPr>
          <w:rFonts w:ascii="Calibri" w:hAnsi="Calibri" w:cs="Calibri"/>
          <w:b/>
          <w:sz w:val="22"/>
          <w:szCs w:val="22"/>
        </w:rPr>
      </w:pPr>
      <w:r>
        <w:rPr>
          <w:rFonts w:ascii="Calibri" w:hAnsi="Calibri" w:cs="Calibri"/>
          <w:b/>
          <w:sz w:val="22"/>
          <w:szCs w:val="22"/>
        </w:rPr>
        <w:t>12.</w:t>
      </w:r>
      <w:r>
        <w:rPr>
          <w:rFonts w:ascii="Calibri" w:hAnsi="Calibri" w:cs="Calibri"/>
          <w:sz w:val="22"/>
          <w:szCs w:val="22"/>
        </w:rPr>
        <w:tab/>
      </w:r>
      <w:r w:rsidRPr="0018626B">
        <w:rPr>
          <w:rFonts w:ascii="Calibri" w:hAnsi="Calibri" w:cs="Calibri"/>
          <w:b/>
          <w:sz w:val="22"/>
          <w:szCs w:val="22"/>
        </w:rPr>
        <w:t xml:space="preserve">Derivative </w:t>
      </w:r>
      <w:r>
        <w:rPr>
          <w:rFonts w:ascii="Calibri" w:hAnsi="Calibri" w:cs="Calibri"/>
          <w:b/>
          <w:sz w:val="22"/>
          <w:szCs w:val="22"/>
        </w:rPr>
        <w:t xml:space="preserve">financial instruments </w:t>
      </w:r>
    </w:p>
    <w:p w14:paraId="0690A98A" w14:textId="124A8E4C" w:rsidR="0018626B" w:rsidRDefault="0018626B" w:rsidP="00F007CB">
      <w:pPr>
        <w:autoSpaceDE w:val="0"/>
        <w:autoSpaceDN w:val="0"/>
        <w:adjustRightInd w:val="0"/>
        <w:spacing w:line="300" w:lineRule="exact"/>
        <w:ind w:right="-24"/>
        <w:jc w:val="both"/>
        <w:rPr>
          <w:rFonts w:ascii="Calibri" w:hAnsi="Calibri" w:cs="Calibri"/>
          <w:sz w:val="22"/>
          <w:szCs w:val="22"/>
        </w:rPr>
      </w:pPr>
      <w:r>
        <w:rPr>
          <w:rFonts w:ascii="Calibri" w:hAnsi="Calibri" w:cs="Calibri"/>
          <w:sz w:val="22"/>
          <w:szCs w:val="22"/>
        </w:rPr>
        <w:t>As a result of the widespread grounding of aircraft due to the Covid-19 pandemic, the Group expects to operate a significantly reduced flying schedule for the year ending March 31, 2021 compared to what was originally expected. Accordingly, as at September 30, 2020, the Group’s exposures for jet fuel and foreign currency were significantly reduced, causing a proportion of derivative financial instruments which previously qualified for hedge accounting to become ineffective, resulting in the discontinuance of certain cash-flow hedge arrangements. A net expense of €214M was recognised within the income statement for the half-year ended September 30, 2020, comprising a charge of €167M (net of tax) in respect of jet fuel exposures and a charge of €47M (net of tax), primarily associated with ineffective currency cash-flow hedges for fiscal year 2021 jet fuel and delayed capital expenditure. As of September 30, 2020, a balance of €153M (loss) is recognised in the cash flow reserve in respect of continuing hedges and €111M (gain) in respect of hedging relationships for which hedge accounting is no longer applied</w:t>
      </w:r>
    </w:p>
    <w:p w14:paraId="24DCB4B4" w14:textId="77777777" w:rsidR="00F007CB" w:rsidRDefault="00F007CB" w:rsidP="00F007CB">
      <w:pPr>
        <w:autoSpaceDE w:val="0"/>
        <w:autoSpaceDN w:val="0"/>
        <w:adjustRightInd w:val="0"/>
        <w:spacing w:after="120"/>
        <w:jc w:val="both"/>
        <w:rPr>
          <w:rFonts w:ascii="Calibri" w:hAnsi="Calibri" w:cs="Calibri"/>
          <w:b/>
          <w:sz w:val="22"/>
          <w:szCs w:val="22"/>
        </w:rPr>
      </w:pPr>
    </w:p>
    <w:p w14:paraId="420D27F2" w14:textId="74D08E2E" w:rsidR="00F007CB" w:rsidRDefault="00F007CB" w:rsidP="00F007CB">
      <w:pPr>
        <w:autoSpaceDE w:val="0"/>
        <w:autoSpaceDN w:val="0"/>
        <w:adjustRightInd w:val="0"/>
        <w:spacing w:after="240"/>
        <w:jc w:val="both"/>
        <w:rPr>
          <w:rFonts w:ascii="Calibri" w:hAnsi="Calibri" w:cs="Calibri"/>
          <w:b/>
          <w:sz w:val="22"/>
          <w:szCs w:val="22"/>
        </w:rPr>
      </w:pPr>
      <w:r>
        <w:rPr>
          <w:rFonts w:ascii="Calibri" w:hAnsi="Calibri" w:cs="Calibri"/>
          <w:b/>
          <w:sz w:val="22"/>
          <w:szCs w:val="22"/>
        </w:rPr>
        <w:t>1</w:t>
      </w:r>
      <w:r w:rsidR="0018626B">
        <w:rPr>
          <w:rFonts w:ascii="Calibri" w:hAnsi="Calibri" w:cs="Calibri"/>
          <w:b/>
          <w:sz w:val="22"/>
          <w:szCs w:val="22"/>
        </w:rPr>
        <w:t>3</w:t>
      </w:r>
      <w:r>
        <w:rPr>
          <w:rFonts w:ascii="Calibri" w:hAnsi="Calibri" w:cs="Calibri"/>
          <w:b/>
          <w:sz w:val="22"/>
          <w:szCs w:val="22"/>
        </w:rPr>
        <w:t>.</w:t>
      </w:r>
      <w:r>
        <w:rPr>
          <w:rFonts w:ascii="Calibri" w:hAnsi="Calibri" w:cs="Calibri"/>
          <w:sz w:val="22"/>
          <w:szCs w:val="22"/>
        </w:rPr>
        <w:tab/>
      </w:r>
      <w:r>
        <w:rPr>
          <w:rFonts w:ascii="Calibri" w:hAnsi="Calibri" w:cs="Calibri"/>
          <w:b/>
          <w:sz w:val="22"/>
          <w:szCs w:val="22"/>
        </w:rPr>
        <w:t xml:space="preserve">Financial instruments and financial risk management </w:t>
      </w:r>
    </w:p>
    <w:p w14:paraId="0DC23E7E" w14:textId="77777777" w:rsidR="00F007CB" w:rsidRDefault="00F007CB" w:rsidP="00F007CB">
      <w:pPr>
        <w:autoSpaceDE w:val="0"/>
        <w:autoSpaceDN w:val="0"/>
        <w:adjustRightInd w:val="0"/>
        <w:jc w:val="both"/>
        <w:rPr>
          <w:rFonts w:ascii="Calibri" w:eastAsia="Calibri" w:hAnsi="Calibri" w:cs="Calibri"/>
          <w:sz w:val="22"/>
          <w:szCs w:val="22"/>
        </w:rPr>
      </w:pPr>
      <w:r>
        <w:rPr>
          <w:rFonts w:ascii="Calibri" w:eastAsia="Calibri" w:hAnsi="Calibri" w:cs="Calibri"/>
          <w:sz w:val="22"/>
          <w:szCs w:val="22"/>
        </w:rPr>
        <w:lastRenderedPageBreak/>
        <w:t xml:space="preserve">The Group is exposed to various financial risks arising in the normal course of business. The Group’s financial risk exposures are predominantly related to </w:t>
      </w:r>
      <w:r>
        <w:rPr>
          <w:rFonts w:ascii="Calibri" w:hAnsi="Calibri" w:cs="Calibri"/>
          <w:sz w:val="22"/>
          <w:szCs w:val="22"/>
        </w:rPr>
        <w:t xml:space="preserve">commodity price, foreign exchange and interest rate risks. The Group uses financial instruments to manage exposures arising from these risks. </w:t>
      </w:r>
      <w:r>
        <w:rPr>
          <w:rFonts w:ascii="Calibri" w:eastAsia="Calibri" w:hAnsi="Calibri" w:cs="Calibri"/>
          <w:sz w:val="22"/>
          <w:szCs w:val="22"/>
        </w:rPr>
        <w:t xml:space="preserve"> </w:t>
      </w:r>
    </w:p>
    <w:p w14:paraId="6FE41780" w14:textId="77777777" w:rsidR="00F007CB" w:rsidRDefault="00F007CB" w:rsidP="00F007CB">
      <w:pPr>
        <w:autoSpaceDE w:val="0"/>
        <w:autoSpaceDN w:val="0"/>
        <w:adjustRightInd w:val="0"/>
        <w:jc w:val="both"/>
        <w:rPr>
          <w:rFonts w:ascii="Calibri" w:eastAsia="Calibri" w:hAnsi="Calibri" w:cs="Calibri"/>
          <w:sz w:val="22"/>
          <w:szCs w:val="22"/>
        </w:rPr>
      </w:pPr>
    </w:p>
    <w:p w14:paraId="1C667E64" w14:textId="6B0BEEF1" w:rsidR="00F007CB" w:rsidRDefault="0018626B" w:rsidP="00F007CB">
      <w:pPr>
        <w:autoSpaceDE w:val="0"/>
        <w:autoSpaceDN w:val="0"/>
        <w:adjustRightInd w:val="0"/>
        <w:jc w:val="both"/>
        <w:rPr>
          <w:rFonts w:ascii="Calibri" w:eastAsia="Calibri" w:hAnsi="Calibri" w:cs="Calibri"/>
          <w:sz w:val="22"/>
          <w:szCs w:val="22"/>
        </w:rPr>
      </w:pPr>
      <w:r>
        <w:rPr>
          <w:rFonts w:ascii="Calibri" w:eastAsia="Calibri" w:hAnsi="Calibri" w:cs="Calibri"/>
          <w:sz w:val="22"/>
          <w:szCs w:val="22"/>
        </w:rPr>
        <w:t>These interim financial statements do not include all financial risk management information and disclosures required in the annual financial statements and should be read in conjunction with the 2020 Annual Report. There have been no changes in our risk management policies in the year</w:t>
      </w:r>
      <w:r w:rsidR="00F007CB">
        <w:rPr>
          <w:rFonts w:ascii="Calibri" w:eastAsia="Calibri" w:hAnsi="Calibri" w:cs="Calibri"/>
          <w:sz w:val="22"/>
          <w:szCs w:val="22"/>
        </w:rPr>
        <w:t>.</w:t>
      </w:r>
    </w:p>
    <w:p w14:paraId="230B8398" w14:textId="77777777" w:rsidR="00F007CB" w:rsidRDefault="00F007CB" w:rsidP="00F007CB">
      <w:pPr>
        <w:autoSpaceDE w:val="0"/>
        <w:autoSpaceDN w:val="0"/>
        <w:adjustRightInd w:val="0"/>
        <w:spacing w:after="120"/>
        <w:jc w:val="both"/>
        <w:rPr>
          <w:rFonts w:ascii="Calibri" w:eastAsia="Calibri" w:hAnsi="Calibri" w:cs="Calibri"/>
          <w:b/>
          <w:bCs/>
          <w:i/>
          <w:iCs/>
          <w:sz w:val="22"/>
          <w:szCs w:val="22"/>
        </w:rPr>
      </w:pPr>
    </w:p>
    <w:p w14:paraId="0BC419B7" w14:textId="77777777" w:rsidR="00F007CB" w:rsidRDefault="00F007CB" w:rsidP="00F007CB">
      <w:pPr>
        <w:autoSpaceDE w:val="0"/>
        <w:autoSpaceDN w:val="0"/>
        <w:adjustRightInd w:val="0"/>
        <w:spacing w:after="120"/>
        <w:jc w:val="both"/>
        <w:rPr>
          <w:rFonts w:ascii="Calibri" w:eastAsia="Calibri" w:hAnsi="Calibri" w:cs="Calibri"/>
          <w:b/>
          <w:bCs/>
          <w:i/>
          <w:iCs/>
          <w:sz w:val="22"/>
          <w:szCs w:val="22"/>
        </w:rPr>
      </w:pPr>
      <w:r>
        <w:rPr>
          <w:rFonts w:ascii="Calibri" w:eastAsia="Calibri" w:hAnsi="Calibri" w:cs="Calibri"/>
          <w:b/>
          <w:bCs/>
          <w:i/>
          <w:iCs/>
          <w:sz w:val="22"/>
          <w:szCs w:val="22"/>
        </w:rPr>
        <w:t>Fair value hierarchy</w:t>
      </w:r>
    </w:p>
    <w:p w14:paraId="7D1B3D7F" w14:textId="77777777" w:rsidR="00F007CB" w:rsidRDefault="00F007CB" w:rsidP="00F007CB">
      <w:pPr>
        <w:spacing w:line="276" w:lineRule="auto"/>
        <w:jc w:val="both"/>
        <w:rPr>
          <w:rFonts w:ascii="Calibri" w:eastAsia="MS Mincho" w:hAnsi="Calibri" w:cs="Calibri"/>
          <w:sz w:val="22"/>
          <w:szCs w:val="22"/>
          <w:lang w:val="en-US"/>
        </w:rPr>
      </w:pPr>
      <w:r>
        <w:rPr>
          <w:rFonts w:ascii="Calibri" w:hAnsi="Calibri" w:cs="Calibri"/>
          <w:sz w:val="22"/>
          <w:szCs w:val="22"/>
        </w:rPr>
        <w:t>Financial instruments measured at fair value in the balance sheet are categorised by the type of valuation method used. The different valuation levels are defined as follows:</w:t>
      </w:r>
    </w:p>
    <w:p w14:paraId="19131DEF" w14:textId="77777777" w:rsidR="00F007CB" w:rsidRDefault="00F007CB" w:rsidP="00F007CB">
      <w:pPr>
        <w:numPr>
          <w:ilvl w:val="0"/>
          <w:numId w:val="51"/>
        </w:numPr>
        <w:autoSpaceDE w:val="0"/>
        <w:autoSpaceDN w:val="0"/>
        <w:adjustRightInd w:val="0"/>
        <w:jc w:val="both"/>
        <w:rPr>
          <w:rFonts w:ascii="Calibri" w:hAnsi="Calibri" w:cs="Calibri"/>
          <w:sz w:val="22"/>
          <w:szCs w:val="22"/>
          <w:lang w:val="en-US"/>
        </w:rPr>
      </w:pPr>
      <w:r>
        <w:rPr>
          <w:rFonts w:ascii="Calibri" w:hAnsi="Calibri" w:cs="Calibri"/>
          <w:sz w:val="22"/>
          <w:szCs w:val="22"/>
          <w:lang w:val="en-US"/>
        </w:rPr>
        <w:t>Level 1: quoted prices (unadjusted) in active markets for identical assets or liabilities that the Group can access at the measurement date.</w:t>
      </w:r>
    </w:p>
    <w:p w14:paraId="0D7029C7" w14:textId="77777777" w:rsidR="00F007CB" w:rsidRDefault="00F007CB" w:rsidP="00F007CB">
      <w:pPr>
        <w:numPr>
          <w:ilvl w:val="0"/>
          <w:numId w:val="51"/>
        </w:numPr>
        <w:autoSpaceDE w:val="0"/>
        <w:autoSpaceDN w:val="0"/>
        <w:adjustRightInd w:val="0"/>
        <w:jc w:val="both"/>
        <w:rPr>
          <w:rFonts w:ascii="Calibri" w:hAnsi="Calibri" w:cs="Calibri"/>
          <w:sz w:val="22"/>
          <w:szCs w:val="22"/>
          <w:lang w:val="en-US"/>
        </w:rPr>
      </w:pPr>
      <w:r>
        <w:rPr>
          <w:rFonts w:ascii="Calibri" w:hAnsi="Calibri" w:cs="Calibri"/>
          <w:sz w:val="22"/>
          <w:szCs w:val="22"/>
          <w:lang w:val="en-US"/>
        </w:rPr>
        <w:t>Level 2: inputs other than quoted prices included within Level 1 that are observable for that asset or liability, either directly or indirectly.</w:t>
      </w:r>
    </w:p>
    <w:p w14:paraId="1B7FB328" w14:textId="3047136A" w:rsidR="00F007CB" w:rsidRPr="00A07B1D" w:rsidRDefault="00F007CB" w:rsidP="00F007CB">
      <w:pPr>
        <w:numPr>
          <w:ilvl w:val="0"/>
          <w:numId w:val="51"/>
        </w:numPr>
        <w:autoSpaceDE w:val="0"/>
        <w:autoSpaceDN w:val="0"/>
        <w:adjustRightInd w:val="0"/>
        <w:jc w:val="both"/>
        <w:rPr>
          <w:rFonts w:ascii="Calibri" w:hAnsi="Calibri" w:cs="Calibri"/>
          <w:sz w:val="22"/>
          <w:szCs w:val="22"/>
          <w:lang w:val="en-US"/>
        </w:rPr>
      </w:pPr>
      <w:r>
        <w:rPr>
          <w:rFonts w:ascii="Calibri" w:hAnsi="Calibri" w:cs="Calibri"/>
          <w:sz w:val="22"/>
          <w:szCs w:val="22"/>
          <w:lang w:val="en-US"/>
        </w:rPr>
        <w:t>Level 3: significant unobservable inputs for the asset or liability.</w:t>
      </w:r>
    </w:p>
    <w:p w14:paraId="0D08D5C8" w14:textId="77777777" w:rsidR="00F007CB" w:rsidRDefault="00F007CB" w:rsidP="00F007CB">
      <w:pPr>
        <w:autoSpaceDE w:val="0"/>
        <w:autoSpaceDN w:val="0"/>
        <w:adjustRightInd w:val="0"/>
        <w:spacing w:before="240" w:after="120"/>
        <w:jc w:val="both"/>
        <w:rPr>
          <w:rFonts w:ascii="Calibri" w:eastAsia="Calibri" w:hAnsi="Calibri" w:cs="Calibri"/>
          <w:b/>
          <w:bCs/>
          <w:i/>
          <w:iCs/>
          <w:sz w:val="22"/>
          <w:szCs w:val="22"/>
        </w:rPr>
      </w:pPr>
      <w:r>
        <w:rPr>
          <w:rFonts w:ascii="Calibri" w:eastAsia="Calibri" w:hAnsi="Calibri" w:cs="Calibri"/>
          <w:b/>
          <w:bCs/>
          <w:i/>
          <w:iCs/>
          <w:sz w:val="22"/>
          <w:szCs w:val="22"/>
        </w:rPr>
        <w:t>Fair value estimation</w:t>
      </w:r>
    </w:p>
    <w:p w14:paraId="26FE21BD" w14:textId="77777777" w:rsidR="00F007CB" w:rsidRDefault="00F007CB" w:rsidP="00F007CB">
      <w:pPr>
        <w:pStyle w:val="CG-SingleSp05s2"/>
        <w:spacing w:after="0"/>
        <w:ind w:firstLine="0"/>
        <w:rPr>
          <w:rFonts w:ascii="Calibri" w:hAnsi="Calibri" w:cs="Calibri"/>
          <w:szCs w:val="22"/>
        </w:rPr>
      </w:pPr>
      <w:r>
        <w:rPr>
          <w:rFonts w:ascii="Calibri" w:hAnsi="Calibri" w:cs="Calibri"/>
          <w:szCs w:val="22"/>
        </w:rPr>
        <w:t>Fair value is the price that would be received to sell an asset, or paid to transfer a liability, in an orderly transaction between market participants at the measurement date. The following methods and assumptions were used to estimate the fair value of each material class of the Group’s financial instruments:</w:t>
      </w:r>
    </w:p>
    <w:p w14:paraId="7E611F75" w14:textId="77777777" w:rsidR="00F007CB" w:rsidRDefault="00F007CB" w:rsidP="00F007CB">
      <w:pPr>
        <w:autoSpaceDE w:val="0"/>
        <w:autoSpaceDN w:val="0"/>
        <w:adjustRightInd w:val="0"/>
        <w:jc w:val="both"/>
        <w:rPr>
          <w:rFonts w:ascii="Calibri" w:hAnsi="Calibri" w:cs="Calibri"/>
          <w:b/>
          <w:sz w:val="22"/>
          <w:szCs w:val="22"/>
        </w:rPr>
      </w:pPr>
    </w:p>
    <w:p w14:paraId="6F00B680" w14:textId="77777777" w:rsidR="00F007CB" w:rsidRDefault="00F007CB" w:rsidP="00F007CB">
      <w:pPr>
        <w:pStyle w:val="CG-SingleSp05s2"/>
        <w:spacing w:after="120"/>
        <w:ind w:firstLine="0"/>
        <w:rPr>
          <w:rFonts w:ascii="Calibri" w:hAnsi="Calibri" w:cs="Calibri"/>
          <w:i/>
          <w:szCs w:val="22"/>
        </w:rPr>
      </w:pPr>
      <w:r>
        <w:rPr>
          <w:rFonts w:ascii="Calibri" w:hAnsi="Calibri" w:cs="Calibri"/>
          <w:i/>
          <w:szCs w:val="22"/>
        </w:rPr>
        <w:t>Financial instruments measured at fair value</w:t>
      </w:r>
    </w:p>
    <w:p w14:paraId="09663507" w14:textId="77777777" w:rsidR="00F007CB" w:rsidRDefault="00F007CB" w:rsidP="00F007CB">
      <w:pPr>
        <w:pStyle w:val="CG-SingleSp05s2"/>
        <w:numPr>
          <w:ilvl w:val="0"/>
          <w:numId w:val="52"/>
        </w:numPr>
        <w:tabs>
          <w:tab w:val="left" w:pos="-284"/>
        </w:tabs>
        <w:snapToGrid w:val="0"/>
        <w:spacing w:after="0"/>
        <w:ind w:left="0" w:firstLine="0"/>
        <w:rPr>
          <w:rFonts w:ascii="Calibri" w:hAnsi="Calibri" w:cs="Calibri"/>
          <w:szCs w:val="22"/>
        </w:rPr>
      </w:pPr>
      <w:r>
        <w:rPr>
          <w:rFonts w:ascii="Calibri" w:hAnsi="Calibri" w:cs="Calibri"/>
          <w:b/>
          <w:bCs/>
          <w:szCs w:val="22"/>
        </w:rPr>
        <w:t xml:space="preserve">Derivatives – interest rate swaps: </w:t>
      </w:r>
      <w:r>
        <w:rPr>
          <w:rFonts w:ascii="Calibri" w:hAnsi="Calibri" w:cs="Calibri"/>
          <w:szCs w:val="22"/>
        </w:rPr>
        <w:t>Discounted cash flow analyses have been used to determine the fair value, taking into account current market inputs and rates. (Level 2)</w:t>
      </w:r>
    </w:p>
    <w:p w14:paraId="310D1001" w14:textId="73153B15" w:rsidR="00F007CB" w:rsidRDefault="00F007CB" w:rsidP="00F007CB">
      <w:pPr>
        <w:pStyle w:val="CG-SingleSp05s2"/>
        <w:numPr>
          <w:ilvl w:val="0"/>
          <w:numId w:val="52"/>
        </w:numPr>
        <w:tabs>
          <w:tab w:val="num" w:pos="-284"/>
        </w:tabs>
        <w:snapToGrid w:val="0"/>
        <w:spacing w:after="120"/>
        <w:ind w:left="0" w:firstLine="0"/>
        <w:rPr>
          <w:rFonts w:ascii="Calibri" w:hAnsi="Calibri" w:cs="Calibri"/>
          <w:szCs w:val="22"/>
        </w:rPr>
      </w:pPr>
      <w:r>
        <w:rPr>
          <w:rFonts w:ascii="Calibri" w:hAnsi="Calibri" w:cs="Calibri"/>
          <w:b/>
          <w:bCs/>
          <w:szCs w:val="22"/>
        </w:rPr>
        <w:t xml:space="preserve">Derivatives – currency forwards, aircraft fuel contracts and EUA contracts: </w:t>
      </w:r>
      <w:r>
        <w:rPr>
          <w:rFonts w:ascii="Calibri" w:hAnsi="Calibri" w:cs="Calibri"/>
          <w:szCs w:val="22"/>
        </w:rPr>
        <w:t xml:space="preserve">A comparison of the contracted rate to the market rate for contracts providing a similar risk profile at </w:t>
      </w:r>
      <w:r w:rsidR="00AB69AF">
        <w:rPr>
          <w:rFonts w:ascii="Calibri" w:hAnsi="Calibri" w:cs="Calibri"/>
          <w:szCs w:val="22"/>
        </w:rPr>
        <w:t>September</w:t>
      </w:r>
      <w:r>
        <w:rPr>
          <w:rFonts w:ascii="Calibri" w:hAnsi="Calibri" w:cs="Calibri"/>
          <w:szCs w:val="22"/>
        </w:rPr>
        <w:t xml:space="preserve"> 30, 2020 has been used to establish fair value. (Level 2)</w:t>
      </w:r>
    </w:p>
    <w:p w14:paraId="5D2BD49F" w14:textId="0DACD877" w:rsidR="00F007CB" w:rsidRDefault="0018626B" w:rsidP="00F007CB">
      <w:pPr>
        <w:pStyle w:val="ListParagraph"/>
        <w:autoSpaceDE w:val="0"/>
        <w:autoSpaceDN w:val="0"/>
        <w:adjustRightInd w:val="0"/>
        <w:spacing w:after="240"/>
        <w:ind w:left="0"/>
        <w:jc w:val="both"/>
        <w:rPr>
          <w:rFonts w:ascii="Calibri" w:hAnsi="Calibri" w:cs="Calibri"/>
          <w:bCs/>
          <w:iCs/>
          <w:sz w:val="22"/>
          <w:szCs w:val="22"/>
        </w:rPr>
      </w:pPr>
      <w:r>
        <w:rPr>
          <w:rFonts w:ascii="Calibri" w:hAnsi="Calibri" w:cs="Calibri"/>
          <w:bCs/>
          <w:iCs/>
          <w:sz w:val="22"/>
          <w:szCs w:val="22"/>
        </w:rPr>
        <w:t>The Group policy is to recognise any transfers between levels of the fair value hierarchy as of the end of the reporting period during which the transfer occurred. During the quarter ended September 30, 2020, there were no reclassifications of financial instruments and no transfers between levels of the fair value hierarchy used in measuring the fair value of financial instruments</w:t>
      </w:r>
      <w:r w:rsidR="00F007CB">
        <w:rPr>
          <w:rFonts w:ascii="Calibri" w:hAnsi="Calibri" w:cs="Calibri"/>
          <w:bCs/>
          <w:iCs/>
          <w:sz w:val="22"/>
          <w:szCs w:val="22"/>
        </w:rPr>
        <w:t>.</w:t>
      </w:r>
    </w:p>
    <w:p w14:paraId="7588C4EE" w14:textId="77777777" w:rsidR="00F007CB" w:rsidRDefault="00F007CB" w:rsidP="00F007CB">
      <w:pPr>
        <w:pStyle w:val="CG-SingleSp05s2"/>
        <w:spacing w:after="120"/>
        <w:ind w:firstLine="0"/>
        <w:rPr>
          <w:rFonts w:ascii="Calibri" w:hAnsi="Calibri" w:cs="Calibri"/>
          <w:i/>
          <w:szCs w:val="22"/>
        </w:rPr>
      </w:pPr>
      <w:r>
        <w:rPr>
          <w:rFonts w:ascii="Calibri" w:hAnsi="Calibri" w:cs="Calibri"/>
          <w:i/>
          <w:szCs w:val="22"/>
        </w:rPr>
        <w:t>Financial instruments not measured at fair value</w:t>
      </w:r>
    </w:p>
    <w:p w14:paraId="1AF7D141" w14:textId="346D98B9" w:rsidR="00F007CB" w:rsidRDefault="00F007CB" w:rsidP="00F007CB">
      <w:pPr>
        <w:pStyle w:val="CG-SingleSp05s2"/>
        <w:numPr>
          <w:ilvl w:val="0"/>
          <w:numId w:val="52"/>
        </w:numPr>
        <w:tabs>
          <w:tab w:val="num" w:pos="-284"/>
        </w:tabs>
        <w:snapToGrid w:val="0"/>
        <w:spacing w:after="120"/>
        <w:ind w:left="0" w:firstLine="0"/>
        <w:rPr>
          <w:rFonts w:ascii="Calibri" w:hAnsi="Calibri" w:cs="Calibri"/>
          <w:szCs w:val="22"/>
        </w:rPr>
      </w:pPr>
      <w:r>
        <w:rPr>
          <w:rFonts w:ascii="Calibri" w:hAnsi="Calibri" w:cs="Calibri"/>
          <w:b/>
          <w:bCs/>
          <w:szCs w:val="22"/>
        </w:rPr>
        <w:t xml:space="preserve">Long-term debt: </w:t>
      </w:r>
      <w:r w:rsidR="0018626B">
        <w:rPr>
          <w:rFonts w:ascii="Calibri" w:hAnsi="Calibri" w:cs="Calibri"/>
          <w:szCs w:val="22"/>
        </w:rPr>
        <w:t>The repayments which the Group is committed to make have been discounted at the relevant market rates of interest applicable (including credit spreads) at September 30, 2020 to arrive at a fair value representing the amount payable to a third party to assume the obligations</w:t>
      </w:r>
      <w:r>
        <w:rPr>
          <w:rFonts w:ascii="Calibri" w:hAnsi="Calibri" w:cs="Calibri"/>
          <w:szCs w:val="22"/>
        </w:rPr>
        <w:t>.</w:t>
      </w:r>
    </w:p>
    <w:p w14:paraId="30236895" w14:textId="3BC8380E" w:rsidR="00F007CB" w:rsidRDefault="0018626B" w:rsidP="00F007CB">
      <w:pPr>
        <w:autoSpaceDE w:val="0"/>
        <w:autoSpaceDN w:val="0"/>
        <w:adjustRightInd w:val="0"/>
        <w:spacing w:after="120"/>
        <w:jc w:val="both"/>
        <w:rPr>
          <w:rFonts w:ascii="Calibri" w:hAnsi="Calibri" w:cs="Calibri"/>
          <w:bCs/>
          <w:iCs/>
          <w:sz w:val="22"/>
          <w:szCs w:val="22"/>
        </w:rPr>
      </w:pPr>
      <w:r>
        <w:rPr>
          <w:rFonts w:ascii="Calibri" w:hAnsi="Calibri" w:cs="Calibri"/>
          <w:bCs/>
          <w:iCs/>
          <w:sz w:val="22"/>
          <w:szCs w:val="22"/>
        </w:rPr>
        <w:lastRenderedPageBreak/>
        <w:t>There were no significant changes in the business or economic circumstances during the quarter ended September 30, 2020 that affect the fair value of our financial assets and financial liabilities</w:t>
      </w:r>
      <w:r w:rsidR="00F007CB">
        <w:rPr>
          <w:rFonts w:ascii="Calibri" w:hAnsi="Calibri" w:cs="Calibri"/>
          <w:bCs/>
          <w:iCs/>
          <w:sz w:val="22"/>
          <w:szCs w:val="22"/>
        </w:rPr>
        <w:t>.</w:t>
      </w:r>
    </w:p>
    <w:p w14:paraId="596FD7EC" w14:textId="5A36C2C4" w:rsidR="00F007CB" w:rsidRDefault="00F007CB" w:rsidP="00F007CB">
      <w:pPr>
        <w:autoSpaceDE w:val="0"/>
        <w:autoSpaceDN w:val="0"/>
        <w:adjustRightInd w:val="0"/>
        <w:spacing w:after="120"/>
        <w:jc w:val="both"/>
        <w:rPr>
          <w:rFonts w:ascii="Calibri" w:hAnsi="Calibri" w:cs="Calibri"/>
          <w:sz w:val="22"/>
          <w:szCs w:val="22"/>
        </w:rPr>
      </w:pPr>
      <w:r>
        <w:rPr>
          <w:rFonts w:ascii="Calibri" w:hAnsi="Calibri" w:cs="Calibri"/>
          <w:bCs/>
          <w:iCs/>
          <w:sz w:val="22"/>
          <w:szCs w:val="22"/>
        </w:rPr>
        <w:br w:type="page"/>
      </w:r>
      <w:r>
        <w:rPr>
          <w:rFonts w:ascii="Calibri" w:hAnsi="Calibri" w:cs="Calibri"/>
          <w:b/>
          <w:sz w:val="22"/>
          <w:szCs w:val="22"/>
        </w:rPr>
        <w:lastRenderedPageBreak/>
        <w:t>1</w:t>
      </w:r>
      <w:r w:rsidR="004523FC">
        <w:rPr>
          <w:rFonts w:ascii="Calibri" w:hAnsi="Calibri" w:cs="Calibri"/>
          <w:b/>
          <w:sz w:val="22"/>
          <w:szCs w:val="22"/>
        </w:rPr>
        <w:t>3</w:t>
      </w:r>
      <w:r>
        <w:rPr>
          <w:rFonts w:ascii="Calibri" w:hAnsi="Calibri" w:cs="Calibri"/>
          <w:b/>
          <w:sz w:val="22"/>
          <w:szCs w:val="22"/>
        </w:rPr>
        <w:t>.</w:t>
      </w:r>
      <w:r>
        <w:rPr>
          <w:rFonts w:ascii="Calibri" w:hAnsi="Calibri" w:cs="Calibri"/>
          <w:sz w:val="22"/>
          <w:szCs w:val="22"/>
        </w:rPr>
        <w:tab/>
      </w:r>
      <w:r>
        <w:rPr>
          <w:rFonts w:ascii="Calibri" w:hAnsi="Calibri" w:cs="Calibri"/>
          <w:b/>
          <w:sz w:val="22"/>
          <w:szCs w:val="22"/>
        </w:rPr>
        <w:t>Financial instruments and financial risk management (continued)</w:t>
      </w:r>
    </w:p>
    <w:p w14:paraId="32BB50A0" w14:textId="77777777" w:rsidR="00F007CB" w:rsidRDefault="00F007CB" w:rsidP="00F007CB">
      <w:pPr>
        <w:autoSpaceDE w:val="0"/>
        <w:autoSpaceDN w:val="0"/>
        <w:adjustRightInd w:val="0"/>
        <w:jc w:val="both"/>
        <w:rPr>
          <w:rFonts w:ascii="Calibri" w:hAnsi="Calibri" w:cs="Calibri"/>
          <w:bCs/>
          <w:iCs/>
          <w:sz w:val="22"/>
          <w:szCs w:val="22"/>
        </w:rPr>
      </w:pPr>
      <w:r>
        <w:rPr>
          <w:rFonts w:ascii="Calibri" w:hAnsi="Calibri" w:cs="Calibri"/>
          <w:bCs/>
          <w:iCs/>
          <w:sz w:val="22"/>
          <w:szCs w:val="22"/>
        </w:rPr>
        <w:t>The fair value of financial assets and financial liabilities, together with the carrying amounts in the condensed consolidated balance sheet, are as follows:</w:t>
      </w:r>
    </w:p>
    <w:tbl>
      <w:tblPr>
        <w:tblW w:w="11576" w:type="dxa"/>
        <w:tblLook w:val="04A0" w:firstRow="1" w:lastRow="0" w:firstColumn="1" w:lastColumn="0" w:noHBand="0" w:noVBand="1"/>
      </w:tblPr>
      <w:tblGrid>
        <w:gridCol w:w="5452"/>
        <w:gridCol w:w="1531"/>
        <w:gridCol w:w="1531"/>
        <w:gridCol w:w="1531"/>
        <w:gridCol w:w="1531"/>
      </w:tblGrid>
      <w:tr w:rsidR="003B7DDF" w:rsidRPr="00FF2F42" w14:paraId="647B96D6" w14:textId="77777777" w:rsidTr="007D3243">
        <w:trPr>
          <w:trHeight w:val="544"/>
        </w:trPr>
        <w:tc>
          <w:tcPr>
            <w:tcW w:w="0" w:type="auto"/>
            <w:vAlign w:val="bottom"/>
          </w:tcPr>
          <w:p w14:paraId="1A827478" w14:textId="77777777" w:rsidR="003B7DDF" w:rsidRPr="00DB22BA" w:rsidRDefault="003B7DDF" w:rsidP="00055885">
            <w:pPr>
              <w:tabs>
                <w:tab w:val="left" w:leader="dot" w:pos="6804"/>
              </w:tabs>
              <w:rPr>
                <w:rFonts w:ascii="Calibri" w:hAnsi="Calibri" w:cs="Calibri"/>
                <w:b/>
                <w:bCs/>
                <w:sz w:val="22"/>
                <w:szCs w:val="22"/>
              </w:rPr>
            </w:pPr>
          </w:p>
        </w:tc>
        <w:tc>
          <w:tcPr>
            <w:tcW w:w="1531" w:type="dxa"/>
            <w:shd w:val="clear" w:color="auto" w:fill="auto"/>
            <w:vAlign w:val="bottom"/>
          </w:tcPr>
          <w:p w14:paraId="19BAF16B" w14:textId="0B2AEC75" w:rsidR="003B7DDF" w:rsidRPr="00DB22BA" w:rsidRDefault="003B7DDF" w:rsidP="00055885">
            <w:pPr>
              <w:ind w:left="-116" w:right="34"/>
              <w:jc w:val="right"/>
              <w:rPr>
                <w:rFonts w:ascii="Calibri" w:eastAsia="MS Mincho" w:hAnsi="Calibri" w:cs="Calibri"/>
                <w:b/>
                <w:sz w:val="22"/>
                <w:szCs w:val="22"/>
                <w:lang w:val="en-US"/>
              </w:rPr>
            </w:pPr>
            <w:r>
              <w:rPr>
                <w:rFonts w:ascii="Calibri" w:eastAsia="MS Mincho" w:hAnsi="Calibri" w:cs="Calibri"/>
                <w:b/>
                <w:sz w:val="22"/>
                <w:szCs w:val="22"/>
                <w:lang w:val="en-US"/>
              </w:rPr>
              <w:t xml:space="preserve">At </w:t>
            </w:r>
            <w:r w:rsidR="00640769">
              <w:rPr>
                <w:rFonts w:ascii="Calibri" w:eastAsia="MS Mincho" w:hAnsi="Calibri" w:cs="Calibri"/>
                <w:b/>
                <w:sz w:val="22"/>
                <w:szCs w:val="22"/>
                <w:lang w:val="en-US"/>
              </w:rPr>
              <w:t>Sep</w:t>
            </w:r>
            <w:r>
              <w:rPr>
                <w:rFonts w:ascii="Calibri" w:eastAsia="MS Mincho" w:hAnsi="Calibri" w:cs="Calibri"/>
                <w:b/>
                <w:sz w:val="22"/>
                <w:szCs w:val="22"/>
                <w:lang w:val="en-US"/>
              </w:rPr>
              <w:t xml:space="preserve"> 30,</w:t>
            </w:r>
          </w:p>
        </w:tc>
        <w:tc>
          <w:tcPr>
            <w:tcW w:w="1531" w:type="dxa"/>
            <w:shd w:val="clear" w:color="auto" w:fill="auto"/>
            <w:vAlign w:val="bottom"/>
          </w:tcPr>
          <w:p w14:paraId="33CC56D6" w14:textId="4FB8926B" w:rsidR="003B7DDF" w:rsidRPr="00DB22BA" w:rsidRDefault="003B7DDF" w:rsidP="00055885">
            <w:pPr>
              <w:ind w:right="-84"/>
              <w:jc w:val="right"/>
              <w:rPr>
                <w:rFonts w:ascii="Calibri" w:eastAsia="MS Mincho" w:hAnsi="Calibri" w:cs="Calibri"/>
                <w:b/>
                <w:sz w:val="22"/>
                <w:szCs w:val="22"/>
                <w:lang w:val="en-US"/>
              </w:rPr>
            </w:pPr>
            <w:r>
              <w:rPr>
                <w:rFonts w:ascii="Calibri" w:eastAsia="MS Mincho" w:hAnsi="Calibri" w:cs="Calibri"/>
                <w:b/>
                <w:sz w:val="22"/>
                <w:szCs w:val="22"/>
                <w:lang w:val="en-US"/>
              </w:rPr>
              <w:t xml:space="preserve">At </w:t>
            </w:r>
            <w:r w:rsidR="00640769">
              <w:rPr>
                <w:rFonts w:ascii="Calibri" w:eastAsia="MS Mincho" w:hAnsi="Calibri" w:cs="Calibri"/>
                <w:b/>
                <w:sz w:val="22"/>
                <w:szCs w:val="22"/>
                <w:lang w:val="en-US"/>
              </w:rPr>
              <w:t>Sep</w:t>
            </w:r>
            <w:r>
              <w:rPr>
                <w:rFonts w:ascii="Calibri" w:eastAsia="MS Mincho" w:hAnsi="Calibri" w:cs="Calibri"/>
                <w:b/>
                <w:sz w:val="22"/>
                <w:szCs w:val="22"/>
                <w:lang w:val="en-US"/>
              </w:rPr>
              <w:t xml:space="preserve"> 30,</w:t>
            </w:r>
          </w:p>
        </w:tc>
        <w:tc>
          <w:tcPr>
            <w:tcW w:w="1531" w:type="dxa"/>
            <w:vAlign w:val="bottom"/>
          </w:tcPr>
          <w:p w14:paraId="412C15BA" w14:textId="77777777" w:rsidR="003B7DDF" w:rsidRPr="00A9218A" w:rsidRDefault="003B7DDF" w:rsidP="00055885">
            <w:pPr>
              <w:jc w:val="right"/>
              <w:rPr>
                <w:rFonts w:ascii="Calibri" w:eastAsia="MS Mincho" w:hAnsi="Calibri" w:cs="Calibri"/>
                <w:sz w:val="22"/>
                <w:szCs w:val="22"/>
                <w:lang w:val="en-US"/>
              </w:rPr>
            </w:pPr>
            <w:r>
              <w:rPr>
                <w:rFonts w:ascii="Calibri" w:eastAsia="MS Mincho" w:hAnsi="Calibri" w:cs="Calibri"/>
                <w:sz w:val="22"/>
                <w:szCs w:val="22"/>
                <w:lang w:val="en-US"/>
              </w:rPr>
              <w:t>At Mar 31,</w:t>
            </w:r>
          </w:p>
        </w:tc>
        <w:tc>
          <w:tcPr>
            <w:tcW w:w="1531" w:type="dxa"/>
            <w:vAlign w:val="bottom"/>
          </w:tcPr>
          <w:p w14:paraId="534A4D12" w14:textId="77777777" w:rsidR="003B7DDF" w:rsidRPr="00A9218A" w:rsidRDefault="003B7DDF" w:rsidP="00055885">
            <w:pPr>
              <w:jc w:val="right"/>
              <w:rPr>
                <w:rFonts w:ascii="Calibri" w:eastAsia="MS Mincho" w:hAnsi="Calibri" w:cs="Calibri"/>
                <w:sz w:val="22"/>
                <w:szCs w:val="22"/>
                <w:lang w:val="en-US"/>
              </w:rPr>
            </w:pPr>
            <w:r>
              <w:rPr>
                <w:rFonts w:ascii="Calibri" w:eastAsia="MS Mincho" w:hAnsi="Calibri" w:cs="Calibri"/>
                <w:sz w:val="22"/>
                <w:szCs w:val="22"/>
                <w:lang w:val="en-US"/>
              </w:rPr>
              <w:t>At Mar 31,</w:t>
            </w:r>
          </w:p>
        </w:tc>
      </w:tr>
      <w:tr w:rsidR="003B7DDF" w:rsidRPr="00FF2F42" w14:paraId="7C22631C" w14:textId="77777777" w:rsidTr="007D3243">
        <w:trPr>
          <w:trHeight w:val="232"/>
        </w:trPr>
        <w:tc>
          <w:tcPr>
            <w:tcW w:w="0" w:type="auto"/>
            <w:vAlign w:val="bottom"/>
          </w:tcPr>
          <w:p w14:paraId="74566DC6" w14:textId="77777777" w:rsidR="003B7DDF" w:rsidRPr="00DB22BA" w:rsidRDefault="003B7DDF" w:rsidP="00055885">
            <w:pPr>
              <w:tabs>
                <w:tab w:val="left" w:leader="dot" w:pos="6804"/>
              </w:tabs>
              <w:rPr>
                <w:rFonts w:ascii="Calibri" w:hAnsi="Calibri" w:cs="Calibri"/>
                <w:b/>
                <w:bCs/>
                <w:sz w:val="22"/>
                <w:szCs w:val="22"/>
              </w:rPr>
            </w:pPr>
          </w:p>
        </w:tc>
        <w:tc>
          <w:tcPr>
            <w:tcW w:w="1531" w:type="dxa"/>
            <w:shd w:val="clear" w:color="auto" w:fill="auto"/>
            <w:vAlign w:val="bottom"/>
          </w:tcPr>
          <w:p w14:paraId="32BE438F" w14:textId="77777777" w:rsidR="003B7DDF" w:rsidRPr="00DB22BA" w:rsidRDefault="003B7DDF" w:rsidP="00055885">
            <w:pPr>
              <w:ind w:left="-116" w:right="34"/>
              <w:jc w:val="right"/>
              <w:rPr>
                <w:rFonts w:ascii="Calibri" w:eastAsia="MS Mincho" w:hAnsi="Calibri" w:cs="Calibri"/>
                <w:b/>
                <w:sz w:val="22"/>
                <w:szCs w:val="22"/>
                <w:lang w:val="en-US"/>
              </w:rPr>
            </w:pPr>
            <w:r>
              <w:rPr>
                <w:rFonts w:ascii="Calibri" w:eastAsia="MS Mincho" w:hAnsi="Calibri" w:cs="Calibri"/>
                <w:b/>
                <w:sz w:val="22"/>
                <w:szCs w:val="22"/>
                <w:lang w:val="en-US"/>
              </w:rPr>
              <w:t>2020</w:t>
            </w:r>
          </w:p>
        </w:tc>
        <w:tc>
          <w:tcPr>
            <w:tcW w:w="1531" w:type="dxa"/>
            <w:shd w:val="clear" w:color="auto" w:fill="auto"/>
            <w:vAlign w:val="bottom"/>
          </w:tcPr>
          <w:p w14:paraId="48329DE4" w14:textId="77777777" w:rsidR="003B7DDF" w:rsidRPr="00DB22BA" w:rsidRDefault="003B7DDF" w:rsidP="00055885">
            <w:pPr>
              <w:jc w:val="right"/>
              <w:rPr>
                <w:rFonts w:ascii="Calibri" w:eastAsia="MS Mincho" w:hAnsi="Calibri" w:cs="Calibri"/>
                <w:b/>
                <w:sz w:val="22"/>
                <w:szCs w:val="22"/>
                <w:lang w:val="en-US"/>
              </w:rPr>
            </w:pPr>
            <w:r>
              <w:rPr>
                <w:rFonts w:ascii="Calibri" w:eastAsia="MS Mincho" w:hAnsi="Calibri" w:cs="Calibri"/>
                <w:b/>
                <w:sz w:val="22"/>
                <w:szCs w:val="22"/>
                <w:lang w:val="en-US"/>
              </w:rPr>
              <w:t>2020</w:t>
            </w:r>
          </w:p>
        </w:tc>
        <w:tc>
          <w:tcPr>
            <w:tcW w:w="1531" w:type="dxa"/>
          </w:tcPr>
          <w:p w14:paraId="58DFFE9B" w14:textId="77777777" w:rsidR="003B7DDF" w:rsidRPr="00A9218A" w:rsidRDefault="003B7DDF" w:rsidP="00055885">
            <w:pPr>
              <w:jc w:val="right"/>
              <w:rPr>
                <w:rFonts w:ascii="Calibri" w:eastAsia="MS Mincho" w:hAnsi="Calibri" w:cs="Calibri"/>
                <w:sz w:val="22"/>
                <w:szCs w:val="22"/>
                <w:lang w:val="en-US"/>
              </w:rPr>
            </w:pPr>
            <w:r>
              <w:rPr>
                <w:rFonts w:ascii="Calibri" w:eastAsia="MS Mincho" w:hAnsi="Calibri" w:cs="Calibri"/>
                <w:sz w:val="22"/>
                <w:szCs w:val="22"/>
                <w:lang w:val="en-US"/>
              </w:rPr>
              <w:t>2020</w:t>
            </w:r>
          </w:p>
        </w:tc>
        <w:tc>
          <w:tcPr>
            <w:tcW w:w="1531" w:type="dxa"/>
          </w:tcPr>
          <w:p w14:paraId="243764CA" w14:textId="77777777" w:rsidR="003B7DDF" w:rsidRPr="00A9218A" w:rsidRDefault="003B7DDF" w:rsidP="00055885">
            <w:pPr>
              <w:jc w:val="right"/>
              <w:rPr>
                <w:rFonts w:ascii="Calibri" w:eastAsia="MS Mincho" w:hAnsi="Calibri" w:cs="Calibri"/>
                <w:sz w:val="22"/>
                <w:szCs w:val="22"/>
                <w:lang w:val="en-US"/>
              </w:rPr>
            </w:pPr>
            <w:r>
              <w:rPr>
                <w:rFonts w:ascii="Calibri" w:eastAsia="MS Mincho" w:hAnsi="Calibri" w:cs="Calibri"/>
                <w:sz w:val="22"/>
                <w:szCs w:val="22"/>
                <w:lang w:val="en-US"/>
              </w:rPr>
              <w:t>2020</w:t>
            </w:r>
          </w:p>
        </w:tc>
      </w:tr>
      <w:tr w:rsidR="003B7DDF" w:rsidRPr="00FF2F42" w14:paraId="399F0EF9" w14:textId="77777777" w:rsidTr="007D3243">
        <w:trPr>
          <w:trHeight w:val="232"/>
        </w:trPr>
        <w:tc>
          <w:tcPr>
            <w:tcW w:w="0" w:type="auto"/>
            <w:vAlign w:val="bottom"/>
          </w:tcPr>
          <w:p w14:paraId="4E411F2F" w14:textId="77777777" w:rsidR="003B7DDF" w:rsidRPr="00DB22BA" w:rsidRDefault="003B7DDF" w:rsidP="00055885">
            <w:pPr>
              <w:tabs>
                <w:tab w:val="left" w:leader="dot" w:pos="6804"/>
              </w:tabs>
              <w:rPr>
                <w:rFonts w:ascii="Calibri" w:hAnsi="Calibri" w:cs="Calibri"/>
                <w:b/>
                <w:bCs/>
                <w:sz w:val="22"/>
                <w:szCs w:val="22"/>
              </w:rPr>
            </w:pPr>
          </w:p>
        </w:tc>
        <w:tc>
          <w:tcPr>
            <w:tcW w:w="1531" w:type="dxa"/>
            <w:shd w:val="clear" w:color="auto" w:fill="auto"/>
            <w:vAlign w:val="bottom"/>
          </w:tcPr>
          <w:p w14:paraId="33562B36" w14:textId="77777777" w:rsidR="003B7DDF" w:rsidRPr="00DB22BA" w:rsidRDefault="003B7DDF" w:rsidP="00055885">
            <w:pPr>
              <w:ind w:left="-116" w:right="34"/>
              <w:jc w:val="right"/>
              <w:rPr>
                <w:rFonts w:ascii="Calibri" w:eastAsia="MS Mincho" w:hAnsi="Calibri" w:cs="Calibri"/>
                <w:b/>
                <w:sz w:val="22"/>
                <w:szCs w:val="22"/>
                <w:lang w:val="en-US"/>
              </w:rPr>
            </w:pPr>
            <w:r w:rsidRPr="00DB22BA">
              <w:rPr>
                <w:rFonts w:ascii="Calibri" w:eastAsia="MS Mincho" w:hAnsi="Calibri" w:cs="Calibri"/>
                <w:b/>
                <w:sz w:val="22"/>
                <w:szCs w:val="22"/>
                <w:lang w:val="en-US"/>
              </w:rPr>
              <w:t>Carrying</w:t>
            </w:r>
          </w:p>
        </w:tc>
        <w:tc>
          <w:tcPr>
            <w:tcW w:w="1531" w:type="dxa"/>
            <w:shd w:val="clear" w:color="auto" w:fill="auto"/>
            <w:vAlign w:val="bottom"/>
          </w:tcPr>
          <w:p w14:paraId="0BC487FE" w14:textId="77777777" w:rsidR="003B7DDF" w:rsidRPr="00DB22BA" w:rsidRDefault="003B7DDF" w:rsidP="00055885">
            <w:pPr>
              <w:jc w:val="right"/>
              <w:rPr>
                <w:rFonts w:ascii="Calibri" w:eastAsia="MS Mincho" w:hAnsi="Calibri" w:cs="Calibri"/>
                <w:b/>
                <w:sz w:val="22"/>
                <w:szCs w:val="22"/>
                <w:lang w:val="en-US"/>
              </w:rPr>
            </w:pPr>
            <w:r w:rsidRPr="00DB22BA">
              <w:rPr>
                <w:rFonts w:ascii="Calibri" w:eastAsia="MS Mincho" w:hAnsi="Calibri" w:cs="Calibri"/>
                <w:b/>
                <w:sz w:val="22"/>
                <w:szCs w:val="22"/>
                <w:lang w:val="en-US"/>
              </w:rPr>
              <w:t>Fair</w:t>
            </w:r>
          </w:p>
        </w:tc>
        <w:tc>
          <w:tcPr>
            <w:tcW w:w="1531" w:type="dxa"/>
          </w:tcPr>
          <w:p w14:paraId="0DA1D8CB" w14:textId="77777777" w:rsidR="003B7DDF" w:rsidRPr="00A9218A" w:rsidRDefault="003B7DDF" w:rsidP="00055885">
            <w:pPr>
              <w:jc w:val="right"/>
              <w:rPr>
                <w:rFonts w:ascii="Calibri" w:eastAsia="MS Mincho" w:hAnsi="Calibri" w:cs="Calibri"/>
                <w:sz w:val="22"/>
                <w:szCs w:val="22"/>
                <w:lang w:val="en-US"/>
              </w:rPr>
            </w:pPr>
            <w:r w:rsidRPr="00A9218A">
              <w:rPr>
                <w:rFonts w:ascii="Calibri" w:eastAsia="MS Mincho" w:hAnsi="Calibri" w:cs="Calibri"/>
                <w:sz w:val="22"/>
                <w:szCs w:val="22"/>
                <w:lang w:val="en-US"/>
              </w:rPr>
              <w:t>Carrying</w:t>
            </w:r>
          </w:p>
        </w:tc>
        <w:tc>
          <w:tcPr>
            <w:tcW w:w="1531" w:type="dxa"/>
          </w:tcPr>
          <w:p w14:paraId="15069C18" w14:textId="77777777" w:rsidR="003B7DDF" w:rsidRPr="00A9218A" w:rsidRDefault="003B7DDF" w:rsidP="00055885">
            <w:pPr>
              <w:jc w:val="right"/>
              <w:rPr>
                <w:rFonts w:ascii="Calibri" w:eastAsia="MS Mincho" w:hAnsi="Calibri" w:cs="Calibri"/>
                <w:sz w:val="22"/>
                <w:szCs w:val="22"/>
                <w:lang w:val="en-US"/>
              </w:rPr>
            </w:pPr>
            <w:r w:rsidRPr="00A9218A">
              <w:rPr>
                <w:rFonts w:ascii="Calibri" w:eastAsia="MS Mincho" w:hAnsi="Calibri" w:cs="Calibri"/>
                <w:sz w:val="22"/>
                <w:szCs w:val="22"/>
                <w:lang w:val="en-US"/>
              </w:rPr>
              <w:t>Fair</w:t>
            </w:r>
          </w:p>
        </w:tc>
      </w:tr>
      <w:tr w:rsidR="003B7DDF" w:rsidRPr="00FF2F42" w14:paraId="68A2F3F4" w14:textId="77777777" w:rsidTr="007D3243">
        <w:trPr>
          <w:trHeight w:val="232"/>
        </w:trPr>
        <w:tc>
          <w:tcPr>
            <w:tcW w:w="0" w:type="auto"/>
            <w:vAlign w:val="bottom"/>
          </w:tcPr>
          <w:p w14:paraId="260E4086" w14:textId="77777777" w:rsidR="003B7DDF" w:rsidRPr="00DB22BA" w:rsidRDefault="003B7DDF" w:rsidP="00055885">
            <w:pPr>
              <w:tabs>
                <w:tab w:val="left" w:leader="dot" w:pos="6804"/>
              </w:tabs>
              <w:rPr>
                <w:rFonts w:ascii="Calibri" w:hAnsi="Calibri" w:cs="Calibri"/>
                <w:b/>
                <w:bCs/>
                <w:sz w:val="22"/>
                <w:szCs w:val="22"/>
              </w:rPr>
            </w:pPr>
          </w:p>
        </w:tc>
        <w:tc>
          <w:tcPr>
            <w:tcW w:w="1531" w:type="dxa"/>
            <w:tcBorders>
              <w:bottom w:val="single" w:sz="4" w:space="0" w:color="auto"/>
            </w:tcBorders>
            <w:shd w:val="clear" w:color="auto" w:fill="auto"/>
            <w:vAlign w:val="bottom"/>
          </w:tcPr>
          <w:p w14:paraId="0BCE14E6" w14:textId="77777777" w:rsidR="003B7DDF" w:rsidRPr="00DB22BA" w:rsidRDefault="003B7DDF" w:rsidP="00055885">
            <w:pPr>
              <w:ind w:left="-116" w:right="34"/>
              <w:jc w:val="right"/>
              <w:rPr>
                <w:rFonts w:ascii="Calibri" w:eastAsia="MS Mincho" w:hAnsi="Calibri" w:cs="Calibri"/>
                <w:b/>
                <w:sz w:val="22"/>
                <w:szCs w:val="22"/>
                <w:lang w:val="en-US"/>
              </w:rPr>
            </w:pPr>
            <w:r w:rsidRPr="00DB22BA">
              <w:rPr>
                <w:rFonts w:ascii="Calibri" w:eastAsia="MS Mincho" w:hAnsi="Calibri" w:cs="Calibri"/>
                <w:b/>
                <w:sz w:val="22"/>
                <w:szCs w:val="22"/>
                <w:lang w:val="en-US"/>
              </w:rPr>
              <w:t>Amount</w:t>
            </w:r>
          </w:p>
        </w:tc>
        <w:tc>
          <w:tcPr>
            <w:tcW w:w="1531" w:type="dxa"/>
            <w:tcBorders>
              <w:bottom w:val="single" w:sz="4" w:space="0" w:color="auto"/>
            </w:tcBorders>
            <w:shd w:val="clear" w:color="auto" w:fill="auto"/>
            <w:vAlign w:val="bottom"/>
          </w:tcPr>
          <w:p w14:paraId="7C046237" w14:textId="77777777" w:rsidR="003B7DDF" w:rsidRPr="00DB22BA" w:rsidRDefault="003B7DDF" w:rsidP="00055885">
            <w:pPr>
              <w:jc w:val="right"/>
              <w:rPr>
                <w:rFonts w:ascii="Calibri" w:eastAsia="MS Mincho" w:hAnsi="Calibri" w:cs="Calibri"/>
                <w:b/>
                <w:sz w:val="22"/>
                <w:szCs w:val="22"/>
                <w:lang w:val="en-US"/>
              </w:rPr>
            </w:pPr>
            <w:r w:rsidRPr="00DB22BA">
              <w:rPr>
                <w:rFonts w:ascii="Calibri" w:eastAsia="MS Mincho" w:hAnsi="Calibri" w:cs="Calibri"/>
                <w:b/>
                <w:sz w:val="22"/>
                <w:szCs w:val="22"/>
                <w:lang w:val="en-US"/>
              </w:rPr>
              <w:t>Value</w:t>
            </w:r>
          </w:p>
        </w:tc>
        <w:tc>
          <w:tcPr>
            <w:tcW w:w="1531" w:type="dxa"/>
            <w:tcBorders>
              <w:bottom w:val="single" w:sz="4" w:space="0" w:color="auto"/>
            </w:tcBorders>
          </w:tcPr>
          <w:p w14:paraId="4F38CDB1" w14:textId="77777777" w:rsidR="003B7DDF" w:rsidRPr="00A9218A" w:rsidRDefault="003B7DDF" w:rsidP="00055885">
            <w:pPr>
              <w:jc w:val="right"/>
              <w:rPr>
                <w:rFonts w:ascii="Calibri" w:eastAsia="MS Mincho" w:hAnsi="Calibri" w:cs="Calibri"/>
                <w:sz w:val="22"/>
                <w:szCs w:val="22"/>
                <w:lang w:val="en-US"/>
              </w:rPr>
            </w:pPr>
            <w:r w:rsidRPr="00A9218A">
              <w:rPr>
                <w:rFonts w:ascii="Calibri" w:eastAsia="MS Mincho" w:hAnsi="Calibri" w:cs="Calibri"/>
                <w:sz w:val="22"/>
                <w:szCs w:val="22"/>
                <w:lang w:val="en-US"/>
              </w:rPr>
              <w:t>Amount</w:t>
            </w:r>
          </w:p>
        </w:tc>
        <w:tc>
          <w:tcPr>
            <w:tcW w:w="1531" w:type="dxa"/>
            <w:tcBorders>
              <w:bottom w:val="single" w:sz="4" w:space="0" w:color="auto"/>
            </w:tcBorders>
          </w:tcPr>
          <w:p w14:paraId="5137E6ED" w14:textId="77777777" w:rsidR="003B7DDF" w:rsidRPr="00A9218A" w:rsidRDefault="003B7DDF" w:rsidP="00055885">
            <w:pPr>
              <w:jc w:val="right"/>
              <w:rPr>
                <w:rFonts w:ascii="Calibri" w:eastAsia="MS Mincho" w:hAnsi="Calibri" w:cs="Calibri"/>
                <w:sz w:val="22"/>
                <w:szCs w:val="22"/>
                <w:lang w:val="en-US"/>
              </w:rPr>
            </w:pPr>
            <w:r w:rsidRPr="00A9218A">
              <w:rPr>
                <w:rFonts w:ascii="Calibri" w:eastAsia="MS Mincho" w:hAnsi="Calibri" w:cs="Calibri"/>
                <w:sz w:val="22"/>
                <w:szCs w:val="22"/>
                <w:lang w:val="en-US"/>
              </w:rPr>
              <w:t>Value</w:t>
            </w:r>
          </w:p>
        </w:tc>
      </w:tr>
      <w:tr w:rsidR="003B7DDF" w:rsidRPr="00FF2F42" w14:paraId="08CB6337" w14:textId="77777777" w:rsidTr="007D3243">
        <w:trPr>
          <w:trHeight w:val="232"/>
        </w:trPr>
        <w:tc>
          <w:tcPr>
            <w:tcW w:w="0" w:type="auto"/>
            <w:vAlign w:val="bottom"/>
            <w:hideMark/>
          </w:tcPr>
          <w:p w14:paraId="4E75BA05" w14:textId="77777777" w:rsidR="003B7DDF" w:rsidRPr="00DB22BA" w:rsidRDefault="003B7DDF" w:rsidP="00055885">
            <w:pPr>
              <w:tabs>
                <w:tab w:val="left" w:leader="dot" w:pos="6804"/>
              </w:tabs>
              <w:rPr>
                <w:rFonts w:ascii="Calibri" w:eastAsia="MS Mincho" w:hAnsi="Calibri" w:cs="Calibri"/>
                <w:b/>
                <w:bCs/>
                <w:sz w:val="22"/>
                <w:szCs w:val="22"/>
              </w:rPr>
            </w:pPr>
            <w:r w:rsidRPr="00DB22BA">
              <w:rPr>
                <w:rFonts w:ascii="Calibri" w:hAnsi="Calibri" w:cs="Calibri"/>
                <w:b/>
                <w:bCs/>
                <w:sz w:val="22"/>
                <w:szCs w:val="22"/>
              </w:rPr>
              <w:t>Non-current financial assets</w:t>
            </w:r>
          </w:p>
        </w:tc>
        <w:tc>
          <w:tcPr>
            <w:tcW w:w="1531" w:type="dxa"/>
            <w:tcBorders>
              <w:top w:val="single" w:sz="4" w:space="0" w:color="auto"/>
            </w:tcBorders>
            <w:shd w:val="clear" w:color="auto" w:fill="auto"/>
            <w:vAlign w:val="bottom"/>
          </w:tcPr>
          <w:p w14:paraId="156E3E9D" w14:textId="77777777" w:rsidR="003B7DDF" w:rsidRPr="00FF2F42" w:rsidRDefault="003B7DDF" w:rsidP="00055885">
            <w:pPr>
              <w:ind w:left="-116" w:right="34"/>
              <w:jc w:val="right"/>
              <w:rPr>
                <w:rFonts w:ascii="Calibri" w:eastAsia="MS Mincho" w:hAnsi="Calibri" w:cs="Calibri"/>
                <w:b/>
                <w:sz w:val="22"/>
                <w:szCs w:val="22"/>
                <w:u w:val="single"/>
                <w:lang w:val="en-US"/>
              </w:rPr>
            </w:pPr>
            <w:r w:rsidRPr="00FF2F42">
              <w:rPr>
                <w:rFonts w:ascii="Calibri" w:eastAsia="MS Mincho" w:hAnsi="Calibri" w:cs="Calibri"/>
                <w:b/>
                <w:sz w:val="22"/>
                <w:szCs w:val="22"/>
                <w:u w:val="single"/>
                <w:lang w:val="en-US"/>
              </w:rPr>
              <w:t>€M</w:t>
            </w:r>
          </w:p>
        </w:tc>
        <w:tc>
          <w:tcPr>
            <w:tcW w:w="1531" w:type="dxa"/>
            <w:tcBorders>
              <w:top w:val="single" w:sz="4" w:space="0" w:color="auto"/>
            </w:tcBorders>
            <w:shd w:val="clear" w:color="auto" w:fill="auto"/>
            <w:vAlign w:val="bottom"/>
          </w:tcPr>
          <w:p w14:paraId="4164DCFC" w14:textId="77777777" w:rsidR="003B7DDF" w:rsidRPr="00FF2F42" w:rsidRDefault="003B7DDF" w:rsidP="00055885">
            <w:pPr>
              <w:jc w:val="right"/>
              <w:rPr>
                <w:rFonts w:ascii="Calibri" w:eastAsia="MS Mincho" w:hAnsi="Calibri" w:cs="Calibri"/>
                <w:b/>
                <w:sz w:val="22"/>
                <w:szCs w:val="22"/>
                <w:u w:val="single"/>
                <w:lang w:val="en-US"/>
              </w:rPr>
            </w:pPr>
            <w:r w:rsidRPr="00FF2F42">
              <w:rPr>
                <w:rFonts w:ascii="Calibri" w:eastAsia="MS Mincho" w:hAnsi="Calibri" w:cs="Calibri"/>
                <w:b/>
                <w:sz w:val="22"/>
                <w:szCs w:val="22"/>
                <w:u w:val="single"/>
                <w:lang w:val="en-US"/>
              </w:rPr>
              <w:t>€M</w:t>
            </w:r>
          </w:p>
        </w:tc>
        <w:tc>
          <w:tcPr>
            <w:tcW w:w="1531" w:type="dxa"/>
            <w:tcBorders>
              <w:top w:val="single" w:sz="4" w:space="0" w:color="auto"/>
            </w:tcBorders>
          </w:tcPr>
          <w:p w14:paraId="557E821E" w14:textId="77777777" w:rsidR="003B7DDF" w:rsidRPr="00FF2F42" w:rsidRDefault="003B7DDF" w:rsidP="00055885">
            <w:pPr>
              <w:jc w:val="right"/>
              <w:rPr>
                <w:rFonts w:ascii="Calibri" w:eastAsia="MS Mincho" w:hAnsi="Calibri" w:cs="Calibri"/>
                <w:sz w:val="22"/>
                <w:szCs w:val="22"/>
                <w:u w:val="single"/>
                <w:lang w:val="en-US"/>
              </w:rPr>
            </w:pPr>
            <w:r w:rsidRPr="00FF2F42">
              <w:rPr>
                <w:rFonts w:ascii="Calibri" w:eastAsia="MS Mincho" w:hAnsi="Calibri" w:cs="Calibri"/>
                <w:sz w:val="22"/>
                <w:szCs w:val="22"/>
                <w:u w:val="single"/>
                <w:lang w:val="en-US"/>
              </w:rPr>
              <w:t>€M</w:t>
            </w:r>
          </w:p>
        </w:tc>
        <w:tc>
          <w:tcPr>
            <w:tcW w:w="1531" w:type="dxa"/>
            <w:tcBorders>
              <w:top w:val="single" w:sz="4" w:space="0" w:color="auto"/>
            </w:tcBorders>
          </w:tcPr>
          <w:p w14:paraId="7152992E" w14:textId="77777777" w:rsidR="003B7DDF" w:rsidRPr="00FF2F42" w:rsidRDefault="003B7DDF" w:rsidP="00055885">
            <w:pPr>
              <w:jc w:val="right"/>
              <w:rPr>
                <w:rFonts w:ascii="Calibri" w:eastAsia="MS Mincho" w:hAnsi="Calibri" w:cs="Calibri"/>
                <w:sz w:val="22"/>
                <w:szCs w:val="22"/>
                <w:u w:val="single"/>
                <w:lang w:val="en-US"/>
              </w:rPr>
            </w:pPr>
            <w:r w:rsidRPr="00FF2F42">
              <w:rPr>
                <w:rFonts w:ascii="Calibri" w:eastAsia="MS Mincho" w:hAnsi="Calibri" w:cs="Calibri"/>
                <w:sz w:val="22"/>
                <w:szCs w:val="22"/>
                <w:u w:val="single"/>
                <w:lang w:val="en-US"/>
              </w:rPr>
              <w:t>€M</w:t>
            </w:r>
          </w:p>
        </w:tc>
      </w:tr>
      <w:tr w:rsidR="003B7DDF" w:rsidRPr="00505482" w14:paraId="70A1ABBD" w14:textId="77777777" w:rsidTr="007D3243">
        <w:trPr>
          <w:trHeight w:val="232"/>
        </w:trPr>
        <w:tc>
          <w:tcPr>
            <w:tcW w:w="0" w:type="auto"/>
            <w:vAlign w:val="bottom"/>
          </w:tcPr>
          <w:p w14:paraId="7DA9DEDD" w14:textId="77777777" w:rsidR="003B7DDF" w:rsidRPr="00DB22BA" w:rsidRDefault="003B7DDF" w:rsidP="00055885">
            <w:pPr>
              <w:tabs>
                <w:tab w:val="left" w:leader="dot" w:pos="6804"/>
              </w:tabs>
              <w:rPr>
                <w:rFonts w:ascii="Calibri" w:eastAsia="MS Mincho" w:hAnsi="Calibri" w:cs="Calibri"/>
                <w:bCs/>
                <w:sz w:val="22"/>
                <w:szCs w:val="22"/>
              </w:rPr>
            </w:pPr>
            <w:r w:rsidRPr="00DB22BA">
              <w:rPr>
                <w:rFonts w:ascii="Calibri" w:hAnsi="Calibri" w:cs="Calibri"/>
                <w:bCs/>
                <w:sz w:val="22"/>
                <w:szCs w:val="22"/>
              </w:rPr>
              <w:t>Derivative financial instruments:</w:t>
            </w:r>
          </w:p>
        </w:tc>
        <w:tc>
          <w:tcPr>
            <w:tcW w:w="1531" w:type="dxa"/>
            <w:shd w:val="clear" w:color="auto" w:fill="auto"/>
            <w:vAlign w:val="bottom"/>
          </w:tcPr>
          <w:p w14:paraId="78D7B2BA" w14:textId="77777777" w:rsidR="003B7DDF" w:rsidRPr="00DB22BA" w:rsidRDefault="003B7DDF" w:rsidP="00055885">
            <w:pPr>
              <w:tabs>
                <w:tab w:val="decimal" w:pos="689"/>
              </w:tabs>
              <w:ind w:left="-116" w:right="34"/>
              <w:jc w:val="right"/>
              <w:rPr>
                <w:rFonts w:ascii="Calibri" w:eastAsia="MS Mincho" w:hAnsi="Calibri" w:cs="Calibri"/>
                <w:sz w:val="22"/>
                <w:szCs w:val="22"/>
              </w:rPr>
            </w:pPr>
          </w:p>
        </w:tc>
        <w:tc>
          <w:tcPr>
            <w:tcW w:w="1531" w:type="dxa"/>
            <w:shd w:val="clear" w:color="auto" w:fill="auto"/>
            <w:vAlign w:val="bottom"/>
          </w:tcPr>
          <w:p w14:paraId="05F07FE3" w14:textId="77777777" w:rsidR="003B7DDF" w:rsidRPr="00DB22BA" w:rsidRDefault="003B7DDF" w:rsidP="00055885">
            <w:pPr>
              <w:tabs>
                <w:tab w:val="decimal" w:pos="689"/>
              </w:tabs>
              <w:jc w:val="right"/>
              <w:rPr>
                <w:rFonts w:ascii="Calibri" w:eastAsia="MS Mincho" w:hAnsi="Calibri" w:cs="Calibri"/>
                <w:sz w:val="22"/>
                <w:szCs w:val="22"/>
              </w:rPr>
            </w:pPr>
          </w:p>
        </w:tc>
        <w:tc>
          <w:tcPr>
            <w:tcW w:w="1531" w:type="dxa"/>
          </w:tcPr>
          <w:p w14:paraId="7666D3BF" w14:textId="77777777" w:rsidR="003B7DDF" w:rsidRPr="00DB22BA" w:rsidRDefault="003B7DDF" w:rsidP="00055885">
            <w:pPr>
              <w:tabs>
                <w:tab w:val="decimal" w:pos="689"/>
              </w:tabs>
              <w:jc w:val="right"/>
              <w:rPr>
                <w:rFonts w:ascii="Calibri" w:eastAsia="MS Mincho" w:hAnsi="Calibri" w:cs="Calibri"/>
                <w:sz w:val="22"/>
                <w:szCs w:val="22"/>
              </w:rPr>
            </w:pPr>
          </w:p>
        </w:tc>
        <w:tc>
          <w:tcPr>
            <w:tcW w:w="1531" w:type="dxa"/>
          </w:tcPr>
          <w:p w14:paraId="61D62DA3" w14:textId="77777777" w:rsidR="003B7DDF" w:rsidRPr="00DB22BA" w:rsidRDefault="003B7DDF" w:rsidP="00055885">
            <w:pPr>
              <w:tabs>
                <w:tab w:val="decimal" w:pos="689"/>
              </w:tabs>
              <w:jc w:val="right"/>
              <w:rPr>
                <w:rFonts w:ascii="Calibri" w:eastAsia="MS Mincho" w:hAnsi="Calibri" w:cs="Calibri"/>
                <w:sz w:val="22"/>
                <w:szCs w:val="22"/>
              </w:rPr>
            </w:pPr>
          </w:p>
        </w:tc>
      </w:tr>
      <w:tr w:rsidR="003B7DDF" w:rsidRPr="00505482" w14:paraId="3760A43A" w14:textId="77777777" w:rsidTr="007D3243">
        <w:trPr>
          <w:trHeight w:val="217"/>
        </w:trPr>
        <w:tc>
          <w:tcPr>
            <w:tcW w:w="0" w:type="auto"/>
            <w:vAlign w:val="bottom"/>
            <w:hideMark/>
          </w:tcPr>
          <w:p w14:paraId="05467696" w14:textId="77777777" w:rsidR="003B7DDF" w:rsidRPr="00DB22BA" w:rsidRDefault="003B7DDF" w:rsidP="00055885">
            <w:pPr>
              <w:tabs>
                <w:tab w:val="left" w:leader="dot" w:pos="6804"/>
              </w:tabs>
              <w:rPr>
                <w:rFonts w:ascii="Calibri" w:eastAsia="MS Mincho" w:hAnsi="Calibri" w:cs="Calibri"/>
                <w:sz w:val="22"/>
                <w:szCs w:val="22"/>
              </w:rPr>
            </w:pPr>
            <w:r w:rsidRPr="00DB22BA">
              <w:rPr>
                <w:rFonts w:ascii="Calibri" w:hAnsi="Calibri" w:cs="Calibri"/>
                <w:bCs/>
                <w:sz w:val="22"/>
                <w:szCs w:val="22"/>
              </w:rPr>
              <w:t xml:space="preserve">- </w:t>
            </w:r>
            <w:r w:rsidRPr="00DB22BA">
              <w:rPr>
                <w:rFonts w:ascii="Calibri" w:hAnsi="Calibri" w:cs="Calibri"/>
                <w:sz w:val="22"/>
                <w:szCs w:val="22"/>
              </w:rPr>
              <w:t xml:space="preserve">U.S. dollar currency forward contracts </w:t>
            </w:r>
          </w:p>
        </w:tc>
        <w:tc>
          <w:tcPr>
            <w:tcW w:w="1531" w:type="dxa"/>
            <w:shd w:val="clear" w:color="auto" w:fill="FFFF00"/>
            <w:vAlign w:val="bottom"/>
          </w:tcPr>
          <w:p w14:paraId="7B4014F5" w14:textId="34BA9004"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144.0</w:t>
            </w:r>
          </w:p>
        </w:tc>
        <w:tc>
          <w:tcPr>
            <w:tcW w:w="1531" w:type="dxa"/>
            <w:shd w:val="clear" w:color="auto" w:fill="FFFF00"/>
            <w:vAlign w:val="bottom"/>
          </w:tcPr>
          <w:p w14:paraId="6470EB3F" w14:textId="52A5667C"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144.0</w:t>
            </w:r>
          </w:p>
        </w:tc>
        <w:tc>
          <w:tcPr>
            <w:tcW w:w="1531" w:type="dxa"/>
            <w:vAlign w:val="bottom"/>
          </w:tcPr>
          <w:p w14:paraId="5AFDAD9F"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372.5</w:t>
            </w:r>
          </w:p>
        </w:tc>
        <w:tc>
          <w:tcPr>
            <w:tcW w:w="1531" w:type="dxa"/>
            <w:vAlign w:val="bottom"/>
          </w:tcPr>
          <w:p w14:paraId="50FA8F84"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372.5</w:t>
            </w:r>
          </w:p>
        </w:tc>
      </w:tr>
      <w:tr w:rsidR="003B7DDF" w:rsidRPr="00505482" w14:paraId="29501FE4" w14:textId="77777777" w:rsidTr="007D3243">
        <w:trPr>
          <w:trHeight w:val="232"/>
        </w:trPr>
        <w:tc>
          <w:tcPr>
            <w:tcW w:w="0" w:type="auto"/>
            <w:vAlign w:val="bottom"/>
            <w:hideMark/>
          </w:tcPr>
          <w:p w14:paraId="118926C8" w14:textId="77777777" w:rsidR="003B7DDF" w:rsidRPr="00DB22BA" w:rsidRDefault="003B7DDF" w:rsidP="00055885">
            <w:pPr>
              <w:tabs>
                <w:tab w:val="left" w:leader="dot" w:pos="6804"/>
              </w:tabs>
              <w:ind w:right="-90"/>
              <w:rPr>
                <w:rFonts w:ascii="Calibri" w:eastAsia="MS Mincho" w:hAnsi="Calibri" w:cs="Calibri"/>
                <w:bCs/>
                <w:sz w:val="22"/>
                <w:szCs w:val="22"/>
              </w:rPr>
            </w:pPr>
            <w:r w:rsidRPr="00DB22BA">
              <w:rPr>
                <w:rFonts w:ascii="Calibri" w:hAnsi="Calibri" w:cs="Calibri"/>
                <w:bCs/>
                <w:sz w:val="22"/>
                <w:szCs w:val="22"/>
              </w:rPr>
              <w:t xml:space="preserve">- </w:t>
            </w:r>
            <w:r>
              <w:rPr>
                <w:rFonts w:ascii="Calibri" w:hAnsi="Calibri" w:cs="Calibri"/>
                <w:bCs/>
                <w:sz w:val="22"/>
                <w:szCs w:val="22"/>
              </w:rPr>
              <w:t>Interest rate swaps</w:t>
            </w:r>
          </w:p>
        </w:tc>
        <w:tc>
          <w:tcPr>
            <w:tcW w:w="1531" w:type="dxa"/>
            <w:tcBorders>
              <w:bottom w:val="single" w:sz="4" w:space="0" w:color="auto"/>
            </w:tcBorders>
            <w:shd w:val="clear" w:color="auto" w:fill="FFFF00"/>
            <w:vAlign w:val="bottom"/>
          </w:tcPr>
          <w:p w14:paraId="55A174BC" w14:textId="153295CC"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2.5</w:t>
            </w:r>
          </w:p>
        </w:tc>
        <w:tc>
          <w:tcPr>
            <w:tcW w:w="1531" w:type="dxa"/>
            <w:tcBorders>
              <w:bottom w:val="single" w:sz="4" w:space="0" w:color="auto"/>
            </w:tcBorders>
            <w:shd w:val="clear" w:color="auto" w:fill="FFFF00"/>
            <w:vAlign w:val="bottom"/>
          </w:tcPr>
          <w:p w14:paraId="2E084556" w14:textId="1D9BE60D"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2.5</w:t>
            </w:r>
          </w:p>
        </w:tc>
        <w:tc>
          <w:tcPr>
            <w:tcW w:w="1531" w:type="dxa"/>
            <w:tcBorders>
              <w:bottom w:val="single" w:sz="4" w:space="0" w:color="auto"/>
            </w:tcBorders>
            <w:vAlign w:val="bottom"/>
          </w:tcPr>
          <w:p w14:paraId="0E58C372"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6.0</w:t>
            </w:r>
          </w:p>
        </w:tc>
        <w:tc>
          <w:tcPr>
            <w:tcW w:w="1531" w:type="dxa"/>
            <w:tcBorders>
              <w:bottom w:val="single" w:sz="4" w:space="0" w:color="auto"/>
            </w:tcBorders>
            <w:vAlign w:val="bottom"/>
          </w:tcPr>
          <w:p w14:paraId="7E4E9FA9"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6.0</w:t>
            </w:r>
          </w:p>
        </w:tc>
      </w:tr>
      <w:tr w:rsidR="003B7DDF" w:rsidRPr="00505482" w14:paraId="1562DFAF" w14:textId="77777777" w:rsidTr="007D3243">
        <w:trPr>
          <w:trHeight w:val="232"/>
        </w:trPr>
        <w:tc>
          <w:tcPr>
            <w:tcW w:w="0" w:type="auto"/>
            <w:vAlign w:val="bottom"/>
            <w:hideMark/>
          </w:tcPr>
          <w:p w14:paraId="01E42D4C" w14:textId="77777777" w:rsidR="003B7DDF" w:rsidRPr="00DB22BA" w:rsidRDefault="003B7DDF" w:rsidP="00055885">
            <w:pPr>
              <w:tabs>
                <w:tab w:val="left" w:leader="dot" w:pos="6804"/>
              </w:tabs>
              <w:rPr>
                <w:rFonts w:ascii="Calibri" w:eastAsia="MS Mincho" w:hAnsi="Calibri" w:cs="Calibri"/>
                <w:sz w:val="22"/>
                <w:szCs w:val="22"/>
              </w:rPr>
            </w:pPr>
          </w:p>
        </w:tc>
        <w:tc>
          <w:tcPr>
            <w:tcW w:w="1531" w:type="dxa"/>
            <w:tcBorders>
              <w:top w:val="single" w:sz="4" w:space="0" w:color="auto"/>
            </w:tcBorders>
            <w:shd w:val="clear" w:color="auto" w:fill="FFFF00"/>
            <w:vAlign w:val="bottom"/>
          </w:tcPr>
          <w:p w14:paraId="29AA6A51" w14:textId="08F2CF2A"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146.5</w:t>
            </w:r>
          </w:p>
        </w:tc>
        <w:tc>
          <w:tcPr>
            <w:tcW w:w="1531" w:type="dxa"/>
            <w:tcBorders>
              <w:top w:val="single" w:sz="4" w:space="0" w:color="auto"/>
            </w:tcBorders>
            <w:shd w:val="clear" w:color="auto" w:fill="FFFF00"/>
            <w:vAlign w:val="bottom"/>
          </w:tcPr>
          <w:p w14:paraId="09BD77A1" w14:textId="3418E430"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146.5</w:t>
            </w:r>
          </w:p>
        </w:tc>
        <w:tc>
          <w:tcPr>
            <w:tcW w:w="1531" w:type="dxa"/>
            <w:tcBorders>
              <w:top w:val="single" w:sz="4" w:space="0" w:color="auto"/>
            </w:tcBorders>
            <w:vAlign w:val="bottom"/>
          </w:tcPr>
          <w:p w14:paraId="44A30992"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378.5</w:t>
            </w:r>
          </w:p>
        </w:tc>
        <w:tc>
          <w:tcPr>
            <w:tcW w:w="1531" w:type="dxa"/>
            <w:tcBorders>
              <w:top w:val="single" w:sz="4" w:space="0" w:color="auto"/>
            </w:tcBorders>
            <w:vAlign w:val="bottom"/>
          </w:tcPr>
          <w:p w14:paraId="3DB2F4B7"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378.5</w:t>
            </w:r>
          </w:p>
        </w:tc>
      </w:tr>
      <w:tr w:rsidR="003B7DDF" w:rsidRPr="00505482" w14:paraId="6FF5F451" w14:textId="77777777" w:rsidTr="007D3243">
        <w:trPr>
          <w:trHeight w:val="217"/>
        </w:trPr>
        <w:tc>
          <w:tcPr>
            <w:tcW w:w="0" w:type="auto"/>
            <w:vAlign w:val="bottom"/>
            <w:hideMark/>
          </w:tcPr>
          <w:p w14:paraId="0D2BEFD4" w14:textId="77777777" w:rsidR="003B7DDF" w:rsidRPr="00DB22BA" w:rsidRDefault="003B7DDF" w:rsidP="00055885">
            <w:pPr>
              <w:tabs>
                <w:tab w:val="left" w:leader="dot" w:pos="6804"/>
              </w:tabs>
              <w:rPr>
                <w:rFonts w:ascii="Calibri" w:eastAsia="MS Mincho" w:hAnsi="Calibri" w:cs="Calibri"/>
                <w:sz w:val="22"/>
                <w:szCs w:val="22"/>
              </w:rPr>
            </w:pPr>
            <w:r w:rsidRPr="00DB22BA">
              <w:rPr>
                <w:rFonts w:ascii="Calibri" w:hAnsi="Calibri" w:cs="Calibri"/>
                <w:b/>
                <w:bCs/>
                <w:sz w:val="22"/>
                <w:szCs w:val="22"/>
              </w:rPr>
              <w:t>Current financial assets</w:t>
            </w:r>
          </w:p>
        </w:tc>
        <w:tc>
          <w:tcPr>
            <w:tcW w:w="1531" w:type="dxa"/>
            <w:shd w:val="clear" w:color="auto" w:fill="FFFF00"/>
            <w:vAlign w:val="bottom"/>
          </w:tcPr>
          <w:p w14:paraId="699C54C8" w14:textId="77777777" w:rsidR="003B7DDF" w:rsidRPr="006D1E36" w:rsidRDefault="003B7DDF" w:rsidP="00055885">
            <w:pPr>
              <w:tabs>
                <w:tab w:val="decimal" w:pos="689"/>
              </w:tabs>
              <w:ind w:left="-116" w:right="34"/>
              <w:jc w:val="right"/>
              <w:rPr>
                <w:rFonts w:ascii="Calibri" w:eastAsia="MS Mincho" w:hAnsi="Calibri" w:cs="Calibri"/>
                <w:b/>
                <w:bCs/>
                <w:sz w:val="22"/>
                <w:szCs w:val="22"/>
              </w:rPr>
            </w:pPr>
          </w:p>
        </w:tc>
        <w:tc>
          <w:tcPr>
            <w:tcW w:w="1531" w:type="dxa"/>
            <w:shd w:val="clear" w:color="auto" w:fill="FFFF00"/>
            <w:vAlign w:val="bottom"/>
          </w:tcPr>
          <w:p w14:paraId="2D6D6269" w14:textId="77777777" w:rsidR="003B7DDF" w:rsidRPr="006D1E36" w:rsidRDefault="003B7DDF" w:rsidP="00055885">
            <w:pPr>
              <w:tabs>
                <w:tab w:val="decimal" w:pos="689"/>
              </w:tabs>
              <w:jc w:val="right"/>
              <w:rPr>
                <w:rFonts w:ascii="Calibri" w:eastAsia="MS Mincho" w:hAnsi="Calibri" w:cs="Calibri"/>
                <w:b/>
                <w:bCs/>
                <w:sz w:val="22"/>
                <w:szCs w:val="22"/>
              </w:rPr>
            </w:pPr>
          </w:p>
        </w:tc>
        <w:tc>
          <w:tcPr>
            <w:tcW w:w="1531" w:type="dxa"/>
            <w:vAlign w:val="bottom"/>
          </w:tcPr>
          <w:p w14:paraId="5865233F" w14:textId="77777777" w:rsidR="003B7DDF" w:rsidRPr="00593787" w:rsidRDefault="003B7DDF" w:rsidP="00055885">
            <w:pPr>
              <w:tabs>
                <w:tab w:val="decimal" w:pos="689"/>
              </w:tabs>
              <w:ind w:left="-116" w:right="34"/>
              <w:jc w:val="right"/>
              <w:rPr>
                <w:rFonts w:ascii="Calibri" w:eastAsia="MS Mincho" w:hAnsi="Calibri" w:cs="Calibri"/>
                <w:bCs/>
                <w:sz w:val="22"/>
                <w:szCs w:val="22"/>
              </w:rPr>
            </w:pPr>
          </w:p>
        </w:tc>
        <w:tc>
          <w:tcPr>
            <w:tcW w:w="1531" w:type="dxa"/>
            <w:vAlign w:val="bottom"/>
          </w:tcPr>
          <w:p w14:paraId="3B05FE34" w14:textId="77777777" w:rsidR="003B7DDF" w:rsidRPr="00593787" w:rsidRDefault="003B7DDF" w:rsidP="00055885">
            <w:pPr>
              <w:tabs>
                <w:tab w:val="decimal" w:pos="689"/>
              </w:tabs>
              <w:jc w:val="right"/>
              <w:rPr>
                <w:rFonts w:ascii="Calibri" w:eastAsia="MS Mincho" w:hAnsi="Calibri" w:cs="Calibri"/>
                <w:bCs/>
                <w:sz w:val="22"/>
                <w:szCs w:val="22"/>
              </w:rPr>
            </w:pPr>
          </w:p>
        </w:tc>
      </w:tr>
      <w:tr w:rsidR="003B7DDF" w:rsidRPr="00505482" w14:paraId="7857A703" w14:textId="77777777" w:rsidTr="007D3243">
        <w:trPr>
          <w:trHeight w:val="217"/>
        </w:trPr>
        <w:tc>
          <w:tcPr>
            <w:tcW w:w="0" w:type="auto"/>
            <w:vAlign w:val="bottom"/>
            <w:hideMark/>
          </w:tcPr>
          <w:p w14:paraId="49AAC90D" w14:textId="77777777" w:rsidR="003B7DDF" w:rsidRPr="00DB22BA" w:rsidRDefault="003B7DDF" w:rsidP="00055885">
            <w:pPr>
              <w:tabs>
                <w:tab w:val="left" w:leader="dot" w:pos="6804"/>
              </w:tabs>
              <w:rPr>
                <w:rFonts w:ascii="Calibri" w:eastAsia="MS Mincho" w:hAnsi="Calibri" w:cs="Calibri"/>
                <w:bCs/>
                <w:sz w:val="22"/>
                <w:szCs w:val="22"/>
              </w:rPr>
            </w:pPr>
            <w:r w:rsidRPr="00DB22BA">
              <w:rPr>
                <w:rFonts w:ascii="Calibri" w:hAnsi="Calibri" w:cs="Calibri"/>
                <w:bCs/>
                <w:sz w:val="22"/>
                <w:szCs w:val="22"/>
              </w:rPr>
              <w:t>Derivative financial instruments:</w:t>
            </w:r>
          </w:p>
        </w:tc>
        <w:tc>
          <w:tcPr>
            <w:tcW w:w="1531" w:type="dxa"/>
            <w:shd w:val="clear" w:color="auto" w:fill="FFFF00"/>
            <w:vAlign w:val="bottom"/>
          </w:tcPr>
          <w:p w14:paraId="37EFDADB" w14:textId="77777777" w:rsidR="003B7DDF" w:rsidRPr="006D1E36" w:rsidRDefault="003B7DDF" w:rsidP="00055885">
            <w:pPr>
              <w:tabs>
                <w:tab w:val="decimal" w:pos="689"/>
              </w:tabs>
              <w:ind w:left="-116" w:right="34"/>
              <w:jc w:val="right"/>
              <w:rPr>
                <w:rFonts w:ascii="Calibri" w:eastAsia="MS Mincho" w:hAnsi="Calibri" w:cs="Calibri"/>
                <w:b/>
                <w:bCs/>
                <w:sz w:val="22"/>
                <w:szCs w:val="22"/>
              </w:rPr>
            </w:pPr>
          </w:p>
        </w:tc>
        <w:tc>
          <w:tcPr>
            <w:tcW w:w="1531" w:type="dxa"/>
            <w:shd w:val="clear" w:color="auto" w:fill="FFFF00"/>
            <w:vAlign w:val="bottom"/>
          </w:tcPr>
          <w:p w14:paraId="07ABC2F4" w14:textId="77777777" w:rsidR="003B7DDF" w:rsidRPr="006D1E36" w:rsidRDefault="003B7DDF" w:rsidP="00055885">
            <w:pPr>
              <w:tabs>
                <w:tab w:val="decimal" w:pos="689"/>
              </w:tabs>
              <w:jc w:val="right"/>
              <w:rPr>
                <w:rFonts w:ascii="Calibri" w:eastAsia="MS Mincho" w:hAnsi="Calibri" w:cs="Calibri"/>
                <w:b/>
                <w:bCs/>
                <w:sz w:val="22"/>
                <w:szCs w:val="22"/>
              </w:rPr>
            </w:pPr>
          </w:p>
        </w:tc>
        <w:tc>
          <w:tcPr>
            <w:tcW w:w="1531" w:type="dxa"/>
            <w:vAlign w:val="bottom"/>
          </w:tcPr>
          <w:p w14:paraId="6362B160" w14:textId="77777777" w:rsidR="003B7DDF" w:rsidRPr="00593787" w:rsidRDefault="003B7DDF" w:rsidP="00055885">
            <w:pPr>
              <w:tabs>
                <w:tab w:val="decimal" w:pos="689"/>
              </w:tabs>
              <w:ind w:left="-116" w:right="34"/>
              <w:jc w:val="right"/>
              <w:rPr>
                <w:rFonts w:ascii="Calibri" w:eastAsia="MS Mincho" w:hAnsi="Calibri" w:cs="Calibri"/>
                <w:bCs/>
                <w:sz w:val="22"/>
                <w:szCs w:val="22"/>
              </w:rPr>
            </w:pPr>
          </w:p>
        </w:tc>
        <w:tc>
          <w:tcPr>
            <w:tcW w:w="1531" w:type="dxa"/>
            <w:vAlign w:val="bottom"/>
          </w:tcPr>
          <w:p w14:paraId="5C3BAC8E" w14:textId="77777777" w:rsidR="003B7DDF" w:rsidRPr="00593787" w:rsidRDefault="003B7DDF" w:rsidP="00055885">
            <w:pPr>
              <w:tabs>
                <w:tab w:val="decimal" w:pos="689"/>
              </w:tabs>
              <w:jc w:val="right"/>
              <w:rPr>
                <w:rFonts w:ascii="Calibri" w:eastAsia="MS Mincho" w:hAnsi="Calibri" w:cs="Calibri"/>
                <w:bCs/>
                <w:sz w:val="22"/>
                <w:szCs w:val="22"/>
              </w:rPr>
            </w:pPr>
          </w:p>
        </w:tc>
      </w:tr>
      <w:tr w:rsidR="003B7DDF" w:rsidRPr="00505482" w14:paraId="598CBA66" w14:textId="77777777" w:rsidTr="007D3243">
        <w:trPr>
          <w:trHeight w:val="217"/>
        </w:trPr>
        <w:tc>
          <w:tcPr>
            <w:tcW w:w="0" w:type="auto"/>
            <w:vAlign w:val="bottom"/>
            <w:hideMark/>
          </w:tcPr>
          <w:p w14:paraId="55AF1FB7" w14:textId="77777777" w:rsidR="003B7DDF" w:rsidRPr="00DB22BA" w:rsidRDefault="003B7DDF" w:rsidP="00055885">
            <w:pPr>
              <w:tabs>
                <w:tab w:val="left" w:leader="dot" w:pos="6804"/>
              </w:tabs>
              <w:rPr>
                <w:rFonts w:ascii="Calibri" w:eastAsia="MS Mincho" w:hAnsi="Calibri" w:cs="Calibri"/>
                <w:sz w:val="22"/>
                <w:szCs w:val="22"/>
              </w:rPr>
            </w:pPr>
            <w:r w:rsidRPr="00DB22BA">
              <w:rPr>
                <w:rFonts w:ascii="Calibri" w:hAnsi="Calibri" w:cs="Calibri"/>
                <w:bCs/>
                <w:sz w:val="22"/>
                <w:szCs w:val="22"/>
              </w:rPr>
              <w:t xml:space="preserve">- </w:t>
            </w:r>
            <w:r w:rsidRPr="00DB22BA">
              <w:rPr>
                <w:rFonts w:ascii="Calibri" w:hAnsi="Calibri" w:cs="Calibri"/>
                <w:sz w:val="22"/>
                <w:szCs w:val="22"/>
              </w:rPr>
              <w:t>U.S. dollar currency forward contracts</w:t>
            </w:r>
          </w:p>
        </w:tc>
        <w:tc>
          <w:tcPr>
            <w:tcW w:w="1531" w:type="dxa"/>
            <w:shd w:val="clear" w:color="auto" w:fill="FFFF00"/>
            <w:vAlign w:val="bottom"/>
          </w:tcPr>
          <w:p w14:paraId="3A60929C" w14:textId="5AB2DC72"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87.2</w:t>
            </w:r>
          </w:p>
        </w:tc>
        <w:tc>
          <w:tcPr>
            <w:tcW w:w="1531" w:type="dxa"/>
            <w:shd w:val="clear" w:color="auto" w:fill="FFFF00"/>
            <w:vAlign w:val="bottom"/>
          </w:tcPr>
          <w:p w14:paraId="25E5506D" w14:textId="7E462897"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87.2</w:t>
            </w:r>
          </w:p>
        </w:tc>
        <w:tc>
          <w:tcPr>
            <w:tcW w:w="1531" w:type="dxa"/>
            <w:vAlign w:val="bottom"/>
          </w:tcPr>
          <w:p w14:paraId="694B32B2"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291.2</w:t>
            </w:r>
          </w:p>
        </w:tc>
        <w:tc>
          <w:tcPr>
            <w:tcW w:w="1531" w:type="dxa"/>
            <w:vAlign w:val="bottom"/>
          </w:tcPr>
          <w:p w14:paraId="04E4D359"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291.2</w:t>
            </w:r>
          </w:p>
        </w:tc>
      </w:tr>
      <w:tr w:rsidR="003B7DDF" w:rsidRPr="00505482" w14:paraId="1423903C" w14:textId="77777777" w:rsidTr="007D3243">
        <w:trPr>
          <w:trHeight w:val="217"/>
        </w:trPr>
        <w:tc>
          <w:tcPr>
            <w:tcW w:w="0" w:type="auto"/>
            <w:vAlign w:val="bottom"/>
          </w:tcPr>
          <w:p w14:paraId="06D7B652" w14:textId="77777777" w:rsidR="003B7DDF" w:rsidRPr="00DB22BA" w:rsidRDefault="003B7DDF" w:rsidP="00055885">
            <w:pPr>
              <w:tabs>
                <w:tab w:val="left" w:leader="dot" w:pos="6804"/>
              </w:tabs>
              <w:rPr>
                <w:rFonts w:ascii="Calibri" w:hAnsi="Calibri" w:cs="Calibri"/>
                <w:bCs/>
                <w:sz w:val="22"/>
                <w:szCs w:val="22"/>
              </w:rPr>
            </w:pPr>
            <w:r w:rsidRPr="00DB22BA">
              <w:rPr>
                <w:rFonts w:ascii="Calibri" w:hAnsi="Calibri" w:cs="Calibri"/>
                <w:bCs/>
                <w:sz w:val="22"/>
                <w:szCs w:val="22"/>
              </w:rPr>
              <w:t>- Interest rate swaps</w:t>
            </w:r>
          </w:p>
        </w:tc>
        <w:tc>
          <w:tcPr>
            <w:tcW w:w="1531" w:type="dxa"/>
            <w:shd w:val="clear" w:color="auto" w:fill="FFFF00"/>
            <w:vAlign w:val="bottom"/>
          </w:tcPr>
          <w:p w14:paraId="1C7A2469" w14:textId="2C2D0CB2"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1.1</w:t>
            </w:r>
          </w:p>
        </w:tc>
        <w:tc>
          <w:tcPr>
            <w:tcW w:w="1531" w:type="dxa"/>
            <w:shd w:val="clear" w:color="auto" w:fill="FFFF00"/>
            <w:vAlign w:val="bottom"/>
          </w:tcPr>
          <w:p w14:paraId="14D3819A" w14:textId="3F1DFEE2"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1.1</w:t>
            </w:r>
          </w:p>
        </w:tc>
        <w:tc>
          <w:tcPr>
            <w:tcW w:w="1531" w:type="dxa"/>
            <w:vAlign w:val="bottom"/>
          </w:tcPr>
          <w:p w14:paraId="111F9FEE"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2.0</w:t>
            </w:r>
          </w:p>
        </w:tc>
        <w:tc>
          <w:tcPr>
            <w:tcW w:w="1531" w:type="dxa"/>
            <w:vAlign w:val="bottom"/>
          </w:tcPr>
          <w:p w14:paraId="05471CAB"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2.0</w:t>
            </w:r>
          </w:p>
        </w:tc>
      </w:tr>
      <w:tr w:rsidR="003B7DDF" w:rsidRPr="00505482" w14:paraId="6D727079" w14:textId="77777777" w:rsidTr="007D3243">
        <w:trPr>
          <w:trHeight w:val="217"/>
        </w:trPr>
        <w:tc>
          <w:tcPr>
            <w:tcW w:w="0" w:type="auto"/>
            <w:vAlign w:val="bottom"/>
          </w:tcPr>
          <w:p w14:paraId="3361058B" w14:textId="77777777" w:rsidR="003B7DDF" w:rsidRPr="00DB22BA" w:rsidRDefault="003B7DDF" w:rsidP="00055885">
            <w:pPr>
              <w:tabs>
                <w:tab w:val="left" w:leader="dot" w:pos="6804"/>
              </w:tabs>
              <w:rPr>
                <w:rFonts w:ascii="Calibri" w:hAnsi="Calibri" w:cs="Calibri"/>
                <w:bCs/>
                <w:sz w:val="22"/>
                <w:szCs w:val="22"/>
              </w:rPr>
            </w:pPr>
            <w:r w:rsidRPr="00DB22BA">
              <w:rPr>
                <w:rFonts w:ascii="Calibri" w:hAnsi="Calibri" w:cs="Calibri"/>
                <w:bCs/>
                <w:sz w:val="22"/>
                <w:szCs w:val="22"/>
              </w:rPr>
              <w:t xml:space="preserve">- </w:t>
            </w:r>
            <w:r>
              <w:rPr>
                <w:rFonts w:ascii="Calibri" w:hAnsi="Calibri" w:cs="Calibri"/>
                <w:bCs/>
                <w:sz w:val="22"/>
                <w:szCs w:val="22"/>
              </w:rPr>
              <w:t>EUA Assets</w:t>
            </w:r>
          </w:p>
        </w:tc>
        <w:tc>
          <w:tcPr>
            <w:tcW w:w="1531" w:type="dxa"/>
            <w:shd w:val="clear" w:color="auto" w:fill="FFFF00"/>
            <w:vAlign w:val="bottom"/>
          </w:tcPr>
          <w:p w14:paraId="2C1E84BB" w14:textId="05ACE04E" w:rsidR="003B7DDF"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7.1</w:t>
            </w:r>
          </w:p>
        </w:tc>
        <w:tc>
          <w:tcPr>
            <w:tcW w:w="1531" w:type="dxa"/>
            <w:shd w:val="clear" w:color="auto" w:fill="FFFF00"/>
            <w:vAlign w:val="bottom"/>
          </w:tcPr>
          <w:p w14:paraId="29D6CE9B" w14:textId="79F2CAD0" w:rsidR="003B7DDF"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7.1</w:t>
            </w:r>
          </w:p>
        </w:tc>
        <w:tc>
          <w:tcPr>
            <w:tcW w:w="1531" w:type="dxa"/>
            <w:vAlign w:val="bottom"/>
          </w:tcPr>
          <w:p w14:paraId="30C0CD87"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Pr>
                <w:rFonts w:ascii="Calibri" w:eastAsia="MS Mincho" w:hAnsi="Calibri" w:cs="Calibri"/>
                <w:bCs/>
                <w:sz w:val="22"/>
                <w:szCs w:val="22"/>
              </w:rPr>
              <w:t>-</w:t>
            </w:r>
          </w:p>
        </w:tc>
        <w:tc>
          <w:tcPr>
            <w:tcW w:w="1531" w:type="dxa"/>
            <w:vAlign w:val="bottom"/>
          </w:tcPr>
          <w:p w14:paraId="6F9976E0"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Pr>
                <w:rFonts w:ascii="Calibri" w:eastAsia="MS Mincho" w:hAnsi="Calibri" w:cs="Calibri"/>
                <w:bCs/>
                <w:sz w:val="22"/>
                <w:szCs w:val="22"/>
              </w:rPr>
              <w:t>-</w:t>
            </w:r>
          </w:p>
        </w:tc>
      </w:tr>
      <w:tr w:rsidR="003B7DDF" w:rsidRPr="00505482" w14:paraId="528C49D4" w14:textId="77777777" w:rsidTr="007D3243">
        <w:trPr>
          <w:trHeight w:val="217"/>
        </w:trPr>
        <w:tc>
          <w:tcPr>
            <w:tcW w:w="0" w:type="auto"/>
            <w:vAlign w:val="bottom"/>
          </w:tcPr>
          <w:p w14:paraId="5A51D0F6" w14:textId="77777777" w:rsidR="003B7DDF" w:rsidRPr="00DB22BA" w:rsidRDefault="003B7DDF" w:rsidP="00055885">
            <w:pPr>
              <w:tabs>
                <w:tab w:val="left" w:leader="dot" w:pos="6804"/>
              </w:tabs>
              <w:rPr>
                <w:rFonts w:ascii="Calibri" w:eastAsia="MS Mincho" w:hAnsi="Calibri" w:cs="Calibri"/>
                <w:sz w:val="22"/>
                <w:szCs w:val="22"/>
              </w:rPr>
            </w:pPr>
          </w:p>
        </w:tc>
        <w:tc>
          <w:tcPr>
            <w:tcW w:w="1531" w:type="dxa"/>
            <w:tcBorders>
              <w:top w:val="single" w:sz="4" w:space="0" w:color="auto"/>
            </w:tcBorders>
            <w:shd w:val="clear" w:color="auto" w:fill="FFFF00"/>
            <w:vAlign w:val="bottom"/>
          </w:tcPr>
          <w:p w14:paraId="0FCA42B7" w14:textId="68C1E906"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95.4</w:t>
            </w:r>
          </w:p>
        </w:tc>
        <w:tc>
          <w:tcPr>
            <w:tcW w:w="1531" w:type="dxa"/>
            <w:tcBorders>
              <w:top w:val="single" w:sz="4" w:space="0" w:color="auto"/>
            </w:tcBorders>
            <w:shd w:val="clear" w:color="auto" w:fill="FFFF00"/>
            <w:vAlign w:val="bottom"/>
          </w:tcPr>
          <w:p w14:paraId="5D6E15AF" w14:textId="7EB69FBA"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95.4</w:t>
            </w:r>
          </w:p>
        </w:tc>
        <w:tc>
          <w:tcPr>
            <w:tcW w:w="1531" w:type="dxa"/>
            <w:tcBorders>
              <w:top w:val="single" w:sz="4" w:space="0" w:color="auto"/>
            </w:tcBorders>
            <w:vAlign w:val="bottom"/>
          </w:tcPr>
          <w:p w14:paraId="6342C50C"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293.2</w:t>
            </w:r>
          </w:p>
        </w:tc>
        <w:tc>
          <w:tcPr>
            <w:tcW w:w="1531" w:type="dxa"/>
            <w:tcBorders>
              <w:top w:val="single" w:sz="4" w:space="0" w:color="auto"/>
            </w:tcBorders>
            <w:vAlign w:val="bottom"/>
          </w:tcPr>
          <w:p w14:paraId="138E3B79"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293.2</w:t>
            </w:r>
          </w:p>
        </w:tc>
      </w:tr>
      <w:tr w:rsidR="003B7DDF" w:rsidRPr="00505482" w14:paraId="4433AC4D" w14:textId="77777777" w:rsidTr="007D3243">
        <w:trPr>
          <w:trHeight w:val="217"/>
        </w:trPr>
        <w:tc>
          <w:tcPr>
            <w:tcW w:w="0" w:type="auto"/>
            <w:vAlign w:val="bottom"/>
            <w:hideMark/>
          </w:tcPr>
          <w:p w14:paraId="6AF91EAF" w14:textId="77777777" w:rsidR="003B7DDF" w:rsidRPr="00DB22BA" w:rsidRDefault="003B7DDF" w:rsidP="00055885">
            <w:pPr>
              <w:tabs>
                <w:tab w:val="left" w:leader="dot" w:pos="6804"/>
              </w:tabs>
              <w:rPr>
                <w:rFonts w:ascii="Calibri" w:eastAsia="MS Mincho" w:hAnsi="Calibri" w:cs="Calibri"/>
                <w:sz w:val="22"/>
                <w:szCs w:val="22"/>
              </w:rPr>
            </w:pPr>
            <w:r w:rsidRPr="00DB22BA">
              <w:rPr>
                <w:rFonts w:ascii="Calibri" w:hAnsi="Calibri" w:cs="Calibri"/>
                <w:sz w:val="22"/>
                <w:szCs w:val="22"/>
              </w:rPr>
              <w:t>Trade receivables*</w:t>
            </w:r>
          </w:p>
        </w:tc>
        <w:tc>
          <w:tcPr>
            <w:tcW w:w="1531" w:type="dxa"/>
            <w:shd w:val="clear" w:color="auto" w:fill="FFFF00"/>
            <w:vAlign w:val="bottom"/>
          </w:tcPr>
          <w:p w14:paraId="721B0327" w14:textId="32F3B0F9"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32.7</w:t>
            </w:r>
          </w:p>
        </w:tc>
        <w:tc>
          <w:tcPr>
            <w:tcW w:w="1531" w:type="dxa"/>
            <w:shd w:val="clear" w:color="auto" w:fill="FFFF00"/>
            <w:vAlign w:val="bottom"/>
          </w:tcPr>
          <w:p w14:paraId="1154D872" w14:textId="77777777" w:rsidR="003B7DDF" w:rsidRPr="006D1E36" w:rsidRDefault="003B7DDF" w:rsidP="00055885">
            <w:pPr>
              <w:tabs>
                <w:tab w:val="decimal" w:pos="689"/>
              </w:tabs>
              <w:jc w:val="right"/>
              <w:rPr>
                <w:rFonts w:ascii="Calibri" w:eastAsia="MS Mincho" w:hAnsi="Calibri" w:cs="Calibri"/>
                <w:b/>
                <w:bCs/>
                <w:sz w:val="22"/>
                <w:szCs w:val="22"/>
              </w:rPr>
            </w:pPr>
          </w:p>
        </w:tc>
        <w:tc>
          <w:tcPr>
            <w:tcW w:w="1531" w:type="dxa"/>
            <w:vAlign w:val="bottom"/>
          </w:tcPr>
          <w:p w14:paraId="7F0048D4"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67.5</w:t>
            </w:r>
          </w:p>
        </w:tc>
        <w:tc>
          <w:tcPr>
            <w:tcW w:w="1531" w:type="dxa"/>
            <w:vAlign w:val="bottom"/>
          </w:tcPr>
          <w:p w14:paraId="48F6EECB" w14:textId="77777777" w:rsidR="003B7DDF" w:rsidRPr="00593787" w:rsidRDefault="003B7DDF" w:rsidP="00055885">
            <w:pPr>
              <w:tabs>
                <w:tab w:val="decimal" w:pos="689"/>
              </w:tabs>
              <w:jc w:val="right"/>
              <w:rPr>
                <w:rFonts w:ascii="Calibri" w:eastAsia="MS Mincho" w:hAnsi="Calibri" w:cs="Calibri"/>
                <w:bCs/>
                <w:sz w:val="22"/>
                <w:szCs w:val="22"/>
              </w:rPr>
            </w:pPr>
          </w:p>
        </w:tc>
      </w:tr>
      <w:tr w:rsidR="003B7DDF" w:rsidRPr="00505482" w14:paraId="45AF1A62" w14:textId="77777777" w:rsidTr="007D3243">
        <w:trPr>
          <w:trHeight w:val="217"/>
        </w:trPr>
        <w:tc>
          <w:tcPr>
            <w:tcW w:w="0" w:type="auto"/>
            <w:vAlign w:val="bottom"/>
            <w:hideMark/>
          </w:tcPr>
          <w:p w14:paraId="0D65D58D" w14:textId="77777777" w:rsidR="003B7DDF" w:rsidRPr="00DB22BA" w:rsidRDefault="003B7DDF" w:rsidP="00055885">
            <w:pPr>
              <w:tabs>
                <w:tab w:val="left" w:leader="dot" w:pos="6804"/>
              </w:tabs>
              <w:rPr>
                <w:rFonts w:ascii="Calibri" w:eastAsia="MS Mincho" w:hAnsi="Calibri" w:cs="Calibri"/>
                <w:sz w:val="22"/>
                <w:szCs w:val="22"/>
              </w:rPr>
            </w:pPr>
            <w:r w:rsidRPr="00DB22BA">
              <w:rPr>
                <w:rFonts w:ascii="Calibri" w:hAnsi="Calibri" w:cs="Calibri"/>
                <w:sz w:val="22"/>
                <w:szCs w:val="22"/>
              </w:rPr>
              <w:t xml:space="preserve">Cash and </w:t>
            </w:r>
            <w:r w:rsidRPr="00DB22BA">
              <w:rPr>
                <w:rFonts w:ascii="Calibri" w:hAnsi="Calibri" w:cs="Calibri"/>
                <w:bCs/>
                <w:sz w:val="22"/>
                <w:szCs w:val="22"/>
              </w:rPr>
              <w:t>cash</w:t>
            </w:r>
            <w:r w:rsidRPr="00DB22BA">
              <w:rPr>
                <w:rFonts w:ascii="Calibri" w:hAnsi="Calibri" w:cs="Calibri"/>
                <w:sz w:val="22"/>
                <w:szCs w:val="22"/>
              </w:rPr>
              <w:t xml:space="preserve"> equivalents*</w:t>
            </w:r>
          </w:p>
        </w:tc>
        <w:tc>
          <w:tcPr>
            <w:tcW w:w="1531" w:type="dxa"/>
            <w:shd w:val="clear" w:color="auto" w:fill="FFFF00"/>
            <w:vAlign w:val="bottom"/>
          </w:tcPr>
          <w:p w14:paraId="16BE31F4" w14:textId="7E8D5417"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2,952.1</w:t>
            </w:r>
          </w:p>
        </w:tc>
        <w:tc>
          <w:tcPr>
            <w:tcW w:w="1531" w:type="dxa"/>
            <w:shd w:val="clear" w:color="auto" w:fill="FFFF00"/>
            <w:vAlign w:val="bottom"/>
          </w:tcPr>
          <w:p w14:paraId="198F2C2B" w14:textId="77777777" w:rsidR="003B7DDF" w:rsidRPr="006D1E36" w:rsidRDefault="003B7DDF" w:rsidP="00055885">
            <w:pPr>
              <w:tabs>
                <w:tab w:val="decimal" w:pos="689"/>
              </w:tabs>
              <w:jc w:val="right"/>
              <w:rPr>
                <w:rFonts w:ascii="Calibri" w:eastAsia="MS Mincho" w:hAnsi="Calibri" w:cs="Calibri"/>
                <w:b/>
                <w:bCs/>
                <w:sz w:val="22"/>
                <w:szCs w:val="22"/>
              </w:rPr>
            </w:pPr>
          </w:p>
        </w:tc>
        <w:tc>
          <w:tcPr>
            <w:tcW w:w="1531" w:type="dxa"/>
            <w:vAlign w:val="bottom"/>
          </w:tcPr>
          <w:p w14:paraId="249E2EE3"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2,566.4</w:t>
            </w:r>
          </w:p>
        </w:tc>
        <w:tc>
          <w:tcPr>
            <w:tcW w:w="1531" w:type="dxa"/>
            <w:vAlign w:val="bottom"/>
          </w:tcPr>
          <w:p w14:paraId="637975F5" w14:textId="77777777" w:rsidR="003B7DDF" w:rsidRPr="00593787" w:rsidRDefault="003B7DDF" w:rsidP="00055885">
            <w:pPr>
              <w:tabs>
                <w:tab w:val="decimal" w:pos="689"/>
              </w:tabs>
              <w:jc w:val="right"/>
              <w:rPr>
                <w:rFonts w:ascii="Calibri" w:eastAsia="MS Mincho" w:hAnsi="Calibri" w:cs="Calibri"/>
                <w:bCs/>
                <w:sz w:val="22"/>
                <w:szCs w:val="22"/>
              </w:rPr>
            </w:pPr>
          </w:p>
        </w:tc>
      </w:tr>
      <w:tr w:rsidR="003B7DDF" w:rsidRPr="00505482" w14:paraId="496DABBA" w14:textId="77777777" w:rsidTr="007D3243">
        <w:trPr>
          <w:trHeight w:val="232"/>
        </w:trPr>
        <w:tc>
          <w:tcPr>
            <w:tcW w:w="0" w:type="auto"/>
            <w:vAlign w:val="bottom"/>
            <w:hideMark/>
          </w:tcPr>
          <w:p w14:paraId="69940E65" w14:textId="77777777" w:rsidR="003B7DDF" w:rsidRPr="00DB22BA" w:rsidRDefault="003B7DDF" w:rsidP="00055885">
            <w:pPr>
              <w:tabs>
                <w:tab w:val="left" w:leader="dot" w:pos="6804"/>
              </w:tabs>
              <w:rPr>
                <w:rFonts w:ascii="Calibri" w:eastAsia="MS Mincho" w:hAnsi="Calibri" w:cs="Calibri"/>
                <w:sz w:val="22"/>
                <w:szCs w:val="22"/>
              </w:rPr>
            </w:pPr>
            <w:r w:rsidRPr="00DB22BA">
              <w:rPr>
                <w:rFonts w:ascii="Calibri" w:hAnsi="Calibri" w:cs="Calibri"/>
                <w:sz w:val="22"/>
                <w:szCs w:val="22"/>
              </w:rPr>
              <w:t>Financial asset: cash &gt; 3 months*</w:t>
            </w:r>
          </w:p>
        </w:tc>
        <w:tc>
          <w:tcPr>
            <w:tcW w:w="1531" w:type="dxa"/>
            <w:shd w:val="clear" w:color="auto" w:fill="FFFF00"/>
            <w:vAlign w:val="bottom"/>
          </w:tcPr>
          <w:p w14:paraId="6FF92F00" w14:textId="378C9FE0"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1,516.1</w:t>
            </w:r>
          </w:p>
        </w:tc>
        <w:tc>
          <w:tcPr>
            <w:tcW w:w="1531" w:type="dxa"/>
            <w:shd w:val="clear" w:color="auto" w:fill="FFFF00"/>
            <w:vAlign w:val="bottom"/>
          </w:tcPr>
          <w:p w14:paraId="458D0BEF" w14:textId="77777777" w:rsidR="003B7DDF" w:rsidRPr="006D1E36" w:rsidRDefault="003B7DDF" w:rsidP="00055885">
            <w:pPr>
              <w:tabs>
                <w:tab w:val="decimal" w:pos="689"/>
              </w:tabs>
              <w:jc w:val="right"/>
              <w:rPr>
                <w:rFonts w:ascii="Calibri" w:eastAsia="MS Mincho" w:hAnsi="Calibri" w:cs="Calibri"/>
                <w:b/>
                <w:bCs/>
                <w:sz w:val="22"/>
                <w:szCs w:val="22"/>
              </w:rPr>
            </w:pPr>
          </w:p>
        </w:tc>
        <w:tc>
          <w:tcPr>
            <w:tcW w:w="1531" w:type="dxa"/>
            <w:vAlign w:val="bottom"/>
          </w:tcPr>
          <w:p w14:paraId="4F0FB042"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1,207.2</w:t>
            </w:r>
          </w:p>
        </w:tc>
        <w:tc>
          <w:tcPr>
            <w:tcW w:w="1531" w:type="dxa"/>
            <w:vAlign w:val="bottom"/>
          </w:tcPr>
          <w:p w14:paraId="27E9A50D" w14:textId="77777777" w:rsidR="003B7DDF" w:rsidRPr="00593787" w:rsidRDefault="003B7DDF" w:rsidP="00055885">
            <w:pPr>
              <w:tabs>
                <w:tab w:val="decimal" w:pos="689"/>
              </w:tabs>
              <w:jc w:val="right"/>
              <w:rPr>
                <w:rFonts w:ascii="Calibri" w:eastAsia="MS Mincho" w:hAnsi="Calibri" w:cs="Calibri"/>
                <w:bCs/>
                <w:sz w:val="22"/>
                <w:szCs w:val="22"/>
              </w:rPr>
            </w:pPr>
          </w:p>
        </w:tc>
      </w:tr>
      <w:tr w:rsidR="003B7DDF" w:rsidRPr="00505482" w14:paraId="5017C66B" w14:textId="77777777" w:rsidTr="007D3243">
        <w:trPr>
          <w:trHeight w:val="232"/>
        </w:trPr>
        <w:tc>
          <w:tcPr>
            <w:tcW w:w="0" w:type="auto"/>
            <w:vAlign w:val="bottom"/>
            <w:hideMark/>
          </w:tcPr>
          <w:p w14:paraId="0F61EDC4" w14:textId="77777777" w:rsidR="003B7DDF" w:rsidRPr="00DB22BA" w:rsidRDefault="003B7DDF" w:rsidP="00055885">
            <w:pPr>
              <w:tabs>
                <w:tab w:val="left" w:leader="dot" w:pos="6804"/>
              </w:tabs>
              <w:rPr>
                <w:rFonts w:ascii="Calibri" w:eastAsia="MS Mincho" w:hAnsi="Calibri" w:cs="Calibri"/>
                <w:sz w:val="22"/>
                <w:szCs w:val="22"/>
              </w:rPr>
            </w:pPr>
            <w:r w:rsidRPr="00DB22BA">
              <w:rPr>
                <w:rFonts w:ascii="Calibri" w:hAnsi="Calibri" w:cs="Calibri"/>
                <w:sz w:val="22"/>
                <w:szCs w:val="22"/>
              </w:rPr>
              <w:t>Restricted cash*</w:t>
            </w:r>
          </w:p>
        </w:tc>
        <w:tc>
          <w:tcPr>
            <w:tcW w:w="1531" w:type="dxa"/>
            <w:shd w:val="clear" w:color="auto" w:fill="FFFF00"/>
            <w:vAlign w:val="bottom"/>
          </w:tcPr>
          <w:p w14:paraId="3AEB40F6" w14:textId="32F1FAD8"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34.1</w:t>
            </w:r>
          </w:p>
        </w:tc>
        <w:tc>
          <w:tcPr>
            <w:tcW w:w="1531" w:type="dxa"/>
            <w:shd w:val="clear" w:color="auto" w:fill="FFFF00"/>
            <w:vAlign w:val="bottom"/>
          </w:tcPr>
          <w:p w14:paraId="6E27DF27" w14:textId="77777777" w:rsidR="003B7DDF" w:rsidRPr="006D1E36" w:rsidRDefault="003B7DDF" w:rsidP="00055885">
            <w:pPr>
              <w:tabs>
                <w:tab w:val="decimal" w:pos="689"/>
              </w:tabs>
              <w:jc w:val="right"/>
              <w:rPr>
                <w:rFonts w:ascii="Calibri" w:eastAsia="MS Mincho" w:hAnsi="Calibri" w:cs="Calibri"/>
                <w:b/>
                <w:bCs/>
                <w:sz w:val="22"/>
                <w:szCs w:val="22"/>
              </w:rPr>
            </w:pPr>
          </w:p>
        </w:tc>
        <w:tc>
          <w:tcPr>
            <w:tcW w:w="1531" w:type="dxa"/>
            <w:vAlign w:val="bottom"/>
          </w:tcPr>
          <w:p w14:paraId="0AA8C771"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34.4</w:t>
            </w:r>
          </w:p>
        </w:tc>
        <w:tc>
          <w:tcPr>
            <w:tcW w:w="1531" w:type="dxa"/>
            <w:vAlign w:val="bottom"/>
          </w:tcPr>
          <w:p w14:paraId="07F7FFAA" w14:textId="77777777" w:rsidR="003B7DDF" w:rsidRPr="00593787" w:rsidRDefault="003B7DDF" w:rsidP="00055885">
            <w:pPr>
              <w:tabs>
                <w:tab w:val="decimal" w:pos="689"/>
              </w:tabs>
              <w:jc w:val="right"/>
              <w:rPr>
                <w:rFonts w:ascii="Calibri" w:eastAsia="MS Mincho" w:hAnsi="Calibri" w:cs="Calibri"/>
                <w:bCs/>
                <w:sz w:val="22"/>
                <w:szCs w:val="22"/>
              </w:rPr>
            </w:pPr>
          </w:p>
        </w:tc>
      </w:tr>
      <w:tr w:rsidR="003B7DDF" w:rsidRPr="00505482" w14:paraId="5AE4C9F2" w14:textId="77777777" w:rsidTr="007D3243">
        <w:trPr>
          <w:trHeight w:val="217"/>
        </w:trPr>
        <w:tc>
          <w:tcPr>
            <w:tcW w:w="0" w:type="auto"/>
            <w:vAlign w:val="bottom"/>
            <w:hideMark/>
          </w:tcPr>
          <w:p w14:paraId="3B23D069" w14:textId="77777777" w:rsidR="003B7DDF" w:rsidRPr="00DB22BA" w:rsidRDefault="003B7DDF" w:rsidP="00055885">
            <w:pPr>
              <w:tabs>
                <w:tab w:val="left" w:leader="dot" w:pos="6804"/>
              </w:tabs>
              <w:rPr>
                <w:rFonts w:ascii="Calibri" w:eastAsia="MS Mincho" w:hAnsi="Calibri" w:cs="Calibri"/>
                <w:sz w:val="22"/>
                <w:szCs w:val="22"/>
              </w:rPr>
            </w:pPr>
            <w:r w:rsidRPr="00DB22BA">
              <w:rPr>
                <w:rFonts w:ascii="Calibri" w:hAnsi="Calibri" w:cs="Calibri"/>
                <w:sz w:val="22"/>
                <w:szCs w:val="22"/>
              </w:rPr>
              <w:t>Other assets*</w:t>
            </w:r>
          </w:p>
        </w:tc>
        <w:tc>
          <w:tcPr>
            <w:tcW w:w="1531" w:type="dxa"/>
            <w:tcBorders>
              <w:bottom w:val="single" w:sz="4" w:space="0" w:color="auto"/>
            </w:tcBorders>
            <w:shd w:val="clear" w:color="auto" w:fill="FFFF00"/>
            <w:vAlign w:val="bottom"/>
          </w:tcPr>
          <w:p w14:paraId="67FF284E" w14:textId="33D8DA34"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0.1</w:t>
            </w:r>
          </w:p>
        </w:tc>
        <w:tc>
          <w:tcPr>
            <w:tcW w:w="1531" w:type="dxa"/>
            <w:tcBorders>
              <w:bottom w:val="single" w:sz="4" w:space="0" w:color="auto"/>
            </w:tcBorders>
            <w:shd w:val="clear" w:color="auto" w:fill="FFFF00"/>
            <w:vAlign w:val="bottom"/>
          </w:tcPr>
          <w:p w14:paraId="42BA2236" w14:textId="77777777" w:rsidR="003B7DDF" w:rsidRPr="006D1E36" w:rsidRDefault="003B7DDF" w:rsidP="00055885">
            <w:pPr>
              <w:tabs>
                <w:tab w:val="decimal" w:pos="689"/>
              </w:tabs>
              <w:jc w:val="right"/>
              <w:rPr>
                <w:rFonts w:ascii="Calibri" w:eastAsia="MS Mincho" w:hAnsi="Calibri" w:cs="Calibri"/>
                <w:b/>
                <w:bCs/>
                <w:sz w:val="22"/>
                <w:szCs w:val="22"/>
              </w:rPr>
            </w:pPr>
          </w:p>
        </w:tc>
        <w:tc>
          <w:tcPr>
            <w:tcW w:w="1531" w:type="dxa"/>
            <w:tcBorders>
              <w:bottom w:val="single" w:sz="4" w:space="0" w:color="auto"/>
            </w:tcBorders>
            <w:vAlign w:val="bottom"/>
          </w:tcPr>
          <w:p w14:paraId="79BF3E57"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2.3</w:t>
            </w:r>
          </w:p>
        </w:tc>
        <w:tc>
          <w:tcPr>
            <w:tcW w:w="1531" w:type="dxa"/>
            <w:tcBorders>
              <w:bottom w:val="single" w:sz="4" w:space="0" w:color="auto"/>
            </w:tcBorders>
            <w:vAlign w:val="bottom"/>
          </w:tcPr>
          <w:p w14:paraId="38C78FCF" w14:textId="77777777" w:rsidR="003B7DDF" w:rsidRPr="00593787" w:rsidRDefault="003B7DDF" w:rsidP="00055885">
            <w:pPr>
              <w:tabs>
                <w:tab w:val="decimal" w:pos="689"/>
              </w:tabs>
              <w:jc w:val="right"/>
              <w:rPr>
                <w:rFonts w:ascii="Calibri" w:eastAsia="MS Mincho" w:hAnsi="Calibri" w:cs="Calibri"/>
                <w:bCs/>
                <w:sz w:val="22"/>
                <w:szCs w:val="22"/>
              </w:rPr>
            </w:pPr>
          </w:p>
        </w:tc>
      </w:tr>
      <w:tr w:rsidR="003B7DDF" w:rsidRPr="00505482" w14:paraId="21449A8B" w14:textId="77777777" w:rsidTr="007D3243">
        <w:trPr>
          <w:trHeight w:val="217"/>
        </w:trPr>
        <w:tc>
          <w:tcPr>
            <w:tcW w:w="0" w:type="auto"/>
            <w:vAlign w:val="bottom"/>
          </w:tcPr>
          <w:p w14:paraId="16242946" w14:textId="77777777" w:rsidR="003B7DDF" w:rsidRPr="00DB22BA" w:rsidRDefault="003B7DDF" w:rsidP="00055885">
            <w:pPr>
              <w:tabs>
                <w:tab w:val="left" w:leader="dot" w:pos="6804"/>
              </w:tabs>
              <w:rPr>
                <w:rFonts w:ascii="Calibri" w:eastAsia="MS Mincho" w:hAnsi="Calibri" w:cs="Calibri"/>
                <w:sz w:val="22"/>
                <w:szCs w:val="22"/>
              </w:rPr>
            </w:pPr>
          </w:p>
        </w:tc>
        <w:tc>
          <w:tcPr>
            <w:tcW w:w="1531" w:type="dxa"/>
            <w:tcBorders>
              <w:top w:val="single" w:sz="4" w:space="0" w:color="auto"/>
              <w:bottom w:val="single" w:sz="4" w:space="0" w:color="auto"/>
            </w:tcBorders>
            <w:shd w:val="clear" w:color="auto" w:fill="FFFF00"/>
            <w:vAlign w:val="bottom"/>
          </w:tcPr>
          <w:p w14:paraId="04502C8A" w14:textId="0409A1D9"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4,630.5</w:t>
            </w:r>
          </w:p>
        </w:tc>
        <w:tc>
          <w:tcPr>
            <w:tcW w:w="1531" w:type="dxa"/>
            <w:tcBorders>
              <w:top w:val="single" w:sz="4" w:space="0" w:color="auto"/>
              <w:bottom w:val="single" w:sz="4" w:space="0" w:color="auto"/>
            </w:tcBorders>
            <w:shd w:val="clear" w:color="auto" w:fill="FFFF00"/>
            <w:vAlign w:val="bottom"/>
          </w:tcPr>
          <w:p w14:paraId="12C94FE6" w14:textId="73D1410A" w:rsidR="003B7DDF" w:rsidRPr="006D1E36" w:rsidRDefault="0018626B" w:rsidP="00055885">
            <w:pPr>
              <w:tabs>
                <w:tab w:val="decimal" w:pos="689"/>
              </w:tabs>
              <w:jc w:val="right"/>
              <w:rPr>
                <w:rFonts w:ascii="Calibri" w:eastAsia="MS Mincho" w:hAnsi="Calibri" w:cs="Calibri"/>
                <w:b/>
                <w:bCs/>
                <w:sz w:val="22"/>
                <w:szCs w:val="22"/>
              </w:rPr>
            </w:pPr>
            <w:r>
              <w:rPr>
                <w:rFonts w:ascii="Calibri" w:eastAsia="MS Mincho" w:hAnsi="Calibri" w:cs="Calibri"/>
                <w:b/>
                <w:bCs/>
                <w:sz w:val="22"/>
                <w:szCs w:val="22"/>
              </w:rPr>
              <w:t>95.4</w:t>
            </w:r>
          </w:p>
        </w:tc>
        <w:tc>
          <w:tcPr>
            <w:tcW w:w="1531" w:type="dxa"/>
            <w:tcBorders>
              <w:top w:val="single" w:sz="4" w:space="0" w:color="auto"/>
              <w:bottom w:val="single" w:sz="4" w:space="0" w:color="auto"/>
            </w:tcBorders>
            <w:vAlign w:val="bottom"/>
          </w:tcPr>
          <w:p w14:paraId="500AF302"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4,171.0</w:t>
            </w:r>
          </w:p>
        </w:tc>
        <w:tc>
          <w:tcPr>
            <w:tcW w:w="1531" w:type="dxa"/>
            <w:tcBorders>
              <w:top w:val="single" w:sz="4" w:space="0" w:color="auto"/>
              <w:bottom w:val="single" w:sz="4" w:space="0" w:color="auto"/>
            </w:tcBorders>
            <w:vAlign w:val="bottom"/>
          </w:tcPr>
          <w:p w14:paraId="4F19865E" w14:textId="77777777" w:rsidR="003B7DDF" w:rsidRPr="00593787" w:rsidRDefault="003B7DDF" w:rsidP="00055885">
            <w:pPr>
              <w:tabs>
                <w:tab w:val="decimal" w:pos="689"/>
              </w:tabs>
              <w:jc w:val="right"/>
              <w:rPr>
                <w:rFonts w:ascii="Calibri" w:eastAsia="MS Mincho" w:hAnsi="Calibri" w:cs="Calibri"/>
                <w:bCs/>
                <w:sz w:val="22"/>
                <w:szCs w:val="22"/>
              </w:rPr>
            </w:pPr>
            <w:r w:rsidRPr="00593787">
              <w:rPr>
                <w:rFonts w:ascii="Calibri" w:eastAsia="MS Mincho" w:hAnsi="Calibri" w:cs="Calibri"/>
                <w:bCs/>
                <w:sz w:val="22"/>
                <w:szCs w:val="22"/>
              </w:rPr>
              <w:t>293.2</w:t>
            </w:r>
          </w:p>
        </w:tc>
      </w:tr>
      <w:tr w:rsidR="003B7DDF" w:rsidRPr="00505482" w14:paraId="3E9A7ED9" w14:textId="77777777" w:rsidTr="007D3243">
        <w:trPr>
          <w:trHeight w:val="217"/>
        </w:trPr>
        <w:tc>
          <w:tcPr>
            <w:tcW w:w="0" w:type="auto"/>
            <w:vAlign w:val="bottom"/>
          </w:tcPr>
          <w:p w14:paraId="5FE98A88" w14:textId="77777777" w:rsidR="003B7DDF" w:rsidRPr="00DB22BA" w:rsidRDefault="003B7DDF" w:rsidP="00055885">
            <w:pPr>
              <w:tabs>
                <w:tab w:val="left" w:leader="dot" w:pos="6804"/>
              </w:tabs>
              <w:rPr>
                <w:rFonts w:ascii="Calibri" w:eastAsia="MS Mincho" w:hAnsi="Calibri" w:cs="Calibri"/>
                <w:sz w:val="22"/>
                <w:szCs w:val="22"/>
              </w:rPr>
            </w:pPr>
            <w:r w:rsidRPr="00DB22BA">
              <w:rPr>
                <w:rFonts w:ascii="Calibri" w:eastAsia="MS Mincho" w:hAnsi="Calibri" w:cs="Calibri"/>
                <w:sz w:val="22"/>
                <w:szCs w:val="22"/>
              </w:rPr>
              <w:t>Total financial assets</w:t>
            </w:r>
          </w:p>
        </w:tc>
        <w:tc>
          <w:tcPr>
            <w:tcW w:w="1531" w:type="dxa"/>
            <w:tcBorders>
              <w:top w:val="single" w:sz="4" w:space="0" w:color="auto"/>
              <w:bottom w:val="single" w:sz="4" w:space="0" w:color="auto"/>
            </w:tcBorders>
            <w:shd w:val="clear" w:color="auto" w:fill="FFFF00"/>
            <w:vAlign w:val="bottom"/>
          </w:tcPr>
          <w:p w14:paraId="1D745A8D" w14:textId="6AD8B307" w:rsidR="003B7DDF" w:rsidRPr="006D1E36" w:rsidRDefault="0018626B" w:rsidP="00055885">
            <w:pPr>
              <w:tabs>
                <w:tab w:val="decimal" w:pos="689"/>
              </w:tabs>
              <w:ind w:left="-116" w:right="34"/>
              <w:jc w:val="right"/>
              <w:rPr>
                <w:rFonts w:ascii="Calibri" w:eastAsia="MS Mincho" w:hAnsi="Calibri" w:cs="Calibri"/>
                <w:b/>
                <w:bCs/>
                <w:sz w:val="22"/>
                <w:szCs w:val="22"/>
              </w:rPr>
            </w:pPr>
            <w:r>
              <w:rPr>
                <w:rFonts w:ascii="Calibri" w:eastAsia="MS Mincho" w:hAnsi="Calibri" w:cs="Calibri"/>
                <w:b/>
                <w:bCs/>
                <w:sz w:val="22"/>
                <w:szCs w:val="22"/>
              </w:rPr>
              <w:t>4,777.0</w:t>
            </w:r>
          </w:p>
        </w:tc>
        <w:tc>
          <w:tcPr>
            <w:tcW w:w="1531" w:type="dxa"/>
            <w:tcBorders>
              <w:top w:val="single" w:sz="4" w:space="0" w:color="auto"/>
              <w:bottom w:val="single" w:sz="4" w:space="0" w:color="auto"/>
            </w:tcBorders>
            <w:shd w:val="clear" w:color="auto" w:fill="FFFF00"/>
            <w:vAlign w:val="bottom"/>
          </w:tcPr>
          <w:p w14:paraId="13C29038" w14:textId="1A865961" w:rsidR="003B7DDF" w:rsidRPr="006D1E36" w:rsidRDefault="0018626B" w:rsidP="00055885">
            <w:pPr>
              <w:tabs>
                <w:tab w:val="decimal" w:pos="689"/>
              </w:tabs>
              <w:jc w:val="right"/>
              <w:rPr>
                <w:rFonts w:ascii="Calibri" w:eastAsia="MS Mincho" w:hAnsi="Calibri" w:cs="Calibri"/>
                <w:b/>
                <w:bCs/>
                <w:sz w:val="22"/>
                <w:szCs w:val="22"/>
              </w:rPr>
            </w:pPr>
            <w:r>
              <w:rPr>
                <w:rFonts w:ascii="Calibri" w:eastAsia="MS Mincho" w:hAnsi="Calibri" w:cs="Calibri"/>
                <w:b/>
                <w:bCs/>
                <w:sz w:val="22"/>
                <w:szCs w:val="22"/>
              </w:rPr>
              <w:t>241.9</w:t>
            </w:r>
          </w:p>
        </w:tc>
        <w:tc>
          <w:tcPr>
            <w:tcW w:w="1531" w:type="dxa"/>
            <w:tcBorders>
              <w:top w:val="single" w:sz="4" w:space="0" w:color="auto"/>
              <w:bottom w:val="single" w:sz="4" w:space="0" w:color="auto"/>
            </w:tcBorders>
            <w:vAlign w:val="bottom"/>
          </w:tcPr>
          <w:p w14:paraId="2A236247" w14:textId="77777777" w:rsidR="003B7DDF" w:rsidRPr="00593787" w:rsidRDefault="003B7DDF" w:rsidP="00055885">
            <w:pPr>
              <w:tabs>
                <w:tab w:val="decimal" w:pos="689"/>
              </w:tabs>
              <w:ind w:left="-116" w:right="34"/>
              <w:jc w:val="right"/>
              <w:rPr>
                <w:rFonts w:ascii="Calibri" w:eastAsia="MS Mincho" w:hAnsi="Calibri" w:cs="Calibri"/>
                <w:bCs/>
                <w:sz w:val="22"/>
                <w:szCs w:val="22"/>
              </w:rPr>
            </w:pPr>
            <w:r w:rsidRPr="00593787">
              <w:rPr>
                <w:rFonts w:ascii="Calibri" w:eastAsia="MS Mincho" w:hAnsi="Calibri" w:cs="Calibri"/>
                <w:bCs/>
                <w:sz w:val="22"/>
                <w:szCs w:val="22"/>
              </w:rPr>
              <w:t>4,549.5</w:t>
            </w:r>
          </w:p>
        </w:tc>
        <w:tc>
          <w:tcPr>
            <w:tcW w:w="1531" w:type="dxa"/>
            <w:tcBorders>
              <w:top w:val="single" w:sz="4" w:space="0" w:color="auto"/>
              <w:bottom w:val="single" w:sz="4" w:space="0" w:color="auto"/>
            </w:tcBorders>
            <w:vAlign w:val="bottom"/>
          </w:tcPr>
          <w:p w14:paraId="2A7DFE88" w14:textId="77777777" w:rsidR="003B7DDF" w:rsidRPr="00593787" w:rsidRDefault="003B7DDF" w:rsidP="00055885">
            <w:pPr>
              <w:tabs>
                <w:tab w:val="decimal" w:pos="689"/>
              </w:tabs>
              <w:jc w:val="right"/>
              <w:rPr>
                <w:rFonts w:ascii="Calibri" w:eastAsia="MS Mincho" w:hAnsi="Calibri" w:cs="Calibri"/>
                <w:bCs/>
                <w:sz w:val="22"/>
                <w:szCs w:val="22"/>
              </w:rPr>
            </w:pPr>
            <w:r w:rsidRPr="00593787">
              <w:rPr>
                <w:rFonts w:ascii="Calibri" w:eastAsia="MS Mincho" w:hAnsi="Calibri" w:cs="Calibri"/>
                <w:bCs/>
                <w:sz w:val="22"/>
                <w:szCs w:val="22"/>
              </w:rPr>
              <w:t>671.7</w:t>
            </w:r>
          </w:p>
        </w:tc>
      </w:tr>
      <w:tr w:rsidR="003B7DDF" w:rsidRPr="00505482" w14:paraId="490FD274" w14:textId="77777777" w:rsidTr="007D3243">
        <w:trPr>
          <w:trHeight w:val="287"/>
        </w:trPr>
        <w:tc>
          <w:tcPr>
            <w:tcW w:w="0" w:type="auto"/>
            <w:vAlign w:val="bottom"/>
          </w:tcPr>
          <w:p w14:paraId="480123B2" w14:textId="77777777" w:rsidR="003B7DDF" w:rsidRPr="00DB22BA" w:rsidRDefault="003B7DDF" w:rsidP="00055885">
            <w:pPr>
              <w:tabs>
                <w:tab w:val="left" w:leader="dot" w:pos="6804"/>
              </w:tabs>
              <w:ind w:right="-250"/>
              <w:rPr>
                <w:rFonts w:ascii="Calibri" w:hAnsi="Calibri" w:cs="Calibri"/>
                <w:b/>
                <w:bCs/>
                <w:sz w:val="22"/>
                <w:szCs w:val="22"/>
              </w:rPr>
            </w:pPr>
          </w:p>
        </w:tc>
        <w:tc>
          <w:tcPr>
            <w:tcW w:w="1531" w:type="dxa"/>
            <w:shd w:val="clear" w:color="auto" w:fill="auto"/>
            <w:vAlign w:val="bottom"/>
          </w:tcPr>
          <w:p w14:paraId="6EC34DD6" w14:textId="77777777" w:rsidR="003B7DDF" w:rsidRPr="00DB22BA" w:rsidRDefault="003B7DDF" w:rsidP="00055885">
            <w:pPr>
              <w:ind w:right="-115"/>
              <w:jc w:val="right"/>
              <w:rPr>
                <w:rFonts w:ascii="Calibri" w:eastAsia="MS Mincho" w:hAnsi="Calibri" w:cs="Calibri"/>
                <w:b/>
                <w:sz w:val="22"/>
                <w:szCs w:val="22"/>
                <w:lang w:val="en-US"/>
              </w:rPr>
            </w:pPr>
          </w:p>
        </w:tc>
        <w:tc>
          <w:tcPr>
            <w:tcW w:w="1531" w:type="dxa"/>
            <w:shd w:val="clear" w:color="auto" w:fill="auto"/>
            <w:vAlign w:val="bottom"/>
          </w:tcPr>
          <w:p w14:paraId="558DF357" w14:textId="77777777" w:rsidR="003B7DDF" w:rsidRPr="00DB22BA" w:rsidRDefault="003B7DDF" w:rsidP="00055885">
            <w:pPr>
              <w:jc w:val="right"/>
              <w:rPr>
                <w:rFonts w:ascii="Calibri" w:eastAsia="MS Mincho" w:hAnsi="Calibri" w:cs="Calibri"/>
                <w:b/>
                <w:sz w:val="22"/>
                <w:szCs w:val="22"/>
                <w:lang w:val="en-US"/>
              </w:rPr>
            </w:pPr>
          </w:p>
        </w:tc>
        <w:tc>
          <w:tcPr>
            <w:tcW w:w="1531" w:type="dxa"/>
            <w:shd w:val="clear" w:color="auto" w:fill="auto"/>
          </w:tcPr>
          <w:p w14:paraId="41BD4053" w14:textId="77777777" w:rsidR="003B7DDF" w:rsidRPr="00DB22BA" w:rsidRDefault="003B7DDF" w:rsidP="00055885">
            <w:pPr>
              <w:jc w:val="right"/>
              <w:rPr>
                <w:rFonts w:ascii="Calibri" w:eastAsia="MS Mincho" w:hAnsi="Calibri" w:cs="Calibri"/>
                <w:b/>
                <w:sz w:val="22"/>
                <w:szCs w:val="22"/>
                <w:lang w:val="en-US"/>
              </w:rPr>
            </w:pPr>
          </w:p>
        </w:tc>
        <w:tc>
          <w:tcPr>
            <w:tcW w:w="1531" w:type="dxa"/>
          </w:tcPr>
          <w:p w14:paraId="14598353" w14:textId="77777777" w:rsidR="003B7DDF" w:rsidRPr="00DB22BA" w:rsidRDefault="003B7DDF" w:rsidP="00055885">
            <w:pPr>
              <w:jc w:val="right"/>
              <w:rPr>
                <w:rFonts w:ascii="Calibri" w:eastAsia="MS Mincho" w:hAnsi="Calibri" w:cs="Calibri"/>
                <w:b/>
                <w:sz w:val="22"/>
                <w:szCs w:val="22"/>
                <w:lang w:val="en-US"/>
              </w:rPr>
            </w:pPr>
          </w:p>
        </w:tc>
      </w:tr>
      <w:tr w:rsidR="003B7DDF" w:rsidRPr="00505482" w14:paraId="3EB7134A" w14:textId="77777777" w:rsidTr="007D3243">
        <w:trPr>
          <w:trHeight w:val="272"/>
        </w:trPr>
        <w:tc>
          <w:tcPr>
            <w:tcW w:w="0" w:type="auto"/>
          </w:tcPr>
          <w:p w14:paraId="7F099B08" w14:textId="77777777" w:rsidR="003B7DDF" w:rsidRPr="00DB22BA" w:rsidRDefault="003B7DDF" w:rsidP="00055885">
            <w:pPr>
              <w:tabs>
                <w:tab w:val="left" w:leader="dot" w:pos="6804"/>
              </w:tabs>
              <w:ind w:right="-250"/>
              <w:jc w:val="right"/>
              <w:rPr>
                <w:rFonts w:ascii="Calibri" w:hAnsi="Calibri" w:cs="Calibri"/>
                <w:b/>
                <w:bCs/>
                <w:sz w:val="22"/>
                <w:szCs w:val="22"/>
              </w:rPr>
            </w:pPr>
          </w:p>
        </w:tc>
        <w:tc>
          <w:tcPr>
            <w:tcW w:w="1531" w:type="dxa"/>
            <w:shd w:val="clear" w:color="auto" w:fill="auto"/>
            <w:vAlign w:val="bottom"/>
          </w:tcPr>
          <w:p w14:paraId="2E8D7B84" w14:textId="24593629" w:rsidR="003B7DDF" w:rsidRPr="00DB22BA" w:rsidRDefault="003B7DDF" w:rsidP="00055885">
            <w:pPr>
              <w:tabs>
                <w:tab w:val="left" w:pos="0"/>
              </w:tabs>
              <w:ind w:left="-116" w:right="27"/>
              <w:jc w:val="right"/>
              <w:rPr>
                <w:rFonts w:ascii="Calibri" w:eastAsia="MS Mincho" w:hAnsi="Calibri" w:cs="Calibri"/>
                <w:b/>
                <w:sz w:val="22"/>
                <w:szCs w:val="22"/>
                <w:lang w:val="en-US"/>
              </w:rPr>
            </w:pPr>
            <w:r w:rsidRPr="00DB22BA">
              <w:rPr>
                <w:rFonts w:ascii="Calibri" w:eastAsia="MS Mincho" w:hAnsi="Calibri" w:cs="Calibri"/>
                <w:b/>
                <w:sz w:val="22"/>
                <w:szCs w:val="22"/>
                <w:lang w:val="en-US"/>
              </w:rPr>
              <w:t xml:space="preserve">At </w:t>
            </w:r>
            <w:r w:rsidR="00F14BD3">
              <w:rPr>
                <w:rFonts w:ascii="Calibri" w:eastAsia="MS Mincho" w:hAnsi="Calibri" w:cs="Calibri"/>
                <w:b/>
                <w:sz w:val="22"/>
                <w:szCs w:val="22"/>
                <w:lang w:val="en-US"/>
              </w:rPr>
              <w:t>Sep</w:t>
            </w:r>
            <w:r>
              <w:rPr>
                <w:rFonts w:ascii="Calibri" w:eastAsia="MS Mincho" w:hAnsi="Calibri" w:cs="Calibri"/>
                <w:b/>
                <w:sz w:val="22"/>
                <w:szCs w:val="22"/>
                <w:lang w:val="en-US"/>
              </w:rPr>
              <w:t xml:space="preserve"> 30</w:t>
            </w:r>
            <w:r w:rsidRPr="00DB22BA">
              <w:rPr>
                <w:rFonts w:ascii="Calibri" w:eastAsia="MS Mincho" w:hAnsi="Calibri" w:cs="Calibri"/>
                <w:b/>
                <w:sz w:val="22"/>
                <w:szCs w:val="22"/>
                <w:lang w:val="en-US"/>
              </w:rPr>
              <w:t xml:space="preserve">, </w:t>
            </w:r>
          </w:p>
        </w:tc>
        <w:tc>
          <w:tcPr>
            <w:tcW w:w="1531" w:type="dxa"/>
            <w:shd w:val="clear" w:color="auto" w:fill="auto"/>
            <w:vAlign w:val="bottom"/>
          </w:tcPr>
          <w:p w14:paraId="04C8494E" w14:textId="74F511F7" w:rsidR="003B7DDF" w:rsidRPr="00DB22BA" w:rsidRDefault="003B7DDF" w:rsidP="00055885">
            <w:pPr>
              <w:ind w:right="-108"/>
              <w:jc w:val="right"/>
              <w:rPr>
                <w:rFonts w:ascii="Calibri" w:eastAsia="MS Mincho" w:hAnsi="Calibri" w:cs="Calibri"/>
                <w:b/>
                <w:sz w:val="22"/>
                <w:szCs w:val="22"/>
                <w:lang w:val="en-US"/>
              </w:rPr>
            </w:pPr>
            <w:r w:rsidRPr="00DB22BA">
              <w:rPr>
                <w:rFonts w:ascii="Calibri" w:eastAsia="MS Mincho" w:hAnsi="Calibri" w:cs="Calibri"/>
                <w:b/>
                <w:sz w:val="22"/>
                <w:szCs w:val="22"/>
                <w:lang w:val="en-US"/>
              </w:rPr>
              <w:t xml:space="preserve">At </w:t>
            </w:r>
            <w:r w:rsidR="00F14BD3">
              <w:rPr>
                <w:rFonts w:ascii="Calibri" w:eastAsia="MS Mincho" w:hAnsi="Calibri" w:cs="Calibri"/>
                <w:b/>
                <w:sz w:val="22"/>
                <w:szCs w:val="22"/>
                <w:lang w:val="en-US"/>
              </w:rPr>
              <w:t>Sep</w:t>
            </w:r>
            <w:r>
              <w:rPr>
                <w:rFonts w:ascii="Calibri" w:eastAsia="MS Mincho" w:hAnsi="Calibri" w:cs="Calibri"/>
                <w:b/>
                <w:sz w:val="22"/>
                <w:szCs w:val="22"/>
                <w:lang w:val="en-US"/>
              </w:rPr>
              <w:t xml:space="preserve"> 30</w:t>
            </w:r>
            <w:r w:rsidRPr="00DB22BA">
              <w:rPr>
                <w:rFonts w:ascii="Calibri" w:eastAsia="MS Mincho" w:hAnsi="Calibri" w:cs="Calibri"/>
                <w:b/>
                <w:sz w:val="22"/>
                <w:szCs w:val="22"/>
                <w:lang w:val="en-US"/>
              </w:rPr>
              <w:t>,</w:t>
            </w:r>
          </w:p>
        </w:tc>
        <w:tc>
          <w:tcPr>
            <w:tcW w:w="1531" w:type="dxa"/>
            <w:vAlign w:val="bottom"/>
          </w:tcPr>
          <w:p w14:paraId="12B0DA5B" w14:textId="77777777" w:rsidR="003B7DDF" w:rsidRPr="00FF2F42" w:rsidRDefault="003B7DDF" w:rsidP="00055885">
            <w:pPr>
              <w:jc w:val="right"/>
              <w:rPr>
                <w:rFonts w:ascii="Calibri" w:eastAsia="MS Mincho" w:hAnsi="Calibri" w:cs="Calibri"/>
                <w:sz w:val="22"/>
                <w:szCs w:val="22"/>
                <w:lang w:val="en-US"/>
              </w:rPr>
            </w:pPr>
            <w:r w:rsidRPr="00FF2F42">
              <w:rPr>
                <w:rFonts w:ascii="Calibri" w:eastAsia="MS Mincho" w:hAnsi="Calibri" w:cs="Calibri"/>
                <w:sz w:val="22"/>
                <w:szCs w:val="22"/>
                <w:lang w:val="en-US"/>
              </w:rPr>
              <w:t>At Mar 31,</w:t>
            </w:r>
          </w:p>
        </w:tc>
        <w:tc>
          <w:tcPr>
            <w:tcW w:w="1531" w:type="dxa"/>
            <w:vAlign w:val="bottom"/>
          </w:tcPr>
          <w:p w14:paraId="25B57E32" w14:textId="77777777" w:rsidR="003B7DDF" w:rsidRPr="00FF2F42" w:rsidRDefault="003B7DDF" w:rsidP="00055885">
            <w:pPr>
              <w:jc w:val="right"/>
              <w:rPr>
                <w:rFonts w:ascii="Calibri" w:eastAsia="MS Mincho" w:hAnsi="Calibri" w:cs="Calibri"/>
                <w:sz w:val="22"/>
                <w:szCs w:val="22"/>
                <w:lang w:val="en-US"/>
              </w:rPr>
            </w:pPr>
            <w:r w:rsidRPr="00FF2F42">
              <w:rPr>
                <w:rFonts w:ascii="Calibri" w:eastAsia="MS Mincho" w:hAnsi="Calibri" w:cs="Calibri"/>
                <w:sz w:val="22"/>
                <w:szCs w:val="22"/>
                <w:lang w:val="en-US"/>
              </w:rPr>
              <w:t>At Mar 31,</w:t>
            </w:r>
          </w:p>
        </w:tc>
      </w:tr>
      <w:tr w:rsidR="003B7DDF" w:rsidRPr="00505482" w14:paraId="36037042" w14:textId="77777777" w:rsidTr="007D3243">
        <w:trPr>
          <w:trHeight w:val="287"/>
        </w:trPr>
        <w:tc>
          <w:tcPr>
            <w:tcW w:w="0" w:type="auto"/>
            <w:vAlign w:val="bottom"/>
          </w:tcPr>
          <w:p w14:paraId="106BD088" w14:textId="77777777" w:rsidR="003B7DDF" w:rsidRPr="00DB22BA" w:rsidRDefault="003B7DDF" w:rsidP="00055885">
            <w:pPr>
              <w:tabs>
                <w:tab w:val="left" w:leader="dot" w:pos="6804"/>
              </w:tabs>
              <w:ind w:right="-250"/>
              <w:rPr>
                <w:rFonts w:ascii="Calibri" w:hAnsi="Calibri" w:cs="Calibri"/>
                <w:b/>
                <w:bCs/>
                <w:sz w:val="22"/>
                <w:szCs w:val="22"/>
              </w:rPr>
            </w:pPr>
          </w:p>
        </w:tc>
        <w:tc>
          <w:tcPr>
            <w:tcW w:w="1531" w:type="dxa"/>
            <w:shd w:val="clear" w:color="auto" w:fill="auto"/>
            <w:vAlign w:val="bottom"/>
          </w:tcPr>
          <w:p w14:paraId="132BB24C" w14:textId="77777777" w:rsidR="003B7DDF" w:rsidRPr="00DB22BA" w:rsidRDefault="003B7DDF" w:rsidP="00055885">
            <w:pPr>
              <w:ind w:left="-116" w:right="27"/>
              <w:jc w:val="right"/>
              <w:rPr>
                <w:rFonts w:ascii="Calibri" w:eastAsia="MS Mincho" w:hAnsi="Calibri" w:cs="Calibri"/>
                <w:b/>
                <w:sz w:val="22"/>
                <w:szCs w:val="22"/>
                <w:lang w:val="en-US"/>
              </w:rPr>
            </w:pPr>
            <w:r w:rsidRPr="00DB22BA">
              <w:rPr>
                <w:rFonts w:ascii="Calibri" w:eastAsia="MS Mincho" w:hAnsi="Calibri" w:cs="Calibri"/>
                <w:b/>
                <w:sz w:val="22"/>
                <w:szCs w:val="22"/>
                <w:lang w:val="en-US"/>
              </w:rPr>
              <w:t>20</w:t>
            </w:r>
            <w:r>
              <w:rPr>
                <w:rFonts w:ascii="Calibri" w:eastAsia="MS Mincho" w:hAnsi="Calibri" w:cs="Calibri"/>
                <w:b/>
                <w:sz w:val="22"/>
                <w:szCs w:val="22"/>
                <w:lang w:val="en-US"/>
              </w:rPr>
              <w:t>20</w:t>
            </w:r>
          </w:p>
        </w:tc>
        <w:tc>
          <w:tcPr>
            <w:tcW w:w="1531" w:type="dxa"/>
            <w:shd w:val="clear" w:color="auto" w:fill="auto"/>
            <w:vAlign w:val="bottom"/>
          </w:tcPr>
          <w:p w14:paraId="0E63CCA1" w14:textId="77777777" w:rsidR="003B7DDF" w:rsidRPr="00DB22BA" w:rsidRDefault="003B7DDF" w:rsidP="00055885">
            <w:pPr>
              <w:jc w:val="right"/>
              <w:rPr>
                <w:rFonts w:ascii="Calibri" w:eastAsia="MS Mincho" w:hAnsi="Calibri" w:cs="Calibri"/>
                <w:b/>
                <w:sz w:val="22"/>
                <w:szCs w:val="22"/>
                <w:lang w:val="en-US"/>
              </w:rPr>
            </w:pPr>
            <w:r w:rsidRPr="00DB22BA">
              <w:rPr>
                <w:rFonts w:ascii="Calibri" w:eastAsia="MS Mincho" w:hAnsi="Calibri" w:cs="Calibri"/>
                <w:b/>
                <w:sz w:val="22"/>
                <w:szCs w:val="22"/>
                <w:lang w:val="en-US"/>
              </w:rPr>
              <w:t>20</w:t>
            </w:r>
            <w:r>
              <w:rPr>
                <w:rFonts w:ascii="Calibri" w:eastAsia="MS Mincho" w:hAnsi="Calibri" w:cs="Calibri"/>
                <w:b/>
                <w:sz w:val="22"/>
                <w:szCs w:val="22"/>
                <w:lang w:val="en-US"/>
              </w:rPr>
              <w:t>20</w:t>
            </w:r>
          </w:p>
        </w:tc>
        <w:tc>
          <w:tcPr>
            <w:tcW w:w="1531" w:type="dxa"/>
          </w:tcPr>
          <w:p w14:paraId="25ADE6C0" w14:textId="77777777" w:rsidR="003B7DDF" w:rsidRPr="00FF2F42" w:rsidRDefault="003B7DDF" w:rsidP="00055885">
            <w:pPr>
              <w:jc w:val="right"/>
              <w:rPr>
                <w:rFonts w:ascii="Calibri" w:eastAsia="MS Mincho" w:hAnsi="Calibri" w:cs="Calibri"/>
                <w:sz w:val="22"/>
                <w:szCs w:val="22"/>
                <w:lang w:val="en-US"/>
              </w:rPr>
            </w:pPr>
            <w:r>
              <w:rPr>
                <w:rFonts w:ascii="Calibri" w:eastAsia="MS Mincho" w:hAnsi="Calibri" w:cs="Calibri"/>
                <w:sz w:val="22"/>
                <w:szCs w:val="22"/>
                <w:lang w:val="en-US"/>
              </w:rPr>
              <w:t>2020</w:t>
            </w:r>
          </w:p>
        </w:tc>
        <w:tc>
          <w:tcPr>
            <w:tcW w:w="1531" w:type="dxa"/>
          </w:tcPr>
          <w:p w14:paraId="1B7A1850" w14:textId="77777777" w:rsidR="003B7DDF" w:rsidRPr="00FF2F42" w:rsidRDefault="003B7DDF" w:rsidP="00055885">
            <w:pPr>
              <w:jc w:val="right"/>
              <w:rPr>
                <w:rFonts w:ascii="Calibri" w:eastAsia="MS Mincho" w:hAnsi="Calibri" w:cs="Calibri"/>
                <w:sz w:val="22"/>
                <w:szCs w:val="22"/>
                <w:lang w:val="en-US"/>
              </w:rPr>
            </w:pPr>
            <w:r>
              <w:rPr>
                <w:rFonts w:ascii="Calibri" w:eastAsia="MS Mincho" w:hAnsi="Calibri" w:cs="Calibri"/>
                <w:sz w:val="22"/>
                <w:szCs w:val="22"/>
                <w:lang w:val="en-US"/>
              </w:rPr>
              <w:t>2020</w:t>
            </w:r>
          </w:p>
        </w:tc>
      </w:tr>
      <w:tr w:rsidR="003B7DDF" w:rsidRPr="00505482" w14:paraId="0423ADA3" w14:textId="77777777" w:rsidTr="007D3243">
        <w:trPr>
          <w:trHeight w:val="287"/>
        </w:trPr>
        <w:tc>
          <w:tcPr>
            <w:tcW w:w="0" w:type="auto"/>
            <w:vAlign w:val="bottom"/>
          </w:tcPr>
          <w:p w14:paraId="3CF65A7C" w14:textId="77777777" w:rsidR="003B7DDF" w:rsidRPr="00DB22BA" w:rsidRDefault="003B7DDF" w:rsidP="00055885">
            <w:pPr>
              <w:tabs>
                <w:tab w:val="left" w:leader="dot" w:pos="6804"/>
              </w:tabs>
              <w:ind w:right="-250"/>
              <w:rPr>
                <w:rFonts w:ascii="Calibri" w:hAnsi="Calibri" w:cs="Calibri"/>
                <w:b/>
                <w:bCs/>
                <w:sz w:val="22"/>
                <w:szCs w:val="22"/>
              </w:rPr>
            </w:pPr>
          </w:p>
        </w:tc>
        <w:tc>
          <w:tcPr>
            <w:tcW w:w="1531" w:type="dxa"/>
            <w:shd w:val="clear" w:color="auto" w:fill="auto"/>
            <w:vAlign w:val="bottom"/>
          </w:tcPr>
          <w:p w14:paraId="51FA1DF7" w14:textId="77777777" w:rsidR="003B7DDF" w:rsidRPr="00DB22BA" w:rsidRDefault="003B7DDF" w:rsidP="00055885">
            <w:pPr>
              <w:ind w:left="-116" w:right="27"/>
              <w:jc w:val="right"/>
              <w:rPr>
                <w:rFonts w:ascii="Calibri" w:eastAsia="MS Mincho" w:hAnsi="Calibri" w:cs="Calibri"/>
                <w:b/>
                <w:sz w:val="22"/>
                <w:szCs w:val="22"/>
                <w:lang w:val="en-US"/>
              </w:rPr>
            </w:pPr>
            <w:r w:rsidRPr="00DB22BA">
              <w:rPr>
                <w:rFonts w:ascii="Calibri" w:eastAsia="MS Mincho" w:hAnsi="Calibri" w:cs="Calibri"/>
                <w:b/>
                <w:sz w:val="22"/>
                <w:szCs w:val="22"/>
                <w:lang w:val="en-US"/>
              </w:rPr>
              <w:t>Carrying</w:t>
            </w:r>
          </w:p>
        </w:tc>
        <w:tc>
          <w:tcPr>
            <w:tcW w:w="1531" w:type="dxa"/>
            <w:shd w:val="clear" w:color="auto" w:fill="auto"/>
            <w:vAlign w:val="bottom"/>
          </w:tcPr>
          <w:p w14:paraId="035C5B2F" w14:textId="77777777" w:rsidR="003B7DDF" w:rsidRPr="00DB22BA" w:rsidRDefault="003B7DDF" w:rsidP="00055885">
            <w:pPr>
              <w:jc w:val="right"/>
              <w:rPr>
                <w:rFonts w:ascii="Calibri" w:eastAsia="MS Mincho" w:hAnsi="Calibri" w:cs="Calibri"/>
                <w:b/>
                <w:sz w:val="22"/>
                <w:szCs w:val="22"/>
                <w:lang w:val="en-US"/>
              </w:rPr>
            </w:pPr>
            <w:r w:rsidRPr="00DB22BA">
              <w:rPr>
                <w:rFonts w:ascii="Calibri" w:eastAsia="MS Mincho" w:hAnsi="Calibri" w:cs="Calibri"/>
                <w:b/>
                <w:sz w:val="22"/>
                <w:szCs w:val="22"/>
                <w:lang w:val="en-US"/>
              </w:rPr>
              <w:t>Fair</w:t>
            </w:r>
          </w:p>
        </w:tc>
        <w:tc>
          <w:tcPr>
            <w:tcW w:w="1531" w:type="dxa"/>
          </w:tcPr>
          <w:p w14:paraId="0922D45F" w14:textId="77777777" w:rsidR="003B7DDF" w:rsidRPr="00FF2F42" w:rsidRDefault="003B7DDF" w:rsidP="00055885">
            <w:pPr>
              <w:jc w:val="right"/>
              <w:rPr>
                <w:rFonts w:ascii="Calibri" w:eastAsia="MS Mincho" w:hAnsi="Calibri" w:cs="Calibri"/>
                <w:sz w:val="22"/>
                <w:szCs w:val="22"/>
                <w:lang w:val="en-US"/>
              </w:rPr>
            </w:pPr>
            <w:r w:rsidRPr="00FF2F42">
              <w:rPr>
                <w:rFonts w:ascii="Calibri" w:eastAsia="MS Mincho" w:hAnsi="Calibri" w:cs="Calibri"/>
                <w:sz w:val="22"/>
                <w:szCs w:val="22"/>
                <w:lang w:val="en-US"/>
              </w:rPr>
              <w:t>Carrying</w:t>
            </w:r>
          </w:p>
        </w:tc>
        <w:tc>
          <w:tcPr>
            <w:tcW w:w="1531" w:type="dxa"/>
          </w:tcPr>
          <w:p w14:paraId="183A0021" w14:textId="77777777" w:rsidR="003B7DDF" w:rsidRPr="00FF2F42" w:rsidRDefault="003B7DDF" w:rsidP="00055885">
            <w:pPr>
              <w:jc w:val="right"/>
              <w:rPr>
                <w:rFonts w:ascii="Calibri" w:eastAsia="MS Mincho" w:hAnsi="Calibri" w:cs="Calibri"/>
                <w:sz w:val="22"/>
                <w:szCs w:val="22"/>
                <w:lang w:val="en-US"/>
              </w:rPr>
            </w:pPr>
            <w:r w:rsidRPr="00FF2F42">
              <w:rPr>
                <w:rFonts w:ascii="Calibri" w:eastAsia="MS Mincho" w:hAnsi="Calibri" w:cs="Calibri"/>
                <w:sz w:val="22"/>
                <w:szCs w:val="22"/>
                <w:lang w:val="en-US"/>
              </w:rPr>
              <w:t>Fair</w:t>
            </w:r>
          </w:p>
        </w:tc>
      </w:tr>
      <w:tr w:rsidR="003B7DDF" w:rsidRPr="00505482" w14:paraId="3C67B1B4" w14:textId="77777777" w:rsidTr="007D3243">
        <w:trPr>
          <w:trHeight w:val="287"/>
        </w:trPr>
        <w:tc>
          <w:tcPr>
            <w:tcW w:w="0" w:type="auto"/>
            <w:vAlign w:val="bottom"/>
          </w:tcPr>
          <w:p w14:paraId="67C8E9CE" w14:textId="77777777" w:rsidR="003B7DDF" w:rsidRPr="00DB22BA" w:rsidRDefault="003B7DDF" w:rsidP="00055885">
            <w:pPr>
              <w:tabs>
                <w:tab w:val="left" w:leader="dot" w:pos="6804"/>
              </w:tabs>
              <w:ind w:right="-250"/>
              <w:rPr>
                <w:rFonts w:ascii="Calibri" w:hAnsi="Calibri" w:cs="Calibri"/>
                <w:b/>
                <w:bCs/>
                <w:sz w:val="22"/>
                <w:szCs w:val="22"/>
              </w:rPr>
            </w:pPr>
          </w:p>
        </w:tc>
        <w:tc>
          <w:tcPr>
            <w:tcW w:w="1531" w:type="dxa"/>
            <w:tcBorders>
              <w:bottom w:val="single" w:sz="4" w:space="0" w:color="auto"/>
            </w:tcBorders>
            <w:shd w:val="clear" w:color="auto" w:fill="auto"/>
            <w:vAlign w:val="bottom"/>
          </w:tcPr>
          <w:p w14:paraId="21BE6864" w14:textId="77777777" w:rsidR="003B7DDF" w:rsidRPr="00DB22BA" w:rsidRDefault="003B7DDF" w:rsidP="00055885">
            <w:pPr>
              <w:ind w:left="-116" w:right="27"/>
              <w:jc w:val="right"/>
              <w:rPr>
                <w:rFonts w:ascii="Calibri" w:eastAsia="MS Mincho" w:hAnsi="Calibri" w:cs="Calibri"/>
                <w:b/>
                <w:sz w:val="22"/>
                <w:szCs w:val="22"/>
                <w:lang w:val="en-US"/>
              </w:rPr>
            </w:pPr>
            <w:r w:rsidRPr="00DB22BA">
              <w:rPr>
                <w:rFonts w:ascii="Calibri" w:eastAsia="MS Mincho" w:hAnsi="Calibri" w:cs="Calibri"/>
                <w:b/>
                <w:sz w:val="22"/>
                <w:szCs w:val="22"/>
                <w:lang w:val="en-US"/>
              </w:rPr>
              <w:t>Amount</w:t>
            </w:r>
          </w:p>
        </w:tc>
        <w:tc>
          <w:tcPr>
            <w:tcW w:w="1531" w:type="dxa"/>
            <w:tcBorders>
              <w:bottom w:val="single" w:sz="4" w:space="0" w:color="auto"/>
            </w:tcBorders>
            <w:shd w:val="clear" w:color="auto" w:fill="auto"/>
            <w:vAlign w:val="bottom"/>
          </w:tcPr>
          <w:p w14:paraId="20B79507" w14:textId="77777777" w:rsidR="003B7DDF" w:rsidRPr="00DB22BA" w:rsidRDefault="003B7DDF" w:rsidP="00055885">
            <w:pPr>
              <w:jc w:val="right"/>
              <w:rPr>
                <w:rFonts w:ascii="Calibri" w:eastAsia="MS Mincho" w:hAnsi="Calibri" w:cs="Calibri"/>
                <w:b/>
                <w:sz w:val="22"/>
                <w:szCs w:val="22"/>
                <w:lang w:val="en-US"/>
              </w:rPr>
            </w:pPr>
            <w:r w:rsidRPr="00DB22BA">
              <w:rPr>
                <w:rFonts w:ascii="Calibri" w:eastAsia="MS Mincho" w:hAnsi="Calibri" w:cs="Calibri"/>
                <w:b/>
                <w:sz w:val="22"/>
                <w:szCs w:val="22"/>
                <w:lang w:val="en-US"/>
              </w:rPr>
              <w:t>Value</w:t>
            </w:r>
          </w:p>
        </w:tc>
        <w:tc>
          <w:tcPr>
            <w:tcW w:w="1531" w:type="dxa"/>
            <w:tcBorders>
              <w:bottom w:val="single" w:sz="4" w:space="0" w:color="auto"/>
            </w:tcBorders>
          </w:tcPr>
          <w:p w14:paraId="3DDCF912" w14:textId="77777777" w:rsidR="003B7DDF" w:rsidRPr="00FF2F42" w:rsidRDefault="003B7DDF" w:rsidP="00055885">
            <w:pPr>
              <w:jc w:val="right"/>
              <w:rPr>
                <w:rFonts w:ascii="Calibri" w:eastAsia="MS Mincho" w:hAnsi="Calibri" w:cs="Calibri"/>
                <w:sz w:val="22"/>
                <w:szCs w:val="22"/>
                <w:lang w:val="en-US"/>
              </w:rPr>
            </w:pPr>
            <w:r w:rsidRPr="00FF2F42">
              <w:rPr>
                <w:rFonts w:ascii="Calibri" w:eastAsia="MS Mincho" w:hAnsi="Calibri" w:cs="Calibri"/>
                <w:sz w:val="22"/>
                <w:szCs w:val="22"/>
                <w:lang w:val="en-US"/>
              </w:rPr>
              <w:t>Amount</w:t>
            </w:r>
          </w:p>
        </w:tc>
        <w:tc>
          <w:tcPr>
            <w:tcW w:w="1531" w:type="dxa"/>
            <w:tcBorders>
              <w:bottom w:val="single" w:sz="4" w:space="0" w:color="auto"/>
            </w:tcBorders>
          </w:tcPr>
          <w:p w14:paraId="614C04F9" w14:textId="77777777" w:rsidR="003B7DDF" w:rsidRPr="00FF2F42" w:rsidRDefault="003B7DDF" w:rsidP="00055885">
            <w:pPr>
              <w:jc w:val="right"/>
              <w:rPr>
                <w:rFonts w:ascii="Calibri" w:eastAsia="MS Mincho" w:hAnsi="Calibri" w:cs="Calibri"/>
                <w:sz w:val="22"/>
                <w:szCs w:val="22"/>
                <w:lang w:val="en-US"/>
              </w:rPr>
            </w:pPr>
            <w:r w:rsidRPr="00FF2F42">
              <w:rPr>
                <w:rFonts w:ascii="Calibri" w:eastAsia="MS Mincho" w:hAnsi="Calibri" w:cs="Calibri"/>
                <w:sz w:val="22"/>
                <w:szCs w:val="22"/>
                <w:lang w:val="en-US"/>
              </w:rPr>
              <w:t>Value</w:t>
            </w:r>
          </w:p>
        </w:tc>
      </w:tr>
      <w:tr w:rsidR="003B7DDF" w:rsidRPr="00505482" w14:paraId="04500F91" w14:textId="77777777" w:rsidTr="007D3243">
        <w:trPr>
          <w:trHeight w:val="287"/>
        </w:trPr>
        <w:tc>
          <w:tcPr>
            <w:tcW w:w="0" w:type="auto"/>
            <w:vAlign w:val="bottom"/>
            <w:hideMark/>
          </w:tcPr>
          <w:p w14:paraId="711919C8" w14:textId="77777777" w:rsidR="003B7DDF" w:rsidRPr="00DB22BA" w:rsidRDefault="003B7DDF" w:rsidP="00055885">
            <w:pPr>
              <w:tabs>
                <w:tab w:val="left" w:leader="dot" w:pos="6804"/>
              </w:tabs>
              <w:ind w:right="-250"/>
              <w:rPr>
                <w:rFonts w:ascii="Calibri" w:eastAsia="MS Mincho" w:hAnsi="Calibri" w:cs="Calibri"/>
                <w:bCs/>
                <w:sz w:val="22"/>
                <w:szCs w:val="22"/>
              </w:rPr>
            </w:pPr>
            <w:r w:rsidRPr="00DB22BA">
              <w:rPr>
                <w:rFonts w:ascii="Calibri" w:hAnsi="Calibri" w:cs="Calibri"/>
                <w:b/>
                <w:bCs/>
                <w:sz w:val="22"/>
                <w:szCs w:val="22"/>
              </w:rPr>
              <w:t>Non-current financial liabilities</w:t>
            </w:r>
          </w:p>
        </w:tc>
        <w:tc>
          <w:tcPr>
            <w:tcW w:w="1531" w:type="dxa"/>
            <w:tcBorders>
              <w:top w:val="single" w:sz="4" w:space="0" w:color="auto"/>
            </w:tcBorders>
            <w:shd w:val="clear" w:color="auto" w:fill="auto"/>
            <w:vAlign w:val="bottom"/>
          </w:tcPr>
          <w:p w14:paraId="6AFF143A" w14:textId="77777777" w:rsidR="003B7DDF" w:rsidRPr="00FF2F42" w:rsidRDefault="003B7DDF" w:rsidP="00055885">
            <w:pPr>
              <w:ind w:left="-116" w:right="27"/>
              <w:jc w:val="right"/>
              <w:rPr>
                <w:rFonts w:ascii="Calibri" w:eastAsia="MS Mincho" w:hAnsi="Calibri" w:cs="Calibri"/>
                <w:b/>
                <w:sz w:val="22"/>
                <w:szCs w:val="22"/>
                <w:u w:val="single"/>
                <w:lang w:val="en-US"/>
              </w:rPr>
            </w:pPr>
            <w:r w:rsidRPr="00FF2F42">
              <w:rPr>
                <w:rFonts w:ascii="Calibri" w:eastAsia="MS Mincho" w:hAnsi="Calibri" w:cs="Calibri"/>
                <w:b/>
                <w:sz w:val="22"/>
                <w:szCs w:val="22"/>
                <w:u w:val="single"/>
                <w:lang w:val="en-US"/>
              </w:rPr>
              <w:t>€M</w:t>
            </w:r>
          </w:p>
        </w:tc>
        <w:tc>
          <w:tcPr>
            <w:tcW w:w="1531" w:type="dxa"/>
            <w:tcBorders>
              <w:top w:val="single" w:sz="4" w:space="0" w:color="auto"/>
            </w:tcBorders>
            <w:shd w:val="clear" w:color="auto" w:fill="auto"/>
            <w:vAlign w:val="bottom"/>
          </w:tcPr>
          <w:p w14:paraId="56B7D79A" w14:textId="77777777" w:rsidR="003B7DDF" w:rsidRPr="00FF2F42" w:rsidRDefault="003B7DDF" w:rsidP="00055885">
            <w:pPr>
              <w:jc w:val="right"/>
              <w:rPr>
                <w:rFonts w:ascii="Calibri" w:eastAsia="MS Mincho" w:hAnsi="Calibri" w:cs="Calibri"/>
                <w:b/>
                <w:sz w:val="22"/>
                <w:szCs w:val="22"/>
                <w:u w:val="single"/>
                <w:lang w:val="en-US"/>
              </w:rPr>
            </w:pPr>
            <w:r w:rsidRPr="00FF2F42">
              <w:rPr>
                <w:rFonts w:ascii="Calibri" w:eastAsia="MS Mincho" w:hAnsi="Calibri" w:cs="Calibri"/>
                <w:b/>
                <w:sz w:val="22"/>
                <w:szCs w:val="22"/>
                <w:u w:val="single"/>
                <w:lang w:val="en-US"/>
              </w:rPr>
              <w:t>€M</w:t>
            </w:r>
          </w:p>
        </w:tc>
        <w:tc>
          <w:tcPr>
            <w:tcW w:w="1531" w:type="dxa"/>
            <w:tcBorders>
              <w:top w:val="single" w:sz="4" w:space="0" w:color="auto"/>
            </w:tcBorders>
          </w:tcPr>
          <w:p w14:paraId="65D70363" w14:textId="77777777" w:rsidR="003B7DDF" w:rsidRPr="00FF2F42" w:rsidRDefault="003B7DDF" w:rsidP="00055885">
            <w:pPr>
              <w:jc w:val="right"/>
              <w:rPr>
                <w:rFonts w:ascii="Calibri" w:eastAsia="MS Mincho" w:hAnsi="Calibri" w:cs="Calibri"/>
                <w:sz w:val="22"/>
                <w:szCs w:val="22"/>
                <w:u w:val="single"/>
                <w:lang w:val="en-US"/>
              </w:rPr>
            </w:pPr>
            <w:r w:rsidRPr="00FF2F42">
              <w:rPr>
                <w:rFonts w:ascii="Calibri" w:eastAsia="MS Mincho" w:hAnsi="Calibri" w:cs="Calibri"/>
                <w:sz w:val="22"/>
                <w:szCs w:val="22"/>
                <w:u w:val="single"/>
                <w:lang w:val="en-US"/>
              </w:rPr>
              <w:t>€M</w:t>
            </w:r>
          </w:p>
        </w:tc>
        <w:tc>
          <w:tcPr>
            <w:tcW w:w="1531" w:type="dxa"/>
            <w:tcBorders>
              <w:top w:val="single" w:sz="4" w:space="0" w:color="auto"/>
            </w:tcBorders>
          </w:tcPr>
          <w:p w14:paraId="04A9E202" w14:textId="77777777" w:rsidR="003B7DDF" w:rsidRPr="00FF2F42" w:rsidRDefault="003B7DDF" w:rsidP="00055885">
            <w:pPr>
              <w:jc w:val="right"/>
              <w:rPr>
                <w:rFonts w:ascii="Calibri" w:eastAsia="MS Mincho" w:hAnsi="Calibri" w:cs="Calibri"/>
                <w:sz w:val="22"/>
                <w:szCs w:val="22"/>
                <w:u w:val="single"/>
                <w:lang w:val="en-US"/>
              </w:rPr>
            </w:pPr>
            <w:r w:rsidRPr="00FF2F42">
              <w:rPr>
                <w:rFonts w:ascii="Calibri" w:eastAsia="MS Mincho" w:hAnsi="Calibri" w:cs="Calibri"/>
                <w:sz w:val="22"/>
                <w:szCs w:val="22"/>
                <w:u w:val="single"/>
                <w:lang w:val="en-US"/>
              </w:rPr>
              <w:t>€M</w:t>
            </w:r>
          </w:p>
        </w:tc>
      </w:tr>
      <w:tr w:rsidR="003B7DDF" w:rsidRPr="00505482" w14:paraId="74714163" w14:textId="77777777" w:rsidTr="007D3243">
        <w:trPr>
          <w:trHeight w:val="287"/>
        </w:trPr>
        <w:tc>
          <w:tcPr>
            <w:tcW w:w="0" w:type="auto"/>
            <w:vAlign w:val="bottom"/>
            <w:hideMark/>
          </w:tcPr>
          <w:p w14:paraId="0E71E0EE" w14:textId="77777777" w:rsidR="003B7DDF" w:rsidRPr="00DB22BA" w:rsidRDefault="003B7DDF" w:rsidP="00055885">
            <w:pPr>
              <w:tabs>
                <w:tab w:val="left" w:leader="dot" w:pos="6804"/>
              </w:tabs>
              <w:rPr>
                <w:rFonts w:ascii="Calibri" w:eastAsia="MS Mincho" w:hAnsi="Calibri" w:cs="Calibri"/>
                <w:bCs/>
                <w:sz w:val="22"/>
                <w:szCs w:val="22"/>
              </w:rPr>
            </w:pPr>
            <w:r w:rsidRPr="00DB22BA">
              <w:rPr>
                <w:rFonts w:ascii="Calibri" w:hAnsi="Calibri" w:cs="Calibri"/>
                <w:bCs/>
                <w:sz w:val="22"/>
                <w:szCs w:val="22"/>
              </w:rPr>
              <w:t>Derivative financial instruments:</w:t>
            </w:r>
          </w:p>
        </w:tc>
        <w:tc>
          <w:tcPr>
            <w:tcW w:w="1531" w:type="dxa"/>
            <w:shd w:val="clear" w:color="auto" w:fill="auto"/>
            <w:vAlign w:val="bottom"/>
          </w:tcPr>
          <w:p w14:paraId="41CEC73A" w14:textId="77777777" w:rsidR="003B7DDF" w:rsidRPr="006D1E36" w:rsidRDefault="003B7DDF" w:rsidP="00055885">
            <w:pPr>
              <w:ind w:left="-116" w:right="27"/>
              <w:jc w:val="right"/>
              <w:rPr>
                <w:rFonts w:ascii="Calibri" w:eastAsia="MS Mincho" w:hAnsi="Calibri" w:cs="Calibri"/>
                <w:b/>
                <w:bCs/>
                <w:sz w:val="22"/>
                <w:szCs w:val="22"/>
              </w:rPr>
            </w:pPr>
          </w:p>
        </w:tc>
        <w:tc>
          <w:tcPr>
            <w:tcW w:w="1531" w:type="dxa"/>
            <w:shd w:val="clear" w:color="auto" w:fill="auto"/>
            <w:vAlign w:val="bottom"/>
          </w:tcPr>
          <w:p w14:paraId="34BDE1D3" w14:textId="77777777" w:rsidR="003B7DDF" w:rsidRPr="006D1E36" w:rsidRDefault="003B7DDF" w:rsidP="00055885">
            <w:pPr>
              <w:jc w:val="right"/>
              <w:rPr>
                <w:rFonts w:ascii="Calibri" w:eastAsia="MS Mincho" w:hAnsi="Calibri" w:cs="Calibri"/>
                <w:b/>
                <w:bCs/>
                <w:sz w:val="22"/>
                <w:szCs w:val="22"/>
              </w:rPr>
            </w:pPr>
          </w:p>
        </w:tc>
        <w:tc>
          <w:tcPr>
            <w:tcW w:w="1531" w:type="dxa"/>
          </w:tcPr>
          <w:p w14:paraId="738D28C0" w14:textId="77777777" w:rsidR="003B7DDF" w:rsidRPr="00DB22BA" w:rsidRDefault="003B7DDF" w:rsidP="00055885">
            <w:pPr>
              <w:jc w:val="right"/>
              <w:rPr>
                <w:rFonts w:ascii="Calibri" w:eastAsia="MS Mincho" w:hAnsi="Calibri" w:cs="Calibri"/>
                <w:sz w:val="22"/>
                <w:szCs w:val="22"/>
              </w:rPr>
            </w:pPr>
          </w:p>
        </w:tc>
        <w:tc>
          <w:tcPr>
            <w:tcW w:w="1531" w:type="dxa"/>
          </w:tcPr>
          <w:p w14:paraId="09614A6F" w14:textId="77777777" w:rsidR="003B7DDF" w:rsidRPr="00DB22BA" w:rsidRDefault="003B7DDF" w:rsidP="00055885">
            <w:pPr>
              <w:jc w:val="right"/>
              <w:rPr>
                <w:rFonts w:ascii="Calibri" w:eastAsia="MS Mincho" w:hAnsi="Calibri" w:cs="Calibri"/>
                <w:sz w:val="22"/>
                <w:szCs w:val="22"/>
              </w:rPr>
            </w:pPr>
          </w:p>
        </w:tc>
      </w:tr>
      <w:tr w:rsidR="003B7DDF" w:rsidRPr="00505482" w14:paraId="795ACDC6" w14:textId="77777777" w:rsidTr="007D3243">
        <w:trPr>
          <w:trHeight w:val="287"/>
        </w:trPr>
        <w:tc>
          <w:tcPr>
            <w:tcW w:w="0" w:type="auto"/>
            <w:vAlign w:val="bottom"/>
          </w:tcPr>
          <w:p w14:paraId="37E67497" w14:textId="77777777" w:rsidR="003B7DDF" w:rsidRPr="00DB22BA" w:rsidRDefault="003B7DDF" w:rsidP="00055885">
            <w:pPr>
              <w:tabs>
                <w:tab w:val="left" w:leader="dot" w:pos="6804"/>
              </w:tabs>
              <w:ind w:right="-249"/>
              <w:rPr>
                <w:rFonts w:ascii="Calibri" w:hAnsi="Calibri" w:cs="Calibri"/>
                <w:bCs/>
                <w:sz w:val="22"/>
                <w:szCs w:val="22"/>
              </w:rPr>
            </w:pPr>
            <w:r w:rsidRPr="00DB22BA">
              <w:rPr>
                <w:rFonts w:ascii="Calibri" w:hAnsi="Calibri" w:cs="Calibri"/>
                <w:sz w:val="22"/>
                <w:szCs w:val="22"/>
              </w:rPr>
              <w:lastRenderedPageBreak/>
              <w:t>- U.S. dollar currency forward contracts</w:t>
            </w:r>
          </w:p>
        </w:tc>
        <w:tc>
          <w:tcPr>
            <w:tcW w:w="1531" w:type="dxa"/>
            <w:shd w:val="clear" w:color="auto" w:fill="FFFF00"/>
            <w:vAlign w:val="bottom"/>
          </w:tcPr>
          <w:p w14:paraId="1F13A7FD" w14:textId="7F319893" w:rsidR="003B7DDF" w:rsidRPr="006D1E36" w:rsidRDefault="0038578D" w:rsidP="00055885">
            <w:pPr>
              <w:ind w:left="-116" w:right="27"/>
              <w:jc w:val="right"/>
              <w:rPr>
                <w:rFonts w:ascii="Calibri" w:eastAsia="MS Mincho" w:hAnsi="Calibri" w:cs="Calibri"/>
                <w:b/>
                <w:bCs/>
                <w:sz w:val="22"/>
                <w:szCs w:val="22"/>
                <w:lang w:val="en-US"/>
              </w:rPr>
            </w:pPr>
            <w:r>
              <w:rPr>
                <w:rFonts w:ascii="Calibri" w:eastAsia="MS Mincho" w:hAnsi="Calibri" w:cs="Calibri"/>
                <w:b/>
                <w:bCs/>
                <w:sz w:val="22"/>
                <w:szCs w:val="22"/>
                <w:lang w:val="en-US"/>
              </w:rPr>
              <w:t>4.5</w:t>
            </w:r>
          </w:p>
        </w:tc>
        <w:tc>
          <w:tcPr>
            <w:tcW w:w="1531" w:type="dxa"/>
            <w:shd w:val="clear" w:color="auto" w:fill="FFFF00"/>
            <w:vAlign w:val="bottom"/>
          </w:tcPr>
          <w:p w14:paraId="5020544D" w14:textId="65F9B46D" w:rsidR="003B7DDF" w:rsidRPr="006D1E36" w:rsidRDefault="0038578D" w:rsidP="00055885">
            <w:pPr>
              <w:jc w:val="right"/>
              <w:rPr>
                <w:rFonts w:ascii="Calibri" w:eastAsia="MS Mincho" w:hAnsi="Calibri" w:cs="Calibri"/>
                <w:b/>
                <w:bCs/>
                <w:sz w:val="22"/>
                <w:szCs w:val="22"/>
                <w:lang w:val="en-US"/>
              </w:rPr>
            </w:pPr>
            <w:r>
              <w:rPr>
                <w:rFonts w:ascii="Calibri" w:eastAsia="MS Mincho" w:hAnsi="Calibri" w:cs="Calibri"/>
                <w:b/>
                <w:bCs/>
                <w:sz w:val="22"/>
                <w:szCs w:val="22"/>
                <w:lang w:val="en-US"/>
              </w:rPr>
              <w:t>4.5</w:t>
            </w:r>
          </w:p>
        </w:tc>
        <w:tc>
          <w:tcPr>
            <w:tcW w:w="1531" w:type="dxa"/>
            <w:vAlign w:val="bottom"/>
          </w:tcPr>
          <w:p w14:paraId="034EDB14" w14:textId="77777777" w:rsidR="003B7DDF" w:rsidRPr="00DE1EB5" w:rsidRDefault="003B7DDF" w:rsidP="00055885">
            <w:pPr>
              <w:ind w:left="-116" w:right="27"/>
              <w:jc w:val="right"/>
              <w:rPr>
                <w:rFonts w:ascii="Calibri" w:eastAsia="MS Mincho" w:hAnsi="Calibri" w:cs="Calibri"/>
                <w:bCs/>
                <w:sz w:val="22"/>
                <w:szCs w:val="22"/>
                <w:lang w:val="en-US"/>
              </w:rPr>
            </w:pPr>
            <w:r w:rsidRPr="00DE1EB5">
              <w:rPr>
                <w:rFonts w:ascii="Calibri" w:eastAsia="MS Mincho" w:hAnsi="Calibri" w:cs="Calibri"/>
                <w:bCs/>
                <w:sz w:val="22"/>
                <w:szCs w:val="22"/>
                <w:lang w:val="en-US"/>
              </w:rPr>
              <w:t>-</w:t>
            </w:r>
          </w:p>
        </w:tc>
        <w:tc>
          <w:tcPr>
            <w:tcW w:w="1531" w:type="dxa"/>
            <w:vAlign w:val="bottom"/>
          </w:tcPr>
          <w:p w14:paraId="03373E39" w14:textId="77777777" w:rsidR="003B7DDF" w:rsidRPr="00DE1EB5" w:rsidRDefault="003B7DDF" w:rsidP="00055885">
            <w:pPr>
              <w:jc w:val="right"/>
              <w:rPr>
                <w:rFonts w:ascii="Calibri" w:eastAsia="MS Mincho" w:hAnsi="Calibri" w:cs="Calibri"/>
                <w:bCs/>
                <w:sz w:val="22"/>
                <w:szCs w:val="22"/>
                <w:lang w:val="en-US"/>
              </w:rPr>
            </w:pPr>
            <w:r w:rsidRPr="00DE1EB5">
              <w:rPr>
                <w:rFonts w:ascii="Calibri" w:eastAsia="MS Mincho" w:hAnsi="Calibri" w:cs="Calibri"/>
                <w:bCs/>
                <w:sz w:val="22"/>
                <w:szCs w:val="22"/>
                <w:lang w:val="en-US"/>
              </w:rPr>
              <w:t>-</w:t>
            </w:r>
          </w:p>
        </w:tc>
      </w:tr>
      <w:tr w:rsidR="003B7DDF" w:rsidRPr="00505482" w14:paraId="235FFBB1" w14:textId="77777777" w:rsidTr="007D3243">
        <w:trPr>
          <w:trHeight w:val="287"/>
        </w:trPr>
        <w:tc>
          <w:tcPr>
            <w:tcW w:w="0" w:type="auto"/>
            <w:vAlign w:val="bottom"/>
          </w:tcPr>
          <w:p w14:paraId="2B951731" w14:textId="77777777" w:rsidR="003B7DDF" w:rsidRPr="00DB22BA" w:rsidRDefault="003B7DDF" w:rsidP="00055885">
            <w:pPr>
              <w:tabs>
                <w:tab w:val="left" w:leader="dot" w:pos="6804"/>
              </w:tabs>
              <w:ind w:right="-249"/>
              <w:rPr>
                <w:rFonts w:ascii="Calibri" w:hAnsi="Calibri" w:cs="Calibri"/>
                <w:sz w:val="22"/>
                <w:szCs w:val="22"/>
              </w:rPr>
            </w:pPr>
            <w:r>
              <w:rPr>
                <w:rFonts w:ascii="Calibri" w:hAnsi="Calibri" w:cs="Calibri"/>
                <w:bCs/>
                <w:sz w:val="22"/>
                <w:szCs w:val="22"/>
              </w:rPr>
              <w:t>- Jet fuel contracts</w:t>
            </w:r>
          </w:p>
        </w:tc>
        <w:tc>
          <w:tcPr>
            <w:tcW w:w="1531" w:type="dxa"/>
            <w:tcBorders>
              <w:bottom w:val="single" w:sz="4" w:space="0" w:color="auto"/>
            </w:tcBorders>
            <w:shd w:val="clear" w:color="auto" w:fill="FFFF00"/>
            <w:vAlign w:val="bottom"/>
          </w:tcPr>
          <w:p w14:paraId="11A78526" w14:textId="6EF3E2EB" w:rsidR="003B7DDF" w:rsidRPr="006D1E36" w:rsidRDefault="0038578D" w:rsidP="00055885">
            <w:pPr>
              <w:ind w:left="-116" w:right="27"/>
              <w:jc w:val="right"/>
              <w:rPr>
                <w:rFonts w:ascii="Calibri" w:eastAsia="MS Mincho" w:hAnsi="Calibri" w:cs="Calibri"/>
                <w:b/>
                <w:bCs/>
                <w:sz w:val="22"/>
                <w:szCs w:val="22"/>
                <w:lang w:val="en-US"/>
              </w:rPr>
            </w:pPr>
            <w:r>
              <w:rPr>
                <w:rFonts w:ascii="Calibri" w:eastAsia="MS Mincho" w:hAnsi="Calibri" w:cs="Calibri"/>
                <w:b/>
                <w:bCs/>
                <w:sz w:val="22"/>
                <w:szCs w:val="22"/>
                <w:lang w:val="en-US"/>
              </w:rPr>
              <w:t>58.8</w:t>
            </w:r>
          </w:p>
        </w:tc>
        <w:tc>
          <w:tcPr>
            <w:tcW w:w="1531" w:type="dxa"/>
            <w:tcBorders>
              <w:bottom w:val="single" w:sz="4" w:space="0" w:color="auto"/>
            </w:tcBorders>
            <w:shd w:val="clear" w:color="auto" w:fill="FFFF00"/>
            <w:vAlign w:val="bottom"/>
          </w:tcPr>
          <w:p w14:paraId="62ABCE2E" w14:textId="2354E33B" w:rsidR="003B7DDF" w:rsidRPr="006D1E36" w:rsidRDefault="0038578D" w:rsidP="00055885">
            <w:pPr>
              <w:jc w:val="right"/>
              <w:rPr>
                <w:rFonts w:ascii="Calibri" w:eastAsia="MS Mincho" w:hAnsi="Calibri" w:cs="Calibri"/>
                <w:b/>
                <w:bCs/>
                <w:sz w:val="22"/>
                <w:szCs w:val="22"/>
                <w:lang w:val="en-US"/>
              </w:rPr>
            </w:pPr>
            <w:r>
              <w:rPr>
                <w:rFonts w:ascii="Calibri" w:eastAsia="MS Mincho" w:hAnsi="Calibri" w:cs="Calibri"/>
                <w:b/>
                <w:bCs/>
                <w:sz w:val="22"/>
                <w:szCs w:val="22"/>
                <w:lang w:val="en-US"/>
              </w:rPr>
              <w:t>58.8</w:t>
            </w:r>
          </w:p>
        </w:tc>
        <w:tc>
          <w:tcPr>
            <w:tcW w:w="1531" w:type="dxa"/>
            <w:tcBorders>
              <w:bottom w:val="single" w:sz="4" w:space="0" w:color="auto"/>
            </w:tcBorders>
            <w:vAlign w:val="bottom"/>
          </w:tcPr>
          <w:p w14:paraId="7411B092" w14:textId="77777777" w:rsidR="003B7DDF" w:rsidRPr="00DE1EB5" w:rsidRDefault="003B7DDF" w:rsidP="00055885">
            <w:pPr>
              <w:ind w:left="-116" w:right="27"/>
              <w:jc w:val="right"/>
              <w:rPr>
                <w:rFonts w:ascii="Calibri" w:eastAsia="MS Mincho" w:hAnsi="Calibri" w:cs="Calibri"/>
                <w:bCs/>
                <w:sz w:val="22"/>
                <w:szCs w:val="22"/>
                <w:lang w:val="en-US"/>
              </w:rPr>
            </w:pPr>
            <w:r w:rsidRPr="00DE1EB5">
              <w:rPr>
                <w:rFonts w:ascii="Calibri" w:eastAsia="MS Mincho" w:hAnsi="Calibri" w:cs="Calibri"/>
                <w:bCs/>
                <w:sz w:val="22"/>
                <w:szCs w:val="22"/>
                <w:lang w:val="en-US"/>
              </w:rPr>
              <w:t>180.5</w:t>
            </w:r>
          </w:p>
        </w:tc>
        <w:tc>
          <w:tcPr>
            <w:tcW w:w="1531" w:type="dxa"/>
            <w:tcBorders>
              <w:bottom w:val="single" w:sz="4" w:space="0" w:color="auto"/>
            </w:tcBorders>
            <w:vAlign w:val="bottom"/>
          </w:tcPr>
          <w:p w14:paraId="65AFC686" w14:textId="77777777" w:rsidR="003B7DDF" w:rsidRPr="00DE1EB5" w:rsidRDefault="003B7DDF" w:rsidP="00055885">
            <w:pPr>
              <w:jc w:val="right"/>
              <w:rPr>
                <w:rFonts w:ascii="Calibri" w:eastAsia="MS Mincho" w:hAnsi="Calibri" w:cs="Calibri"/>
                <w:bCs/>
                <w:sz w:val="22"/>
                <w:szCs w:val="22"/>
                <w:lang w:val="en-US"/>
              </w:rPr>
            </w:pPr>
            <w:r w:rsidRPr="00DE1EB5">
              <w:rPr>
                <w:rFonts w:ascii="Calibri" w:eastAsia="MS Mincho" w:hAnsi="Calibri" w:cs="Calibri"/>
                <w:bCs/>
                <w:sz w:val="22"/>
                <w:szCs w:val="22"/>
                <w:lang w:val="en-US"/>
              </w:rPr>
              <w:t>180.5</w:t>
            </w:r>
          </w:p>
        </w:tc>
      </w:tr>
      <w:tr w:rsidR="003B7DDF" w:rsidRPr="00505482" w14:paraId="122CE17E" w14:textId="77777777" w:rsidTr="007D3243">
        <w:trPr>
          <w:trHeight w:val="272"/>
        </w:trPr>
        <w:tc>
          <w:tcPr>
            <w:tcW w:w="0" w:type="auto"/>
            <w:vAlign w:val="bottom"/>
          </w:tcPr>
          <w:p w14:paraId="34477631" w14:textId="77777777" w:rsidR="003B7DDF" w:rsidRPr="00DB22BA" w:rsidRDefault="003B7DDF" w:rsidP="00055885">
            <w:pPr>
              <w:tabs>
                <w:tab w:val="left" w:leader="dot" w:pos="6804"/>
              </w:tabs>
              <w:rPr>
                <w:rFonts w:ascii="Calibri" w:eastAsia="MS Mincho" w:hAnsi="Calibri" w:cs="Calibri"/>
                <w:sz w:val="22"/>
                <w:szCs w:val="22"/>
              </w:rPr>
            </w:pPr>
          </w:p>
        </w:tc>
        <w:tc>
          <w:tcPr>
            <w:tcW w:w="1531" w:type="dxa"/>
            <w:tcBorders>
              <w:top w:val="single" w:sz="4" w:space="0" w:color="auto"/>
              <w:bottom w:val="single" w:sz="4" w:space="0" w:color="auto"/>
            </w:tcBorders>
            <w:shd w:val="clear" w:color="auto" w:fill="FFFF00"/>
            <w:vAlign w:val="bottom"/>
          </w:tcPr>
          <w:p w14:paraId="348DF4D1" w14:textId="66E454CC" w:rsidR="003B7DDF" w:rsidRPr="006D1E36" w:rsidRDefault="0038578D" w:rsidP="00055885">
            <w:pPr>
              <w:ind w:left="-116" w:right="27"/>
              <w:jc w:val="right"/>
              <w:rPr>
                <w:rFonts w:ascii="Calibri" w:eastAsia="MS Mincho" w:hAnsi="Calibri" w:cs="Calibri"/>
                <w:b/>
                <w:bCs/>
                <w:sz w:val="22"/>
                <w:szCs w:val="22"/>
                <w:lang w:val="en-US"/>
              </w:rPr>
            </w:pPr>
            <w:r>
              <w:rPr>
                <w:rFonts w:ascii="Calibri" w:eastAsia="MS Mincho" w:hAnsi="Calibri" w:cs="Calibri"/>
                <w:b/>
                <w:bCs/>
                <w:sz w:val="22"/>
                <w:szCs w:val="22"/>
                <w:lang w:val="en-US"/>
              </w:rPr>
              <w:t>63.3</w:t>
            </w:r>
          </w:p>
        </w:tc>
        <w:tc>
          <w:tcPr>
            <w:tcW w:w="1531" w:type="dxa"/>
            <w:tcBorders>
              <w:top w:val="single" w:sz="4" w:space="0" w:color="auto"/>
              <w:bottom w:val="single" w:sz="4" w:space="0" w:color="auto"/>
            </w:tcBorders>
            <w:shd w:val="clear" w:color="auto" w:fill="FFFF00"/>
            <w:vAlign w:val="bottom"/>
          </w:tcPr>
          <w:p w14:paraId="44F5C68C" w14:textId="71CF690F" w:rsidR="003B7DDF" w:rsidRPr="006D1E36" w:rsidRDefault="0038578D" w:rsidP="00055885">
            <w:pPr>
              <w:jc w:val="right"/>
              <w:rPr>
                <w:rFonts w:ascii="Calibri" w:eastAsia="MS Mincho" w:hAnsi="Calibri" w:cs="Calibri"/>
                <w:b/>
                <w:bCs/>
                <w:sz w:val="22"/>
                <w:szCs w:val="22"/>
                <w:lang w:val="en-US"/>
              </w:rPr>
            </w:pPr>
            <w:r>
              <w:rPr>
                <w:rFonts w:ascii="Calibri" w:eastAsia="MS Mincho" w:hAnsi="Calibri" w:cs="Calibri"/>
                <w:b/>
                <w:bCs/>
                <w:sz w:val="22"/>
                <w:szCs w:val="22"/>
                <w:lang w:val="en-US"/>
              </w:rPr>
              <w:t>63.3</w:t>
            </w:r>
          </w:p>
        </w:tc>
        <w:tc>
          <w:tcPr>
            <w:tcW w:w="1531" w:type="dxa"/>
            <w:tcBorders>
              <w:top w:val="single" w:sz="4" w:space="0" w:color="auto"/>
              <w:bottom w:val="single" w:sz="4" w:space="0" w:color="auto"/>
            </w:tcBorders>
            <w:vAlign w:val="bottom"/>
          </w:tcPr>
          <w:p w14:paraId="23CED3C9" w14:textId="77777777" w:rsidR="003B7DDF" w:rsidRPr="00DE1EB5" w:rsidRDefault="003B7DDF" w:rsidP="00055885">
            <w:pPr>
              <w:ind w:left="-116" w:right="27"/>
              <w:jc w:val="right"/>
              <w:rPr>
                <w:rFonts w:ascii="Calibri" w:eastAsia="MS Mincho" w:hAnsi="Calibri" w:cs="Calibri"/>
                <w:bCs/>
                <w:sz w:val="22"/>
                <w:szCs w:val="22"/>
                <w:lang w:val="en-US"/>
              </w:rPr>
            </w:pPr>
            <w:r w:rsidRPr="00DE1EB5">
              <w:rPr>
                <w:rFonts w:ascii="Calibri" w:eastAsia="MS Mincho" w:hAnsi="Calibri" w:cs="Calibri"/>
                <w:bCs/>
                <w:sz w:val="22"/>
                <w:szCs w:val="22"/>
                <w:lang w:val="en-US"/>
              </w:rPr>
              <w:t>180.5</w:t>
            </w:r>
          </w:p>
        </w:tc>
        <w:tc>
          <w:tcPr>
            <w:tcW w:w="1531" w:type="dxa"/>
            <w:tcBorders>
              <w:top w:val="single" w:sz="4" w:space="0" w:color="auto"/>
              <w:bottom w:val="single" w:sz="4" w:space="0" w:color="auto"/>
            </w:tcBorders>
            <w:vAlign w:val="bottom"/>
          </w:tcPr>
          <w:p w14:paraId="509F8136" w14:textId="77777777" w:rsidR="003B7DDF" w:rsidRPr="00DE1EB5" w:rsidRDefault="003B7DDF" w:rsidP="00055885">
            <w:pPr>
              <w:jc w:val="right"/>
              <w:rPr>
                <w:rFonts w:ascii="Calibri" w:eastAsia="MS Mincho" w:hAnsi="Calibri" w:cs="Calibri"/>
                <w:bCs/>
                <w:sz w:val="22"/>
                <w:szCs w:val="22"/>
                <w:lang w:val="en-US"/>
              </w:rPr>
            </w:pPr>
            <w:r w:rsidRPr="00DE1EB5">
              <w:rPr>
                <w:rFonts w:ascii="Calibri" w:eastAsia="MS Mincho" w:hAnsi="Calibri" w:cs="Calibri"/>
                <w:bCs/>
                <w:sz w:val="22"/>
                <w:szCs w:val="22"/>
                <w:lang w:val="en-US"/>
              </w:rPr>
              <w:t>180.5</w:t>
            </w:r>
          </w:p>
        </w:tc>
      </w:tr>
      <w:tr w:rsidR="003B7DDF" w:rsidRPr="00505482" w14:paraId="53DEBCAF" w14:textId="77777777" w:rsidTr="007D3243">
        <w:trPr>
          <w:trHeight w:val="287"/>
        </w:trPr>
        <w:tc>
          <w:tcPr>
            <w:tcW w:w="0" w:type="auto"/>
            <w:vAlign w:val="bottom"/>
          </w:tcPr>
          <w:p w14:paraId="5ED34F53" w14:textId="77777777" w:rsidR="003B7DDF" w:rsidRPr="00DB22BA" w:rsidRDefault="003B7DDF" w:rsidP="00055885">
            <w:pPr>
              <w:tabs>
                <w:tab w:val="left" w:leader="dot" w:pos="6804"/>
              </w:tabs>
              <w:ind w:right="-250"/>
              <w:rPr>
                <w:rFonts w:ascii="Calibri" w:hAnsi="Calibri" w:cs="Calibri"/>
                <w:bCs/>
                <w:sz w:val="22"/>
                <w:szCs w:val="22"/>
              </w:rPr>
            </w:pPr>
            <w:r w:rsidRPr="00DB22BA">
              <w:rPr>
                <w:rFonts w:ascii="Calibri" w:hAnsi="Calibri" w:cs="Calibri"/>
                <w:bCs/>
                <w:sz w:val="22"/>
                <w:szCs w:val="22"/>
              </w:rPr>
              <w:t>Long-term debt</w:t>
            </w:r>
          </w:p>
        </w:tc>
        <w:tc>
          <w:tcPr>
            <w:tcW w:w="1531" w:type="dxa"/>
            <w:tcBorders>
              <w:top w:val="single" w:sz="4" w:space="0" w:color="auto"/>
            </w:tcBorders>
            <w:shd w:val="clear" w:color="auto" w:fill="FFFF00"/>
            <w:vAlign w:val="bottom"/>
          </w:tcPr>
          <w:p w14:paraId="6B9717F7" w14:textId="119DDB6F" w:rsidR="003B7DDF" w:rsidRPr="006D1E36" w:rsidRDefault="0038578D" w:rsidP="00055885">
            <w:pPr>
              <w:tabs>
                <w:tab w:val="decimal" w:pos="689"/>
              </w:tabs>
              <w:ind w:left="-116" w:right="27"/>
              <w:jc w:val="right"/>
              <w:rPr>
                <w:rFonts w:ascii="Calibri" w:eastAsia="MS Mincho" w:hAnsi="Calibri" w:cs="Calibri"/>
                <w:b/>
                <w:bCs/>
                <w:sz w:val="22"/>
                <w:szCs w:val="22"/>
              </w:rPr>
            </w:pPr>
            <w:r>
              <w:rPr>
                <w:rFonts w:ascii="Calibri" w:eastAsia="MS Mincho" w:hAnsi="Calibri" w:cs="Calibri"/>
                <w:b/>
                <w:bCs/>
                <w:sz w:val="22"/>
                <w:szCs w:val="22"/>
              </w:rPr>
              <w:t>1,0</w:t>
            </w:r>
            <w:r w:rsidR="00AB69AF">
              <w:rPr>
                <w:rFonts w:ascii="Calibri" w:eastAsia="MS Mincho" w:hAnsi="Calibri" w:cs="Calibri"/>
                <w:b/>
                <w:bCs/>
                <w:sz w:val="22"/>
                <w:szCs w:val="22"/>
              </w:rPr>
              <w:t>6</w:t>
            </w:r>
            <w:r>
              <w:rPr>
                <w:rFonts w:ascii="Calibri" w:eastAsia="MS Mincho" w:hAnsi="Calibri" w:cs="Calibri"/>
                <w:b/>
                <w:bCs/>
                <w:sz w:val="22"/>
                <w:szCs w:val="22"/>
              </w:rPr>
              <w:t>1.</w:t>
            </w:r>
            <w:r w:rsidR="00AB69AF">
              <w:rPr>
                <w:rFonts w:ascii="Calibri" w:eastAsia="MS Mincho" w:hAnsi="Calibri" w:cs="Calibri"/>
                <w:b/>
                <w:bCs/>
                <w:sz w:val="22"/>
                <w:szCs w:val="22"/>
              </w:rPr>
              <w:t>2</w:t>
            </w:r>
          </w:p>
        </w:tc>
        <w:tc>
          <w:tcPr>
            <w:tcW w:w="1531" w:type="dxa"/>
            <w:tcBorders>
              <w:top w:val="single" w:sz="4" w:space="0" w:color="auto"/>
            </w:tcBorders>
            <w:shd w:val="clear" w:color="auto" w:fill="FFFF00"/>
            <w:vAlign w:val="bottom"/>
          </w:tcPr>
          <w:p w14:paraId="1E7F3F64" w14:textId="7F724E5E" w:rsidR="003B7DDF" w:rsidRPr="006D1E36" w:rsidRDefault="0038578D" w:rsidP="00055885">
            <w:pPr>
              <w:tabs>
                <w:tab w:val="decimal" w:pos="689"/>
              </w:tabs>
              <w:jc w:val="right"/>
              <w:rPr>
                <w:rFonts w:ascii="Calibri" w:eastAsia="MS Mincho" w:hAnsi="Calibri" w:cs="Calibri"/>
                <w:b/>
                <w:bCs/>
                <w:sz w:val="22"/>
                <w:szCs w:val="22"/>
              </w:rPr>
            </w:pPr>
            <w:r>
              <w:rPr>
                <w:rFonts w:ascii="Calibri" w:eastAsia="MS Mincho" w:hAnsi="Calibri" w:cs="Calibri"/>
                <w:b/>
                <w:bCs/>
                <w:sz w:val="22"/>
                <w:szCs w:val="22"/>
              </w:rPr>
              <w:t>1,0</w:t>
            </w:r>
            <w:r w:rsidR="00AB69AF">
              <w:rPr>
                <w:rFonts w:ascii="Calibri" w:eastAsia="MS Mincho" w:hAnsi="Calibri" w:cs="Calibri"/>
                <w:b/>
                <w:bCs/>
                <w:sz w:val="22"/>
                <w:szCs w:val="22"/>
              </w:rPr>
              <w:t>68</w:t>
            </w:r>
            <w:r>
              <w:rPr>
                <w:rFonts w:ascii="Calibri" w:eastAsia="MS Mincho" w:hAnsi="Calibri" w:cs="Calibri"/>
                <w:b/>
                <w:bCs/>
                <w:sz w:val="22"/>
                <w:szCs w:val="22"/>
              </w:rPr>
              <w:t>.</w:t>
            </w:r>
            <w:r w:rsidR="00AB69AF">
              <w:rPr>
                <w:rFonts w:ascii="Calibri" w:eastAsia="MS Mincho" w:hAnsi="Calibri" w:cs="Calibri"/>
                <w:b/>
                <w:bCs/>
                <w:sz w:val="22"/>
                <w:szCs w:val="22"/>
              </w:rPr>
              <w:t>9</w:t>
            </w:r>
          </w:p>
        </w:tc>
        <w:tc>
          <w:tcPr>
            <w:tcW w:w="1531" w:type="dxa"/>
            <w:tcBorders>
              <w:top w:val="single" w:sz="4" w:space="0" w:color="auto"/>
            </w:tcBorders>
            <w:vAlign w:val="bottom"/>
          </w:tcPr>
          <w:p w14:paraId="12AF9F18" w14:textId="77777777" w:rsidR="003B7DDF" w:rsidRPr="00DE1EB5" w:rsidRDefault="003B7DDF" w:rsidP="00055885">
            <w:pPr>
              <w:tabs>
                <w:tab w:val="decimal" w:pos="689"/>
              </w:tabs>
              <w:ind w:left="-116" w:right="27"/>
              <w:jc w:val="right"/>
              <w:rPr>
                <w:rFonts w:ascii="Calibri" w:eastAsia="MS Mincho" w:hAnsi="Calibri" w:cs="Calibri"/>
                <w:bCs/>
                <w:sz w:val="22"/>
                <w:szCs w:val="22"/>
              </w:rPr>
            </w:pPr>
            <w:r w:rsidRPr="00DE1EB5">
              <w:rPr>
                <w:rFonts w:ascii="Calibri" w:eastAsia="MS Mincho" w:hAnsi="Calibri" w:cs="Calibri"/>
                <w:bCs/>
                <w:sz w:val="22"/>
                <w:szCs w:val="22"/>
              </w:rPr>
              <w:t>1,138.9</w:t>
            </w:r>
          </w:p>
        </w:tc>
        <w:tc>
          <w:tcPr>
            <w:tcW w:w="1531" w:type="dxa"/>
            <w:tcBorders>
              <w:top w:val="single" w:sz="4" w:space="0" w:color="auto"/>
            </w:tcBorders>
            <w:vAlign w:val="bottom"/>
          </w:tcPr>
          <w:p w14:paraId="7677254C" w14:textId="77777777" w:rsidR="003B7DDF" w:rsidRPr="00DE1EB5" w:rsidRDefault="003B7DDF" w:rsidP="00055885">
            <w:pPr>
              <w:tabs>
                <w:tab w:val="decimal" w:pos="689"/>
              </w:tabs>
              <w:jc w:val="right"/>
              <w:rPr>
                <w:rFonts w:ascii="Calibri" w:eastAsia="MS Mincho" w:hAnsi="Calibri" w:cs="Calibri"/>
                <w:bCs/>
                <w:sz w:val="22"/>
                <w:szCs w:val="22"/>
              </w:rPr>
            </w:pPr>
            <w:r w:rsidRPr="00DE1EB5">
              <w:rPr>
                <w:rFonts w:ascii="Calibri" w:eastAsia="MS Mincho" w:hAnsi="Calibri" w:cs="Calibri"/>
                <w:bCs/>
                <w:sz w:val="22"/>
                <w:szCs w:val="22"/>
              </w:rPr>
              <w:t>1,148.5</w:t>
            </w:r>
          </w:p>
        </w:tc>
      </w:tr>
      <w:tr w:rsidR="003B7DDF" w:rsidRPr="00505482" w14:paraId="31E1218C" w14:textId="77777777" w:rsidTr="007D3243">
        <w:trPr>
          <w:trHeight w:val="287"/>
        </w:trPr>
        <w:tc>
          <w:tcPr>
            <w:tcW w:w="0" w:type="auto"/>
            <w:vAlign w:val="bottom"/>
            <w:hideMark/>
          </w:tcPr>
          <w:p w14:paraId="22F96AF4" w14:textId="77777777" w:rsidR="003B7DDF" w:rsidRPr="00DB22BA" w:rsidRDefault="003B7DDF" w:rsidP="00055885">
            <w:pPr>
              <w:tabs>
                <w:tab w:val="left" w:leader="dot" w:pos="6804"/>
              </w:tabs>
              <w:ind w:right="-250"/>
              <w:rPr>
                <w:rFonts w:ascii="Calibri" w:eastAsia="MS Mincho" w:hAnsi="Calibri" w:cs="Calibri"/>
                <w:bCs/>
                <w:sz w:val="22"/>
                <w:szCs w:val="22"/>
              </w:rPr>
            </w:pPr>
            <w:r w:rsidRPr="00DB22BA">
              <w:rPr>
                <w:rFonts w:ascii="Calibri" w:hAnsi="Calibri" w:cs="Calibri"/>
                <w:bCs/>
                <w:sz w:val="22"/>
                <w:szCs w:val="22"/>
              </w:rPr>
              <w:t>Bonds</w:t>
            </w:r>
          </w:p>
        </w:tc>
        <w:tc>
          <w:tcPr>
            <w:tcW w:w="1531" w:type="dxa"/>
            <w:tcBorders>
              <w:bottom w:val="single" w:sz="4" w:space="0" w:color="auto"/>
            </w:tcBorders>
            <w:shd w:val="clear" w:color="auto" w:fill="FFFF00"/>
            <w:vAlign w:val="bottom"/>
          </w:tcPr>
          <w:p w14:paraId="5588E343" w14:textId="600B3047" w:rsidR="003B7DDF" w:rsidRPr="006D1E36" w:rsidRDefault="0038578D" w:rsidP="00055885">
            <w:pPr>
              <w:tabs>
                <w:tab w:val="decimal" w:pos="689"/>
              </w:tabs>
              <w:ind w:left="-116" w:right="27"/>
              <w:jc w:val="right"/>
              <w:rPr>
                <w:rFonts w:ascii="Calibri" w:eastAsia="MS Mincho" w:hAnsi="Calibri" w:cs="Calibri"/>
                <w:b/>
                <w:bCs/>
                <w:sz w:val="22"/>
                <w:szCs w:val="22"/>
              </w:rPr>
            </w:pPr>
            <w:r>
              <w:rPr>
                <w:rFonts w:ascii="Calibri" w:eastAsia="MS Mincho" w:hAnsi="Calibri" w:cs="Calibri"/>
                <w:b/>
                <w:bCs/>
                <w:sz w:val="22"/>
                <w:szCs w:val="22"/>
              </w:rPr>
              <w:t>2,440.5</w:t>
            </w:r>
          </w:p>
        </w:tc>
        <w:tc>
          <w:tcPr>
            <w:tcW w:w="1531" w:type="dxa"/>
            <w:tcBorders>
              <w:bottom w:val="single" w:sz="4" w:space="0" w:color="auto"/>
            </w:tcBorders>
            <w:shd w:val="clear" w:color="auto" w:fill="FFFF00"/>
            <w:vAlign w:val="bottom"/>
          </w:tcPr>
          <w:p w14:paraId="7F836C42" w14:textId="48BF8CB5" w:rsidR="003B7DDF" w:rsidRPr="006D1E36" w:rsidRDefault="0038578D" w:rsidP="00055885">
            <w:pPr>
              <w:tabs>
                <w:tab w:val="decimal" w:pos="689"/>
              </w:tabs>
              <w:jc w:val="right"/>
              <w:rPr>
                <w:rFonts w:ascii="Calibri" w:eastAsia="MS Mincho" w:hAnsi="Calibri" w:cs="Calibri"/>
                <w:b/>
                <w:bCs/>
                <w:sz w:val="22"/>
                <w:szCs w:val="22"/>
              </w:rPr>
            </w:pPr>
            <w:r>
              <w:rPr>
                <w:rFonts w:ascii="Calibri" w:eastAsia="MS Mincho" w:hAnsi="Calibri" w:cs="Calibri"/>
                <w:b/>
                <w:bCs/>
                <w:sz w:val="22"/>
                <w:szCs w:val="22"/>
              </w:rPr>
              <w:t>2,380.4</w:t>
            </w:r>
          </w:p>
        </w:tc>
        <w:tc>
          <w:tcPr>
            <w:tcW w:w="1531" w:type="dxa"/>
            <w:tcBorders>
              <w:bottom w:val="single" w:sz="4" w:space="0" w:color="auto"/>
            </w:tcBorders>
            <w:vAlign w:val="bottom"/>
          </w:tcPr>
          <w:p w14:paraId="6FDD27E5" w14:textId="77777777" w:rsidR="003B7DDF" w:rsidRPr="00DE1EB5" w:rsidRDefault="003B7DDF" w:rsidP="00055885">
            <w:pPr>
              <w:tabs>
                <w:tab w:val="decimal" w:pos="689"/>
              </w:tabs>
              <w:ind w:left="-116" w:right="27"/>
              <w:jc w:val="right"/>
              <w:rPr>
                <w:rFonts w:ascii="Calibri" w:eastAsia="MS Mincho" w:hAnsi="Calibri" w:cs="Calibri"/>
                <w:bCs/>
                <w:sz w:val="22"/>
                <w:szCs w:val="22"/>
              </w:rPr>
            </w:pPr>
            <w:r w:rsidRPr="00DE1EB5">
              <w:rPr>
                <w:rFonts w:ascii="Calibri" w:eastAsia="MS Mincho" w:hAnsi="Calibri" w:cs="Calibri"/>
                <w:bCs/>
                <w:sz w:val="22"/>
                <w:szCs w:val="22"/>
              </w:rPr>
              <w:t>2,444.1</w:t>
            </w:r>
          </w:p>
        </w:tc>
        <w:tc>
          <w:tcPr>
            <w:tcW w:w="1531" w:type="dxa"/>
            <w:tcBorders>
              <w:bottom w:val="single" w:sz="4" w:space="0" w:color="auto"/>
            </w:tcBorders>
            <w:vAlign w:val="bottom"/>
          </w:tcPr>
          <w:p w14:paraId="12506937" w14:textId="77777777" w:rsidR="003B7DDF" w:rsidRPr="00DE1EB5" w:rsidRDefault="003B7DDF" w:rsidP="00055885">
            <w:pPr>
              <w:tabs>
                <w:tab w:val="decimal" w:pos="689"/>
              </w:tabs>
              <w:jc w:val="right"/>
              <w:rPr>
                <w:rFonts w:ascii="Calibri" w:eastAsia="MS Mincho" w:hAnsi="Calibri" w:cs="Calibri"/>
                <w:bCs/>
                <w:sz w:val="22"/>
                <w:szCs w:val="22"/>
              </w:rPr>
            </w:pPr>
            <w:r w:rsidRPr="00DE1EB5">
              <w:rPr>
                <w:rFonts w:ascii="Calibri" w:eastAsia="MS Mincho" w:hAnsi="Calibri" w:cs="Calibri"/>
                <w:bCs/>
                <w:sz w:val="22"/>
                <w:szCs w:val="22"/>
              </w:rPr>
              <w:t>1,965.0</w:t>
            </w:r>
          </w:p>
        </w:tc>
      </w:tr>
      <w:tr w:rsidR="003B7DDF" w:rsidRPr="00505482" w14:paraId="7BD56087" w14:textId="77777777" w:rsidTr="007D3243">
        <w:trPr>
          <w:trHeight w:val="272"/>
        </w:trPr>
        <w:tc>
          <w:tcPr>
            <w:tcW w:w="0" w:type="auto"/>
            <w:vAlign w:val="bottom"/>
          </w:tcPr>
          <w:p w14:paraId="24D0C50A" w14:textId="77777777" w:rsidR="003B7DDF" w:rsidRPr="00DB22BA" w:rsidRDefault="003B7DDF" w:rsidP="00055885">
            <w:pPr>
              <w:tabs>
                <w:tab w:val="left" w:leader="dot" w:pos="6804"/>
              </w:tabs>
              <w:rPr>
                <w:rFonts w:ascii="Calibri" w:eastAsia="MS Mincho" w:hAnsi="Calibri" w:cs="Calibri"/>
                <w:sz w:val="22"/>
                <w:szCs w:val="22"/>
              </w:rPr>
            </w:pPr>
          </w:p>
        </w:tc>
        <w:tc>
          <w:tcPr>
            <w:tcW w:w="1531" w:type="dxa"/>
            <w:tcBorders>
              <w:top w:val="single" w:sz="4" w:space="0" w:color="auto"/>
              <w:bottom w:val="single" w:sz="4" w:space="0" w:color="auto"/>
            </w:tcBorders>
            <w:shd w:val="clear" w:color="auto" w:fill="FFFF00"/>
            <w:vAlign w:val="bottom"/>
          </w:tcPr>
          <w:p w14:paraId="7823C78D" w14:textId="7195207D" w:rsidR="003B7DDF" w:rsidRPr="006D1E36" w:rsidRDefault="0038578D" w:rsidP="00055885">
            <w:pPr>
              <w:tabs>
                <w:tab w:val="decimal" w:pos="689"/>
              </w:tabs>
              <w:ind w:left="-116" w:right="27"/>
              <w:jc w:val="right"/>
              <w:rPr>
                <w:rFonts w:ascii="Calibri" w:eastAsia="MS Mincho" w:hAnsi="Calibri" w:cs="Calibri"/>
                <w:b/>
                <w:bCs/>
                <w:sz w:val="22"/>
                <w:szCs w:val="22"/>
              </w:rPr>
            </w:pPr>
            <w:r>
              <w:rPr>
                <w:rFonts w:ascii="Calibri" w:eastAsia="MS Mincho" w:hAnsi="Calibri" w:cs="Calibri"/>
                <w:b/>
                <w:bCs/>
                <w:sz w:val="22"/>
                <w:szCs w:val="22"/>
              </w:rPr>
              <w:t>3,5</w:t>
            </w:r>
            <w:r w:rsidR="00AB69AF">
              <w:rPr>
                <w:rFonts w:ascii="Calibri" w:eastAsia="MS Mincho" w:hAnsi="Calibri" w:cs="Calibri"/>
                <w:b/>
                <w:bCs/>
                <w:sz w:val="22"/>
                <w:szCs w:val="22"/>
              </w:rPr>
              <w:t>6</w:t>
            </w:r>
            <w:r>
              <w:rPr>
                <w:rFonts w:ascii="Calibri" w:eastAsia="MS Mincho" w:hAnsi="Calibri" w:cs="Calibri"/>
                <w:b/>
                <w:bCs/>
                <w:sz w:val="22"/>
                <w:szCs w:val="22"/>
              </w:rPr>
              <w:t>5.</w:t>
            </w:r>
            <w:r w:rsidR="00AB69AF">
              <w:rPr>
                <w:rFonts w:ascii="Calibri" w:eastAsia="MS Mincho" w:hAnsi="Calibri" w:cs="Calibri"/>
                <w:b/>
                <w:bCs/>
                <w:sz w:val="22"/>
                <w:szCs w:val="22"/>
              </w:rPr>
              <w:t>0</w:t>
            </w:r>
          </w:p>
        </w:tc>
        <w:tc>
          <w:tcPr>
            <w:tcW w:w="1531" w:type="dxa"/>
            <w:tcBorders>
              <w:top w:val="single" w:sz="4" w:space="0" w:color="auto"/>
              <w:bottom w:val="single" w:sz="4" w:space="0" w:color="auto"/>
            </w:tcBorders>
            <w:shd w:val="clear" w:color="auto" w:fill="FFFF00"/>
            <w:vAlign w:val="bottom"/>
          </w:tcPr>
          <w:p w14:paraId="0FAB71E6" w14:textId="49B21DA6" w:rsidR="003B7DDF" w:rsidRPr="006D1E36" w:rsidRDefault="0038578D" w:rsidP="00055885">
            <w:pPr>
              <w:tabs>
                <w:tab w:val="decimal" w:pos="689"/>
              </w:tabs>
              <w:jc w:val="right"/>
              <w:rPr>
                <w:rFonts w:ascii="Calibri" w:eastAsia="MS Mincho" w:hAnsi="Calibri" w:cs="Calibri"/>
                <w:b/>
                <w:bCs/>
                <w:sz w:val="22"/>
                <w:szCs w:val="22"/>
              </w:rPr>
            </w:pPr>
            <w:r>
              <w:rPr>
                <w:rFonts w:ascii="Calibri" w:eastAsia="MS Mincho" w:hAnsi="Calibri" w:cs="Calibri"/>
                <w:b/>
                <w:bCs/>
                <w:sz w:val="22"/>
                <w:szCs w:val="22"/>
              </w:rPr>
              <w:t>3,</w:t>
            </w:r>
            <w:r w:rsidR="00AB69AF">
              <w:rPr>
                <w:rFonts w:ascii="Calibri" w:eastAsia="MS Mincho" w:hAnsi="Calibri" w:cs="Calibri"/>
                <w:b/>
                <w:bCs/>
                <w:sz w:val="22"/>
                <w:szCs w:val="22"/>
              </w:rPr>
              <w:t>51</w:t>
            </w:r>
            <w:r>
              <w:rPr>
                <w:rFonts w:ascii="Calibri" w:eastAsia="MS Mincho" w:hAnsi="Calibri" w:cs="Calibri"/>
                <w:b/>
                <w:bCs/>
                <w:sz w:val="22"/>
                <w:szCs w:val="22"/>
              </w:rPr>
              <w:t>2.</w:t>
            </w:r>
            <w:r w:rsidR="00AB69AF">
              <w:rPr>
                <w:rFonts w:ascii="Calibri" w:eastAsia="MS Mincho" w:hAnsi="Calibri" w:cs="Calibri"/>
                <w:b/>
                <w:bCs/>
                <w:sz w:val="22"/>
                <w:szCs w:val="22"/>
              </w:rPr>
              <w:t>6</w:t>
            </w:r>
          </w:p>
        </w:tc>
        <w:tc>
          <w:tcPr>
            <w:tcW w:w="1531" w:type="dxa"/>
            <w:tcBorders>
              <w:top w:val="single" w:sz="4" w:space="0" w:color="auto"/>
              <w:bottom w:val="single" w:sz="4" w:space="0" w:color="auto"/>
            </w:tcBorders>
            <w:vAlign w:val="bottom"/>
          </w:tcPr>
          <w:p w14:paraId="3F3D39D4" w14:textId="77777777" w:rsidR="003B7DDF" w:rsidRPr="00DE1EB5" w:rsidRDefault="003B7DDF" w:rsidP="00055885">
            <w:pPr>
              <w:tabs>
                <w:tab w:val="decimal" w:pos="689"/>
              </w:tabs>
              <w:ind w:left="-116" w:right="27"/>
              <w:jc w:val="right"/>
              <w:rPr>
                <w:rFonts w:ascii="Calibri" w:eastAsia="MS Mincho" w:hAnsi="Calibri" w:cs="Calibri"/>
                <w:bCs/>
                <w:sz w:val="22"/>
                <w:szCs w:val="22"/>
              </w:rPr>
            </w:pPr>
            <w:r w:rsidRPr="00DE1EB5">
              <w:rPr>
                <w:rFonts w:ascii="Calibri" w:eastAsia="MS Mincho" w:hAnsi="Calibri" w:cs="Calibri"/>
                <w:bCs/>
                <w:sz w:val="22"/>
                <w:szCs w:val="22"/>
              </w:rPr>
              <w:t>3,763.5</w:t>
            </w:r>
          </w:p>
        </w:tc>
        <w:tc>
          <w:tcPr>
            <w:tcW w:w="1531" w:type="dxa"/>
            <w:tcBorders>
              <w:top w:val="single" w:sz="4" w:space="0" w:color="auto"/>
              <w:bottom w:val="single" w:sz="4" w:space="0" w:color="auto"/>
            </w:tcBorders>
            <w:vAlign w:val="bottom"/>
          </w:tcPr>
          <w:p w14:paraId="2AE0597A" w14:textId="77777777" w:rsidR="003B7DDF" w:rsidRPr="00DE1EB5" w:rsidRDefault="003B7DDF" w:rsidP="00055885">
            <w:pPr>
              <w:tabs>
                <w:tab w:val="decimal" w:pos="689"/>
              </w:tabs>
              <w:jc w:val="right"/>
              <w:rPr>
                <w:rFonts w:ascii="Calibri" w:eastAsia="MS Mincho" w:hAnsi="Calibri" w:cs="Calibri"/>
                <w:bCs/>
                <w:sz w:val="22"/>
                <w:szCs w:val="22"/>
              </w:rPr>
            </w:pPr>
            <w:r w:rsidRPr="00DE1EB5">
              <w:rPr>
                <w:rFonts w:ascii="Calibri" w:eastAsia="MS Mincho" w:hAnsi="Calibri" w:cs="Calibri"/>
                <w:bCs/>
                <w:sz w:val="22"/>
                <w:szCs w:val="22"/>
              </w:rPr>
              <w:t>3,294.0</w:t>
            </w:r>
          </w:p>
        </w:tc>
      </w:tr>
      <w:tr w:rsidR="003B7DDF" w:rsidRPr="00505482" w14:paraId="164F4C9B" w14:textId="77777777" w:rsidTr="007D3243">
        <w:trPr>
          <w:trHeight w:val="287"/>
        </w:trPr>
        <w:tc>
          <w:tcPr>
            <w:tcW w:w="0" w:type="auto"/>
            <w:vAlign w:val="bottom"/>
            <w:hideMark/>
          </w:tcPr>
          <w:p w14:paraId="43E5189F" w14:textId="77777777" w:rsidR="003B7DDF" w:rsidRPr="0038578D" w:rsidRDefault="003B7DDF" w:rsidP="00055885">
            <w:pPr>
              <w:tabs>
                <w:tab w:val="left" w:leader="dot" w:pos="6804"/>
              </w:tabs>
              <w:rPr>
                <w:rFonts w:ascii="Calibri" w:eastAsia="MS Mincho" w:hAnsi="Calibri" w:cs="Calibri"/>
                <w:bCs/>
                <w:color w:val="FF0000"/>
                <w:sz w:val="22"/>
                <w:szCs w:val="22"/>
              </w:rPr>
            </w:pPr>
            <w:r w:rsidRPr="0038578D">
              <w:rPr>
                <w:rFonts w:ascii="Calibri" w:hAnsi="Calibri" w:cs="Calibri"/>
                <w:b/>
                <w:bCs/>
                <w:sz w:val="22"/>
                <w:szCs w:val="22"/>
              </w:rPr>
              <w:t>Current financial liabilities</w:t>
            </w:r>
          </w:p>
        </w:tc>
        <w:tc>
          <w:tcPr>
            <w:tcW w:w="1531" w:type="dxa"/>
            <w:tcBorders>
              <w:top w:val="single" w:sz="4" w:space="0" w:color="auto"/>
            </w:tcBorders>
            <w:shd w:val="clear" w:color="auto" w:fill="FFFF00"/>
            <w:vAlign w:val="bottom"/>
          </w:tcPr>
          <w:p w14:paraId="46EE7616" w14:textId="77777777" w:rsidR="003B7DDF" w:rsidRPr="006D1E36" w:rsidRDefault="003B7DDF" w:rsidP="00055885">
            <w:pPr>
              <w:ind w:left="-116" w:right="27"/>
              <w:jc w:val="right"/>
              <w:rPr>
                <w:rFonts w:ascii="Calibri" w:eastAsia="MS Mincho" w:hAnsi="Calibri" w:cs="Calibri"/>
                <w:b/>
                <w:bCs/>
                <w:sz w:val="22"/>
                <w:szCs w:val="22"/>
              </w:rPr>
            </w:pPr>
          </w:p>
        </w:tc>
        <w:tc>
          <w:tcPr>
            <w:tcW w:w="1531" w:type="dxa"/>
            <w:tcBorders>
              <w:top w:val="single" w:sz="4" w:space="0" w:color="auto"/>
            </w:tcBorders>
            <w:shd w:val="clear" w:color="auto" w:fill="FFFF00"/>
            <w:vAlign w:val="bottom"/>
          </w:tcPr>
          <w:p w14:paraId="4534FA2A" w14:textId="77777777" w:rsidR="003B7DDF" w:rsidRPr="006D1E36" w:rsidRDefault="003B7DDF" w:rsidP="00055885">
            <w:pPr>
              <w:jc w:val="right"/>
              <w:rPr>
                <w:rFonts w:ascii="Calibri" w:eastAsia="MS Mincho" w:hAnsi="Calibri" w:cs="Calibri"/>
                <w:b/>
                <w:bCs/>
                <w:sz w:val="22"/>
                <w:szCs w:val="22"/>
              </w:rPr>
            </w:pPr>
          </w:p>
        </w:tc>
        <w:tc>
          <w:tcPr>
            <w:tcW w:w="1531" w:type="dxa"/>
            <w:tcBorders>
              <w:top w:val="single" w:sz="4" w:space="0" w:color="auto"/>
            </w:tcBorders>
            <w:vAlign w:val="bottom"/>
          </w:tcPr>
          <w:p w14:paraId="1C6E04BC" w14:textId="77777777" w:rsidR="003B7DDF" w:rsidRPr="00DE1EB5" w:rsidRDefault="003B7DDF" w:rsidP="00055885">
            <w:pPr>
              <w:ind w:left="-116" w:right="27"/>
              <w:jc w:val="right"/>
              <w:rPr>
                <w:rFonts w:ascii="Calibri" w:eastAsia="MS Mincho" w:hAnsi="Calibri" w:cs="Calibri"/>
                <w:bCs/>
                <w:sz w:val="22"/>
                <w:szCs w:val="22"/>
              </w:rPr>
            </w:pPr>
          </w:p>
        </w:tc>
        <w:tc>
          <w:tcPr>
            <w:tcW w:w="1531" w:type="dxa"/>
            <w:tcBorders>
              <w:top w:val="single" w:sz="4" w:space="0" w:color="auto"/>
            </w:tcBorders>
            <w:vAlign w:val="bottom"/>
          </w:tcPr>
          <w:p w14:paraId="43B87437" w14:textId="77777777" w:rsidR="003B7DDF" w:rsidRPr="00DE1EB5" w:rsidRDefault="003B7DDF" w:rsidP="00055885">
            <w:pPr>
              <w:jc w:val="right"/>
              <w:rPr>
                <w:rFonts w:ascii="Calibri" w:eastAsia="MS Mincho" w:hAnsi="Calibri" w:cs="Calibri"/>
                <w:bCs/>
                <w:sz w:val="22"/>
                <w:szCs w:val="22"/>
              </w:rPr>
            </w:pPr>
          </w:p>
        </w:tc>
      </w:tr>
      <w:tr w:rsidR="003B7DDF" w:rsidRPr="00505482" w14:paraId="5BB8F28E" w14:textId="77777777" w:rsidTr="007D3243">
        <w:trPr>
          <w:trHeight w:val="287"/>
        </w:trPr>
        <w:tc>
          <w:tcPr>
            <w:tcW w:w="0" w:type="auto"/>
            <w:vAlign w:val="bottom"/>
            <w:hideMark/>
          </w:tcPr>
          <w:p w14:paraId="7B3A9BFD" w14:textId="77777777" w:rsidR="003B7DDF" w:rsidRPr="00DB22BA" w:rsidRDefault="003B7DDF" w:rsidP="00055885">
            <w:pPr>
              <w:tabs>
                <w:tab w:val="left" w:leader="dot" w:pos="6804"/>
              </w:tabs>
              <w:rPr>
                <w:rFonts w:ascii="Calibri" w:eastAsia="MS Mincho" w:hAnsi="Calibri" w:cs="Calibri"/>
                <w:bCs/>
                <w:sz w:val="22"/>
                <w:szCs w:val="22"/>
              </w:rPr>
            </w:pPr>
            <w:r w:rsidRPr="00DB22BA">
              <w:rPr>
                <w:rFonts w:ascii="Calibri" w:hAnsi="Calibri" w:cs="Calibri"/>
                <w:bCs/>
                <w:sz w:val="22"/>
                <w:szCs w:val="22"/>
              </w:rPr>
              <w:t>Derivative financial instruments:</w:t>
            </w:r>
          </w:p>
        </w:tc>
        <w:tc>
          <w:tcPr>
            <w:tcW w:w="1531" w:type="dxa"/>
            <w:shd w:val="clear" w:color="auto" w:fill="FFFF00"/>
            <w:vAlign w:val="bottom"/>
          </w:tcPr>
          <w:p w14:paraId="127F3645" w14:textId="77777777" w:rsidR="003B7DDF" w:rsidRPr="006D1E36" w:rsidRDefault="003B7DDF" w:rsidP="00055885">
            <w:pPr>
              <w:ind w:left="-116" w:right="27"/>
              <w:jc w:val="right"/>
              <w:rPr>
                <w:rFonts w:ascii="Calibri" w:eastAsia="MS Mincho" w:hAnsi="Calibri" w:cs="Calibri"/>
                <w:b/>
                <w:bCs/>
                <w:sz w:val="22"/>
                <w:szCs w:val="22"/>
              </w:rPr>
            </w:pPr>
          </w:p>
        </w:tc>
        <w:tc>
          <w:tcPr>
            <w:tcW w:w="1531" w:type="dxa"/>
            <w:shd w:val="clear" w:color="auto" w:fill="FFFF00"/>
            <w:vAlign w:val="bottom"/>
          </w:tcPr>
          <w:p w14:paraId="3551A433" w14:textId="77777777" w:rsidR="003B7DDF" w:rsidRPr="006D1E36" w:rsidRDefault="003B7DDF" w:rsidP="00055885">
            <w:pPr>
              <w:jc w:val="right"/>
              <w:rPr>
                <w:rFonts w:ascii="Calibri" w:eastAsia="MS Mincho" w:hAnsi="Calibri" w:cs="Calibri"/>
                <w:b/>
                <w:bCs/>
                <w:sz w:val="22"/>
                <w:szCs w:val="22"/>
              </w:rPr>
            </w:pPr>
          </w:p>
        </w:tc>
        <w:tc>
          <w:tcPr>
            <w:tcW w:w="1531" w:type="dxa"/>
            <w:vAlign w:val="bottom"/>
          </w:tcPr>
          <w:p w14:paraId="1814F5AC" w14:textId="77777777" w:rsidR="003B7DDF" w:rsidRPr="00DE1EB5" w:rsidRDefault="003B7DDF" w:rsidP="00055885">
            <w:pPr>
              <w:ind w:left="-116" w:right="27"/>
              <w:jc w:val="right"/>
              <w:rPr>
                <w:rFonts w:ascii="Calibri" w:eastAsia="MS Mincho" w:hAnsi="Calibri" w:cs="Calibri"/>
                <w:bCs/>
                <w:sz w:val="22"/>
                <w:szCs w:val="22"/>
              </w:rPr>
            </w:pPr>
          </w:p>
        </w:tc>
        <w:tc>
          <w:tcPr>
            <w:tcW w:w="1531" w:type="dxa"/>
            <w:vAlign w:val="bottom"/>
          </w:tcPr>
          <w:p w14:paraId="77218359" w14:textId="77777777" w:rsidR="003B7DDF" w:rsidRPr="00DE1EB5" w:rsidRDefault="003B7DDF" w:rsidP="00055885">
            <w:pPr>
              <w:jc w:val="right"/>
              <w:rPr>
                <w:rFonts w:ascii="Calibri" w:eastAsia="MS Mincho" w:hAnsi="Calibri" w:cs="Calibri"/>
                <w:bCs/>
                <w:sz w:val="22"/>
                <w:szCs w:val="22"/>
              </w:rPr>
            </w:pPr>
          </w:p>
        </w:tc>
      </w:tr>
      <w:tr w:rsidR="003B7DDF" w:rsidRPr="00505482" w14:paraId="3D495ADD" w14:textId="77777777" w:rsidTr="007D3243">
        <w:trPr>
          <w:trHeight w:val="287"/>
        </w:trPr>
        <w:tc>
          <w:tcPr>
            <w:tcW w:w="0" w:type="auto"/>
            <w:vAlign w:val="bottom"/>
          </w:tcPr>
          <w:p w14:paraId="613E09ED" w14:textId="77777777" w:rsidR="003B7DDF" w:rsidRPr="00616DA8" w:rsidRDefault="003B7DDF" w:rsidP="00055885">
            <w:pPr>
              <w:tabs>
                <w:tab w:val="left" w:leader="dot" w:pos="6804"/>
              </w:tabs>
              <w:rPr>
                <w:rFonts w:ascii="Calibri" w:hAnsi="Calibri" w:cs="Calibri"/>
                <w:bCs/>
                <w:sz w:val="22"/>
                <w:szCs w:val="22"/>
              </w:rPr>
            </w:pPr>
            <w:r w:rsidRPr="00616DA8">
              <w:rPr>
                <w:rFonts w:ascii="Calibri" w:hAnsi="Calibri" w:cs="Calibri"/>
                <w:bCs/>
                <w:sz w:val="22"/>
                <w:szCs w:val="22"/>
              </w:rPr>
              <w:t>-</w:t>
            </w:r>
            <w:r>
              <w:rPr>
                <w:rFonts w:ascii="Calibri" w:hAnsi="Calibri" w:cs="Calibri"/>
                <w:bCs/>
                <w:sz w:val="22"/>
                <w:szCs w:val="22"/>
              </w:rPr>
              <w:t xml:space="preserve"> Jet fuel &amp; carbon derivative contracts</w:t>
            </w:r>
          </w:p>
        </w:tc>
        <w:tc>
          <w:tcPr>
            <w:tcW w:w="1531" w:type="dxa"/>
            <w:shd w:val="clear" w:color="auto" w:fill="FFFF00"/>
            <w:vAlign w:val="bottom"/>
          </w:tcPr>
          <w:p w14:paraId="240FA8DC" w14:textId="1CE72FB0" w:rsidR="003B7DDF" w:rsidRPr="006D1E36" w:rsidRDefault="0038578D" w:rsidP="00055885">
            <w:pPr>
              <w:ind w:left="-116" w:right="27"/>
              <w:jc w:val="right"/>
              <w:rPr>
                <w:rFonts w:ascii="Calibri" w:eastAsia="MS Mincho" w:hAnsi="Calibri" w:cs="Calibri"/>
                <w:b/>
                <w:bCs/>
                <w:sz w:val="22"/>
                <w:szCs w:val="22"/>
              </w:rPr>
            </w:pPr>
            <w:r>
              <w:rPr>
                <w:rFonts w:ascii="Calibri" w:eastAsia="MS Mincho" w:hAnsi="Calibri" w:cs="Calibri"/>
                <w:b/>
                <w:bCs/>
                <w:sz w:val="22"/>
                <w:szCs w:val="22"/>
              </w:rPr>
              <w:t>498.8</w:t>
            </w:r>
          </w:p>
        </w:tc>
        <w:tc>
          <w:tcPr>
            <w:tcW w:w="1531" w:type="dxa"/>
            <w:shd w:val="clear" w:color="auto" w:fill="FFFF00"/>
            <w:vAlign w:val="bottom"/>
          </w:tcPr>
          <w:p w14:paraId="07CDB8A5" w14:textId="4FAF20B5" w:rsidR="003B7DDF" w:rsidRPr="006D1E36" w:rsidRDefault="0038578D" w:rsidP="00055885">
            <w:pPr>
              <w:jc w:val="right"/>
              <w:rPr>
                <w:rFonts w:ascii="Calibri" w:eastAsia="MS Mincho" w:hAnsi="Calibri" w:cs="Calibri"/>
                <w:b/>
                <w:bCs/>
                <w:sz w:val="22"/>
                <w:szCs w:val="22"/>
              </w:rPr>
            </w:pPr>
            <w:r>
              <w:rPr>
                <w:rFonts w:ascii="Calibri" w:eastAsia="MS Mincho" w:hAnsi="Calibri" w:cs="Calibri"/>
                <w:b/>
                <w:bCs/>
                <w:sz w:val="22"/>
                <w:szCs w:val="22"/>
              </w:rPr>
              <w:t>498.8</w:t>
            </w:r>
          </w:p>
        </w:tc>
        <w:tc>
          <w:tcPr>
            <w:tcW w:w="1531" w:type="dxa"/>
            <w:vAlign w:val="bottom"/>
          </w:tcPr>
          <w:p w14:paraId="7A3158AC" w14:textId="77777777" w:rsidR="003B7DDF" w:rsidRPr="00DE1EB5" w:rsidRDefault="003B7DDF" w:rsidP="00055885">
            <w:pPr>
              <w:ind w:left="-116" w:right="27"/>
              <w:jc w:val="right"/>
              <w:rPr>
                <w:rFonts w:ascii="Calibri" w:eastAsia="MS Mincho" w:hAnsi="Calibri" w:cs="Calibri"/>
                <w:bCs/>
                <w:sz w:val="22"/>
                <w:szCs w:val="22"/>
              </w:rPr>
            </w:pPr>
            <w:r w:rsidRPr="00DE1EB5">
              <w:rPr>
                <w:rFonts w:ascii="Calibri" w:eastAsia="MS Mincho" w:hAnsi="Calibri" w:cs="Calibri"/>
                <w:bCs/>
                <w:sz w:val="22"/>
                <w:szCs w:val="22"/>
              </w:rPr>
              <w:t>1,047.8</w:t>
            </w:r>
          </w:p>
        </w:tc>
        <w:tc>
          <w:tcPr>
            <w:tcW w:w="1531" w:type="dxa"/>
            <w:vAlign w:val="bottom"/>
          </w:tcPr>
          <w:p w14:paraId="5223AA4E" w14:textId="77777777" w:rsidR="003B7DDF" w:rsidRPr="00DE1EB5" w:rsidRDefault="003B7DDF" w:rsidP="00055885">
            <w:pPr>
              <w:jc w:val="right"/>
              <w:rPr>
                <w:rFonts w:ascii="Calibri" w:eastAsia="MS Mincho" w:hAnsi="Calibri" w:cs="Calibri"/>
                <w:bCs/>
                <w:sz w:val="22"/>
                <w:szCs w:val="22"/>
              </w:rPr>
            </w:pPr>
            <w:r w:rsidRPr="00DE1EB5">
              <w:rPr>
                <w:rFonts w:ascii="Calibri" w:eastAsia="MS Mincho" w:hAnsi="Calibri" w:cs="Calibri"/>
                <w:bCs/>
                <w:sz w:val="22"/>
                <w:szCs w:val="22"/>
              </w:rPr>
              <w:t>1,047.8</w:t>
            </w:r>
          </w:p>
        </w:tc>
      </w:tr>
      <w:tr w:rsidR="003B7DDF" w:rsidRPr="00505482" w14:paraId="612426E9" w14:textId="77777777" w:rsidTr="007D3243">
        <w:trPr>
          <w:trHeight w:val="287"/>
        </w:trPr>
        <w:tc>
          <w:tcPr>
            <w:tcW w:w="0" w:type="auto"/>
            <w:vAlign w:val="bottom"/>
            <w:hideMark/>
          </w:tcPr>
          <w:p w14:paraId="422F92AC" w14:textId="77777777" w:rsidR="003B7DDF" w:rsidRPr="00DB22BA" w:rsidRDefault="003B7DDF" w:rsidP="00055885">
            <w:pPr>
              <w:tabs>
                <w:tab w:val="left" w:leader="dot" w:pos="6804"/>
              </w:tabs>
              <w:ind w:right="-250"/>
              <w:rPr>
                <w:rFonts w:ascii="Calibri" w:eastAsia="MS Mincho" w:hAnsi="Calibri" w:cs="Calibri"/>
                <w:bCs/>
                <w:sz w:val="22"/>
                <w:szCs w:val="22"/>
              </w:rPr>
            </w:pPr>
            <w:r w:rsidRPr="00DB22BA">
              <w:rPr>
                <w:rFonts w:ascii="Calibri" w:hAnsi="Calibri" w:cs="Calibri"/>
                <w:bCs/>
                <w:sz w:val="22"/>
                <w:szCs w:val="22"/>
              </w:rPr>
              <w:t>- U.S. dollar currency forward contracts</w:t>
            </w:r>
          </w:p>
        </w:tc>
        <w:tc>
          <w:tcPr>
            <w:tcW w:w="1531" w:type="dxa"/>
            <w:shd w:val="clear" w:color="auto" w:fill="FFFF00"/>
            <w:vAlign w:val="bottom"/>
          </w:tcPr>
          <w:p w14:paraId="361AA7C7" w14:textId="63B89B4D" w:rsidR="003B7DDF" w:rsidRPr="006D1E36" w:rsidRDefault="0038578D" w:rsidP="00055885">
            <w:pPr>
              <w:ind w:left="-116" w:right="27"/>
              <w:jc w:val="right"/>
              <w:rPr>
                <w:rFonts w:ascii="Calibri" w:eastAsia="MS Mincho" w:hAnsi="Calibri" w:cs="Calibri"/>
                <w:b/>
                <w:bCs/>
                <w:sz w:val="22"/>
                <w:szCs w:val="22"/>
                <w:lang w:val="en-US"/>
              </w:rPr>
            </w:pPr>
            <w:r>
              <w:rPr>
                <w:rFonts w:ascii="Calibri" w:eastAsia="MS Mincho" w:hAnsi="Calibri" w:cs="Calibri"/>
                <w:b/>
                <w:bCs/>
                <w:sz w:val="22"/>
                <w:szCs w:val="22"/>
                <w:lang w:val="en-US"/>
              </w:rPr>
              <w:t>44.0</w:t>
            </w:r>
          </w:p>
        </w:tc>
        <w:tc>
          <w:tcPr>
            <w:tcW w:w="1531" w:type="dxa"/>
            <w:shd w:val="clear" w:color="auto" w:fill="FFFF00"/>
            <w:vAlign w:val="bottom"/>
          </w:tcPr>
          <w:p w14:paraId="37A34839" w14:textId="5C53B37E" w:rsidR="003B7DDF" w:rsidRPr="006D1E36" w:rsidRDefault="0038578D" w:rsidP="00055885">
            <w:pPr>
              <w:jc w:val="right"/>
              <w:rPr>
                <w:rFonts w:ascii="Calibri" w:eastAsia="MS Mincho" w:hAnsi="Calibri" w:cs="Calibri"/>
                <w:b/>
                <w:bCs/>
                <w:sz w:val="22"/>
                <w:szCs w:val="22"/>
                <w:lang w:val="en-US"/>
              </w:rPr>
            </w:pPr>
            <w:r>
              <w:rPr>
                <w:rFonts w:ascii="Calibri" w:eastAsia="MS Mincho" w:hAnsi="Calibri" w:cs="Calibri"/>
                <w:b/>
                <w:bCs/>
                <w:sz w:val="22"/>
                <w:szCs w:val="22"/>
                <w:lang w:val="en-US"/>
              </w:rPr>
              <w:t>44.0</w:t>
            </w:r>
          </w:p>
        </w:tc>
        <w:tc>
          <w:tcPr>
            <w:tcW w:w="1531" w:type="dxa"/>
            <w:vAlign w:val="bottom"/>
          </w:tcPr>
          <w:p w14:paraId="0E167EC3" w14:textId="77777777" w:rsidR="003B7DDF" w:rsidRPr="00DE1EB5" w:rsidRDefault="003B7DDF" w:rsidP="00055885">
            <w:pPr>
              <w:ind w:left="-116" w:right="27"/>
              <w:jc w:val="right"/>
              <w:rPr>
                <w:rFonts w:ascii="Calibri" w:eastAsia="MS Mincho" w:hAnsi="Calibri" w:cs="Calibri"/>
                <w:bCs/>
                <w:sz w:val="22"/>
                <w:szCs w:val="22"/>
                <w:lang w:val="en-US"/>
              </w:rPr>
            </w:pPr>
            <w:r w:rsidRPr="00DE1EB5">
              <w:rPr>
                <w:rFonts w:ascii="Calibri" w:eastAsia="MS Mincho" w:hAnsi="Calibri" w:cs="Calibri"/>
                <w:bCs/>
                <w:sz w:val="22"/>
                <w:szCs w:val="22"/>
                <w:lang w:val="en-US"/>
              </w:rPr>
              <w:t>2.2</w:t>
            </w:r>
          </w:p>
        </w:tc>
        <w:tc>
          <w:tcPr>
            <w:tcW w:w="1531" w:type="dxa"/>
            <w:vAlign w:val="bottom"/>
          </w:tcPr>
          <w:p w14:paraId="1009C055" w14:textId="77777777" w:rsidR="003B7DDF" w:rsidRPr="00DE1EB5" w:rsidRDefault="003B7DDF" w:rsidP="00055885">
            <w:pPr>
              <w:jc w:val="right"/>
              <w:rPr>
                <w:rFonts w:ascii="Calibri" w:eastAsia="MS Mincho" w:hAnsi="Calibri" w:cs="Calibri"/>
                <w:bCs/>
                <w:sz w:val="22"/>
                <w:szCs w:val="22"/>
                <w:lang w:val="en-US"/>
              </w:rPr>
            </w:pPr>
            <w:r w:rsidRPr="00DE1EB5">
              <w:rPr>
                <w:rFonts w:ascii="Calibri" w:eastAsia="MS Mincho" w:hAnsi="Calibri" w:cs="Calibri"/>
                <w:bCs/>
                <w:sz w:val="22"/>
                <w:szCs w:val="22"/>
                <w:lang w:val="en-US"/>
              </w:rPr>
              <w:t>2.2</w:t>
            </w:r>
          </w:p>
        </w:tc>
      </w:tr>
      <w:tr w:rsidR="0038578D" w:rsidRPr="00505482" w14:paraId="7E115473" w14:textId="77777777" w:rsidTr="007D3243">
        <w:trPr>
          <w:trHeight w:val="287"/>
        </w:trPr>
        <w:tc>
          <w:tcPr>
            <w:tcW w:w="0" w:type="auto"/>
            <w:vAlign w:val="bottom"/>
          </w:tcPr>
          <w:p w14:paraId="75546EBB" w14:textId="7AFF152F" w:rsidR="0038578D" w:rsidRPr="00DB22BA" w:rsidRDefault="0038578D" w:rsidP="00055885">
            <w:pPr>
              <w:tabs>
                <w:tab w:val="left" w:leader="dot" w:pos="6804"/>
              </w:tabs>
              <w:ind w:right="-250"/>
              <w:rPr>
                <w:rFonts w:ascii="Calibri" w:hAnsi="Calibri" w:cs="Calibri"/>
                <w:bCs/>
                <w:sz w:val="22"/>
                <w:szCs w:val="22"/>
              </w:rPr>
            </w:pPr>
            <w:r w:rsidRPr="00DB22BA">
              <w:rPr>
                <w:rFonts w:ascii="Calibri" w:hAnsi="Calibri" w:cs="Calibri"/>
                <w:bCs/>
                <w:sz w:val="22"/>
                <w:szCs w:val="22"/>
              </w:rPr>
              <w:t xml:space="preserve">- </w:t>
            </w:r>
            <w:r>
              <w:rPr>
                <w:rFonts w:ascii="Calibri" w:hAnsi="Calibri" w:cs="Calibri"/>
                <w:bCs/>
                <w:sz w:val="22"/>
                <w:szCs w:val="22"/>
              </w:rPr>
              <w:t>GBP currency swap</w:t>
            </w:r>
          </w:p>
        </w:tc>
        <w:tc>
          <w:tcPr>
            <w:tcW w:w="1531" w:type="dxa"/>
            <w:shd w:val="clear" w:color="auto" w:fill="FFFF00"/>
            <w:vAlign w:val="bottom"/>
          </w:tcPr>
          <w:p w14:paraId="4328F851" w14:textId="2B9C5081" w:rsidR="0038578D" w:rsidRDefault="0038578D" w:rsidP="00055885">
            <w:pPr>
              <w:ind w:left="-116" w:right="27"/>
              <w:jc w:val="right"/>
              <w:rPr>
                <w:rFonts w:ascii="Calibri" w:eastAsia="MS Mincho" w:hAnsi="Calibri" w:cs="Calibri"/>
                <w:b/>
                <w:bCs/>
                <w:sz w:val="22"/>
                <w:szCs w:val="22"/>
                <w:lang w:val="en-US"/>
              </w:rPr>
            </w:pPr>
            <w:r>
              <w:rPr>
                <w:rFonts w:ascii="Calibri" w:eastAsia="MS Mincho" w:hAnsi="Calibri" w:cs="Calibri"/>
                <w:b/>
                <w:bCs/>
                <w:sz w:val="22"/>
                <w:szCs w:val="22"/>
                <w:lang w:val="en-US"/>
              </w:rPr>
              <w:t>25.3</w:t>
            </w:r>
          </w:p>
        </w:tc>
        <w:tc>
          <w:tcPr>
            <w:tcW w:w="1531" w:type="dxa"/>
            <w:shd w:val="clear" w:color="auto" w:fill="FFFF00"/>
            <w:vAlign w:val="bottom"/>
          </w:tcPr>
          <w:p w14:paraId="15CB02FC" w14:textId="500FD43B" w:rsidR="0038578D" w:rsidRDefault="0038578D" w:rsidP="00055885">
            <w:pPr>
              <w:jc w:val="right"/>
              <w:rPr>
                <w:rFonts w:ascii="Calibri" w:eastAsia="MS Mincho" w:hAnsi="Calibri" w:cs="Calibri"/>
                <w:b/>
                <w:bCs/>
                <w:sz w:val="22"/>
                <w:szCs w:val="22"/>
                <w:lang w:val="en-US"/>
              </w:rPr>
            </w:pPr>
            <w:r>
              <w:rPr>
                <w:rFonts w:ascii="Calibri" w:eastAsia="MS Mincho" w:hAnsi="Calibri" w:cs="Calibri"/>
                <w:b/>
                <w:bCs/>
                <w:sz w:val="22"/>
                <w:szCs w:val="22"/>
                <w:lang w:val="en-US"/>
              </w:rPr>
              <w:t>25.3</w:t>
            </w:r>
          </w:p>
        </w:tc>
        <w:tc>
          <w:tcPr>
            <w:tcW w:w="1531" w:type="dxa"/>
            <w:vAlign w:val="bottom"/>
          </w:tcPr>
          <w:p w14:paraId="283E42EF" w14:textId="0A4DB593" w:rsidR="0038578D" w:rsidRPr="00DE1EB5" w:rsidRDefault="0038578D" w:rsidP="00055885">
            <w:pPr>
              <w:ind w:left="-116" w:right="27"/>
              <w:jc w:val="right"/>
              <w:rPr>
                <w:rFonts w:ascii="Calibri" w:eastAsia="MS Mincho" w:hAnsi="Calibri" w:cs="Calibri"/>
                <w:bCs/>
                <w:sz w:val="22"/>
                <w:szCs w:val="22"/>
                <w:lang w:val="en-US"/>
              </w:rPr>
            </w:pPr>
            <w:r>
              <w:rPr>
                <w:rFonts w:ascii="Calibri" w:eastAsia="MS Mincho" w:hAnsi="Calibri" w:cs="Calibri"/>
                <w:bCs/>
                <w:sz w:val="22"/>
                <w:szCs w:val="22"/>
                <w:lang w:val="en-US"/>
              </w:rPr>
              <w:t>-</w:t>
            </w:r>
          </w:p>
        </w:tc>
        <w:tc>
          <w:tcPr>
            <w:tcW w:w="1531" w:type="dxa"/>
            <w:vAlign w:val="bottom"/>
          </w:tcPr>
          <w:p w14:paraId="779A85F1" w14:textId="623B8F95" w:rsidR="0038578D" w:rsidRPr="00DE1EB5" w:rsidRDefault="0038578D" w:rsidP="00055885">
            <w:pPr>
              <w:jc w:val="right"/>
              <w:rPr>
                <w:rFonts w:ascii="Calibri" w:eastAsia="MS Mincho" w:hAnsi="Calibri" w:cs="Calibri"/>
                <w:bCs/>
                <w:sz w:val="22"/>
                <w:szCs w:val="22"/>
                <w:lang w:val="en-US"/>
              </w:rPr>
            </w:pPr>
            <w:r>
              <w:rPr>
                <w:rFonts w:ascii="Calibri" w:eastAsia="MS Mincho" w:hAnsi="Calibri" w:cs="Calibri"/>
                <w:bCs/>
                <w:sz w:val="22"/>
                <w:szCs w:val="22"/>
                <w:lang w:val="en-US"/>
              </w:rPr>
              <w:t>-</w:t>
            </w:r>
          </w:p>
        </w:tc>
      </w:tr>
      <w:tr w:rsidR="003B7DDF" w:rsidRPr="00505482" w14:paraId="1EB62936" w14:textId="77777777" w:rsidTr="007D3243">
        <w:trPr>
          <w:trHeight w:val="272"/>
        </w:trPr>
        <w:tc>
          <w:tcPr>
            <w:tcW w:w="0" w:type="auto"/>
            <w:vAlign w:val="bottom"/>
          </w:tcPr>
          <w:p w14:paraId="42F5B507" w14:textId="77777777" w:rsidR="003B7DDF" w:rsidRPr="00DB22BA" w:rsidRDefault="003B7DDF" w:rsidP="00055885">
            <w:pPr>
              <w:tabs>
                <w:tab w:val="left" w:leader="dot" w:pos="6804"/>
              </w:tabs>
              <w:rPr>
                <w:rFonts w:ascii="Calibri" w:eastAsia="MS Mincho" w:hAnsi="Calibri" w:cs="Calibri"/>
                <w:sz w:val="22"/>
                <w:szCs w:val="22"/>
              </w:rPr>
            </w:pPr>
          </w:p>
        </w:tc>
        <w:tc>
          <w:tcPr>
            <w:tcW w:w="1531" w:type="dxa"/>
            <w:tcBorders>
              <w:top w:val="single" w:sz="4" w:space="0" w:color="auto"/>
            </w:tcBorders>
            <w:shd w:val="clear" w:color="auto" w:fill="FFFF00"/>
            <w:vAlign w:val="bottom"/>
          </w:tcPr>
          <w:p w14:paraId="672E9519" w14:textId="5DF2BCD7" w:rsidR="003B7DDF" w:rsidRPr="006D1E36" w:rsidRDefault="0038578D" w:rsidP="00055885">
            <w:pPr>
              <w:ind w:left="-116" w:right="27"/>
              <w:jc w:val="right"/>
              <w:rPr>
                <w:rFonts w:ascii="Calibri" w:eastAsia="MS Mincho" w:hAnsi="Calibri" w:cs="Calibri"/>
                <w:b/>
                <w:bCs/>
                <w:sz w:val="22"/>
                <w:szCs w:val="22"/>
                <w:lang w:val="en-US"/>
              </w:rPr>
            </w:pPr>
            <w:r>
              <w:rPr>
                <w:rFonts w:ascii="Calibri" w:eastAsia="MS Mincho" w:hAnsi="Calibri" w:cs="Calibri"/>
                <w:b/>
                <w:bCs/>
                <w:sz w:val="22"/>
                <w:szCs w:val="22"/>
                <w:lang w:val="en-US"/>
              </w:rPr>
              <w:t>568.1</w:t>
            </w:r>
          </w:p>
        </w:tc>
        <w:tc>
          <w:tcPr>
            <w:tcW w:w="1531" w:type="dxa"/>
            <w:tcBorders>
              <w:top w:val="single" w:sz="4" w:space="0" w:color="auto"/>
            </w:tcBorders>
            <w:shd w:val="clear" w:color="auto" w:fill="FFFF00"/>
            <w:vAlign w:val="bottom"/>
          </w:tcPr>
          <w:p w14:paraId="011ACBD5" w14:textId="4E35FC92" w:rsidR="003B7DDF" w:rsidRPr="006D1E36" w:rsidRDefault="0038578D" w:rsidP="00055885">
            <w:pPr>
              <w:jc w:val="right"/>
              <w:rPr>
                <w:rFonts w:ascii="Calibri" w:eastAsia="MS Mincho" w:hAnsi="Calibri" w:cs="Calibri"/>
                <w:b/>
                <w:bCs/>
                <w:sz w:val="22"/>
                <w:szCs w:val="22"/>
                <w:lang w:val="en-US"/>
              </w:rPr>
            </w:pPr>
            <w:r>
              <w:rPr>
                <w:rFonts w:ascii="Calibri" w:eastAsia="MS Mincho" w:hAnsi="Calibri" w:cs="Calibri"/>
                <w:b/>
                <w:bCs/>
                <w:sz w:val="22"/>
                <w:szCs w:val="22"/>
                <w:lang w:val="en-US"/>
              </w:rPr>
              <w:t>568.1</w:t>
            </w:r>
          </w:p>
        </w:tc>
        <w:tc>
          <w:tcPr>
            <w:tcW w:w="1531" w:type="dxa"/>
            <w:tcBorders>
              <w:top w:val="single" w:sz="4" w:space="0" w:color="auto"/>
            </w:tcBorders>
            <w:vAlign w:val="bottom"/>
          </w:tcPr>
          <w:p w14:paraId="7C0A657E" w14:textId="77777777" w:rsidR="003B7DDF" w:rsidRPr="00DE1EB5" w:rsidRDefault="003B7DDF" w:rsidP="00055885">
            <w:pPr>
              <w:ind w:left="-116" w:right="27"/>
              <w:jc w:val="right"/>
              <w:rPr>
                <w:rFonts w:ascii="Calibri" w:eastAsia="MS Mincho" w:hAnsi="Calibri" w:cs="Calibri"/>
                <w:bCs/>
                <w:sz w:val="22"/>
                <w:szCs w:val="22"/>
                <w:lang w:val="en-US"/>
              </w:rPr>
            </w:pPr>
            <w:r w:rsidRPr="00DE1EB5">
              <w:rPr>
                <w:rFonts w:ascii="Calibri" w:eastAsia="MS Mincho" w:hAnsi="Calibri" w:cs="Calibri"/>
                <w:bCs/>
                <w:sz w:val="22"/>
                <w:szCs w:val="22"/>
                <w:lang w:val="en-US"/>
              </w:rPr>
              <w:t>1,050.0</w:t>
            </w:r>
          </w:p>
        </w:tc>
        <w:tc>
          <w:tcPr>
            <w:tcW w:w="1531" w:type="dxa"/>
            <w:tcBorders>
              <w:top w:val="single" w:sz="4" w:space="0" w:color="auto"/>
            </w:tcBorders>
            <w:vAlign w:val="bottom"/>
          </w:tcPr>
          <w:p w14:paraId="35E49F0B" w14:textId="77777777" w:rsidR="003B7DDF" w:rsidRPr="00DE1EB5" w:rsidRDefault="003B7DDF" w:rsidP="00055885">
            <w:pPr>
              <w:jc w:val="right"/>
              <w:rPr>
                <w:rFonts w:ascii="Calibri" w:eastAsia="MS Mincho" w:hAnsi="Calibri" w:cs="Calibri"/>
                <w:bCs/>
                <w:sz w:val="22"/>
                <w:szCs w:val="22"/>
                <w:lang w:val="en-US"/>
              </w:rPr>
            </w:pPr>
            <w:r w:rsidRPr="00DE1EB5">
              <w:rPr>
                <w:rFonts w:ascii="Calibri" w:eastAsia="MS Mincho" w:hAnsi="Calibri" w:cs="Calibri"/>
                <w:bCs/>
                <w:sz w:val="22"/>
                <w:szCs w:val="22"/>
                <w:lang w:val="en-US"/>
              </w:rPr>
              <w:t>1,050.0</w:t>
            </w:r>
          </w:p>
        </w:tc>
      </w:tr>
      <w:tr w:rsidR="003B7DDF" w:rsidRPr="00505482" w14:paraId="1562BA53" w14:textId="77777777" w:rsidTr="007D3243">
        <w:trPr>
          <w:trHeight w:val="287"/>
        </w:trPr>
        <w:tc>
          <w:tcPr>
            <w:tcW w:w="0" w:type="auto"/>
            <w:vAlign w:val="bottom"/>
            <w:hideMark/>
          </w:tcPr>
          <w:p w14:paraId="4D57C9A5" w14:textId="77777777" w:rsidR="003B7DDF" w:rsidRPr="00DB22BA" w:rsidRDefault="003B7DDF" w:rsidP="00055885">
            <w:pPr>
              <w:tabs>
                <w:tab w:val="left" w:leader="dot" w:pos="6804"/>
              </w:tabs>
              <w:ind w:right="-250"/>
              <w:rPr>
                <w:rFonts w:ascii="Calibri" w:eastAsia="MS Mincho" w:hAnsi="Calibri" w:cs="Calibri"/>
                <w:bCs/>
                <w:sz w:val="22"/>
                <w:szCs w:val="22"/>
              </w:rPr>
            </w:pPr>
            <w:r>
              <w:rPr>
                <w:rFonts w:ascii="Calibri" w:hAnsi="Calibri" w:cs="Calibri"/>
                <w:bCs/>
                <w:sz w:val="22"/>
                <w:szCs w:val="22"/>
              </w:rPr>
              <w:t>Current maturities of debt</w:t>
            </w:r>
          </w:p>
        </w:tc>
        <w:tc>
          <w:tcPr>
            <w:tcW w:w="1531" w:type="dxa"/>
            <w:shd w:val="clear" w:color="auto" w:fill="FFFF00"/>
            <w:vAlign w:val="bottom"/>
          </w:tcPr>
          <w:p w14:paraId="3BDF8E4B" w14:textId="02CED679" w:rsidR="003B7DDF" w:rsidRPr="006D1E36" w:rsidRDefault="0038578D" w:rsidP="00055885">
            <w:pPr>
              <w:ind w:left="-116" w:right="27"/>
              <w:jc w:val="right"/>
              <w:rPr>
                <w:rFonts w:ascii="Calibri" w:eastAsia="MS Mincho" w:hAnsi="Calibri" w:cs="Calibri"/>
                <w:b/>
                <w:bCs/>
                <w:sz w:val="22"/>
                <w:szCs w:val="22"/>
                <w:lang w:val="en-US"/>
              </w:rPr>
            </w:pPr>
            <w:r>
              <w:rPr>
                <w:rFonts w:ascii="Calibri" w:eastAsia="MS Mincho" w:hAnsi="Calibri" w:cs="Calibri"/>
                <w:b/>
                <w:bCs/>
                <w:sz w:val="22"/>
                <w:szCs w:val="22"/>
                <w:lang w:val="en-US"/>
              </w:rPr>
              <w:t>1,</w:t>
            </w:r>
            <w:r w:rsidR="00AB69AF">
              <w:rPr>
                <w:rFonts w:ascii="Calibri" w:eastAsia="MS Mincho" w:hAnsi="Calibri" w:cs="Calibri"/>
                <w:b/>
                <w:bCs/>
                <w:sz w:val="22"/>
                <w:szCs w:val="22"/>
                <w:lang w:val="en-US"/>
              </w:rPr>
              <w:t>86</w:t>
            </w:r>
            <w:r>
              <w:rPr>
                <w:rFonts w:ascii="Calibri" w:eastAsia="MS Mincho" w:hAnsi="Calibri" w:cs="Calibri"/>
                <w:b/>
                <w:bCs/>
                <w:sz w:val="22"/>
                <w:szCs w:val="22"/>
                <w:lang w:val="en-US"/>
              </w:rPr>
              <w:t>9.</w:t>
            </w:r>
            <w:r w:rsidR="00AB69AF">
              <w:rPr>
                <w:rFonts w:ascii="Calibri" w:eastAsia="MS Mincho" w:hAnsi="Calibri" w:cs="Calibri"/>
                <w:b/>
                <w:bCs/>
                <w:sz w:val="22"/>
                <w:szCs w:val="22"/>
                <w:lang w:val="en-US"/>
              </w:rPr>
              <w:t>5</w:t>
            </w:r>
          </w:p>
        </w:tc>
        <w:tc>
          <w:tcPr>
            <w:tcW w:w="1531" w:type="dxa"/>
            <w:shd w:val="clear" w:color="auto" w:fill="FFFF00"/>
            <w:vAlign w:val="bottom"/>
          </w:tcPr>
          <w:p w14:paraId="0A629470" w14:textId="4B2E0E61" w:rsidR="003B7DDF" w:rsidRPr="006D1E36" w:rsidRDefault="0038578D" w:rsidP="00055885">
            <w:pPr>
              <w:jc w:val="right"/>
              <w:rPr>
                <w:rFonts w:ascii="Calibri" w:eastAsia="MS Mincho" w:hAnsi="Calibri" w:cs="Calibri"/>
                <w:b/>
                <w:bCs/>
                <w:sz w:val="22"/>
                <w:szCs w:val="22"/>
                <w:lang w:val="en-US"/>
              </w:rPr>
            </w:pPr>
            <w:r>
              <w:rPr>
                <w:rFonts w:ascii="Calibri" w:eastAsia="MS Mincho" w:hAnsi="Calibri" w:cs="Calibri"/>
                <w:b/>
                <w:bCs/>
                <w:sz w:val="22"/>
                <w:szCs w:val="22"/>
                <w:lang w:val="en-US"/>
              </w:rPr>
              <w:t>1,</w:t>
            </w:r>
            <w:r w:rsidR="00AB69AF">
              <w:rPr>
                <w:rFonts w:ascii="Calibri" w:eastAsia="MS Mincho" w:hAnsi="Calibri" w:cs="Calibri"/>
                <w:b/>
                <w:bCs/>
                <w:sz w:val="22"/>
                <w:szCs w:val="22"/>
                <w:lang w:val="en-US"/>
              </w:rPr>
              <w:t>86</w:t>
            </w:r>
            <w:r>
              <w:rPr>
                <w:rFonts w:ascii="Calibri" w:eastAsia="MS Mincho" w:hAnsi="Calibri" w:cs="Calibri"/>
                <w:b/>
                <w:bCs/>
                <w:sz w:val="22"/>
                <w:szCs w:val="22"/>
                <w:lang w:val="en-US"/>
              </w:rPr>
              <w:t>9.</w:t>
            </w:r>
            <w:r w:rsidR="00AB69AF">
              <w:rPr>
                <w:rFonts w:ascii="Calibri" w:eastAsia="MS Mincho" w:hAnsi="Calibri" w:cs="Calibri"/>
                <w:b/>
                <w:bCs/>
                <w:sz w:val="22"/>
                <w:szCs w:val="22"/>
                <w:lang w:val="en-US"/>
              </w:rPr>
              <w:t>5</w:t>
            </w:r>
          </w:p>
        </w:tc>
        <w:tc>
          <w:tcPr>
            <w:tcW w:w="1531" w:type="dxa"/>
            <w:vAlign w:val="bottom"/>
          </w:tcPr>
          <w:p w14:paraId="02E54137" w14:textId="77777777" w:rsidR="003B7DDF" w:rsidRPr="00DE1EB5" w:rsidRDefault="003B7DDF" w:rsidP="00055885">
            <w:pPr>
              <w:ind w:left="-116" w:right="27"/>
              <w:jc w:val="right"/>
              <w:rPr>
                <w:rFonts w:ascii="Calibri" w:eastAsia="MS Mincho" w:hAnsi="Calibri" w:cs="Calibri"/>
                <w:bCs/>
                <w:sz w:val="22"/>
                <w:szCs w:val="22"/>
                <w:lang w:val="en-US"/>
              </w:rPr>
            </w:pPr>
            <w:r w:rsidRPr="00DE1EB5">
              <w:rPr>
                <w:rFonts w:ascii="Calibri" w:eastAsia="MS Mincho" w:hAnsi="Calibri" w:cs="Calibri"/>
                <w:bCs/>
                <w:sz w:val="22"/>
                <w:szCs w:val="22"/>
                <w:lang w:val="en-US"/>
              </w:rPr>
              <w:t>382.3</w:t>
            </w:r>
          </w:p>
        </w:tc>
        <w:tc>
          <w:tcPr>
            <w:tcW w:w="1531" w:type="dxa"/>
            <w:vAlign w:val="bottom"/>
          </w:tcPr>
          <w:p w14:paraId="30039B1F" w14:textId="77777777" w:rsidR="003B7DDF" w:rsidRPr="00DE1EB5" w:rsidRDefault="003B7DDF" w:rsidP="00055885">
            <w:pPr>
              <w:jc w:val="right"/>
              <w:rPr>
                <w:rFonts w:ascii="Calibri" w:eastAsia="MS Mincho" w:hAnsi="Calibri" w:cs="Calibri"/>
                <w:bCs/>
                <w:sz w:val="22"/>
                <w:szCs w:val="22"/>
                <w:lang w:val="en-US"/>
              </w:rPr>
            </w:pPr>
            <w:r w:rsidRPr="00DE1EB5">
              <w:rPr>
                <w:rFonts w:ascii="Calibri" w:eastAsia="MS Mincho" w:hAnsi="Calibri" w:cs="Calibri"/>
                <w:bCs/>
                <w:sz w:val="22"/>
                <w:szCs w:val="22"/>
                <w:lang w:val="en-US"/>
              </w:rPr>
              <w:t>382.3</w:t>
            </w:r>
          </w:p>
        </w:tc>
      </w:tr>
      <w:tr w:rsidR="003B7DDF" w:rsidRPr="00505482" w14:paraId="3AAC5C49" w14:textId="77777777" w:rsidTr="007D3243">
        <w:trPr>
          <w:trHeight w:val="287"/>
        </w:trPr>
        <w:tc>
          <w:tcPr>
            <w:tcW w:w="0" w:type="auto"/>
            <w:vAlign w:val="bottom"/>
            <w:hideMark/>
          </w:tcPr>
          <w:p w14:paraId="0792C644" w14:textId="77777777" w:rsidR="003B7DDF" w:rsidRPr="00DB22BA" w:rsidRDefault="003B7DDF" w:rsidP="00055885">
            <w:pPr>
              <w:tabs>
                <w:tab w:val="left" w:leader="dot" w:pos="6804"/>
              </w:tabs>
              <w:ind w:right="-249"/>
              <w:rPr>
                <w:rFonts w:ascii="Calibri" w:eastAsia="MS Mincho" w:hAnsi="Calibri" w:cs="Calibri"/>
                <w:bCs/>
                <w:sz w:val="22"/>
                <w:szCs w:val="22"/>
              </w:rPr>
            </w:pPr>
            <w:r w:rsidRPr="00DB22BA">
              <w:rPr>
                <w:rFonts w:ascii="Calibri" w:hAnsi="Calibri" w:cs="Calibri"/>
                <w:bCs/>
                <w:sz w:val="22"/>
                <w:szCs w:val="22"/>
              </w:rPr>
              <w:t>Trade payables*</w:t>
            </w:r>
          </w:p>
        </w:tc>
        <w:tc>
          <w:tcPr>
            <w:tcW w:w="1531" w:type="dxa"/>
            <w:shd w:val="clear" w:color="auto" w:fill="FFFF00"/>
            <w:vAlign w:val="bottom"/>
          </w:tcPr>
          <w:p w14:paraId="24CCD674" w14:textId="3D33EFAA" w:rsidR="003B7DDF" w:rsidRPr="006D1E36" w:rsidRDefault="0038578D" w:rsidP="00055885">
            <w:pPr>
              <w:ind w:left="-116" w:right="27"/>
              <w:jc w:val="right"/>
              <w:rPr>
                <w:rFonts w:ascii="Calibri" w:eastAsia="MS Mincho" w:hAnsi="Calibri" w:cs="Calibri"/>
                <w:b/>
                <w:bCs/>
                <w:sz w:val="22"/>
                <w:szCs w:val="22"/>
                <w:lang w:val="en-US"/>
              </w:rPr>
            </w:pPr>
            <w:r>
              <w:rPr>
                <w:rFonts w:ascii="Calibri" w:eastAsia="MS Mincho" w:hAnsi="Calibri" w:cs="Calibri"/>
                <w:b/>
                <w:bCs/>
                <w:sz w:val="22"/>
                <w:szCs w:val="22"/>
                <w:lang w:val="en-US"/>
              </w:rPr>
              <w:t>1,</w:t>
            </w:r>
            <w:r w:rsidR="00AF0939">
              <w:rPr>
                <w:rFonts w:ascii="Calibri" w:eastAsia="MS Mincho" w:hAnsi="Calibri" w:cs="Calibri"/>
                <w:b/>
                <w:bCs/>
                <w:sz w:val="22"/>
                <w:szCs w:val="22"/>
                <w:lang w:val="en-US"/>
              </w:rPr>
              <w:t>390.7</w:t>
            </w:r>
          </w:p>
        </w:tc>
        <w:tc>
          <w:tcPr>
            <w:tcW w:w="1531" w:type="dxa"/>
            <w:shd w:val="clear" w:color="auto" w:fill="FFFF00"/>
            <w:vAlign w:val="bottom"/>
          </w:tcPr>
          <w:p w14:paraId="614BD902" w14:textId="77777777" w:rsidR="003B7DDF" w:rsidRPr="006D1E36" w:rsidRDefault="003B7DDF" w:rsidP="00055885">
            <w:pPr>
              <w:jc w:val="right"/>
              <w:rPr>
                <w:rFonts w:ascii="Calibri" w:eastAsia="MS Mincho" w:hAnsi="Calibri" w:cs="Calibri"/>
                <w:b/>
                <w:bCs/>
                <w:sz w:val="22"/>
                <w:szCs w:val="22"/>
                <w:lang w:val="en-US"/>
              </w:rPr>
            </w:pPr>
          </w:p>
        </w:tc>
        <w:tc>
          <w:tcPr>
            <w:tcW w:w="1531" w:type="dxa"/>
            <w:vAlign w:val="bottom"/>
          </w:tcPr>
          <w:p w14:paraId="35D11CC2" w14:textId="77777777" w:rsidR="003B7DDF" w:rsidRPr="00DE1EB5" w:rsidRDefault="003B7DDF" w:rsidP="00055885">
            <w:pPr>
              <w:ind w:left="-116" w:right="27"/>
              <w:jc w:val="right"/>
              <w:rPr>
                <w:rFonts w:ascii="Calibri" w:eastAsia="MS Mincho" w:hAnsi="Calibri" w:cs="Calibri"/>
                <w:bCs/>
                <w:sz w:val="22"/>
                <w:szCs w:val="22"/>
                <w:lang w:val="en-US"/>
              </w:rPr>
            </w:pPr>
            <w:r w:rsidRPr="00DE1EB5">
              <w:rPr>
                <w:rFonts w:ascii="Calibri" w:eastAsia="MS Mincho" w:hAnsi="Calibri" w:cs="Calibri"/>
                <w:bCs/>
                <w:sz w:val="22"/>
                <w:szCs w:val="22"/>
                <w:lang w:val="en-US"/>
              </w:rPr>
              <w:t>1,368.2</w:t>
            </w:r>
          </w:p>
        </w:tc>
        <w:tc>
          <w:tcPr>
            <w:tcW w:w="1531" w:type="dxa"/>
            <w:vAlign w:val="bottom"/>
          </w:tcPr>
          <w:p w14:paraId="3249220F" w14:textId="77777777" w:rsidR="003B7DDF" w:rsidRPr="00DE1EB5" w:rsidRDefault="003B7DDF" w:rsidP="00055885">
            <w:pPr>
              <w:jc w:val="right"/>
              <w:rPr>
                <w:rFonts w:ascii="Calibri" w:eastAsia="MS Mincho" w:hAnsi="Calibri" w:cs="Calibri"/>
                <w:bCs/>
                <w:sz w:val="22"/>
                <w:szCs w:val="22"/>
                <w:lang w:val="en-US"/>
              </w:rPr>
            </w:pPr>
          </w:p>
        </w:tc>
      </w:tr>
      <w:tr w:rsidR="003B7DDF" w:rsidRPr="00505482" w14:paraId="0C881843" w14:textId="77777777" w:rsidTr="007D3243">
        <w:trPr>
          <w:trHeight w:val="287"/>
        </w:trPr>
        <w:tc>
          <w:tcPr>
            <w:tcW w:w="0" w:type="auto"/>
            <w:vAlign w:val="bottom"/>
            <w:hideMark/>
          </w:tcPr>
          <w:p w14:paraId="015D3743" w14:textId="77777777" w:rsidR="003B7DDF" w:rsidRPr="00DB22BA" w:rsidRDefault="003B7DDF" w:rsidP="00055885">
            <w:pPr>
              <w:tabs>
                <w:tab w:val="left" w:leader="dot" w:pos="6804"/>
              </w:tabs>
              <w:ind w:right="-249"/>
              <w:rPr>
                <w:rFonts w:ascii="Calibri" w:eastAsia="MS Mincho" w:hAnsi="Calibri" w:cs="Calibri"/>
                <w:bCs/>
                <w:sz w:val="22"/>
                <w:szCs w:val="22"/>
              </w:rPr>
            </w:pPr>
            <w:r w:rsidRPr="00DB22BA">
              <w:rPr>
                <w:rFonts w:ascii="Calibri" w:hAnsi="Calibri" w:cs="Calibri"/>
                <w:bCs/>
                <w:sz w:val="22"/>
                <w:szCs w:val="22"/>
              </w:rPr>
              <w:t>Accrued expenses*</w:t>
            </w:r>
          </w:p>
        </w:tc>
        <w:tc>
          <w:tcPr>
            <w:tcW w:w="1531" w:type="dxa"/>
            <w:tcBorders>
              <w:bottom w:val="single" w:sz="4" w:space="0" w:color="auto"/>
            </w:tcBorders>
            <w:shd w:val="clear" w:color="auto" w:fill="FFFF00"/>
            <w:vAlign w:val="bottom"/>
          </w:tcPr>
          <w:p w14:paraId="701DB78A" w14:textId="6833D982" w:rsidR="003B7DDF" w:rsidRPr="006D1E36" w:rsidRDefault="0038578D" w:rsidP="00055885">
            <w:pPr>
              <w:ind w:left="-116" w:right="27"/>
              <w:jc w:val="right"/>
              <w:rPr>
                <w:rFonts w:ascii="Calibri" w:eastAsia="MS Mincho" w:hAnsi="Calibri" w:cs="Calibri"/>
                <w:b/>
                <w:bCs/>
                <w:sz w:val="22"/>
                <w:szCs w:val="22"/>
                <w:lang w:val="en-US"/>
              </w:rPr>
            </w:pPr>
            <w:r>
              <w:rPr>
                <w:rFonts w:ascii="Calibri" w:eastAsia="MS Mincho" w:hAnsi="Calibri" w:cs="Calibri"/>
                <w:b/>
                <w:bCs/>
                <w:sz w:val="22"/>
                <w:szCs w:val="22"/>
                <w:lang w:val="en-US"/>
              </w:rPr>
              <w:t>1,139.7</w:t>
            </w:r>
          </w:p>
        </w:tc>
        <w:tc>
          <w:tcPr>
            <w:tcW w:w="1531" w:type="dxa"/>
            <w:tcBorders>
              <w:bottom w:val="single" w:sz="4" w:space="0" w:color="auto"/>
            </w:tcBorders>
            <w:shd w:val="clear" w:color="auto" w:fill="FFFF00"/>
            <w:vAlign w:val="bottom"/>
          </w:tcPr>
          <w:p w14:paraId="3F171DCC" w14:textId="77777777" w:rsidR="003B7DDF" w:rsidRPr="006D1E36" w:rsidRDefault="003B7DDF" w:rsidP="00055885">
            <w:pPr>
              <w:jc w:val="right"/>
              <w:rPr>
                <w:rFonts w:ascii="Calibri" w:eastAsia="MS Mincho" w:hAnsi="Calibri" w:cs="Calibri"/>
                <w:b/>
                <w:bCs/>
                <w:sz w:val="22"/>
                <w:szCs w:val="22"/>
                <w:lang w:val="en-US"/>
              </w:rPr>
            </w:pPr>
          </w:p>
        </w:tc>
        <w:tc>
          <w:tcPr>
            <w:tcW w:w="1531" w:type="dxa"/>
            <w:tcBorders>
              <w:bottom w:val="single" w:sz="4" w:space="0" w:color="auto"/>
            </w:tcBorders>
            <w:shd w:val="clear" w:color="auto" w:fill="auto"/>
            <w:vAlign w:val="bottom"/>
          </w:tcPr>
          <w:p w14:paraId="74DEF971" w14:textId="628CF0B0" w:rsidR="003B7DDF" w:rsidRPr="00DE1EB5" w:rsidRDefault="000755B6" w:rsidP="00055885">
            <w:pPr>
              <w:ind w:left="-116" w:right="27"/>
              <w:jc w:val="right"/>
              <w:rPr>
                <w:rFonts w:ascii="Calibri" w:eastAsia="MS Mincho" w:hAnsi="Calibri" w:cs="Calibri"/>
                <w:bCs/>
                <w:sz w:val="22"/>
                <w:szCs w:val="22"/>
                <w:lang w:val="en-US"/>
              </w:rPr>
            </w:pPr>
            <w:r>
              <w:rPr>
                <w:rFonts w:ascii="Calibri" w:eastAsia="MS Mincho" w:hAnsi="Calibri" w:cs="Calibri"/>
                <w:bCs/>
                <w:sz w:val="22"/>
                <w:szCs w:val="22"/>
                <w:lang w:val="en-US"/>
              </w:rPr>
              <w:t>1,553.1</w:t>
            </w:r>
          </w:p>
        </w:tc>
        <w:tc>
          <w:tcPr>
            <w:tcW w:w="1531" w:type="dxa"/>
            <w:tcBorders>
              <w:bottom w:val="single" w:sz="4" w:space="0" w:color="auto"/>
            </w:tcBorders>
            <w:vAlign w:val="bottom"/>
          </w:tcPr>
          <w:p w14:paraId="29145831" w14:textId="77777777" w:rsidR="003B7DDF" w:rsidRPr="00DE1EB5" w:rsidRDefault="003B7DDF" w:rsidP="00055885">
            <w:pPr>
              <w:jc w:val="right"/>
              <w:rPr>
                <w:rFonts w:ascii="Calibri" w:eastAsia="MS Mincho" w:hAnsi="Calibri" w:cs="Calibri"/>
                <w:bCs/>
                <w:sz w:val="22"/>
                <w:szCs w:val="22"/>
                <w:lang w:val="en-US"/>
              </w:rPr>
            </w:pPr>
          </w:p>
        </w:tc>
      </w:tr>
      <w:tr w:rsidR="003B7DDF" w:rsidRPr="00505482" w14:paraId="4E5D154C" w14:textId="77777777" w:rsidTr="007D3243">
        <w:trPr>
          <w:trHeight w:val="287"/>
        </w:trPr>
        <w:tc>
          <w:tcPr>
            <w:tcW w:w="0" w:type="auto"/>
            <w:vAlign w:val="center"/>
          </w:tcPr>
          <w:p w14:paraId="5C176841" w14:textId="77777777" w:rsidR="003B7DDF" w:rsidRPr="00DB22BA" w:rsidRDefault="003B7DDF" w:rsidP="00055885">
            <w:pPr>
              <w:tabs>
                <w:tab w:val="left" w:leader="dot" w:pos="6804"/>
              </w:tabs>
              <w:ind w:right="-249"/>
              <w:rPr>
                <w:rFonts w:ascii="Calibri" w:eastAsia="MS Mincho" w:hAnsi="Calibri" w:cs="Calibri"/>
                <w:bCs/>
                <w:sz w:val="22"/>
                <w:szCs w:val="22"/>
              </w:rPr>
            </w:pPr>
          </w:p>
        </w:tc>
        <w:tc>
          <w:tcPr>
            <w:tcW w:w="1531" w:type="dxa"/>
            <w:tcBorders>
              <w:top w:val="single" w:sz="4" w:space="0" w:color="auto"/>
              <w:bottom w:val="single" w:sz="4" w:space="0" w:color="auto"/>
            </w:tcBorders>
            <w:shd w:val="clear" w:color="auto" w:fill="FFFF00"/>
            <w:vAlign w:val="bottom"/>
          </w:tcPr>
          <w:p w14:paraId="09075C02" w14:textId="1AE5665A" w:rsidR="003B7DDF" w:rsidRPr="006D1E36" w:rsidRDefault="00AF0939" w:rsidP="00055885">
            <w:pPr>
              <w:ind w:left="-116" w:right="27"/>
              <w:jc w:val="right"/>
              <w:rPr>
                <w:rFonts w:ascii="Calibri" w:eastAsia="MS Mincho" w:hAnsi="Calibri" w:cs="Calibri"/>
                <w:b/>
                <w:bCs/>
                <w:sz w:val="22"/>
                <w:szCs w:val="22"/>
              </w:rPr>
            </w:pPr>
            <w:r>
              <w:rPr>
                <w:rFonts w:ascii="Calibri" w:eastAsia="MS Mincho" w:hAnsi="Calibri" w:cs="Calibri"/>
                <w:b/>
                <w:bCs/>
                <w:sz w:val="22"/>
                <w:szCs w:val="22"/>
              </w:rPr>
              <w:t>4</w:t>
            </w:r>
            <w:r w:rsidR="0038578D">
              <w:rPr>
                <w:rFonts w:ascii="Calibri" w:eastAsia="MS Mincho" w:hAnsi="Calibri" w:cs="Calibri"/>
                <w:b/>
                <w:bCs/>
                <w:sz w:val="22"/>
                <w:szCs w:val="22"/>
              </w:rPr>
              <w:t>,</w:t>
            </w:r>
            <w:r>
              <w:rPr>
                <w:rFonts w:ascii="Calibri" w:eastAsia="MS Mincho" w:hAnsi="Calibri" w:cs="Calibri"/>
                <w:b/>
                <w:bCs/>
                <w:sz w:val="22"/>
                <w:szCs w:val="22"/>
              </w:rPr>
              <w:t>968</w:t>
            </w:r>
            <w:r w:rsidR="0038578D">
              <w:rPr>
                <w:rFonts w:ascii="Calibri" w:eastAsia="MS Mincho" w:hAnsi="Calibri" w:cs="Calibri"/>
                <w:b/>
                <w:bCs/>
                <w:sz w:val="22"/>
                <w:szCs w:val="22"/>
              </w:rPr>
              <w:t>.</w:t>
            </w:r>
            <w:r>
              <w:rPr>
                <w:rFonts w:ascii="Calibri" w:eastAsia="MS Mincho" w:hAnsi="Calibri" w:cs="Calibri"/>
                <w:b/>
                <w:bCs/>
                <w:sz w:val="22"/>
                <w:szCs w:val="22"/>
              </w:rPr>
              <w:t>0</w:t>
            </w:r>
          </w:p>
        </w:tc>
        <w:tc>
          <w:tcPr>
            <w:tcW w:w="1531" w:type="dxa"/>
            <w:tcBorders>
              <w:top w:val="single" w:sz="4" w:space="0" w:color="auto"/>
              <w:bottom w:val="single" w:sz="4" w:space="0" w:color="auto"/>
            </w:tcBorders>
            <w:shd w:val="clear" w:color="auto" w:fill="FFFF00"/>
            <w:vAlign w:val="bottom"/>
          </w:tcPr>
          <w:p w14:paraId="7A617CC2" w14:textId="6CB626FB" w:rsidR="003B7DDF" w:rsidRPr="006D1E36" w:rsidRDefault="0038578D" w:rsidP="00055885">
            <w:pPr>
              <w:jc w:val="right"/>
              <w:rPr>
                <w:rFonts w:ascii="Calibri" w:eastAsia="MS Mincho" w:hAnsi="Calibri" w:cs="Calibri"/>
                <w:b/>
                <w:bCs/>
                <w:sz w:val="22"/>
                <w:szCs w:val="22"/>
              </w:rPr>
            </w:pPr>
            <w:r>
              <w:rPr>
                <w:rFonts w:ascii="Calibri" w:eastAsia="MS Mincho" w:hAnsi="Calibri" w:cs="Calibri"/>
                <w:b/>
                <w:bCs/>
                <w:sz w:val="22"/>
                <w:szCs w:val="22"/>
              </w:rPr>
              <w:t>2,4</w:t>
            </w:r>
            <w:r w:rsidR="00AB69AF">
              <w:rPr>
                <w:rFonts w:ascii="Calibri" w:eastAsia="MS Mincho" w:hAnsi="Calibri" w:cs="Calibri"/>
                <w:b/>
                <w:bCs/>
                <w:sz w:val="22"/>
                <w:szCs w:val="22"/>
              </w:rPr>
              <w:t>3</w:t>
            </w:r>
            <w:r>
              <w:rPr>
                <w:rFonts w:ascii="Calibri" w:eastAsia="MS Mincho" w:hAnsi="Calibri" w:cs="Calibri"/>
                <w:b/>
                <w:bCs/>
                <w:sz w:val="22"/>
                <w:szCs w:val="22"/>
              </w:rPr>
              <w:t>7.</w:t>
            </w:r>
            <w:r w:rsidR="00AB69AF">
              <w:rPr>
                <w:rFonts w:ascii="Calibri" w:eastAsia="MS Mincho" w:hAnsi="Calibri" w:cs="Calibri"/>
                <w:b/>
                <w:bCs/>
                <w:sz w:val="22"/>
                <w:szCs w:val="22"/>
              </w:rPr>
              <w:t>6</w:t>
            </w:r>
          </w:p>
        </w:tc>
        <w:tc>
          <w:tcPr>
            <w:tcW w:w="1531" w:type="dxa"/>
            <w:tcBorders>
              <w:top w:val="single" w:sz="4" w:space="0" w:color="auto"/>
              <w:bottom w:val="single" w:sz="4" w:space="0" w:color="auto"/>
            </w:tcBorders>
            <w:vAlign w:val="bottom"/>
          </w:tcPr>
          <w:p w14:paraId="08FC1BFC" w14:textId="1344EE7B" w:rsidR="003B7DDF" w:rsidRPr="00DE1EB5" w:rsidRDefault="000755B6" w:rsidP="00055885">
            <w:pPr>
              <w:ind w:left="-116" w:right="27"/>
              <w:jc w:val="right"/>
              <w:rPr>
                <w:rFonts w:ascii="Calibri" w:eastAsia="MS Mincho" w:hAnsi="Calibri" w:cs="Calibri"/>
                <w:bCs/>
                <w:sz w:val="22"/>
                <w:szCs w:val="22"/>
              </w:rPr>
            </w:pPr>
            <w:r>
              <w:rPr>
                <w:rFonts w:ascii="Calibri" w:eastAsia="MS Mincho" w:hAnsi="Calibri" w:cs="Calibri"/>
                <w:bCs/>
                <w:sz w:val="22"/>
                <w:szCs w:val="22"/>
              </w:rPr>
              <w:t>4,353.6</w:t>
            </w:r>
          </w:p>
        </w:tc>
        <w:tc>
          <w:tcPr>
            <w:tcW w:w="1531" w:type="dxa"/>
            <w:tcBorders>
              <w:top w:val="single" w:sz="4" w:space="0" w:color="auto"/>
              <w:bottom w:val="single" w:sz="4" w:space="0" w:color="auto"/>
            </w:tcBorders>
            <w:vAlign w:val="bottom"/>
          </w:tcPr>
          <w:p w14:paraId="4ACA4F9D" w14:textId="77777777" w:rsidR="003B7DDF" w:rsidRPr="00DE1EB5" w:rsidRDefault="003B7DDF" w:rsidP="00055885">
            <w:pPr>
              <w:jc w:val="right"/>
              <w:rPr>
                <w:rFonts w:ascii="Calibri" w:eastAsia="MS Mincho" w:hAnsi="Calibri" w:cs="Calibri"/>
                <w:bCs/>
                <w:sz w:val="22"/>
                <w:szCs w:val="22"/>
              </w:rPr>
            </w:pPr>
            <w:r w:rsidRPr="00DE1EB5">
              <w:rPr>
                <w:rFonts w:ascii="Calibri" w:eastAsia="MS Mincho" w:hAnsi="Calibri" w:cs="Calibri"/>
                <w:bCs/>
                <w:sz w:val="22"/>
                <w:szCs w:val="22"/>
              </w:rPr>
              <w:t>1,432.3</w:t>
            </w:r>
          </w:p>
        </w:tc>
      </w:tr>
      <w:tr w:rsidR="003B7DDF" w:rsidRPr="00505482" w14:paraId="5740A618" w14:textId="77777777" w:rsidTr="007D3243">
        <w:trPr>
          <w:trHeight w:val="199"/>
        </w:trPr>
        <w:tc>
          <w:tcPr>
            <w:tcW w:w="0" w:type="auto"/>
            <w:vAlign w:val="bottom"/>
            <w:hideMark/>
          </w:tcPr>
          <w:p w14:paraId="6406E796" w14:textId="77777777" w:rsidR="003B7DDF" w:rsidRPr="00DB22BA" w:rsidRDefault="003B7DDF" w:rsidP="00055885">
            <w:pPr>
              <w:tabs>
                <w:tab w:val="left" w:leader="dot" w:pos="6804"/>
              </w:tabs>
              <w:ind w:right="-90"/>
              <w:rPr>
                <w:rFonts w:ascii="Calibri" w:eastAsia="MS Mincho" w:hAnsi="Calibri" w:cs="Calibri"/>
                <w:bCs/>
                <w:sz w:val="22"/>
                <w:szCs w:val="22"/>
              </w:rPr>
            </w:pPr>
            <w:r w:rsidRPr="00DB22BA">
              <w:rPr>
                <w:rFonts w:ascii="Calibri" w:hAnsi="Calibri" w:cs="Calibri"/>
                <w:sz w:val="22"/>
                <w:szCs w:val="22"/>
              </w:rPr>
              <w:t>Total financial liabilities</w:t>
            </w:r>
          </w:p>
        </w:tc>
        <w:tc>
          <w:tcPr>
            <w:tcW w:w="1531" w:type="dxa"/>
            <w:tcBorders>
              <w:top w:val="single" w:sz="4" w:space="0" w:color="auto"/>
              <w:bottom w:val="double" w:sz="4" w:space="0" w:color="auto"/>
            </w:tcBorders>
            <w:shd w:val="clear" w:color="auto" w:fill="FFFF00"/>
            <w:vAlign w:val="bottom"/>
          </w:tcPr>
          <w:p w14:paraId="77EF63AB" w14:textId="3F5B9295" w:rsidR="003B7DDF" w:rsidRPr="006D1E36" w:rsidRDefault="0038578D" w:rsidP="00055885">
            <w:pPr>
              <w:tabs>
                <w:tab w:val="decimal" w:pos="689"/>
              </w:tabs>
              <w:ind w:left="-116" w:right="27"/>
              <w:jc w:val="right"/>
              <w:rPr>
                <w:rFonts w:ascii="Calibri" w:eastAsia="MS Mincho" w:hAnsi="Calibri" w:cs="Calibri"/>
                <w:b/>
                <w:bCs/>
                <w:sz w:val="22"/>
                <w:szCs w:val="22"/>
              </w:rPr>
            </w:pPr>
            <w:r>
              <w:rPr>
                <w:rFonts w:ascii="Calibri" w:eastAsia="MS Mincho" w:hAnsi="Calibri" w:cs="Calibri"/>
                <w:b/>
                <w:bCs/>
                <w:sz w:val="22"/>
                <w:szCs w:val="22"/>
              </w:rPr>
              <w:t>8,</w:t>
            </w:r>
            <w:r w:rsidR="00AF0939">
              <w:rPr>
                <w:rFonts w:ascii="Calibri" w:eastAsia="MS Mincho" w:hAnsi="Calibri" w:cs="Calibri"/>
                <w:b/>
                <w:bCs/>
                <w:sz w:val="22"/>
                <w:szCs w:val="22"/>
              </w:rPr>
              <w:t>5</w:t>
            </w:r>
            <w:r w:rsidR="009A50FC">
              <w:rPr>
                <w:rFonts w:ascii="Calibri" w:eastAsia="MS Mincho" w:hAnsi="Calibri" w:cs="Calibri"/>
                <w:b/>
                <w:bCs/>
                <w:sz w:val="22"/>
                <w:szCs w:val="22"/>
              </w:rPr>
              <w:t>3</w:t>
            </w:r>
            <w:r w:rsidR="00AF0939">
              <w:rPr>
                <w:rFonts w:ascii="Calibri" w:eastAsia="MS Mincho" w:hAnsi="Calibri" w:cs="Calibri"/>
                <w:b/>
                <w:bCs/>
                <w:sz w:val="22"/>
                <w:szCs w:val="22"/>
              </w:rPr>
              <w:t>3.0</w:t>
            </w:r>
            <w:r w:rsidR="003B7DDF">
              <w:rPr>
                <w:rFonts w:ascii="Calibri" w:eastAsia="MS Mincho" w:hAnsi="Calibri" w:cs="Calibri"/>
                <w:b/>
                <w:bCs/>
                <w:sz w:val="22"/>
                <w:szCs w:val="22"/>
              </w:rPr>
              <w:t xml:space="preserve"> </w:t>
            </w:r>
          </w:p>
        </w:tc>
        <w:tc>
          <w:tcPr>
            <w:tcW w:w="1531" w:type="dxa"/>
            <w:tcBorders>
              <w:top w:val="single" w:sz="4" w:space="0" w:color="auto"/>
              <w:bottom w:val="double" w:sz="4" w:space="0" w:color="auto"/>
            </w:tcBorders>
            <w:shd w:val="clear" w:color="auto" w:fill="FFFF00"/>
            <w:vAlign w:val="bottom"/>
          </w:tcPr>
          <w:p w14:paraId="35CF92D4" w14:textId="3BFDB8DE" w:rsidR="003B7DDF" w:rsidRPr="006D1E36" w:rsidRDefault="0038578D" w:rsidP="00055885">
            <w:pPr>
              <w:tabs>
                <w:tab w:val="decimal" w:pos="689"/>
              </w:tabs>
              <w:jc w:val="right"/>
              <w:rPr>
                <w:rFonts w:ascii="Calibri" w:eastAsia="MS Mincho" w:hAnsi="Calibri" w:cs="Calibri"/>
                <w:b/>
                <w:bCs/>
                <w:sz w:val="22"/>
                <w:szCs w:val="22"/>
              </w:rPr>
            </w:pPr>
            <w:r>
              <w:rPr>
                <w:rFonts w:ascii="Calibri" w:eastAsia="MS Mincho" w:hAnsi="Calibri" w:cs="Calibri"/>
                <w:b/>
                <w:bCs/>
                <w:sz w:val="22"/>
                <w:szCs w:val="22"/>
              </w:rPr>
              <w:t>5,950.2</w:t>
            </w:r>
          </w:p>
        </w:tc>
        <w:tc>
          <w:tcPr>
            <w:tcW w:w="1531" w:type="dxa"/>
            <w:tcBorders>
              <w:top w:val="single" w:sz="4" w:space="0" w:color="auto"/>
              <w:bottom w:val="double" w:sz="4" w:space="0" w:color="auto"/>
            </w:tcBorders>
            <w:vAlign w:val="bottom"/>
          </w:tcPr>
          <w:p w14:paraId="7740A4A8" w14:textId="4618AF5B" w:rsidR="003B7DDF" w:rsidRPr="00DE1EB5" w:rsidRDefault="000755B6" w:rsidP="00055885">
            <w:pPr>
              <w:tabs>
                <w:tab w:val="decimal" w:pos="689"/>
              </w:tabs>
              <w:ind w:left="-116" w:right="27"/>
              <w:jc w:val="right"/>
              <w:rPr>
                <w:rFonts w:ascii="Calibri" w:eastAsia="MS Mincho" w:hAnsi="Calibri" w:cs="Calibri"/>
                <w:bCs/>
                <w:sz w:val="22"/>
                <w:szCs w:val="22"/>
              </w:rPr>
            </w:pPr>
            <w:r>
              <w:rPr>
                <w:rFonts w:ascii="Calibri" w:eastAsia="MS Mincho" w:hAnsi="Calibri" w:cs="Calibri"/>
                <w:bCs/>
                <w:sz w:val="22"/>
                <w:szCs w:val="22"/>
              </w:rPr>
              <w:t>8,117.1</w:t>
            </w:r>
          </w:p>
        </w:tc>
        <w:tc>
          <w:tcPr>
            <w:tcW w:w="1531" w:type="dxa"/>
            <w:tcBorders>
              <w:top w:val="single" w:sz="4" w:space="0" w:color="auto"/>
              <w:bottom w:val="double" w:sz="4" w:space="0" w:color="auto"/>
            </w:tcBorders>
            <w:vAlign w:val="bottom"/>
          </w:tcPr>
          <w:p w14:paraId="05F9B27A" w14:textId="77777777" w:rsidR="003B7DDF" w:rsidRPr="00DE1EB5" w:rsidRDefault="003B7DDF" w:rsidP="00055885">
            <w:pPr>
              <w:tabs>
                <w:tab w:val="decimal" w:pos="689"/>
              </w:tabs>
              <w:jc w:val="right"/>
              <w:rPr>
                <w:rFonts w:ascii="Calibri" w:eastAsia="MS Mincho" w:hAnsi="Calibri" w:cs="Calibri"/>
                <w:bCs/>
                <w:sz w:val="22"/>
                <w:szCs w:val="22"/>
              </w:rPr>
            </w:pPr>
            <w:r w:rsidRPr="00DE1EB5">
              <w:rPr>
                <w:rFonts w:ascii="Calibri" w:eastAsia="MS Mincho" w:hAnsi="Calibri" w:cs="Calibri"/>
                <w:bCs/>
                <w:sz w:val="22"/>
                <w:szCs w:val="22"/>
              </w:rPr>
              <w:t>4,726.3</w:t>
            </w:r>
          </w:p>
        </w:tc>
      </w:tr>
    </w:tbl>
    <w:p w14:paraId="38D41BB9" w14:textId="77777777" w:rsidR="003B7DDF" w:rsidRPr="003C7FDF" w:rsidRDefault="003B7DDF" w:rsidP="003B7DDF">
      <w:pPr>
        <w:spacing w:after="240" w:line="300" w:lineRule="exact"/>
        <w:ind w:right="-23"/>
        <w:jc w:val="both"/>
        <w:rPr>
          <w:rFonts w:ascii="Calibri" w:hAnsi="Calibri" w:cs="Calibri"/>
          <w:b/>
          <w:i/>
          <w:sz w:val="19"/>
          <w:szCs w:val="19"/>
        </w:rPr>
      </w:pPr>
      <w:r w:rsidRPr="003C7FDF">
        <w:rPr>
          <w:rFonts w:ascii="Calibri" w:hAnsi="Calibri" w:cs="Calibri"/>
          <w:b/>
          <w:i/>
          <w:sz w:val="19"/>
          <w:szCs w:val="19"/>
        </w:rPr>
        <w:t>*The fair value of each of these financial instruments approximate their carrying values due to the short-term nature of the instruments</w:t>
      </w:r>
    </w:p>
    <w:p w14:paraId="0D5FBC28" w14:textId="77777777" w:rsidR="0038578D" w:rsidRDefault="0038578D" w:rsidP="0038578D">
      <w:pPr>
        <w:autoSpaceDE w:val="0"/>
        <w:autoSpaceDN w:val="0"/>
        <w:adjustRightInd w:val="0"/>
        <w:spacing w:after="120"/>
        <w:jc w:val="both"/>
        <w:rPr>
          <w:rFonts w:ascii="Calibri" w:hAnsi="Calibri" w:cs="Calibri"/>
          <w:b/>
          <w:sz w:val="22"/>
          <w:szCs w:val="22"/>
        </w:rPr>
      </w:pPr>
      <w:r>
        <w:rPr>
          <w:rFonts w:ascii="Calibri" w:hAnsi="Calibri" w:cs="Calibri"/>
          <w:b/>
          <w:sz w:val="22"/>
          <w:szCs w:val="22"/>
        </w:rPr>
        <w:t>13.</w:t>
      </w:r>
      <w:r>
        <w:rPr>
          <w:rFonts w:ascii="Calibri" w:hAnsi="Calibri" w:cs="Calibri"/>
          <w:sz w:val="22"/>
          <w:szCs w:val="22"/>
        </w:rPr>
        <w:tab/>
      </w:r>
      <w:r>
        <w:rPr>
          <w:rFonts w:ascii="Calibri" w:hAnsi="Calibri" w:cs="Calibri"/>
          <w:b/>
          <w:sz w:val="22"/>
          <w:szCs w:val="22"/>
        </w:rPr>
        <w:t>Financial instruments and financial risk management (continued)</w:t>
      </w:r>
    </w:p>
    <w:p w14:paraId="0DBF44B8" w14:textId="77777777" w:rsidR="0038578D" w:rsidRDefault="0038578D" w:rsidP="0038578D">
      <w:pPr>
        <w:autoSpaceDE w:val="0"/>
        <w:autoSpaceDN w:val="0"/>
        <w:adjustRightInd w:val="0"/>
        <w:spacing w:after="120"/>
        <w:jc w:val="both"/>
        <w:rPr>
          <w:rFonts w:ascii="Calibri" w:hAnsi="Calibri" w:cs="Calibri"/>
          <w:sz w:val="22"/>
          <w:szCs w:val="22"/>
        </w:rPr>
      </w:pPr>
      <w:r>
        <w:rPr>
          <w:rFonts w:ascii="Calibri" w:hAnsi="Calibri" w:cs="Calibri"/>
          <w:sz w:val="22"/>
          <w:szCs w:val="22"/>
        </w:rPr>
        <w:t>In April 2020, the Group raised approximately £600M unsecured debt for general corporate purposes under the HMT and Bank of England CCFF.</w:t>
      </w:r>
    </w:p>
    <w:p w14:paraId="10D1D01F" w14:textId="2E179DA1" w:rsidR="0038578D" w:rsidRDefault="0038578D" w:rsidP="00F007CB">
      <w:pPr>
        <w:spacing w:after="240" w:line="300" w:lineRule="exact"/>
        <w:ind w:right="-23"/>
        <w:jc w:val="both"/>
        <w:rPr>
          <w:rFonts w:ascii="Calibri" w:hAnsi="Calibri" w:cs="Calibri"/>
          <w:b/>
          <w:sz w:val="22"/>
          <w:szCs w:val="22"/>
        </w:rPr>
      </w:pPr>
      <w:r>
        <w:rPr>
          <w:rFonts w:ascii="Calibri" w:hAnsi="Calibri" w:cs="Calibri"/>
          <w:sz w:val="22"/>
          <w:szCs w:val="22"/>
        </w:rPr>
        <w:t>The Group issued senior, unsecured bonds with a face value of €850M on September 15, 2020. The bond has a coupon rate of 2.875% and a maturity date of September 15, 2025</w:t>
      </w:r>
    </w:p>
    <w:p w14:paraId="43FEEB0E" w14:textId="2791899B" w:rsidR="00F007CB" w:rsidRDefault="00F007CB" w:rsidP="00F007CB">
      <w:pPr>
        <w:spacing w:after="240" w:line="300" w:lineRule="exact"/>
        <w:ind w:right="-23"/>
        <w:jc w:val="both"/>
        <w:rPr>
          <w:rFonts w:ascii="Calibri" w:hAnsi="Calibri" w:cs="Calibri"/>
          <w:b/>
          <w:sz w:val="22"/>
          <w:szCs w:val="22"/>
        </w:rPr>
      </w:pPr>
      <w:r>
        <w:rPr>
          <w:rFonts w:ascii="Calibri" w:hAnsi="Calibri" w:cs="Calibri"/>
          <w:b/>
          <w:sz w:val="22"/>
          <w:szCs w:val="22"/>
        </w:rPr>
        <w:t>1</w:t>
      </w:r>
      <w:r w:rsidR="0038578D">
        <w:rPr>
          <w:rFonts w:ascii="Calibri" w:hAnsi="Calibri" w:cs="Calibri"/>
          <w:b/>
          <w:sz w:val="22"/>
          <w:szCs w:val="22"/>
        </w:rPr>
        <w:t>4</w:t>
      </w:r>
      <w:r>
        <w:rPr>
          <w:rFonts w:ascii="Calibri" w:hAnsi="Calibri" w:cs="Calibri"/>
          <w:b/>
          <w:sz w:val="22"/>
          <w:szCs w:val="22"/>
        </w:rPr>
        <w:t xml:space="preserve">. </w:t>
      </w:r>
      <w:r>
        <w:rPr>
          <w:rFonts w:ascii="Calibri" w:hAnsi="Calibri" w:cs="Calibri"/>
          <w:b/>
          <w:sz w:val="22"/>
          <w:szCs w:val="22"/>
        </w:rPr>
        <w:tab/>
      </w:r>
      <w:r w:rsidR="0038578D">
        <w:rPr>
          <w:rFonts w:ascii="Calibri" w:hAnsi="Calibri" w:cs="Calibri"/>
          <w:b/>
          <w:sz w:val="22"/>
          <w:szCs w:val="22"/>
        </w:rPr>
        <w:t>Shareholders equity and shareholder returns</w:t>
      </w:r>
    </w:p>
    <w:p w14:paraId="47F8CAC8" w14:textId="77777777" w:rsidR="0038578D" w:rsidRDefault="0038578D" w:rsidP="0038578D">
      <w:pPr>
        <w:autoSpaceDE w:val="0"/>
        <w:autoSpaceDN w:val="0"/>
        <w:adjustRightInd w:val="0"/>
        <w:spacing w:after="120"/>
        <w:jc w:val="both"/>
        <w:rPr>
          <w:rFonts w:ascii="Calibri" w:hAnsi="Calibri" w:cs="Calibri"/>
          <w:sz w:val="22"/>
          <w:szCs w:val="22"/>
        </w:rPr>
      </w:pPr>
      <w:bookmarkStart w:id="13" w:name="_Hlk483400536"/>
      <w:r>
        <w:rPr>
          <w:rFonts w:ascii="Calibri" w:hAnsi="Calibri" w:cs="Calibri"/>
          <w:sz w:val="22"/>
          <w:szCs w:val="22"/>
        </w:rPr>
        <w:t>In September 2020, 35.2M ordinary shares were issued via an ordinary share placing at a price of €11.35 per share generating €400M proceeds.</w:t>
      </w:r>
    </w:p>
    <w:p w14:paraId="2E882763" w14:textId="77777777" w:rsidR="0038578D" w:rsidRDefault="0038578D" w:rsidP="0038578D">
      <w:pPr>
        <w:autoSpaceDE w:val="0"/>
        <w:autoSpaceDN w:val="0"/>
        <w:adjustRightInd w:val="0"/>
        <w:spacing w:after="120"/>
        <w:jc w:val="both"/>
        <w:rPr>
          <w:rFonts w:ascii="Calibri" w:hAnsi="Calibri" w:cs="Calibri"/>
          <w:b/>
          <w:sz w:val="22"/>
          <w:szCs w:val="22"/>
        </w:rPr>
      </w:pPr>
      <w:r>
        <w:rPr>
          <w:rFonts w:ascii="Calibri" w:hAnsi="Calibri" w:cs="Calibri"/>
          <w:sz w:val="22"/>
          <w:szCs w:val="22"/>
        </w:rPr>
        <w:t xml:space="preserve">During the period 0.9M ordinary shares were issued at a strike price between €6.25 and €6.74 per share following the exercise of vested options. </w:t>
      </w:r>
    </w:p>
    <w:p w14:paraId="385BCB72" w14:textId="77777777" w:rsidR="0038578D" w:rsidRDefault="0038578D" w:rsidP="0038578D">
      <w:pPr>
        <w:spacing w:after="240" w:line="300" w:lineRule="exact"/>
        <w:ind w:right="-23"/>
        <w:jc w:val="both"/>
        <w:rPr>
          <w:rFonts w:ascii="Calibri" w:hAnsi="Calibri" w:cs="Calibri"/>
          <w:sz w:val="22"/>
          <w:szCs w:val="22"/>
        </w:rPr>
      </w:pPr>
      <w:r>
        <w:rPr>
          <w:rFonts w:ascii="Calibri" w:hAnsi="Calibri" w:cs="Calibri"/>
          <w:sz w:val="22"/>
          <w:szCs w:val="22"/>
        </w:rPr>
        <w:t xml:space="preserve">There were no shareholder returns during the half-year ended September 30, 2020. </w:t>
      </w:r>
    </w:p>
    <w:p w14:paraId="34989D05" w14:textId="77777777" w:rsidR="0038578D" w:rsidRDefault="0038578D" w:rsidP="0038578D">
      <w:pPr>
        <w:spacing w:after="240" w:line="300" w:lineRule="exact"/>
        <w:ind w:right="-23"/>
        <w:jc w:val="both"/>
        <w:rPr>
          <w:rFonts w:ascii="Calibri" w:hAnsi="Calibri" w:cs="Calibri"/>
          <w:sz w:val="22"/>
          <w:szCs w:val="22"/>
        </w:rPr>
      </w:pPr>
      <w:r>
        <w:rPr>
          <w:rFonts w:ascii="Calibri" w:hAnsi="Calibri" w:cs="Calibri"/>
          <w:sz w:val="22"/>
          <w:szCs w:val="22"/>
        </w:rPr>
        <w:lastRenderedPageBreak/>
        <w:t xml:space="preserve">In FY20 the Company bought back 47.2M shares at a total cost of €581M. This buyback was equivalent to approximately 4.2% of the Company’s issued share capital at March 31, 2020.  All of these repurchased ordinary shares were cancelled at March 31, 2020.  </w:t>
      </w:r>
    </w:p>
    <w:p w14:paraId="12E196A8" w14:textId="5DCCA307" w:rsidR="00F007CB" w:rsidRDefault="0038578D" w:rsidP="0038578D">
      <w:pPr>
        <w:spacing w:line="300" w:lineRule="exact"/>
        <w:ind w:right="-57"/>
        <w:jc w:val="both"/>
        <w:rPr>
          <w:rFonts w:ascii="Calibri" w:hAnsi="Calibri" w:cs="Calibri"/>
          <w:sz w:val="22"/>
          <w:szCs w:val="22"/>
        </w:rPr>
      </w:pPr>
      <w:r>
        <w:rPr>
          <w:rFonts w:ascii="Calibri" w:hAnsi="Calibri" w:cs="Calibri"/>
          <w:sz w:val="22"/>
          <w:szCs w:val="22"/>
        </w:rPr>
        <w:t>As a result of the share buybacks in the year ended March 31, 2020, share capital decreased by 47.2M ordinary shares with a nominal value of €581M and the other undenominated capital reserve increased by a corresponding €0.3M. The other undenominated capital reserve is required to be created under Irish law to preserve permanent capital in the Parent Company</w:t>
      </w:r>
      <w:r w:rsidR="00F007CB">
        <w:rPr>
          <w:rFonts w:ascii="Calibri" w:hAnsi="Calibri" w:cs="Calibri"/>
          <w:sz w:val="22"/>
          <w:szCs w:val="22"/>
        </w:rPr>
        <w:t xml:space="preserve">. </w:t>
      </w:r>
    </w:p>
    <w:bookmarkEnd w:id="13"/>
    <w:p w14:paraId="735D7788" w14:textId="77777777" w:rsidR="00F007CB" w:rsidRDefault="00F007CB" w:rsidP="00F007CB">
      <w:pPr>
        <w:spacing w:line="300" w:lineRule="exact"/>
        <w:ind w:right="-24"/>
        <w:jc w:val="both"/>
        <w:rPr>
          <w:rFonts w:ascii="Calibri" w:hAnsi="Calibri" w:cs="Calibri"/>
          <w:b/>
          <w:sz w:val="22"/>
          <w:szCs w:val="22"/>
        </w:rPr>
      </w:pPr>
    </w:p>
    <w:p w14:paraId="63BF87B4" w14:textId="5A4E5C3B" w:rsidR="00F007CB" w:rsidRDefault="00F007CB" w:rsidP="00F007CB">
      <w:pPr>
        <w:spacing w:line="300" w:lineRule="exact"/>
        <w:ind w:right="-24"/>
        <w:jc w:val="both"/>
        <w:rPr>
          <w:rFonts w:ascii="Calibri" w:hAnsi="Calibri" w:cs="Calibri"/>
          <w:b/>
          <w:sz w:val="22"/>
          <w:szCs w:val="22"/>
        </w:rPr>
      </w:pPr>
      <w:r>
        <w:rPr>
          <w:rFonts w:ascii="Calibri" w:hAnsi="Calibri" w:cs="Calibri"/>
          <w:b/>
          <w:sz w:val="22"/>
          <w:szCs w:val="22"/>
        </w:rPr>
        <w:t>1</w:t>
      </w:r>
      <w:r w:rsidR="0038578D">
        <w:rPr>
          <w:rFonts w:ascii="Calibri" w:hAnsi="Calibri" w:cs="Calibri"/>
          <w:b/>
          <w:sz w:val="22"/>
          <w:szCs w:val="22"/>
        </w:rPr>
        <w:t>5</w:t>
      </w:r>
      <w:r>
        <w:rPr>
          <w:rFonts w:ascii="Calibri" w:hAnsi="Calibri" w:cs="Calibri"/>
          <w:b/>
          <w:sz w:val="22"/>
          <w:szCs w:val="22"/>
        </w:rPr>
        <w:t>.</w:t>
      </w:r>
      <w:r>
        <w:rPr>
          <w:rFonts w:ascii="Calibri" w:hAnsi="Calibri" w:cs="Calibri"/>
          <w:b/>
          <w:sz w:val="22"/>
          <w:szCs w:val="22"/>
        </w:rPr>
        <w:tab/>
        <w:t>Related party transactions</w:t>
      </w:r>
    </w:p>
    <w:p w14:paraId="45C5E26D" w14:textId="77777777" w:rsidR="00F007CB" w:rsidRDefault="00F007CB" w:rsidP="00F007CB">
      <w:pPr>
        <w:spacing w:line="300" w:lineRule="exact"/>
        <w:ind w:right="-24"/>
        <w:jc w:val="both"/>
        <w:rPr>
          <w:rFonts w:ascii="Calibri" w:hAnsi="Calibri" w:cs="Calibri"/>
          <w:b/>
          <w:sz w:val="22"/>
          <w:szCs w:val="22"/>
        </w:rPr>
      </w:pPr>
    </w:p>
    <w:p w14:paraId="4D1D0417" w14:textId="77777777" w:rsidR="0038578D" w:rsidRDefault="0038578D" w:rsidP="0038578D">
      <w:pPr>
        <w:pStyle w:val="NormalWeb"/>
        <w:spacing w:before="0" w:beforeAutospacing="0" w:after="120" w:afterAutospacing="0" w:line="300" w:lineRule="exact"/>
        <w:ind w:right="-23"/>
        <w:jc w:val="both"/>
        <w:rPr>
          <w:rFonts w:ascii="Calibri" w:hAnsi="Calibri" w:cs="Calibri"/>
          <w:color w:val="000000"/>
          <w:sz w:val="22"/>
          <w:szCs w:val="22"/>
        </w:rPr>
      </w:pPr>
      <w:r>
        <w:rPr>
          <w:rFonts w:ascii="Calibri" w:hAnsi="Calibri" w:cs="Calibri"/>
          <w:color w:val="000000"/>
          <w:sz w:val="22"/>
          <w:szCs w:val="22"/>
        </w:rPr>
        <w:t>The Company’s related parties comprise its subsidiaries, Directors and senior key management personnel. All transactions with subsidiaries eliminate on consolidation and are not disclosed.</w:t>
      </w:r>
    </w:p>
    <w:p w14:paraId="47ADC213" w14:textId="6D32B75A" w:rsidR="00F007CB" w:rsidRDefault="0038578D" w:rsidP="0038578D">
      <w:pPr>
        <w:pStyle w:val="NormalWeb"/>
        <w:spacing w:before="0" w:beforeAutospacing="0" w:after="0" w:afterAutospacing="0" w:line="300" w:lineRule="exact"/>
        <w:ind w:right="-24"/>
        <w:jc w:val="both"/>
        <w:rPr>
          <w:rFonts w:ascii="Calibri" w:hAnsi="Calibri" w:cs="Calibri"/>
          <w:color w:val="000000"/>
          <w:sz w:val="22"/>
          <w:szCs w:val="22"/>
        </w:rPr>
      </w:pPr>
      <w:r>
        <w:rPr>
          <w:rFonts w:ascii="Calibri" w:hAnsi="Calibri" w:cs="Calibri"/>
          <w:color w:val="000000"/>
          <w:sz w:val="22"/>
          <w:szCs w:val="22"/>
        </w:rPr>
        <w:t>There were no related party transactions in the quarter ended September 30, 2020 that materially affected the financial position or the performance of the Company during that period and there were no changes in the related party transactions described in the 2020 Annual Report that could have a material effect on the financial position or performance of the Company in the same period</w:t>
      </w:r>
      <w:r w:rsidR="00F007CB">
        <w:rPr>
          <w:rFonts w:ascii="Calibri" w:hAnsi="Calibri" w:cs="Calibri"/>
          <w:color w:val="000000"/>
          <w:sz w:val="22"/>
          <w:szCs w:val="22"/>
        </w:rPr>
        <w:t xml:space="preserve">. </w:t>
      </w:r>
    </w:p>
    <w:p w14:paraId="6FFB361B" w14:textId="5A5B14A6" w:rsidR="00F007CB" w:rsidRDefault="00F007CB" w:rsidP="00F007CB">
      <w:pPr>
        <w:pStyle w:val="NormalWeb"/>
        <w:spacing w:before="0" w:beforeAutospacing="0" w:after="0" w:afterAutospacing="0" w:line="300" w:lineRule="exact"/>
        <w:ind w:right="-24"/>
        <w:jc w:val="both"/>
        <w:rPr>
          <w:rFonts w:ascii="Calibri" w:hAnsi="Calibri" w:cs="Calibri"/>
          <w:color w:val="000000"/>
          <w:sz w:val="22"/>
          <w:szCs w:val="22"/>
        </w:rPr>
      </w:pPr>
    </w:p>
    <w:p w14:paraId="420F444B" w14:textId="7C9E04E1" w:rsidR="0038578D" w:rsidRDefault="0038578D" w:rsidP="0038578D">
      <w:pPr>
        <w:spacing w:line="300" w:lineRule="exact"/>
        <w:ind w:right="-24"/>
        <w:jc w:val="both"/>
        <w:rPr>
          <w:rFonts w:ascii="Calibri" w:hAnsi="Calibri" w:cs="Calibri"/>
          <w:b/>
          <w:sz w:val="22"/>
          <w:szCs w:val="22"/>
        </w:rPr>
      </w:pPr>
      <w:r>
        <w:rPr>
          <w:rFonts w:ascii="Calibri" w:hAnsi="Calibri" w:cs="Calibri"/>
          <w:b/>
          <w:sz w:val="22"/>
          <w:szCs w:val="22"/>
        </w:rPr>
        <w:t xml:space="preserve">16. </w:t>
      </w:r>
      <w:r w:rsidR="005C13A2">
        <w:rPr>
          <w:rFonts w:ascii="Calibri" w:hAnsi="Calibri" w:cs="Calibri"/>
          <w:b/>
          <w:sz w:val="22"/>
          <w:szCs w:val="22"/>
        </w:rPr>
        <w:tab/>
      </w:r>
      <w:r>
        <w:rPr>
          <w:rFonts w:ascii="Calibri" w:hAnsi="Calibri" w:cs="Calibri"/>
          <w:b/>
          <w:sz w:val="22"/>
          <w:szCs w:val="22"/>
        </w:rPr>
        <w:t>Government grants and assistance</w:t>
      </w:r>
    </w:p>
    <w:p w14:paraId="5EBBC6F7" w14:textId="77777777" w:rsidR="0038578D" w:rsidRDefault="0038578D" w:rsidP="0038578D">
      <w:pPr>
        <w:spacing w:line="300" w:lineRule="exact"/>
        <w:ind w:right="-24"/>
        <w:jc w:val="both"/>
        <w:rPr>
          <w:rFonts w:ascii="Calibri" w:hAnsi="Calibri" w:cs="Calibri"/>
          <w:b/>
          <w:sz w:val="22"/>
          <w:szCs w:val="22"/>
        </w:rPr>
      </w:pPr>
    </w:p>
    <w:p w14:paraId="64CCDAC7" w14:textId="204ED9F7" w:rsidR="0038578D" w:rsidRDefault="0038578D" w:rsidP="0038578D">
      <w:pPr>
        <w:pStyle w:val="NormalWeb"/>
        <w:spacing w:before="0" w:beforeAutospacing="0" w:after="0" w:afterAutospacing="0" w:line="300" w:lineRule="exact"/>
        <w:jc w:val="both"/>
        <w:rPr>
          <w:rFonts w:ascii="Calibri" w:hAnsi="Calibri" w:cs="Calibri"/>
          <w:bCs/>
          <w:sz w:val="22"/>
          <w:szCs w:val="22"/>
          <w:lang w:val="en-IE"/>
        </w:rPr>
      </w:pPr>
      <w:r>
        <w:rPr>
          <w:rFonts w:ascii="Calibri" w:hAnsi="Calibri" w:cs="Calibri"/>
          <w:bCs/>
          <w:sz w:val="22"/>
          <w:szCs w:val="22"/>
          <w:lang w:val="en-IE"/>
        </w:rPr>
        <w:t xml:space="preserve">During the six months to September 30, 2020, many European countries in which the Ryanair Group operates made available payroll support schemes. The Ryanair Group utilised a number of these employment retention schemes to protect jobs within the Group. These schemes were a mix of short term Covid-19 specific programmes and long term schemes linked to social security that existed pre Covid-19. The total amount of payroll supports received by the Group under the various </w:t>
      </w:r>
      <w:r w:rsidR="00B20726">
        <w:rPr>
          <w:rFonts w:ascii="Calibri" w:hAnsi="Calibri" w:cs="Calibri"/>
          <w:bCs/>
          <w:sz w:val="22"/>
          <w:szCs w:val="22"/>
          <w:lang w:val="en-IE"/>
        </w:rPr>
        <w:t>s</w:t>
      </w:r>
      <w:r>
        <w:rPr>
          <w:rFonts w:ascii="Calibri" w:hAnsi="Calibri" w:cs="Calibri"/>
          <w:bCs/>
          <w:sz w:val="22"/>
          <w:szCs w:val="22"/>
          <w:lang w:val="en-IE"/>
        </w:rPr>
        <w:t>chemes amounted to approximately €44M and are offset against staff costs in the Consolidated Income Statement.</w:t>
      </w:r>
    </w:p>
    <w:p w14:paraId="21F1F776" w14:textId="77777777" w:rsidR="0038578D" w:rsidRDefault="0038578D" w:rsidP="0038578D">
      <w:pPr>
        <w:jc w:val="both"/>
        <w:rPr>
          <w:rFonts w:ascii="Calibri" w:hAnsi="Calibri" w:cs="Calibri"/>
          <w:bCs/>
          <w:sz w:val="22"/>
          <w:szCs w:val="22"/>
          <w:highlight w:val="yellow"/>
        </w:rPr>
      </w:pPr>
    </w:p>
    <w:p w14:paraId="3FB3C5C8" w14:textId="2C7A4256" w:rsidR="0038578D" w:rsidRDefault="0038578D" w:rsidP="00F007CB">
      <w:pPr>
        <w:pStyle w:val="NormalWeb"/>
        <w:spacing w:before="0" w:beforeAutospacing="0" w:after="0" w:afterAutospacing="0" w:line="300" w:lineRule="exact"/>
        <w:ind w:right="-24"/>
        <w:jc w:val="both"/>
        <w:rPr>
          <w:rFonts w:ascii="Calibri" w:hAnsi="Calibri" w:cs="Calibri"/>
          <w:color w:val="000000"/>
          <w:sz w:val="22"/>
          <w:szCs w:val="22"/>
        </w:rPr>
      </w:pPr>
      <w:r>
        <w:rPr>
          <w:rFonts w:ascii="Calibri" w:hAnsi="Calibri" w:cs="Calibri"/>
          <w:bCs/>
          <w:sz w:val="22"/>
          <w:szCs w:val="22"/>
        </w:rPr>
        <w:t xml:space="preserve">In April 2020, the Group raised £600M unsecured (12 months) debt for general corporate purposes under the HMT and Bank of England CCFF. The 0.44% interest rate was the prevailing rate for strong BBB rated </w:t>
      </w:r>
      <w:r w:rsidR="00AB69AF">
        <w:rPr>
          <w:rFonts w:ascii="Calibri" w:hAnsi="Calibri" w:cs="Calibri"/>
          <w:bCs/>
          <w:sz w:val="22"/>
          <w:szCs w:val="22"/>
        </w:rPr>
        <w:t>c</w:t>
      </w:r>
      <w:r>
        <w:rPr>
          <w:rFonts w:ascii="Calibri" w:hAnsi="Calibri" w:cs="Calibri"/>
          <w:bCs/>
          <w:sz w:val="22"/>
          <w:szCs w:val="22"/>
        </w:rPr>
        <w:t>ompan</w:t>
      </w:r>
      <w:r w:rsidR="00DF5528">
        <w:rPr>
          <w:rFonts w:ascii="Calibri" w:hAnsi="Calibri" w:cs="Calibri"/>
          <w:bCs/>
          <w:sz w:val="22"/>
          <w:szCs w:val="22"/>
        </w:rPr>
        <w:t>ie</w:t>
      </w:r>
      <w:r>
        <w:rPr>
          <w:rFonts w:ascii="Calibri" w:hAnsi="Calibri" w:cs="Calibri"/>
          <w:bCs/>
          <w:sz w:val="22"/>
          <w:szCs w:val="22"/>
        </w:rPr>
        <w:t>s.</w:t>
      </w:r>
    </w:p>
    <w:p w14:paraId="0A4EA962" w14:textId="77777777" w:rsidR="0038578D" w:rsidRDefault="0038578D" w:rsidP="00F007CB">
      <w:pPr>
        <w:pStyle w:val="NormalWeb"/>
        <w:spacing w:before="0" w:beforeAutospacing="0" w:after="0" w:afterAutospacing="0" w:line="300" w:lineRule="exact"/>
        <w:ind w:right="-24"/>
        <w:jc w:val="both"/>
        <w:rPr>
          <w:rFonts w:ascii="Calibri" w:hAnsi="Calibri" w:cs="Calibri"/>
          <w:color w:val="000000"/>
          <w:sz w:val="22"/>
          <w:szCs w:val="22"/>
        </w:rPr>
      </w:pPr>
    </w:p>
    <w:p w14:paraId="13579688" w14:textId="156B8F09" w:rsidR="00F007CB" w:rsidRDefault="00F007CB" w:rsidP="00F007CB">
      <w:pPr>
        <w:spacing w:after="240" w:line="300" w:lineRule="exact"/>
        <w:ind w:right="-24"/>
        <w:jc w:val="both"/>
        <w:rPr>
          <w:rFonts w:ascii="Calibri" w:hAnsi="Calibri" w:cs="Calibri"/>
          <w:b/>
          <w:sz w:val="22"/>
          <w:szCs w:val="22"/>
        </w:rPr>
      </w:pPr>
      <w:r>
        <w:rPr>
          <w:rFonts w:ascii="Calibri" w:hAnsi="Calibri" w:cs="Calibri"/>
          <w:b/>
          <w:sz w:val="22"/>
          <w:szCs w:val="22"/>
        </w:rPr>
        <w:t>1</w:t>
      </w:r>
      <w:r w:rsidR="0038578D">
        <w:rPr>
          <w:rFonts w:ascii="Calibri" w:hAnsi="Calibri" w:cs="Calibri"/>
          <w:b/>
          <w:sz w:val="22"/>
          <w:szCs w:val="22"/>
        </w:rPr>
        <w:t>7</w:t>
      </w:r>
      <w:r>
        <w:rPr>
          <w:rFonts w:ascii="Calibri" w:hAnsi="Calibri" w:cs="Calibri"/>
          <w:b/>
          <w:sz w:val="22"/>
          <w:szCs w:val="22"/>
        </w:rPr>
        <w:t>.</w:t>
      </w:r>
      <w:r>
        <w:rPr>
          <w:rFonts w:ascii="Calibri" w:hAnsi="Calibri" w:cs="Calibri"/>
          <w:b/>
          <w:sz w:val="22"/>
          <w:szCs w:val="22"/>
        </w:rPr>
        <w:tab/>
        <w:t>Post balance sheet events</w:t>
      </w:r>
    </w:p>
    <w:p w14:paraId="637C89EA" w14:textId="77777777" w:rsidR="0062752A" w:rsidRDefault="003D7D34" w:rsidP="00F01730">
      <w:pPr>
        <w:spacing w:line="300" w:lineRule="exact"/>
        <w:ind w:right="-24"/>
        <w:jc w:val="both"/>
        <w:rPr>
          <w:rFonts w:ascii="Calibri" w:hAnsi="Calibri" w:cs="Calibri"/>
          <w:sz w:val="22"/>
          <w:szCs w:val="22"/>
        </w:rPr>
      </w:pPr>
      <w:r>
        <w:rPr>
          <w:rFonts w:ascii="Calibri" w:hAnsi="Calibri" w:cs="Calibri"/>
          <w:sz w:val="22"/>
          <w:szCs w:val="22"/>
        </w:rPr>
        <w:t xml:space="preserve">On 15 October the Group reduced its Winter schedule (November to March 2021) taking capacity down from 60% to 40% of prior year. </w:t>
      </w:r>
    </w:p>
    <w:p w14:paraId="61F5332F" w14:textId="77777777" w:rsidR="0062752A" w:rsidRDefault="0062752A" w:rsidP="00F01730">
      <w:pPr>
        <w:spacing w:line="300" w:lineRule="exact"/>
        <w:ind w:right="-24"/>
        <w:jc w:val="both"/>
        <w:rPr>
          <w:rFonts w:ascii="Calibri" w:hAnsi="Calibri" w:cs="Calibri"/>
          <w:sz w:val="22"/>
          <w:szCs w:val="22"/>
        </w:rPr>
      </w:pPr>
    </w:p>
    <w:p w14:paraId="676FC800" w14:textId="3697C54F" w:rsidR="0062752A" w:rsidRPr="0062752A" w:rsidRDefault="0062752A" w:rsidP="0062752A">
      <w:pPr>
        <w:spacing w:after="240" w:line="300" w:lineRule="exact"/>
        <w:ind w:right="-24"/>
        <w:jc w:val="both"/>
        <w:rPr>
          <w:rFonts w:ascii="Calibri" w:hAnsi="Calibri" w:cs="Calibri"/>
          <w:b/>
          <w:sz w:val="22"/>
          <w:szCs w:val="22"/>
        </w:rPr>
      </w:pPr>
      <w:r>
        <w:rPr>
          <w:rFonts w:ascii="Calibri" w:hAnsi="Calibri" w:cs="Calibri"/>
          <w:b/>
          <w:sz w:val="22"/>
          <w:szCs w:val="22"/>
        </w:rPr>
        <w:lastRenderedPageBreak/>
        <w:t>18.</w:t>
      </w:r>
      <w:r>
        <w:rPr>
          <w:rFonts w:ascii="Calibri" w:hAnsi="Calibri" w:cs="Calibri"/>
          <w:b/>
          <w:sz w:val="22"/>
          <w:szCs w:val="22"/>
        </w:rPr>
        <w:tab/>
      </w:r>
      <w:r w:rsidRPr="0083128B">
        <w:rPr>
          <w:rFonts w:ascii="Calibri" w:hAnsi="Calibri" w:cs="Calibri"/>
          <w:b/>
          <w:sz w:val="22"/>
          <w:szCs w:val="22"/>
        </w:rPr>
        <w:t xml:space="preserve">Going concern </w:t>
      </w:r>
    </w:p>
    <w:p w14:paraId="48BCB1C6" w14:textId="777944E8" w:rsidR="00F01730" w:rsidRDefault="003D7D34" w:rsidP="00F01730">
      <w:pPr>
        <w:spacing w:line="300" w:lineRule="exact"/>
        <w:ind w:right="-24"/>
        <w:jc w:val="both"/>
        <w:rPr>
          <w:rFonts w:ascii="Calibri" w:hAnsi="Calibri" w:cs="Calibri"/>
          <w:sz w:val="22"/>
          <w:szCs w:val="22"/>
        </w:rPr>
      </w:pPr>
      <w:r>
        <w:rPr>
          <w:rFonts w:ascii="Calibri" w:hAnsi="Calibri" w:cs="Calibri"/>
          <w:sz w:val="22"/>
          <w:szCs w:val="22"/>
        </w:rPr>
        <w:t>Due to its ongoing cost reductions, recent €1.25BN fundraising which underpinned the Group’s strong BBB rated balance sheet, and cost preservation measures, the Board are satisfied that it remains appropriate to adopt the going concern concept</w:t>
      </w:r>
      <w:r w:rsidR="00F01730">
        <w:rPr>
          <w:rFonts w:ascii="Calibri" w:hAnsi="Calibri" w:cs="Calibri"/>
          <w:sz w:val="22"/>
          <w:szCs w:val="22"/>
        </w:rPr>
        <w:t xml:space="preserve">. </w:t>
      </w:r>
    </w:p>
    <w:p w14:paraId="264B85BE" w14:textId="3A569D0B" w:rsidR="00B91E13" w:rsidRDefault="00B91E13" w:rsidP="00FF2F42">
      <w:pPr>
        <w:spacing w:line="300" w:lineRule="exact"/>
        <w:ind w:right="-24"/>
        <w:jc w:val="both"/>
        <w:rPr>
          <w:rFonts w:ascii="Calibri" w:hAnsi="Calibri" w:cs="Calibri"/>
          <w:sz w:val="22"/>
          <w:szCs w:val="22"/>
        </w:rPr>
      </w:pPr>
    </w:p>
    <w:p w14:paraId="27D392BA" w14:textId="7AB0BA57" w:rsidR="00B91E13" w:rsidRDefault="00B91E13" w:rsidP="00FF2F42">
      <w:pPr>
        <w:spacing w:line="300" w:lineRule="exact"/>
        <w:ind w:right="-24"/>
        <w:jc w:val="both"/>
        <w:rPr>
          <w:rFonts w:ascii="Calibri" w:hAnsi="Calibri" w:cs="Calibri"/>
          <w:sz w:val="22"/>
          <w:szCs w:val="22"/>
        </w:rPr>
      </w:pPr>
    </w:p>
    <w:p w14:paraId="68E99476" w14:textId="63F1729E" w:rsidR="00B91E13" w:rsidRDefault="00B91E13" w:rsidP="00FF2F42">
      <w:pPr>
        <w:spacing w:line="300" w:lineRule="exact"/>
        <w:ind w:right="-24"/>
        <w:jc w:val="both"/>
        <w:rPr>
          <w:rFonts w:ascii="Calibri" w:hAnsi="Calibri" w:cs="Calibri"/>
          <w:sz w:val="22"/>
          <w:szCs w:val="22"/>
        </w:rPr>
      </w:pPr>
    </w:p>
    <w:p w14:paraId="2F23B4AA" w14:textId="77777777" w:rsidR="00B91E13" w:rsidRPr="00C22F7C" w:rsidRDefault="00B91E13" w:rsidP="00B91E13">
      <w:pPr>
        <w:pStyle w:val="CG-Title-Center-Bold"/>
        <w:pageBreakBefore/>
        <w:spacing w:after="0"/>
        <w:ind w:right="-352"/>
        <w:rPr>
          <w:rFonts w:ascii="Calibri" w:hAnsi="Calibri" w:cs="Calibri"/>
          <w:sz w:val="24"/>
          <w:szCs w:val="24"/>
        </w:rPr>
      </w:pPr>
      <w:r w:rsidRPr="00C22F7C">
        <w:rPr>
          <w:rFonts w:ascii="Calibri" w:hAnsi="Calibri" w:cs="Calibri"/>
          <w:sz w:val="24"/>
          <w:szCs w:val="24"/>
        </w:rPr>
        <w:lastRenderedPageBreak/>
        <w:t>Ryanair Holdings plc and Subsidiaries</w:t>
      </w:r>
    </w:p>
    <w:p w14:paraId="07D6A9BD" w14:textId="77777777" w:rsidR="00B91E13" w:rsidRPr="00C22F7C" w:rsidRDefault="00B91E13" w:rsidP="00B91E13">
      <w:pPr>
        <w:pStyle w:val="CG-Title-Center-Bold"/>
        <w:keepNext w:val="0"/>
        <w:spacing w:after="0"/>
        <w:ind w:right="-352"/>
        <w:rPr>
          <w:rFonts w:ascii="Calibri" w:hAnsi="Calibri" w:cs="Calibri"/>
          <w:sz w:val="24"/>
          <w:szCs w:val="24"/>
        </w:rPr>
      </w:pPr>
      <w:r w:rsidRPr="00C22F7C">
        <w:rPr>
          <w:rFonts w:ascii="Calibri" w:hAnsi="Calibri" w:cs="Calibri"/>
          <w:sz w:val="24"/>
          <w:szCs w:val="24"/>
        </w:rPr>
        <w:t>Responsibility Statement</w:t>
      </w:r>
    </w:p>
    <w:p w14:paraId="513A722E" w14:textId="77777777" w:rsidR="00B91E13" w:rsidRPr="00C22F7C" w:rsidRDefault="00B91E13" w:rsidP="00B91E13">
      <w:pPr>
        <w:rPr>
          <w:rFonts w:ascii="Calibri" w:hAnsi="Calibri" w:cs="Calibri"/>
          <w:b/>
          <w:sz w:val="22"/>
        </w:rPr>
      </w:pPr>
    </w:p>
    <w:p w14:paraId="4A3B233B" w14:textId="77777777" w:rsidR="00B91E13" w:rsidRPr="00C22F7C" w:rsidRDefault="00B91E13" w:rsidP="00B91E13">
      <w:pPr>
        <w:rPr>
          <w:rFonts w:ascii="Calibri" w:hAnsi="Calibri" w:cs="Calibri"/>
          <w:b/>
          <w:sz w:val="22"/>
        </w:rPr>
      </w:pPr>
    </w:p>
    <w:p w14:paraId="59C36413" w14:textId="77777777" w:rsidR="00B91E13" w:rsidRPr="00C22F7C" w:rsidRDefault="00B91E13" w:rsidP="00B91E13">
      <w:pPr>
        <w:autoSpaceDE w:val="0"/>
        <w:autoSpaceDN w:val="0"/>
        <w:adjustRightInd w:val="0"/>
        <w:spacing w:line="300" w:lineRule="exact"/>
        <w:jc w:val="both"/>
        <w:rPr>
          <w:rFonts w:ascii="Calibri" w:hAnsi="Calibri" w:cs="Calibri"/>
          <w:b/>
          <w:sz w:val="22"/>
          <w:szCs w:val="22"/>
        </w:rPr>
      </w:pPr>
      <w:r w:rsidRPr="00C22F7C">
        <w:rPr>
          <w:rFonts w:ascii="Calibri" w:hAnsi="Calibri" w:cs="Calibri"/>
          <w:b/>
          <w:sz w:val="22"/>
          <w:szCs w:val="22"/>
        </w:rPr>
        <w:t>Statement of the Directors in respect of the interim financial report</w:t>
      </w:r>
    </w:p>
    <w:p w14:paraId="37E31E58" w14:textId="77777777" w:rsidR="00B91E13" w:rsidRPr="00C22F7C" w:rsidRDefault="00B91E13" w:rsidP="00B91E13">
      <w:pPr>
        <w:autoSpaceDE w:val="0"/>
        <w:autoSpaceDN w:val="0"/>
        <w:adjustRightInd w:val="0"/>
        <w:spacing w:line="300" w:lineRule="exact"/>
        <w:jc w:val="both"/>
        <w:rPr>
          <w:rFonts w:ascii="Calibri" w:hAnsi="Calibri" w:cs="Calibri"/>
          <w:sz w:val="22"/>
        </w:rPr>
      </w:pPr>
    </w:p>
    <w:p w14:paraId="1F0FEFF6" w14:textId="77777777" w:rsidR="00B91E13" w:rsidRPr="00C22F7C" w:rsidRDefault="00B91E13" w:rsidP="00B91E13">
      <w:pPr>
        <w:autoSpaceDE w:val="0"/>
        <w:autoSpaceDN w:val="0"/>
        <w:adjustRightInd w:val="0"/>
        <w:jc w:val="both"/>
        <w:rPr>
          <w:rFonts w:ascii="Calibri" w:hAnsi="Calibri" w:cs="Calibri"/>
          <w:sz w:val="22"/>
          <w:szCs w:val="22"/>
        </w:rPr>
      </w:pPr>
      <w:r w:rsidRPr="00C22F7C">
        <w:rPr>
          <w:rFonts w:ascii="Calibri" w:hAnsi="Calibri" w:cs="Calibri"/>
          <w:sz w:val="22"/>
          <w:szCs w:val="22"/>
        </w:rPr>
        <w:t>The Directors are responsible for preparing the half-yearly financial report in accordance with the Transparency (Directive 2004/109/EC) Regulations 2007 (“Transparency Directive”), and the Transparency Rules of the Central Bank of Ireland.</w:t>
      </w:r>
    </w:p>
    <w:p w14:paraId="4175699D" w14:textId="77777777" w:rsidR="00B91E13" w:rsidRPr="00C22F7C" w:rsidRDefault="00B91E13" w:rsidP="00B91E13">
      <w:pPr>
        <w:autoSpaceDE w:val="0"/>
        <w:autoSpaceDN w:val="0"/>
        <w:adjustRightInd w:val="0"/>
        <w:jc w:val="both"/>
        <w:rPr>
          <w:rFonts w:ascii="Calibri" w:hAnsi="Calibri" w:cs="Calibri"/>
          <w:sz w:val="22"/>
          <w:szCs w:val="22"/>
        </w:rPr>
      </w:pPr>
    </w:p>
    <w:p w14:paraId="50617D2F" w14:textId="77777777" w:rsidR="00B91E13" w:rsidRPr="00C22F7C" w:rsidRDefault="00B91E13" w:rsidP="00B91E13">
      <w:pPr>
        <w:autoSpaceDE w:val="0"/>
        <w:autoSpaceDN w:val="0"/>
        <w:adjustRightInd w:val="0"/>
        <w:jc w:val="both"/>
        <w:rPr>
          <w:rFonts w:ascii="Calibri" w:hAnsi="Calibri" w:cs="Calibri"/>
          <w:sz w:val="22"/>
          <w:szCs w:val="22"/>
        </w:rPr>
      </w:pPr>
      <w:r w:rsidRPr="00C22F7C">
        <w:rPr>
          <w:rFonts w:ascii="Calibri" w:hAnsi="Calibri" w:cs="Calibri"/>
          <w:sz w:val="22"/>
          <w:szCs w:val="22"/>
        </w:rPr>
        <w:t>In preparing the condensed set of consolidated interim financial statements included within the half-yearly financial report, the Directors are required to:</w:t>
      </w:r>
    </w:p>
    <w:p w14:paraId="470C430C" w14:textId="77777777" w:rsidR="00B91E13" w:rsidRPr="00C22F7C" w:rsidRDefault="00B91E13" w:rsidP="00B91E13">
      <w:pPr>
        <w:pStyle w:val="ListParagraph"/>
        <w:numPr>
          <w:ilvl w:val="0"/>
          <w:numId w:val="22"/>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prepare and present the condensed set of financial statements in accordance with IAS 34 Interim Financial Reporting as adopted by the EU, the Transparency Directive and the Transparency Rules of the Central Bank of Ireland;</w:t>
      </w:r>
    </w:p>
    <w:p w14:paraId="3C750E6F" w14:textId="77777777" w:rsidR="00B91E13" w:rsidRPr="00C22F7C" w:rsidRDefault="00B91E13" w:rsidP="00B91E13">
      <w:pPr>
        <w:pStyle w:val="ListParagraph"/>
        <w:numPr>
          <w:ilvl w:val="0"/>
          <w:numId w:val="22"/>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ensure the condensed set of financial statements has adequate disclosures;</w:t>
      </w:r>
    </w:p>
    <w:p w14:paraId="71B78174" w14:textId="77777777" w:rsidR="00B91E13" w:rsidRPr="00C22F7C" w:rsidRDefault="00B91E13" w:rsidP="00B91E13">
      <w:pPr>
        <w:pStyle w:val="ListParagraph"/>
        <w:numPr>
          <w:ilvl w:val="0"/>
          <w:numId w:val="22"/>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select and apply appropriate accounting policies; and</w:t>
      </w:r>
    </w:p>
    <w:p w14:paraId="27EE23C5" w14:textId="77777777" w:rsidR="00B91E13" w:rsidRPr="00C22F7C" w:rsidRDefault="00B91E13" w:rsidP="00B91E13">
      <w:pPr>
        <w:pStyle w:val="ListParagraph"/>
        <w:numPr>
          <w:ilvl w:val="0"/>
          <w:numId w:val="22"/>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 xml:space="preserve">make accounting estimates that are reasonable in the circumstances. </w:t>
      </w:r>
    </w:p>
    <w:p w14:paraId="75DF144E" w14:textId="77777777" w:rsidR="00B91E13" w:rsidRPr="00C22F7C" w:rsidRDefault="00B91E13" w:rsidP="00B91E13">
      <w:pPr>
        <w:autoSpaceDE w:val="0"/>
        <w:autoSpaceDN w:val="0"/>
        <w:adjustRightInd w:val="0"/>
        <w:jc w:val="both"/>
        <w:rPr>
          <w:rFonts w:ascii="Calibri" w:hAnsi="Calibri" w:cs="Calibri"/>
          <w:sz w:val="22"/>
          <w:szCs w:val="22"/>
        </w:rPr>
      </w:pPr>
    </w:p>
    <w:p w14:paraId="0A1AE914" w14:textId="77777777" w:rsidR="00B91E13" w:rsidRPr="00C22F7C" w:rsidRDefault="00B91E13" w:rsidP="00B91E13">
      <w:pPr>
        <w:autoSpaceDE w:val="0"/>
        <w:autoSpaceDN w:val="0"/>
        <w:adjustRightInd w:val="0"/>
        <w:jc w:val="both"/>
        <w:rPr>
          <w:rFonts w:ascii="Calibri" w:hAnsi="Calibri" w:cs="Calibri"/>
          <w:sz w:val="22"/>
          <w:szCs w:val="22"/>
        </w:rPr>
      </w:pPr>
      <w:r w:rsidRPr="00C22F7C">
        <w:rPr>
          <w:rFonts w:ascii="Calibri" w:hAnsi="Calibri" w:cs="Calibri"/>
          <w:sz w:val="22"/>
          <w:szCs w:val="22"/>
        </w:rPr>
        <w:t xml:space="preserve">The Directors are responsible for designing, implementing and maintaining such internal controls as they determine is necessary to enable the preparation of the condensed set of financial statements that is free from material misstatement whether due to fraud or error. </w:t>
      </w:r>
    </w:p>
    <w:p w14:paraId="456C57BE" w14:textId="77777777" w:rsidR="00B91E13" w:rsidRPr="00C22F7C" w:rsidRDefault="00B91E13" w:rsidP="00B91E13">
      <w:pPr>
        <w:autoSpaceDE w:val="0"/>
        <w:autoSpaceDN w:val="0"/>
        <w:adjustRightInd w:val="0"/>
        <w:jc w:val="both"/>
        <w:rPr>
          <w:rFonts w:ascii="Calibri" w:hAnsi="Calibri" w:cs="Calibri"/>
          <w:sz w:val="22"/>
          <w:szCs w:val="22"/>
        </w:rPr>
      </w:pPr>
    </w:p>
    <w:p w14:paraId="686EE5B1" w14:textId="77777777" w:rsidR="00B91E13" w:rsidRPr="00C22F7C" w:rsidRDefault="00B91E13" w:rsidP="00B91E13">
      <w:pPr>
        <w:autoSpaceDE w:val="0"/>
        <w:autoSpaceDN w:val="0"/>
        <w:adjustRightInd w:val="0"/>
        <w:jc w:val="both"/>
        <w:rPr>
          <w:rFonts w:ascii="Calibri" w:hAnsi="Calibri" w:cs="Calibri"/>
          <w:sz w:val="22"/>
          <w:szCs w:val="22"/>
        </w:rPr>
      </w:pPr>
      <w:r w:rsidRPr="00C22F7C">
        <w:rPr>
          <w:rFonts w:ascii="Calibri" w:hAnsi="Calibri" w:cs="Calibri"/>
          <w:sz w:val="22"/>
          <w:szCs w:val="22"/>
        </w:rPr>
        <w:t>We confirm that to the best of our knowledge:</w:t>
      </w:r>
    </w:p>
    <w:p w14:paraId="016EB70F" w14:textId="77777777" w:rsidR="00B91E13" w:rsidRPr="00C22F7C" w:rsidRDefault="00B91E13" w:rsidP="00B91E13">
      <w:pPr>
        <w:autoSpaceDE w:val="0"/>
        <w:autoSpaceDN w:val="0"/>
        <w:adjustRightInd w:val="0"/>
        <w:jc w:val="both"/>
        <w:rPr>
          <w:rFonts w:ascii="Calibri" w:hAnsi="Calibri" w:cs="Calibri"/>
          <w:sz w:val="22"/>
          <w:szCs w:val="22"/>
        </w:rPr>
      </w:pPr>
    </w:p>
    <w:p w14:paraId="0F716250" w14:textId="77777777" w:rsidR="00B91E13" w:rsidRPr="00C22F7C" w:rsidRDefault="00B91E13" w:rsidP="00B91E13">
      <w:pPr>
        <w:pStyle w:val="ListParagraph"/>
        <w:numPr>
          <w:ilvl w:val="0"/>
          <w:numId w:val="24"/>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the condensed set of consolidated interim financial statements included within the half-yearly financial report of Ryanair Holdings plc for the six months ended September 30, 2020 (“the interim financial information”) which comprises  the condensed consolidated interim balance sheet, the condensed consolidated interim income statement, the condensed consolidated interim statement of comprehensive income, the condensed consolidated interim statement of cash flows and the condensed consolidated interim statement of changes in shareholders’ equity and the related explanatory notes, have been presented and prepared in accordance with IAS 34, Interim Financial Reporting, as adopted by the EU, the Transparency Directive and Transparency Rules of the Central Bank of Ireland.</w:t>
      </w:r>
    </w:p>
    <w:p w14:paraId="0BD562D2" w14:textId="77777777" w:rsidR="00B91E13" w:rsidRPr="00C22F7C" w:rsidRDefault="00B91E13" w:rsidP="00B91E13">
      <w:pPr>
        <w:pStyle w:val="ListParagraph"/>
        <w:numPr>
          <w:ilvl w:val="0"/>
          <w:numId w:val="24"/>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 xml:space="preserve">The interim financial information presented, as required by the Transparency Directive, includes: </w:t>
      </w:r>
    </w:p>
    <w:p w14:paraId="143CC368" w14:textId="77777777" w:rsidR="00B91E13" w:rsidRPr="00C22F7C" w:rsidRDefault="00B91E13" w:rsidP="00B91E13">
      <w:pPr>
        <w:pStyle w:val="ListParagraph"/>
        <w:numPr>
          <w:ilvl w:val="1"/>
          <w:numId w:val="24"/>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an indication of important events that have occurred during the first 6 months of the financial year, and their impact on the condensed set of consolidated interim financial statements;</w:t>
      </w:r>
    </w:p>
    <w:p w14:paraId="7A2135F2" w14:textId="77777777" w:rsidR="00B91E13" w:rsidRPr="00C22F7C" w:rsidRDefault="00B91E13" w:rsidP="00B91E13">
      <w:pPr>
        <w:pStyle w:val="ListParagraph"/>
        <w:numPr>
          <w:ilvl w:val="1"/>
          <w:numId w:val="24"/>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a description of the principal risks and uncertainties for the remaining 6 months of the financial year</w:t>
      </w:r>
    </w:p>
    <w:p w14:paraId="671F8035" w14:textId="77777777" w:rsidR="00B91E13" w:rsidRPr="00C22F7C" w:rsidRDefault="00B91E13" w:rsidP="00B91E13">
      <w:pPr>
        <w:pStyle w:val="ListParagraph"/>
        <w:numPr>
          <w:ilvl w:val="1"/>
          <w:numId w:val="24"/>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lastRenderedPageBreak/>
        <w:t>related parties’ transactions that have taken place in the first 6 months of the current financial year and that have materially affected the financial position or the performance of the enterprise during that period; and</w:t>
      </w:r>
    </w:p>
    <w:p w14:paraId="3E865A14" w14:textId="77777777" w:rsidR="00B91E13" w:rsidRPr="00C22F7C" w:rsidRDefault="00B91E13" w:rsidP="00B91E13">
      <w:pPr>
        <w:pStyle w:val="ListParagraph"/>
        <w:numPr>
          <w:ilvl w:val="1"/>
          <w:numId w:val="24"/>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any changes in the related parties’ transactions described in the last annual report that could have a material effect on the financial position or performance of the enterprise in the first 6 months of the current financial year.</w:t>
      </w:r>
    </w:p>
    <w:p w14:paraId="433A8F87" w14:textId="77777777" w:rsidR="00B91E13" w:rsidRPr="00C22F7C" w:rsidRDefault="00B91E13" w:rsidP="00B91E13">
      <w:pPr>
        <w:autoSpaceDE w:val="0"/>
        <w:autoSpaceDN w:val="0"/>
        <w:adjustRightInd w:val="0"/>
        <w:ind w:left="-600"/>
        <w:jc w:val="both"/>
        <w:rPr>
          <w:rFonts w:ascii="Calibri" w:hAnsi="Calibri" w:cs="Calibri"/>
          <w:sz w:val="22"/>
          <w:szCs w:val="22"/>
        </w:rPr>
      </w:pPr>
    </w:p>
    <w:p w14:paraId="38A0F4DA" w14:textId="77777777" w:rsidR="00B91E13" w:rsidRPr="00C22F7C" w:rsidRDefault="00B91E13" w:rsidP="00B91E13">
      <w:pPr>
        <w:autoSpaceDE w:val="0"/>
        <w:autoSpaceDN w:val="0"/>
        <w:adjustRightInd w:val="0"/>
        <w:jc w:val="both"/>
        <w:rPr>
          <w:rFonts w:ascii="Calibri" w:hAnsi="Calibri" w:cs="Calibri"/>
          <w:sz w:val="22"/>
          <w:szCs w:val="22"/>
        </w:rPr>
      </w:pPr>
      <w:r w:rsidRPr="00C22F7C">
        <w:rPr>
          <w:rFonts w:ascii="Calibri" w:hAnsi="Calibri" w:cs="Calibri"/>
          <w:sz w:val="22"/>
          <w:szCs w:val="22"/>
        </w:rPr>
        <w:t>On behalf of the Board</w:t>
      </w:r>
    </w:p>
    <w:p w14:paraId="11DE1BA0" w14:textId="77777777" w:rsidR="00B91E13" w:rsidRPr="00C22F7C" w:rsidRDefault="00B91E13" w:rsidP="00B91E13">
      <w:pPr>
        <w:autoSpaceDE w:val="0"/>
        <w:autoSpaceDN w:val="0"/>
        <w:adjustRightInd w:val="0"/>
        <w:jc w:val="both"/>
        <w:rPr>
          <w:rFonts w:ascii="Calibri" w:hAnsi="Calibri" w:cs="Calibri"/>
          <w:sz w:val="22"/>
        </w:rPr>
      </w:pPr>
    </w:p>
    <w:p w14:paraId="10D68718" w14:textId="77777777" w:rsidR="00B91E13" w:rsidRPr="00C22F7C" w:rsidRDefault="00B91E13" w:rsidP="00B91E13">
      <w:pPr>
        <w:autoSpaceDE w:val="0"/>
        <w:autoSpaceDN w:val="0"/>
        <w:adjustRightInd w:val="0"/>
        <w:jc w:val="both"/>
        <w:rPr>
          <w:rFonts w:ascii="Calibri" w:hAnsi="Calibri" w:cs="Calibri"/>
          <w:sz w:val="22"/>
        </w:rPr>
      </w:pPr>
    </w:p>
    <w:p w14:paraId="11095F84" w14:textId="77777777" w:rsidR="00B91E13" w:rsidRPr="00C22F7C" w:rsidRDefault="00B91E13" w:rsidP="00B91E13">
      <w:pPr>
        <w:autoSpaceDE w:val="0"/>
        <w:autoSpaceDN w:val="0"/>
        <w:adjustRightInd w:val="0"/>
        <w:jc w:val="both"/>
        <w:rPr>
          <w:rFonts w:ascii="Calibri" w:hAnsi="Calibri" w:cs="Calibri"/>
          <w:sz w:val="22"/>
        </w:rPr>
      </w:pPr>
      <w:r w:rsidRPr="00C22F7C">
        <w:rPr>
          <w:rFonts w:ascii="Calibri" w:hAnsi="Calibri" w:cs="Calibri"/>
          <w:sz w:val="22"/>
        </w:rPr>
        <w:t>Stan McCarthy</w:t>
      </w:r>
      <w:r w:rsidRPr="00C22F7C">
        <w:rPr>
          <w:rFonts w:ascii="Calibri" w:hAnsi="Calibri" w:cs="Calibri"/>
          <w:sz w:val="22"/>
        </w:rPr>
        <w:tab/>
      </w:r>
      <w:r w:rsidRPr="00C22F7C">
        <w:rPr>
          <w:rFonts w:ascii="Calibri" w:hAnsi="Calibri" w:cs="Calibri"/>
          <w:sz w:val="22"/>
        </w:rPr>
        <w:tab/>
      </w:r>
      <w:r w:rsidRPr="00C22F7C">
        <w:rPr>
          <w:rFonts w:ascii="Calibri" w:hAnsi="Calibri" w:cs="Calibri"/>
          <w:sz w:val="22"/>
        </w:rPr>
        <w:tab/>
      </w:r>
      <w:r w:rsidRPr="00C22F7C">
        <w:rPr>
          <w:rFonts w:ascii="Calibri" w:hAnsi="Calibri" w:cs="Calibri"/>
          <w:sz w:val="22"/>
        </w:rPr>
        <w:tab/>
      </w:r>
      <w:r w:rsidRPr="00C22F7C">
        <w:rPr>
          <w:rFonts w:ascii="Calibri" w:hAnsi="Calibri" w:cs="Calibri"/>
          <w:sz w:val="22"/>
        </w:rPr>
        <w:tab/>
      </w:r>
      <w:r w:rsidRPr="00C22F7C">
        <w:rPr>
          <w:rFonts w:ascii="Calibri" w:hAnsi="Calibri" w:cs="Calibri"/>
          <w:sz w:val="22"/>
        </w:rPr>
        <w:tab/>
        <w:t>Michael O’Leary</w:t>
      </w:r>
    </w:p>
    <w:p w14:paraId="2FA1FC7B" w14:textId="77777777" w:rsidR="00B91E13" w:rsidRPr="00C22F7C" w:rsidRDefault="00B91E13" w:rsidP="00B91E13">
      <w:pPr>
        <w:autoSpaceDE w:val="0"/>
        <w:autoSpaceDN w:val="0"/>
        <w:adjustRightInd w:val="0"/>
        <w:jc w:val="both"/>
        <w:rPr>
          <w:rFonts w:ascii="Calibri" w:hAnsi="Calibri" w:cs="Calibri"/>
          <w:sz w:val="22"/>
        </w:rPr>
      </w:pPr>
      <w:r w:rsidRPr="00C22F7C">
        <w:rPr>
          <w:rFonts w:ascii="Calibri" w:hAnsi="Calibri" w:cs="Calibri"/>
          <w:sz w:val="22"/>
        </w:rPr>
        <w:t>Chairman</w:t>
      </w:r>
      <w:r w:rsidRPr="00C22F7C">
        <w:rPr>
          <w:rFonts w:ascii="Calibri" w:hAnsi="Calibri" w:cs="Calibri"/>
          <w:sz w:val="22"/>
        </w:rPr>
        <w:tab/>
      </w:r>
      <w:r w:rsidRPr="00C22F7C">
        <w:rPr>
          <w:rFonts w:ascii="Calibri" w:hAnsi="Calibri" w:cs="Calibri"/>
          <w:sz w:val="22"/>
        </w:rPr>
        <w:tab/>
      </w:r>
      <w:r w:rsidRPr="00C22F7C">
        <w:rPr>
          <w:rFonts w:ascii="Calibri" w:hAnsi="Calibri" w:cs="Calibri"/>
          <w:sz w:val="22"/>
        </w:rPr>
        <w:tab/>
      </w:r>
      <w:r w:rsidRPr="00C22F7C">
        <w:rPr>
          <w:rFonts w:ascii="Calibri" w:hAnsi="Calibri" w:cs="Calibri"/>
          <w:sz w:val="22"/>
        </w:rPr>
        <w:tab/>
      </w:r>
      <w:r w:rsidRPr="00C22F7C">
        <w:rPr>
          <w:rFonts w:ascii="Calibri" w:hAnsi="Calibri" w:cs="Calibri"/>
          <w:sz w:val="22"/>
        </w:rPr>
        <w:tab/>
      </w:r>
      <w:r w:rsidRPr="00C22F7C">
        <w:rPr>
          <w:rFonts w:ascii="Calibri" w:hAnsi="Calibri" w:cs="Calibri"/>
          <w:sz w:val="22"/>
        </w:rPr>
        <w:tab/>
        <w:t>Chief Executive</w:t>
      </w:r>
    </w:p>
    <w:p w14:paraId="745FD6FE" w14:textId="77777777" w:rsidR="00B91E13" w:rsidRPr="00C22F7C" w:rsidRDefault="00B91E13" w:rsidP="00B91E13">
      <w:pPr>
        <w:autoSpaceDE w:val="0"/>
        <w:autoSpaceDN w:val="0"/>
        <w:adjustRightInd w:val="0"/>
        <w:jc w:val="both"/>
        <w:rPr>
          <w:rFonts w:ascii="Calibri" w:hAnsi="Calibri" w:cs="Calibri"/>
          <w:sz w:val="22"/>
        </w:rPr>
      </w:pPr>
      <w:r w:rsidRPr="00C22F7C">
        <w:rPr>
          <w:rFonts w:ascii="Calibri" w:hAnsi="Calibri" w:cs="Calibri"/>
          <w:sz w:val="22"/>
        </w:rPr>
        <w:t>October 30, 2020</w:t>
      </w:r>
    </w:p>
    <w:p w14:paraId="348FBBDB" w14:textId="77777777" w:rsidR="00F14775" w:rsidRDefault="00F14775" w:rsidP="00B91E13">
      <w:pPr>
        <w:pStyle w:val="FSHeadingStyle1"/>
        <w:jc w:val="center"/>
        <w:rPr>
          <w:rFonts w:ascii="Calibri" w:hAnsi="Calibri" w:cs="Calibri"/>
          <w:color w:val="auto"/>
          <w:sz w:val="24"/>
          <w:szCs w:val="24"/>
        </w:rPr>
      </w:pPr>
    </w:p>
    <w:p w14:paraId="1BC7C616" w14:textId="207B4841" w:rsidR="00B91E13" w:rsidRPr="00C22F7C" w:rsidRDefault="00B91E13" w:rsidP="00B91E13">
      <w:pPr>
        <w:pStyle w:val="FSHeadingStyle1"/>
        <w:jc w:val="center"/>
        <w:rPr>
          <w:rFonts w:ascii="Calibri" w:hAnsi="Calibri" w:cs="Calibri"/>
          <w:color w:val="auto"/>
          <w:sz w:val="24"/>
          <w:szCs w:val="24"/>
        </w:rPr>
      </w:pPr>
      <w:r w:rsidRPr="00C22F7C">
        <w:rPr>
          <w:rFonts w:ascii="Calibri" w:hAnsi="Calibri" w:cs="Calibri"/>
          <w:color w:val="auto"/>
          <w:sz w:val="24"/>
          <w:szCs w:val="24"/>
        </w:rPr>
        <w:lastRenderedPageBreak/>
        <w:t>Independent review report to Ryanair Holdings plc and Subsidiaries</w:t>
      </w:r>
    </w:p>
    <w:p w14:paraId="5A06FE8D" w14:textId="77777777" w:rsidR="00B91E13" w:rsidRPr="00C22F7C" w:rsidRDefault="00B91E13" w:rsidP="00B91E13">
      <w:pPr>
        <w:pStyle w:val="FSHeadingStyle2"/>
        <w:jc w:val="center"/>
        <w:rPr>
          <w:rFonts w:ascii="Calibri" w:hAnsi="Calibri" w:cs="Calibri"/>
          <w:b/>
          <w:sz w:val="24"/>
          <w:szCs w:val="24"/>
        </w:rPr>
      </w:pPr>
    </w:p>
    <w:p w14:paraId="596048C7" w14:textId="77777777" w:rsidR="00B91E13" w:rsidRPr="00C22F7C" w:rsidRDefault="00B91E13" w:rsidP="00B91E13">
      <w:pPr>
        <w:spacing w:beforeLines="60" w:before="144" w:afterLines="60" w:after="144"/>
        <w:rPr>
          <w:rFonts w:ascii="Calibri" w:hAnsi="Calibri" w:cs="Calibri"/>
          <w:b/>
          <w:sz w:val="22"/>
          <w:szCs w:val="22"/>
        </w:rPr>
      </w:pPr>
      <w:r w:rsidRPr="00C22F7C">
        <w:rPr>
          <w:rFonts w:ascii="Calibri" w:hAnsi="Calibri" w:cs="Calibri"/>
          <w:b/>
          <w:sz w:val="22"/>
          <w:szCs w:val="22"/>
        </w:rPr>
        <w:t>Introduction</w:t>
      </w:r>
    </w:p>
    <w:p w14:paraId="5DD4E72A" w14:textId="77777777" w:rsidR="00B91E13" w:rsidRPr="00C22F7C" w:rsidRDefault="00B91E13" w:rsidP="00B91E13">
      <w:pPr>
        <w:jc w:val="both"/>
        <w:rPr>
          <w:rFonts w:ascii="Calibri" w:hAnsi="Calibri" w:cs="Calibri"/>
          <w:sz w:val="22"/>
          <w:szCs w:val="22"/>
        </w:rPr>
      </w:pPr>
      <w:r w:rsidRPr="00C22F7C">
        <w:rPr>
          <w:rFonts w:ascii="Calibri" w:hAnsi="Calibri" w:cs="Calibri"/>
          <w:sz w:val="22"/>
          <w:szCs w:val="22"/>
        </w:rPr>
        <w:t xml:space="preserve">We have been engaged by the Company to review the condensed set of consolidated interim financial statements in the half-yearly financial report for the six months ended September 30, 2020 which comprises the condensed consolidated interim balance sheet, the condensed consolidated interim income statement, the condensed consolidated interim statement of comprehensive income, the condensed consolidated interim statement of cash flows, and the condensed consolidated interim statement of changes in shareholders’ equity and the related explanatory notes. Our review was conducted having regard to the Financial Reporting Council’s (“FRCs”) International Standard on Review Engagements (“ISRE”) (UK and Ireland) 2410, </w:t>
      </w:r>
      <w:r w:rsidRPr="00C22F7C">
        <w:rPr>
          <w:rFonts w:ascii="Calibri" w:hAnsi="Calibri" w:cs="Calibri"/>
          <w:i/>
          <w:sz w:val="22"/>
          <w:szCs w:val="22"/>
        </w:rPr>
        <w:t>‘Review of Interim Financial Information Performed by the Independent Auditor of the Entity’.</w:t>
      </w:r>
    </w:p>
    <w:p w14:paraId="4BB50D2D" w14:textId="77777777" w:rsidR="00B91E13" w:rsidRPr="00C22F7C" w:rsidRDefault="00B91E13" w:rsidP="00B91E13">
      <w:pPr>
        <w:spacing w:beforeLines="60" w:before="144" w:afterLines="60" w:after="144"/>
        <w:rPr>
          <w:rFonts w:ascii="Calibri" w:hAnsi="Calibri" w:cs="Calibri"/>
          <w:sz w:val="22"/>
          <w:szCs w:val="22"/>
        </w:rPr>
      </w:pPr>
      <w:r w:rsidRPr="00C22F7C">
        <w:rPr>
          <w:rFonts w:ascii="Calibri" w:hAnsi="Calibri" w:cs="Calibri"/>
          <w:b/>
          <w:sz w:val="22"/>
          <w:szCs w:val="22"/>
        </w:rPr>
        <w:t>Conclusion</w:t>
      </w:r>
    </w:p>
    <w:p w14:paraId="7BC745CB" w14:textId="77777777" w:rsidR="00B91E13" w:rsidRPr="00C22F7C" w:rsidRDefault="00B91E13" w:rsidP="00B91E13">
      <w:pPr>
        <w:jc w:val="both"/>
        <w:rPr>
          <w:rFonts w:ascii="Calibri" w:hAnsi="Calibri" w:cs="Calibri"/>
          <w:sz w:val="22"/>
          <w:szCs w:val="22"/>
        </w:rPr>
      </w:pPr>
      <w:r w:rsidRPr="00C22F7C">
        <w:rPr>
          <w:rFonts w:ascii="Calibri" w:hAnsi="Calibri" w:cs="Calibri"/>
          <w:sz w:val="22"/>
          <w:szCs w:val="22"/>
        </w:rPr>
        <w:t>Based on our review, nothing has come to our attention that causes us to believe that the condensed set of consolidated interim financial statements in the half-yearly report for the six months ended September 30, 2019 is not prepared in accordance with IAS 34 ‘</w:t>
      </w:r>
      <w:r w:rsidRPr="00C22F7C">
        <w:rPr>
          <w:rFonts w:ascii="Calibri" w:hAnsi="Calibri" w:cs="Calibri"/>
          <w:i/>
          <w:sz w:val="22"/>
          <w:szCs w:val="22"/>
        </w:rPr>
        <w:t xml:space="preserve">Interim Financial Reporting’ </w:t>
      </w:r>
      <w:r w:rsidRPr="00C22F7C">
        <w:rPr>
          <w:rFonts w:ascii="Calibri" w:hAnsi="Calibri" w:cs="Calibri"/>
          <w:sz w:val="22"/>
          <w:szCs w:val="22"/>
        </w:rPr>
        <w:t>as adopted by the EU, the Transparency (Directive 2004/109/EC) Regulations 2007 (“Transparency Directive”), and the Transparency Rules of the Central Bank of Ireland.</w:t>
      </w:r>
    </w:p>
    <w:p w14:paraId="26CD83C5" w14:textId="77777777" w:rsidR="00B91E13" w:rsidRPr="00C22F7C" w:rsidRDefault="00B91E13" w:rsidP="00B91E13">
      <w:pPr>
        <w:jc w:val="both"/>
        <w:rPr>
          <w:rFonts w:ascii="Calibri" w:hAnsi="Calibri" w:cs="Calibri"/>
          <w:b/>
          <w:sz w:val="22"/>
          <w:szCs w:val="22"/>
        </w:rPr>
      </w:pPr>
    </w:p>
    <w:p w14:paraId="3544DC55" w14:textId="77777777" w:rsidR="00B91E13" w:rsidRPr="00C22F7C" w:rsidRDefault="00B91E13" w:rsidP="00B91E13">
      <w:pPr>
        <w:jc w:val="both"/>
        <w:rPr>
          <w:rFonts w:ascii="Calibri" w:hAnsi="Calibri" w:cs="Calibri"/>
          <w:sz w:val="22"/>
          <w:szCs w:val="22"/>
        </w:rPr>
      </w:pPr>
      <w:r w:rsidRPr="00C22F7C">
        <w:rPr>
          <w:rFonts w:ascii="Calibri" w:hAnsi="Calibri" w:cs="Calibri"/>
          <w:b/>
          <w:sz w:val="22"/>
          <w:szCs w:val="22"/>
        </w:rPr>
        <w:t xml:space="preserve">Directors’ responsibilities </w:t>
      </w:r>
    </w:p>
    <w:p w14:paraId="2DC57276" w14:textId="77777777" w:rsidR="00B91E13" w:rsidRPr="00C22F7C" w:rsidRDefault="00B91E13" w:rsidP="00B91E13">
      <w:pPr>
        <w:jc w:val="both"/>
        <w:rPr>
          <w:rFonts w:ascii="Calibri" w:hAnsi="Calibri" w:cs="Calibri"/>
          <w:sz w:val="22"/>
          <w:szCs w:val="22"/>
        </w:rPr>
      </w:pPr>
    </w:p>
    <w:p w14:paraId="0AC4DA95" w14:textId="77777777" w:rsidR="00B91E13" w:rsidRPr="00C22F7C" w:rsidRDefault="00B91E13" w:rsidP="00B91E13">
      <w:pPr>
        <w:jc w:val="both"/>
        <w:rPr>
          <w:rFonts w:ascii="Calibri" w:hAnsi="Calibri" w:cs="Calibri"/>
          <w:sz w:val="22"/>
          <w:szCs w:val="22"/>
        </w:rPr>
      </w:pPr>
      <w:r w:rsidRPr="00C22F7C">
        <w:rPr>
          <w:rFonts w:ascii="Calibri" w:hAnsi="Calibri" w:cs="Calibri"/>
          <w:sz w:val="22"/>
          <w:szCs w:val="22"/>
        </w:rPr>
        <w:t>The half-yearly financial report is the responsibility of, and has been approved by, the Directors. The Directors are responsible for preparing the half-yearly financial report in accordance with the Transparency Directive and the Transparency Rules of the Central Bank of Ireland. As disclosed in note 1, the annual financial statements of the Company are prepared in accordance with</w:t>
      </w:r>
      <w:r w:rsidRPr="00C22F7C">
        <w:rPr>
          <w:rFonts w:ascii="Calibri" w:hAnsi="Calibri" w:cs="Calibri"/>
          <w:color w:val="FF0000"/>
          <w:sz w:val="22"/>
          <w:szCs w:val="22"/>
        </w:rPr>
        <w:t xml:space="preserve"> </w:t>
      </w:r>
      <w:r w:rsidRPr="00C22F7C">
        <w:rPr>
          <w:rFonts w:ascii="Calibri" w:hAnsi="Calibri" w:cs="Calibri"/>
          <w:sz w:val="22"/>
          <w:szCs w:val="22"/>
        </w:rPr>
        <w:t>International Financial Reporting Standards as issued by the International Accounting Standards Board and as adopted by the EU. The Directors are responsible for ensuring that the condensed set of consolidated interim financial statements included in this half-yearly financial report has been prepared in accordance with IAS 34 ‘</w:t>
      </w:r>
      <w:r w:rsidRPr="00C22F7C">
        <w:rPr>
          <w:rFonts w:ascii="Calibri" w:hAnsi="Calibri" w:cs="Calibri"/>
          <w:i/>
          <w:sz w:val="22"/>
          <w:szCs w:val="22"/>
        </w:rPr>
        <w:t>Interim Financial Reporting’</w:t>
      </w:r>
      <w:r w:rsidRPr="00C22F7C">
        <w:rPr>
          <w:rFonts w:ascii="Calibri" w:hAnsi="Calibri" w:cs="Calibri"/>
          <w:sz w:val="22"/>
          <w:szCs w:val="22"/>
        </w:rPr>
        <w:t xml:space="preserve"> as adopted by the EU.</w:t>
      </w:r>
    </w:p>
    <w:p w14:paraId="3D024512" w14:textId="77777777" w:rsidR="00B91E13" w:rsidRPr="00C22F7C" w:rsidRDefault="00B91E13" w:rsidP="00B91E13">
      <w:pPr>
        <w:jc w:val="both"/>
        <w:rPr>
          <w:rFonts w:ascii="Calibri" w:hAnsi="Calibri" w:cs="Calibri"/>
          <w:sz w:val="22"/>
          <w:szCs w:val="22"/>
        </w:rPr>
      </w:pPr>
    </w:p>
    <w:p w14:paraId="1B208D32" w14:textId="77777777" w:rsidR="00B91E13" w:rsidRPr="00C22F7C" w:rsidRDefault="00B91E13" w:rsidP="00B91E13">
      <w:pPr>
        <w:jc w:val="both"/>
        <w:rPr>
          <w:rFonts w:ascii="Calibri" w:hAnsi="Calibri" w:cs="Calibri"/>
          <w:b/>
          <w:sz w:val="22"/>
          <w:szCs w:val="22"/>
        </w:rPr>
      </w:pPr>
      <w:r w:rsidRPr="00C22F7C">
        <w:rPr>
          <w:rFonts w:ascii="Calibri" w:hAnsi="Calibri" w:cs="Calibri"/>
          <w:b/>
          <w:sz w:val="22"/>
          <w:szCs w:val="22"/>
        </w:rPr>
        <w:t>Our responsibility</w:t>
      </w:r>
    </w:p>
    <w:p w14:paraId="4AD57FD8" w14:textId="77777777" w:rsidR="00B91E13" w:rsidRPr="00C22F7C" w:rsidRDefault="00B91E13" w:rsidP="00B91E13">
      <w:pPr>
        <w:jc w:val="both"/>
        <w:rPr>
          <w:rFonts w:ascii="Calibri" w:hAnsi="Calibri" w:cs="Calibri"/>
          <w:sz w:val="22"/>
          <w:szCs w:val="22"/>
        </w:rPr>
      </w:pPr>
    </w:p>
    <w:p w14:paraId="7B9662A6" w14:textId="77777777" w:rsidR="00B91E13" w:rsidRPr="00C22F7C" w:rsidRDefault="00B91E13" w:rsidP="00B91E13">
      <w:pPr>
        <w:jc w:val="both"/>
        <w:rPr>
          <w:rFonts w:ascii="Calibri" w:hAnsi="Calibri" w:cs="Calibri"/>
          <w:sz w:val="22"/>
          <w:szCs w:val="22"/>
        </w:rPr>
      </w:pPr>
      <w:r w:rsidRPr="00C22F7C">
        <w:rPr>
          <w:rFonts w:ascii="Calibri" w:hAnsi="Calibri" w:cs="Calibri"/>
          <w:sz w:val="22"/>
          <w:szCs w:val="22"/>
        </w:rPr>
        <w:t>Our responsibility is to express to the Company a conclusion on the condensed set of consolidated interim financial statements in the half-yearly financial report based on our review.</w:t>
      </w:r>
    </w:p>
    <w:p w14:paraId="53536AB2" w14:textId="77777777" w:rsidR="00B91E13" w:rsidRPr="00C22F7C" w:rsidRDefault="00B91E13" w:rsidP="00B91E13">
      <w:pPr>
        <w:jc w:val="both"/>
        <w:rPr>
          <w:rFonts w:ascii="Calibri" w:hAnsi="Calibri" w:cs="Calibri"/>
          <w:sz w:val="22"/>
          <w:szCs w:val="22"/>
        </w:rPr>
      </w:pPr>
    </w:p>
    <w:p w14:paraId="42311A30" w14:textId="77777777" w:rsidR="00B91E13" w:rsidRPr="00C22F7C" w:rsidRDefault="00B91E13" w:rsidP="00B91E13">
      <w:pPr>
        <w:jc w:val="both"/>
        <w:rPr>
          <w:rFonts w:ascii="Calibri" w:hAnsi="Calibri" w:cs="Calibri"/>
          <w:b/>
          <w:sz w:val="22"/>
          <w:szCs w:val="22"/>
        </w:rPr>
      </w:pPr>
      <w:r w:rsidRPr="00C22F7C">
        <w:rPr>
          <w:rFonts w:ascii="Calibri" w:hAnsi="Calibri" w:cs="Calibri"/>
          <w:b/>
          <w:sz w:val="22"/>
          <w:szCs w:val="22"/>
        </w:rPr>
        <w:t xml:space="preserve">Scope of review  </w:t>
      </w:r>
    </w:p>
    <w:p w14:paraId="70C67003" w14:textId="77777777" w:rsidR="00B91E13" w:rsidRPr="00C22F7C" w:rsidRDefault="00B91E13" w:rsidP="00B91E13">
      <w:pPr>
        <w:jc w:val="both"/>
        <w:rPr>
          <w:rFonts w:ascii="Calibri" w:hAnsi="Calibri" w:cs="Calibri"/>
          <w:sz w:val="22"/>
          <w:szCs w:val="22"/>
        </w:rPr>
      </w:pPr>
    </w:p>
    <w:p w14:paraId="07C4155C" w14:textId="77777777" w:rsidR="00B91E13" w:rsidRPr="00C22F7C" w:rsidRDefault="00B91E13" w:rsidP="00B91E13">
      <w:pPr>
        <w:jc w:val="both"/>
        <w:rPr>
          <w:rFonts w:ascii="Calibri" w:hAnsi="Calibri" w:cs="Calibri"/>
          <w:sz w:val="22"/>
          <w:szCs w:val="22"/>
        </w:rPr>
      </w:pPr>
      <w:r w:rsidRPr="00C22F7C">
        <w:rPr>
          <w:rFonts w:ascii="Calibri" w:hAnsi="Calibri" w:cs="Calibri"/>
          <w:sz w:val="22"/>
          <w:szCs w:val="22"/>
        </w:rPr>
        <w:lastRenderedPageBreak/>
        <w:t xml:space="preserve">We conducted our review having regard to the Financial Reporting Council’s International Standard on Review Engagements (UK and Ireland) 2410 </w:t>
      </w:r>
      <w:r w:rsidRPr="00C22F7C">
        <w:rPr>
          <w:rFonts w:ascii="Calibri" w:hAnsi="Calibri" w:cs="Calibri"/>
          <w:i/>
          <w:sz w:val="22"/>
          <w:szCs w:val="22"/>
        </w:rPr>
        <w:t>Review of Interim Financial Information Performed by the Independent Auditor of the Entity</w:t>
      </w:r>
      <w:r w:rsidRPr="00C22F7C">
        <w:rPr>
          <w:rFonts w:ascii="Calibri" w:hAnsi="Calibri" w:cs="Calibri"/>
          <w:sz w:val="22"/>
          <w:szCs w:val="22"/>
        </w:rPr>
        <w:t xml:space="preserve">.  A review of interim financial information consists of making enquiries, primarily of persons responsible for financial and accounting matters, and applying analytical and other review procedures. A review is substantially less in scope than an audit conducted in accordance with International Standards on Auditing (Ireland) and consequently does not enable us to obtain assurance that we would become aware of all significant matters that might be identified in an audit. Accordingly, we do not express an audit opinion.  </w:t>
      </w:r>
    </w:p>
    <w:p w14:paraId="08741E0D" w14:textId="77777777" w:rsidR="00B91E13" w:rsidRPr="00C22F7C" w:rsidRDefault="00B91E13" w:rsidP="00B91E13">
      <w:pPr>
        <w:jc w:val="both"/>
        <w:rPr>
          <w:rFonts w:ascii="Calibri" w:hAnsi="Calibri" w:cs="Calibri"/>
          <w:sz w:val="22"/>
          <w:szCs w:val="22"/>
        </w:rPr>
      </w:pPr>
    </w:p>
    <w:p w14:paraId="69B191F7" w14:textId="77777777" w:rsidR="00B91E13" w:rsidRPr="00C22F7C" w:rsidRDefault="00B91E13" w:rsidP="00B91E13">
      <w:pPr>
        <w:jc w:val="both"/>
        <w:rPr>
          <w:rFonts w:ascii="Calibri" w:hAnsi="Calibri" w:cs="Calibri"/>
          <w:sz w:val="22"/>
          <w:szCs w:val="22"/>
        </w:rPr>
      </w:pPr>
      <w:r w:rsidRPr="00C22F7C">
        <w:rPr>
          <w:rFonts w:ascii="Calibri" w:hAnsi="Calibri" w:cs="Calibri"/>
          <w:sz w:val="22"/>
          <w:szCs w:val="22"/>
        </w:rPr>
        <w:t>We read the other information contained in the half-yearly financial report to identify material inconsistencies with the information in the condensed set of consolidated interim financial statements and to identify any information that is apparently materially incorrect based on, or materially inconsistent with, the knowledge acquired by us in the course of performing the review. If we become aware of any apparent material misstatements or inconsistencies, we consider the implications for our report.</w:t>
      </w:r>
    </w:p>
    <w:p w14:paraId="5C39A83D" w14:textId="77777777" w:rsidR="00B91E13" w:rsidRPr="00C22F7C" w:rsidRDefault="00B91E13" w:rsidP="00B91E13">
      <w:pPr>
        <w:jc w:val="both"/>
        <w:rPr>
          <w:rFonts w:ascii="Calibri" w:hAnsi="Calibri" w:cs="Calibri"/>
          <w:sz w:val="22"/>
          <w:szCs w:val="22"/>
        </w:rPr>
      </w:pPr>
    </w:p>
    <w:p w14:paraId="2AF82180" w14:textId="77777777" w:rsidR="00B91E13" w:rsidRPr="00C22F7C" w:rsidRDefault="00B91E13" w:rsidP="00B91E13">
      <w:pPr>
        <w:jc w:val="both"/>
        <w:rPr>
          <w:rFonts w:ascii="Calibri" w:hAnsi="Calibri" w:cs="Calibri"/>
          <w:b/>
          <w:sz w:val="22"/>
          <w:szCs w:val="22"/>
        </w:rPr>
      </w:pPr>
    </w:p>
    <w:p w14:paraId="0C29F036" w14:textId="77777777" w:rsidR="00B91E13" w:rsidRPr="00C22F7C" w:rsidRDefault="00B91E13" w:rsidP="00B91E13">
      <w:pPr>
        <w:jc w:val="both"/>
        <w:rPr>
          <w:rFonts w:ascii="Calibri" w:hAnsi="Calibri" w:cs="Calibri"/>
          <w:b/>
          <w:sz w:val="22"/>
          <w:szCs w:val="22"/>
        </w:rPr>
      </w:pPr>
    </w:p>
    <w:p w14:paraId="3FF110BF" w14:textId="77777777" w:rsidR="00B91E13" w:rsidRPr="00C22F7C" w:rsidRDefault="00B91E13" w:rsidP="00B91E13">
      <w:pPr>
        <w:jc w:val="both"/>
        <w:rPr>
          <w:rFonts w:ascii="Calibri" w:hAnsi="Calibri" w:cs="Calibri"/>
          <w:b/>
          <w:sz w:val="22"/>
          <w:szCs w:val="22"/>
        </w:rPr>
      </w:pPr>
      <w:r w:rsidRPr="00C22F7C">
        <w:rPr>
          <w:rFonts w:ascii="Calibri" w:hAnsi="Calibri" w:cs="Calibri"/>
          <w:b/>
          <w:sz w:val="22"/>
          <w:szCs w:val="22"/>
        </w:rPr>
        <w:t>The purpose of our review work and to whom we owe our responsibilities</w:t>
      </w:r>
    </w:p>
    <w:p w14:paraId="1E1C5405" w14:textId="77777777" w:rsidR="00B91E13" w:rsidRPr="00C22F7C" w:rsidRDefault="00B91E13" w:rsidP="00B91E13">
      <w:pPr>
        <w:jc w:val="both"/>
        <w:rPr>
          <w:rFonts w:ascii="Calibri" w:hAnsi="Calibri" w:cs="Calibri"/>
          <w:sz w:val="22"/>
          <w:szCs w:val="22"/>
        </w:rPr>
      </w:pPr>
    </w:p>
    <w:p w14:paraId="3FCFF51F" w14:textId="77777777" w:rsidR="00B91E13" w:rsidRPr="00C22F7C" w:rsidRDefault="00B91E13" w:rsidP="00B91E13">
      <w:pPr>
        <w:jc w:val="both"/>
        <w:rPr>
          <w:rFonts w:ascii="Calibri" w:hAnsi="Calibri" w:cs="Calibri"/>
          <w:sz w:val="22"/>
          <w:szCs w:val="22"/>
        </w:rPr>
      </w:pPr>
      <w:r w:rsidRPr="00C22F7C">
        <w:rPr>
          <w:rFonts w:ascii="Calibri" w:hAnsi="Calibri" w:cs="Calibri"/>
          <w:sz w:val="22"/>
          <w:szCs w:val="22"/>
        </w:rPr>
        <w:t>This report is made solely to the Company in accordance with the terms of our engagement to assist the Company in meeting the requirements of the Transparency Directive and the Transparency Rules of the Central Bank of Ireland. Our review has been undertaken so that we might state to the Company those matters we are required to state to it in this report and for no other purpose. To the fullest extent permitted by law, we do not accept or assume responsibility to anyone other than the company for our review work, for this report, or for the conclusions we have reached.</w:t>
      </w:r>
    </w:p>
    <w:p w14:paraId="27FB6DAC" w14:textId="77777777" w:rsidR="00B91E13" w:rsidRPr="00C22F7C" w:rsidRDefault="00B91E13" w:rsidP="00B91E13">
      <w:pPr>
        <w:rPr>
          <w:rFonts w:ascii="Calibri" w:hAnsi="Calibri" w:cs="Calibri"/>
          <w:sz w:val="22"/>
          <w:szCs w:val="22"/>
        </w:rPr>
      </w:pPr>
    </w:p>
    <w:p w14:paraId="73AB16EE" w14:textId="77777777" w:rsidR="00B91E13" w:rsidRPr="00C22F7C" w:rsidRDefault="00B91E13" w:rsidP="00B91E13">
      <w:pPr>
        <w:rPr>
          <w:rFonts w:ascii="Calibri" w:hAnsi="Calibri" w:cs="Calibri"/>
          <w:sz w:val="22"/>
          <w:szCs w:val="22"/>
        </w:rPr>
      </w:pPr>
    </w:p>
    <w:p w14:paraId="059B9230" w14:textId="77777777" w:rsidR="00B91E13" w:rsidRPr="00C22F7C" w:rsidRDefault="00B91E13" w:rsidP="00B91E13">
      <w:pPr>
        <w:rPr>
          <w:rFonts w:ascii="Calibri" w:hAnsi="Calibri" w:cs="Calibri"/>
          <w:sz w:val="22"/>
          <w:szCs w:val="22"/>
        </w:rPr>
      </w:pPr>
    </w:p>
    <w:p w14:paraId="3C43FA4E" w14:textId="77777777" w:rsidR="00B91E13" w:rsidRPr="00C22F7C" w:rsidRDefault="00B91E13" w:rsidP="00B91E13">
      <w:pPr>
        <w:rPr>
          <w:rFonts w:ascii="Calibri" w:hAnsi="Calibri" w:cs="Calibri"/>
          <w:sz w:val="22"/>
          <w:szCs w:val="22"/>
        </w:rPr>
      </w:pPr>
    </w:p>
    <w:p w14:paraId="16E64506" w14:textId="77777777" w:rsidR="00B91E13" w:rsidRPr="00C22F7C" w:rsidRDefault="00B91E13" w:rsidP="00B91E13">
      <w:pPr>
        <w:rPr>
          <w:rFonts w:ascii="Calibri" w:hAnsi="Calibri" w:cs="Calibri"/>
          <w:sz w:val="22"/>
          <w:szCs w:val="22"/>
        </w:rPr>
      </w:pPr>
      <w:r w:rsidRPr="00C22F7C">
        <w:rPr>
          <w:rFonts w:ascii="Calibri" w:hAnsi="Calibri" w:cs="Calibri"/>
          <w:sz w:val="22"/>
          <w:szCs w:val="22"/>
        </w:rPr>
        <w:t>Sean O’Keefe</w:t>
      </w:r>
      <w:r w:rsidRPr="00C22F7C">
        <w:rPr>
          <w:rFonts w:ascii="Calibri" w:hAnsi="Calibri" w:cs="Calibri"/>
          <w:sz w:val="22"/>
          <w:szCs w:val="22"/>
        </w:rPr>
        <w:tab/>
      </w:r>
      <w:r w:rsidRPr="00C22F7C">
        <w:rPr>
          <w:rFonts w:ascii="Calibri" w:hAnsi="Calibri" w:cs="Calibri"/>
          <w:sz w:val="22"/>
          <w:szCs w:val="22"/>
        </w:rPr>
        <w:tab/>
      </w:r>
      <w:r w:rsidRPr="00C22F7C">
        <w:rPr>
          <w:rFonts w:ascii="Calibri" w:hAnsi="Calibri" w:cs="Calibri"/>
          <w:sz w:val="22"/>
          <w:szCs w:val="22"/>
        </w:rPr>
        <w:tab/>
      </w:r>
      <w:r w:rsidRPr="00C22F7C">
        <w:rPr>
          <w:rFonts w:ascii="Calibri" w:hAnsi="Calibri" w:cs="Calibri"/>
          <w:sz w:val="22"/>
          <w:szCs w:val="22"/>
        </w:rPr>
        <w:tab/>
      </w:r>
      <w:r w:rsidRPr="00C22F7C">
        <w:rPr>
          <w:rFonts w:ascii="Calibri" w:hAnsi="Calibri" w:cs="Calibri"/>
          <w:sz w:val="22"/>
          <w:szCs w:val="22"/>
        </w:rPr>
        <w:tab/>
      </w:r>
      <w:r w:rsidRPr="00C22F7C">
        <w:rPr>
          <w:rFonts w:ascii="Calibri" w:hAnsi="Calibri" w:cs="Calibri"/>
          <w:sz w:val="22"/>
          <w:szCs w:val="22"/>
        </w:rPr>
        <w:tab/>
      </w:r>
      <w:r w:rsidRPr="00C22F7C">
        <w:rPr>
          <w:rFonts w:ascii="Calibri" w:hAnsi="Calibri" w:cs="Calibri"/>
          <w:sz w:val="22"/>
          <w:szCs w:val="22"/>
        </w:rPr>
        <w:tab/>
      </w:r>
      <w:r w:rsidRPr="00C22F7C">
        <w:rPr>
          <w:rFonts w:ascii="Calibri" w:hAnsi="Calibri" w:cs="Calibri"/>
          <w:sz w:val="22"/>
          <w:szCs w:val="22"/>
        </w:rPr>
        <w:tab/>
      </w:r>
      <w:r w:rsidRPr="00C22F7C">
        <w:rPr>
          <w:rFonts w:ascii="Calibri" w:hAnsi="Calibri" w:cs="Calibri"/>
          <w:sz w:val="22"/>
          <w:szCs w:val="22"/>
        </w:rPr>
        <w:tab/>
      </w:r>
      <w:r w:rsidRPr="00C22F7C">
        <w:rPr>
          <w:rFonts w:ascii="Calibri" w:hAnsi="Calibri" w:cs="Calibri"/>
          <w:sz w:val="22"/>
          <w:szCs w:val="22"/>
        </w:rPr>
        <w:tab/>
        <w:t xml:space="preserve">           October 30, 2020</w:t>
      </w:r>
    </w:p>
    <w:p w14:paraId="1AF2C3FC" w14:textId="77777777" w:rsidR="00B91E13" w:rsidRPr="00C22F7C" w:rsidRDefault="00B91E13" w:rsidP="00B91E13">
      <w:pPr>
        <w:rPr>
          <w:rFonts w:ascii="Calibri" w:hAnsi="Calibri" w:cs="Calibri"/>
          <w:sz w:val="22"/>
          <w:szCs w:val="22"/>
        </w:rPr>
      </w:pPr>
    </w:p>
    <w:p w14:paraId="6E5554FD" w14:textId="77777777" w:rsidR="00B91E13" w:rsidRPr="00C22F7C" w:rsidRDefault="00B91E13" w:rsidP="00B91E13">
      <w:pPr>
        <w:rPr>
          <w:rFonts w:ascii="Calibri" w:hAnsi="Calibri" w:cs="Calibri"/>
          <w:sz w:val="22"/>
          <w:szCs w:val="22"/>
        </w:rPr>
      </w:pPr>
      <w:r w:rsidRPr="00C22F7C">
        <w:rPr>
          <w:rFonts w:ascii="Calibri" w:hAnsi="Calibri" w:cs="Calibri"/>
          <w:sz w:val="22"/>
          <w:szCs w:val="22"/>
        </w:rPr>
        <w:t>For and on behalf of</w:t>
      </w:r>
    </w:p>
    <w:p w14:paraId="5AAA61D3" w14:textId="77777777" w:rsidR="00B91E13" w:rsidRPr="00C22F7C" w:rsidRDefault="00B91E13" w:rsidP="00B91E13">
      <w:pPr>
        <w:rPr>
          <w:rFonts w:ascii="Calibri" w:hAnsi="Calibri" w:cs="Calibri"/>
          <w:sz w:val="22"/>
          <w:szCs w:val="22"/>
        </w:rPr>
      </w:pPr>
      <w:r w:rsidRPr="00C22F7C">
        <w:rPr>
          <w:rFonts w:ascii="Calibri" w:hAnsi="Calibri" w:cs="Calibri"/>
          <w:b/>
          <w:sz w:val="22"/>
          <w:szCs w:val="22"/>
        </w:rPr>
        <w:t>KPMG</w:t>
      </w:r>
      <w:r w:rsidRPr="00C22F7C">
        <w:rPr>
          <w:rFonts w:ascii="Calibri" w:hAnsi="Calibri" w:cs="Calibri"/>
          <w:b/>
          <w:sz w:val="22"/>
          <w:szCs w:val="22"/>
        </w:rPr>
        <w:tab/>
      </w:r>
      <w:r w:rsidRPr="00C22F7C">
        <w:rPr>
          <w:rFonts w:ascii="Calibri" w:hAnsi="Calibri" w:cs="Calibri"/>
          <w:sz w:val="22"/>
          <w:szCs w:val="22"/>
        </w:rPr>
        <w:tab/>
      </w:r>
      <w:r w:rsidRPr="00C22F7C">
        <w:rPr>
          <w:rFonts w:ascii="Calibri" w:hAnsi="Calibri" w:cs="Calibri"/>
          <w:sz w:val="22"/>
          <w:szCs w:val="22"/>
        </w:rPr>
        <w:tab/>
      </w:r>
      <w:r w:rsidRPr="00C22F7C">
        <w:rPr>
          <w:rFonts w:ascii="Calibri" w:hAnsi="Calibri" w:cs="Calibri"/>
          <w:sz w:val="22"/>
          <w:szCs w:val="22"/>
        </w:rPr>
        <w:tab/>
      </w:r>
      <w:r w:rsidRPr="00C22F7C">
        <w:rPr>
          <w:rFonts w:ascii="Calibri" w:hAnsi="Calibri" w:cs="Calibri"/>
          <w:sz w:val="22"/>
          <w:szCs w:val="22"/>
        </w:rPr>
        <w:tab/>
      </w:r>
      <w:r w:rsidRPr="00C22F7C">
        <w:rPr>
          <w:rFonts w:ascii="Calibri" w:hAnsi="Calibri" w:cs="Calibri"/>
          <w:sz w:val="22"/>
          <w:szCs w:val="22"/>
        </w:rPr>
        <w:tab/>
      </w:r>
      <w:r w:rsidRPr="00C22F7C">
        <w:rPr>
          <w:rFonts w:ascii="Calibri" w:hAnsi="Calibri" w:cs="Calibri"/>
          <w:sz w:val="22"/>
          <w:szCs w:val="22"/>
        </w:rPr>
        <w:tab/>
      </w:r>
      <w:r w:rsidRPr="00C22F7C">
        <w:rPr>
          <w:rFonts w:ascii="Calibri" w:hAnsi="Calibri" w:cs="Calibri"/>
          <w:sz w:val="22"/>
          <w:szCs w:val="22"/>
        </w:rPr>
        <w:tab/>
      </w:r>
      <w:r w:rsidRPr="00C22F7C">
        <w:rPr>
          <w:rFonts w:ascii="Calibri" w:hAnsi="Calibri" w:cs="Calibri"/>
          <w:sz w:val="22"/>
          <w:szCs w:val="22"/>
        </w:rPr>
        <w:tab/>
      </w:r>
    </w:p>
    <w:p w14:paraId="5577B57E" w14:textId="77777777" w:rsidR="00B91E13" w:rsidRPr="00C22F7C" w:rsidRDefault="00B91E13" w:rsidP="00B91E13">
      <w:pPr>
        <w:rPr>
          <w:rFonts w:ascii="Calibri" w:hAnsi="Calibri" w:cs="Calibri"/>
          <w:sz w:val="22"/>
          <w:szCs w:val="22"/>
        </w:rPr>
      </w:pPr>
      <w:r w:rsidRPr="00C22F7C">
        <w:rPr>
          <w:rFonts w:ascii="Calibri" w:hAnsi="Calibri" w:cs="Calibri"/>
          <w:i/>
          <w:sz w:val="22"/>
          <w:szCs w:val="22"/>
        </w:rPr>
        <w:t>Chartered Accountants</w:t>
      </w:r>
      <w:r w:rsidRPr="00C22F7C">
        <w:rPr>
          <w:rFonts w:ascii="Calibri" w:hAnsi="Calibri" w:cs="Calibri"/>
          <w:sz w:val="22"/>
          <w:szCs w:val="22"/>
        </w:rPr>
        <w:t xml:space="preserve"> </w:t>
      </w:r>
    </w:p>
    <w:p w14:paraId="6C7A7471" w14:textId="77777777" w:rsidR="00B91E13" w:rsidRPr="00C22F7C" w:rsidRDefault="00B91E13" w:rsidP="00B91E13">
      <w:pPr>
        <w:rPr>
          <w:rFonts w:ascii="Calibri" w:hAnsi="Calibri" w:cs="Calibri"/>
          <w:sz w:val="22"/>
          <w:szCs w:val="22"/>
        </w:rPr>
      </w:pPr>
      <w:r w:rsidRPr="00C22F7C">
        <w:rPr>
          <w:rFonts w:ascii="Calibri" w:hAnsi="Calibri" w:cs="Calibri"/>
          <w:sz w:val="22"/>
          <w:szCs w:val="22"/>
        </w:rPr>
        <w:t xml:space="preserve">1 Stokes Place, </w:t>
      </w:r>
    </w:p>
    <w:p w14:paraId="30D212CE" w14:textId="77777777" w:rsidR="00B91E13" w:rsidRPr="00C22F7C" w:rsidRDefault="00B91E13" w:rsidP="00B91E13">
      <w:pPr>
        <w:rPr>
          <w:rFonts w:ascii="Calibri" w:hAnsi="Calibri" w:cs="Calibri"/>
          <w:sz w:val="22"/>
          <w:szCs w:val="22"/>
        </w:rPr>
      </w:pPr>
      <w:r w:rsidRPr="00C22F7C">
        <w:rPr>
          <w:rFonts w:ascii="Calibri" w:hAnsi="Calibri" w:cs="Calibri"/>
          <w:sz w:val="22"/>
          <w:szCs w:val="22"/>
        </w:rPr>
        <w:t xml:space="preserve">St Stephen’s Green, </w:t>
      </w:r>
    </w:p>
    <w:p w14:paraId="06283724" w14:textId="77777777" w:rsidR="00B91E13" w:rsidRPr="00C22F7C" w:rsidRDefault="00B91E13" w:rsidP="00B91E13">
      <w:pPr>
        <w:rPr>
          <w:rFonts w:ascii="Calibri" w:hAnsi="Calibri" w:cs="Calibri"/>
          <w:sz w:val="22"/>
          <w:szCs w:val="22"/>
        </w:rPr>
      </w:pPr>
      <w:r w:rsidRPr="00C22F7C">
        <w:rPr>
          <w:rFonts w:ascii="Calibri" w:hAnsi="Calibri" w:cs="Calibri"/>
          <w:sz w:val="22"/>
          <w:szCs w:val="22"/>
        </w:rPr>
        <w:t xml:space="preserve">Dublin 2, </w:t>
      </w:r>
    </w:p>
    <w:p w14:paraId="4FD80C6F" w14:textId="77777777" w:rsidR="00B91E13" w:rsidRPr="00C22F7C" w:rsidRDefault="00B91E13" w:rsidP="00B91E13">
      <w:pPr>
        <w:rPr>
          <w:rFonts w:ascii="Calibri" w:hAnsi="Calibri" w:cs="Calibri"/>
          <w:sz w:val="22"/>
          <w:szCs w:val="22"/>
        </w:rPr>
      </w:pPr>
      <w:r w:rsidRPr="00C22F7C">
        <w:rPr>
          <w:rFonts w:ascii="Calibri" w:hAnsi="Calibri" w:cs="Calibri"/>
          <w:sz w:val="22"/>
          <w:szCs w:val="22"/>
        </w:rPr>
        <w:t>Ireland</w:t>
      </w:r>
    </w:p>
    <w:p w14:paraId="40C70BFD" w14:textId="77777777" w:rsidR="00B91E13" w:rsidRDefault="00B91E13" w:rsidP="00FF2F42">
      <w:pPr>
        <w:spacing w:line="300" w:lineRule="exact"/>
        <w:ind w:right="-24"/>
        <w:jc w:val="both"/>
        <w:rPr>
          <w:rFonts w:ascii="Calibri" w:hAnsi="Calibri" w:cs="Calibri"/>
          <w:sz w:val="22"/>
          <w:szCs w:val="22"/>
        </w:rPr>
      </w:pPr>
    </w:p>
    <w:sectPr w:rsidR="00B91E13" w:rsidSect="00990BB6">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8FDD7" w14:textId="77777777" w:rsidR="005C13A2" w:rsidRDefault="005C13A2" w:rsidP="00AA167C">
      <w:r>
        <w:separator/>
      </w:r>
    </w:p>
    <w:p w14:paraId="20F424F5" w14:textId="77777777" w:rsidR="005C13A2" w:rsidRDefault="005C13A2"/>
  </w:endnote>
  <w:endnote w:type="continuationSeparator" w:id="0">
    <w:p w14:paraId="6F33DD3D" w14:textId="77777777" w:rsidR="005C13A2" w:rsidRDefault="005C13A2" w:rsidP="00AA167C">
      <w:r>
        <w:continuationSeparator/>
      </w:r>
    </w:p>
    <w:p w14:paraId="2FBEABF4" w14:textId="77777777" w:rsidR="005C13A2" w:rsidRDefault="005C1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A6F81" w14:textId="77777777" w:rsidR="002B3EA0" w:rsidRDefault="002B3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A025E" w14:textId="77777777" w:rsidR="005C13A2" w:rsidRDefault="005C13A2">
    <w:pPr>
      <w:pStyle w:val="Footer"/>
      <w:jc w:val="center"/>
    </w:pPr>
    <w:r>
      <w:fldChar w:fldCharType="begin"/>
    </w:r>
    <w:r>
      <w:instrText xml:space="preserve"> PAGE   \* MERGEFORMAT </w:instrText>
    </w:r>
    <w:r>
      <w:fldChar w:fldCharType="separate"/>
    </w:r>
    <w:r>
      <w:rPr>
        <w:noProof/>
      </w:rPr>
      <w:t>22</w:t>
    </w:r>
    <w:r>
      <w:rPr>
        <w:noProof/>
      </w:rPr>
      <w:fldChar w:fldCharType="end"/>
    </w:r>
  </w:p>
  <w:p w14:paraId="10698D71" w14:textId="77777777" w:rsidR="005C13A2" w:rsidRDefault="005C13A2">
    <w:pPr>
      <w:pStyle w:val="Footer"/>
    </w:pPr>
  </w:p>
  <w:p w14:paraId="2AE321C1" w14:textId="77777777" w:rsidR="005C13A2" w:rsidRDefault="005C13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86675" w14:textId="77777777" w:rsidR="002B3EA0" w:rsidRDefault="002B3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19FC1" w14:textId="77777777" w:rsidR="005C13A2" w:rsidRDefault="005C13A2" w:rsidP="00AA167C">
      <w:r>
        <w:separator/>
      </w:r>
    </w:p>
    <w:p w14:paraId="04851074" w14:textId="77777777" w:rsidR="005C13A2" w:rsidRDefault="005C13A2"/>
  </w:footnote>
  <w:footnote w:type="continuationSeparator" w:id="0">
    <w:p w14:paraId="786266D1" w14:textId="77777777" w:rsidR="005C13A2" w:rsidRDefault="005C13A2" w:rsidP="00AA167C">
      <w:r>
        <w:continuationSeparator/>
      </w:r>
    </w:p>
    <w:p w14:paraId="66CEB706" w14:textId="77777777" w:rsidR="005C13A2" w:rsidRDefault="005C1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32D08" w14:textId="77777777" w:rsidR="002B3EA0" w:rsidRDefault="002B3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48CCB" w14:textId="77777777" w:rsidR="002B3EA0" w:rsidRDefault="002B3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3B999" w14:textId="77777777" w:rsidR="002B3EA0" w:rsidRDefault="002B3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2028"/>
    <w:multiLevelType w:val="hybridMultilevel"/>
    <w:tmpl w:val="6AF23356"/>
    <w:lvl w:ilvl="0" w:tplc="98A6C54C">
      <w:start w:val="307"/>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F731EC"/>
    <w:multiLevelType w:val="singleLevel"/>
    <w:tmpl w:val="18090001"/>
    <w:lvl w:ilvl="0">
      <w:start w:val="1"/>
      <w:numFmt w:val="bullet"/>
      <w:lvlText w:val=""/>
      <w:lvlJc w:val="left"/>
      <w:pPr>
        <w:ind w:left="360" w:hanging="360"/>
      </w:pPr>
      <w:rPr>
        <w:rFonts w:ascii="Symbol" w:hAnsi="Symbol" w:hint="default"/>
        <w:color w:val="auto"/>
        <w:sz w:val="24"/>
      </w:rPr>
    </w:lvl>
  </w:abstractNum>
  <w:abstractNum w:abstractNumId="2" w15:restartNumberingAfterBreak="0">
    <w:nsid w:val="1AA864C6"/>
    <w:multiLevelType w:val="singleLevel"/>
    <w:tmpl w:val="5A944884"/>
    <w:lvl w:ilvl="0">
      <w:start w:val="1"/>
      <w:numFmt w:val="bullet"/>
      <w:pStyle w:val="CG-Bullet"/>
      <w:lvlText w:val=""/>
      <w:lvlJc w:val="left"/>
      <w:pPr>
        <w:tabs>
          <w:tab w:val="num" w:pos="1353"/>
        </w:tabs>
        <w:ind w:left="1353" w:hanging="360"/>
      </w:pPr>
      <w:rPr>
        <w:rFonts w:ascii="Symbol" w:hAnsi="Symbol" w:cs="Times New Roman" w:hint="default"/>
      </w:rPr>
    </w:lvl>
  </w:abstractNum>
  <w:abstractNum w:abstractNumId="3" w15:restartNumberingAfterBreak="0">
    <w:nsid w:val="1EB07586"/>
    <w:multiLevelType w:val="hybridMultilevel"/>
    <w:tmpl w:val="CDAA7EE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4" w15:restartNumberingAfterBreak="0">
    <w:nsid w:val="20D0752B"/>
    <w:multiLevelType w:val="hybridMultilevel"/>
    <w:tmpl w:val="26F6F48E"/>
    <w:lvl w:ilvl="0" w:tplc="FE6E48A4">
      <w:start w:val="307"/>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FD6EC6"/>
    <w:multiLevelType w:val="hybridMultilevel"/>
    <w:tmpl w:val="D166F206"/>
    <w:lvl w:ilvl="0" w:tplc="C4A453F8">
      <w:start w:val="1"/>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830248"/>
    <w:multiLevelType w:val="singleLevel"/>
    <w:tmpl w:val="E736B5E2"/>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30131090"/>
    <w:multiLevelType w:val="hybridMultilevel"/>
    <w:tmpl w:val="325E9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A4EB0"/>
    <w:multiLevelType w:val="hybridMultilevel"/>
    <w:tmpl w:val="DD8E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A6775"/>
    <w:multiLevelType w:val="hybridMultilevel"/>
    <w:tmpl w:val="28B404A8"/>
    <w:lvl w:ilvl="0" w:tplc="E736B5E2">
      <w:start w:val="1"/>
      <w:numFmt w:val="bullet"/>
      <w:lvlText w:val=""/>
      <w:lvlJc w:val="left"/>
      <w:pPr>
        <w:ind w:left="720" w:hanging="360"/>
      </w:pPr>
      <w:rPr>
        <w:rFonts w:ascii="Symbol" w:hAnsi="Symbol" w:hint="default"/>
        <w:color w:val="auto"/>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1472D6F"/>
    <w:multiLevelType w:val="hybridMultilevel"/>
    <w:tmpl w:val="93DE51B4"/>
    <w:lvl w:ilvl="0" w:tplc="AE1E3E3A">
      <w:start w:val="1"/>
      <w:numFmt w:val="bullet"/>
      <w:lvlText w:val=""/>
      <w:lvlJc w:val="left"/>
      <w:pPr>
        <w:tabs>
          <w:tab w:val="num" w:pos="567"/>
        </w:tabs>
        <w:ind w:left="567" w:hanging="22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735A9"/>
    <w:multiLevelType w:val="hybridMultilevel"/>
    <w:tmpl w:val="69124078"/>
    <w:lvl w:ilvl="0" w:tplc="8740491E">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2215C72"/>
    <w:multiLevelType w:val="hybridMultilevel"/>
    <w:tmpl w:val="86CCDFE6"/>
    <w:lvl w:ilvl="0" w:tplc="09FEA828">
      <w:start w:val="9"/>
      <w:numFmt w:val="bullet"/>
      <w:lvlText w:val="-"/>
      <w:lvlJc w:val="left"/>
      <w:pPr>
        <w:ind w:left="405" w:hanging="360"/>
      </w:pPr>
      <w:rPr>
        <w:rFonts w:ascii="Calibri" w:eastAsia="Times New Roman" w:hAnsi="Calibri" w:cs="Times New Roman"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3" w15:restartNumberingAfterBreak="0">
    <w:nsid w:val="38375BC9"/>
    <w:multiLevelType w:val="hybridMultilevel"/>
    <w:tmpl w:val="F84ADB18"/>
    <w:lvl w:ilvl="0" w:tplc="AA760C9C">
      <w:start w:val="1"/>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A5C2CFB"/>
    <w:multiLevelType w:val="hybridMultilevel"/>
    <w:tmpl w:val="19A08980"/>
    <w:lvl w:ilvl="0" w:tplc="E4845506">
      <w:start w:val="2"/>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B026A5A"/>
    <w:multiLevelType w:val="hybridMultilevel"/>
    <w:tmpl w:val="360247E8"/>
    <w:lvl w:ilvl="0" w:tplc="D52A54B6">
      <w:start w:val="9"/>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B18551E"/>
    <w:multiLevelType w:val="multilevel"/>
    <w:tmpl w:val="0409001D"/>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D6D4273"/>
    <w:multiLevelType w:val="multilevel"/>
    <w:tmpl w:val="E3C6E9F6"/>
    <w:lvl w:ilvl="0">
      <w:start w:val="1"/>
      <w:numFmt w:val="decimal"/>
      <w:pStyle w:val="Outline3L1"/>
      <w:lvlText w:val="%1."/>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lowerLetter"/>
      <w:pStyle w:val="Outline3L2"/>
      <w:lvlText w:val="(%2)"/>
      <w:lvlJc w:val="left"/>
      <w:pPr>
        <w:tabs>
          <w:tab w:val="num" w:pos="720"/>
        </w:tabs>
        <w:ind w:left="720" w:hanging="720"/>
      </w:pPr>
      <w:rPr>
        <w:b/>
        <w:i w:val="0"/>
        <w:caps w:val="0"/>
        <w:strike w:val="0"/>
        <w:dstrike w:val="0"/>
        <w:vanish w:val="0"/>
        <w:color w:val="auto"/>
        <w:u w:val="none"/>
        <w:effect w:val="none"/>
        <w:vertAlign w:val="baseline"/>
      </w:rPr>
    </w:lvl>
    <w:lvl w:ilvl="2">
      <w:start w:val="1"/>
      <w:numFmt w:val="lowerRoman"/>
      <w:pStyle w:val="Outline3L3"/>
      <w:lvlText w:val="(%3)"/>
      <w:lvlJc w:val="left"/>
      <w:pPr>
        <w:tabs>
          <w:tab w:val="num" w:pos="2160"/>
        </w:tabs>
        <w:ind w:left="2160" w:hanging="720"/>
      </w:pPr>
      <w:rPr>
        <w:b w:val="0"/>
        <w:i/>
        <w:caps w:val="0"/>
        <w:strike w:val="0"/>
        <w:dstrike w:val="0"/>
        <w:vanish w:val="0"/>
        <w:color w:val="auto"/>
        <w:u w:val="none"/>
        <w:effect w:val="none"/>
        <w:vertAlign w:val="baseline"/>
      </w:rPr>
    </w:lvl>
    <w:lvl w:ilvl="3">
      <w:start w:val="1"/>
      <w:numFmt w:val="lowerRoman"/>
      <w:pStyle w:val="Outline3L4"/>
      <w:lvlText w:val="(%4)"/>
      <w:lvlJc w:val="left"/>
      <w:pPr>
        <w:tabs>
          <w:tab w:val="num" w:pos="1440"/>
        </w:tabs>
        <w:ind w:left="1440" w:hanging="720"/>
      </w:pPr>
      <w:rPr>
        <w:b w:val="0"/>
        <w:i w:val="0"/>
        <w:caps w:val="0"/>
        <w:strike w:val="0"/>
        <w:dstrike w:val="0"/>
        <w:vanish w:val="0"/>
        <w:color w:val="auto"/>
        <w:u w:val="none"/>
        <w:effect w:val="none"/>
        <w:vertAlign w:val="baseline"/>
      </w:rPr>
    </w:lvl>
    <w:lvl w:ilvl="4">
      <w:start w:val="1"/>
      <w:numFmt w:val="lowerLetter"/>
      <w:pStyle w:val="Outline3L5"/>
      <w:lvlText w:val="(%5)"/>
      <w:lvlJc w:val="left"/>
      <w:pPr>
        <w:tabs>
          <w:tab w:val="num" w:pos="1440"/>
        </w:tabs>
        <w:ind w:left="1440" w:hanging="720"/>
      </w:pPr>
      <w:rPr>
        <w:b w:val="0"/>
        <w:i w:val="0"/>
        <w:caps w:val="0"/>
        <w:color w:val="auto"/>
        <w:u w:val="no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6C6EB8"/>
    <w:multiLevelType w:val="hybridMultilevel"/>
    <w:tmpl w:val="6E2021E0"/>
    <w:lvl w:ilvl="0" w:tplc="9958645E">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4BC286D"/>
    <w:multiLevelType w:val="multilevel"/>
    <w:tmpl w:val="15D869B6"/>
    <w:lvl w:ilvl="0">
      <w:numFmt w:val="bullet"/>
      <w:lvlText w:val="-"/>
      <w:lvlJc w:val="left"/>
      <w:pPr>
        <w:ind w:left="780" w:hanging="360"/>
      </w:pPr>
      <w:rPr>
        <w:rFonts w:ascii="Times New Roman" w:eastAsia="Calibri" w:hAnsi="Times New Roman" w:cs="Times New Roman"/>
      </w:rPr>
    </w:lvl>
    <w:lvl w:ilvl="1">
      <w:numFmt w:val="bullet"/>
      <w:lvlText w:val="–"/>
      <w:lvlJc w:val="left"/>
      <w:pPr>
        <w:ind w:left="1500" w:hanging="360"/>
      </w:pPr>
      <w:rPr>
        <w:rFonts w:ascii="Times New Roman" w:eastAsia="Calibri" w:hAnsi="Times New Roman" w:cs="Times New Roman"/>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0" w15:restartNumberingAfterBreak="0">
    <w:nsid w:val="464D2F82"/>
    <w:multiLevelType w:val="hybridMultilevel"/>
    <w:tmpl w:val="99386D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8203452"/>
    <w:multiLevelType w:val="hybridMultilevel"/>
    <w:tmpl w:val="82D83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2F8296D"/>
    <w:multiLevelType w:val="hybridMultilevel"/>
    <w:tmpl w:val="37BEC818"/>
    <w:lvl w:ilvl="0" w:tplc="56E27CEE">
      <w:start w:val="7"/>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3DD07B4"/>
    <w:multiLevelType w:val="hybridMultilevel"/>
    <w:tmpl w:val="8FA2B070"/>
    <w:lvl w:ilvl="0" w:tplc="E654DDC6">
      <w:start w:val="2"/>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C00727"/>
    <w:multiLevelType w:val="hybridMultilevel"/>
    <w:tmpl w:val="98822880"/>
    <w:lvl w:ilvl="0" w:tplc="3AD2F850">
      <w:start w:val="575"/>
      <w:numFmt w:val="bullet"/>
      <w:lvlText w:val="-"/>
      <w:lvlJc w:val="left"/>
      <w:pPr>
        <w:ind w:left="410" w:hanging="360"/>
      </w:pPr>
      <w:rPr>
        <w:rFonts w:ascii="Calibri" w:eastAsia="Times New Roman" w:hAnsi="Calibri" w:cs="Calibri" w:hint="default"/>
      </w:rPr>
    </w:lvl>
    <w:lvl w:ilvl="1" w:tplc="18090003" w:tentative="1">
      <w:start w:val="1"/>
      <w:numFmt w:val="bullet"/>
      <w:lvlText w:val="o"/>
      <w:lvlJc w:val="left"/>
      <w:pPr>
        <w:ind w:left="1130" w:hanging="360"/>
      </w:pPr>
      <w:rPr>
        <w:rFonts w:ascii="Courier New" w:hAnsi="Courier New" w:cs="Courier New" w:hint="default"/>
      </w:rPr>
    </w:lvl>
    <w:lvl w:ilvl="2" w:tplc="18090005" w:tentative="1">
      <w:start w:val="1"/>
      <w:numFmt w:val="bullet"/>
      <w:lvlText w:val=""/>
      <w:lvlJc w:val="left"/>
      <w:pPr>
        <w:ind w:left="1850" w:hanging="360"/>
      </w:pPr>
      <w:rPr>
        <w:rFonts w:ascii="Wingdings" w:hAnsi="Wingdings" w:hint="default"/>
      </w:rPr>
    </w:lvl>
    <w:lvl w:ilvl="3" w:tplc="18090001" w:tentative="1">
      <w:start w:val="1"/>
      <w:numFmt w:val="bullet"/>
      <w:lvlText w:val=""/>
      <w:lvlJc w:val="left"/>
      <w:pPr>
        <w:ind w:left="2570" w:hanging="360"/>
      </w:pPr>
      <w:rPr>
        <w:rFonts w:ascii="Symbol" w:hAnsi="Symbol" w:hint="default"/>
      </w:rPr>
    </w:lvl>
    <w:lvl w:ilvl="4" w:tplc="18090003" w:tentative="1">
      <w:start w:val="1"/>
      <w:numFmt w:val="bullet"/>
      <w:lvlText w:val="o"/>
      <w:lvlJc w:val="left"/>
      <w:pPr>
        <w:ind w:left="3290" w:hanging="360"/>
      </w:pPr>
      <w:rPr>
        <w:rFonts w:ascii="Courier New" w:hAnsi="Courier New" w:cs="Courier New" w:hint="default"/>
      </w:rPr>
    </w:lvl>
    <w:lvl w:ilvl="5" w:tplc="18090005" w:tentative="1">
      <w:start w:val="1"/>
      <w:numFmt w:val="bullet"/>
      <w:lvlText w:val=""/>
      <w:lvlJc w:val="left"/>
      <w:pPr>
        <w:ind w:left="4010" w:hanging="360"/>
      </w:pPr>
      <w:rPr>
        <w:rFonts w:ascii="Wingdings" w:hAnsi="Wingdings" w:hint="default"/>
      </w:rPr>
    </w:lvl>
    <w:lvl w:ilvl="6" w:tplc="18090001" w:tentative="1">
      <w:start w:val="1"/>
      <w:numFmt w:val="bullet"/>
      <w:lvlText w:val=""/>
      <w:lvlJc w:val="left"/>
      <w:pPr>
        <w:ind w:left="4730" w:hanging="360"/>
      </w:pPr>
      <w:rPr>
        <w:rFonts w:ascii="Symbol" w:hAnsi="Symbol" w:hint="default"/>
      </w:rPr>
    </w:lvl>
    <w:lvl w:ilvl="7" w:tplc="18090003" w:tentative="1">
      <w:start w:val="1"/>
      <w:numFmt w:val="bullet"/>
      <w:lvlText w:val="o"/>
      <w:lvlJc w:val="left"/>
      <w:pPr>
        <w:ind w:left="5450" w:hanging="360"/>
      </w:pPr>
      <w:rPr>
        <w:rFonts w:ascii="Courier New" w:hAnsi="Courier New" w:cs="Courier New" w:hint="default"/>
      </w:rPr>
    </w:lvl>
    <w:lvl w:ilvl="8" w:tplc="18090005" w:tentative="1">
      <w:start w:val="1"/>
      <w:numFmt w:val="bullet"/>
      <w:lvlText w:val=""/>
      <w:lvlJc w:val="left"/>
      <w:pPr>
        <w:ind w:left="6170" w:hanging="360"/>
      </w:pPr>
      <w:rPr>
        <w:rFonts w:ascii="Wingdings" w:hAnsi="Wingdings" w:hint="default"/>
      </w:rPr>
    </w:lvl>
  </w:abstractNum>
  <w:abstractNum w:abstractNumId="25" w15:restartNumberingAfterBreak="0">
    <w:nsid w:val="5F1D15AB"/>
    <w:multiLevelType w:val="hybridMultilevel"/>
    <w:tmpl w:val="CD98D75C"/>
    <w:lvl w:ilvl="0" w:tplc="9976E7BC">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491486D"/>
    <w:multiLevelType w:val="hybridMultilevel"/>
    <w:tmpl w:val="81286F28"/>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7" w15:restartNumberingAfterBreak="0">
    <w:nsid w:val="714D762E"/>
    <w:multiLevelType w:val="hybridMultilevel"/>
    <w:tmpl w:val="19CAA394"/>
    <w:lvl w:ilvl="0" w:tplc="B5007376">
      <w:start w:val="9"/>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48E4719"/>
    <w:multiLevelType w:val="singleLevel"/>
    <w:tmpl w:val="D20215D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9" w15:restartNumberingAfterBreak="0">
    <w:nsid w:val="7E2D54EB"/>
    <w:multiLevelType w:val="hybridMultilevel"/>
    <w:tmpl w:val="04268EC8"/>
    <w:lvl w:ilvl="0" w:tplc="38C8B9C4">
      <w:start w:val="9"/>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F08277F"/>
    <w:multiLevelType w:val="hybridMultilevel"/>
    <w:tmpl w:val="BB36A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0"/>
  </w:num>
  <w:num w:numId="3">
    <w:abstractNumId w:val="16"/>
  </w:num>
  <w:num w:numId="4">
    <w:abstractNumId w:val="2"/>
  </w:num>
  <w:num w:numId="5">
    <w:abstractNumId w:val="10"/>
  </w:num>
  <w:num w:numId="6">
    <w:abstractNumId w:val="6"/>
  </w:num>
  <w:num w:numId="7">
    <w:abstractNumId w:val="1"/>
  </w:num>
  <w:num w:numId="8">
    <w:abstractNumId w:val="19"/>
  </w:num>
  <w:num w:numId="9">
    <w:abstractNumId w:val="1"/>
  </w:num>
  <w:num w:numId="10">
    <w:abstractNumId w:val="1"/>
  </w:num>
  <w:num w:numId="11">
    <w:abstractNumId w:val="1"/>
  </w:num>
  <w:num w:numId="12">
    <w:abstractNumId w:val="25"/>
  </w:num>
  <w:num w:numId="13">
    <w:abstractNumId w:val="1"/>
  </w:num>
  <w:num w:numId="14">
    <w:abstractNumId w:val="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5"/>
  </w:num>
  <w:num w:numId="18">
    <w:abstractNumId w:val="13"/>
  </w:num>
  <w:num w:numId="19">
    <w:abstractNumId w:val="1"/>
  </w:num>
  <w:num w:numId="20">
    <w:abstractNumId w:val="1"/>
  </w:num>
  <w:num w:numId="21">
    <w:abstractNumId w:val="23"/>
  </w:num>
  <w:num w:numId="22">
    <w:abstractNumId w:val="21"/>
  </w:num>
  <w:num w:numId="23">
    <w:abstractNumId w:val="1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8"/>
  </w:num>
  <w:num w:numId="27">
    <w:abstractNumId w:val="20"/>
  </w:num>
  <w:num w:numId="28">
    <w:abstractNumId w:val="1"/>
  </w:num>
  <w:num w:numId="29">
    <w:abstractNumId w:val="3"/>
  </w:num>
  <w:num w:numId="30">
    <w:abstractNumId w:val="17"/>
    <w:lvlOverride w:ilvl="0">
      <w:startOverride w:val="8"/>
    </w:lvlOverride>
  </w:num>
  <w:num w:numId="31">
    <w:abstractNumId w:val="12"/>
  </w:num>
  <w:num w:numId="32">
    <w:abstractNumId w:val="29"/>
  </w:num>
  <w:num w:numId="33">
    <w:abstractNumId w:val="11"/>
  </w:num>
  <w:num w:numId="34">
    <w:abstractNumId w:val="28"/>
  </w:num>
  <w:num w:numId="35">
    <w:abstractNumId w:val="15"/>
  </w:num>
  <w:num w:numId="36">
    <w:abstractNumId w:val="27"/>
  </w:num>
  <w:num w:numId="37">
    <w:abstractNumId w:val="22"/>
  </w:num>
  <w:num w:numId="38">
    <w:abstractNumId w:val="3"/>
  </w:num>
  <w:num w:numId="39">
    <w:abstractNumId w:val="14"/>
  </w:num>
  <w:num w:numId="40">
    <w:abstractNumId w:val="28"/>
  </w:num>
  <w:num w:numId="41">
    <w:abstractNumId w:val="24"/>
  </w:num>
  <w:num w:numId="42">
    <w:abstractNumId w:val="0"/>
  </w:num>
  <w:num w:numId="43">
    <w:abstractNumId w:val="4"/>
  </w:num>
  <w:num w:numId="44">
    <w:abstractNumId w:val="1"/>
  </w:num>
  <w:num w:numId="45">
    <w:abstractNumId w:val="3"/>
  </w:num>
  <w:num w:numId="46">
    <w:abstractNumId w:val="28"/>
  </w:num>
  <w:num w:numId="47">
    <w:abstractNumId w:val="9"/>
  </w:num>
  <w:num w:numId="48">
    <w:abstractNumId w:val="7"/>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21"/>
  </w:num>
  <w:num w:numId="52">
    <w:abstractNumId w:val="6"/>
  </w:num>
  <w:num w:numId="53">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67C"/>
    <w:rsid w:val="00002B68"/>
    <w:rsid w:val="00002B73"/>
    <w:rsid w:val="00003198"/>
    <w:rsid w:val="00005AD5"/>
    <w:rsid w:val="00005CC8"/>
    <w:rsid w:val="0000621F"/>
    <w:rsid w:val="000066F8"/>
    <w:rsid w:val="00007070"/>
    <w:rsid w:val="00007F65"/>
    <w:rsid w:val="00010595"/>
    <w:rsid w:val="00010891"/>
    <w:rsid w:val="00010C77"/>
    <w:rsid w:val="00010D54"/>
    <w:rsid w:val="0001159C"/>
    <w:rsid w:val="00012906"/>
    <w:rsid w:val="000135BC"/>
    <w:rsid w:val="00013D2C"/>
    <w:rsid w:val="00014394"/>
    <w:rsid w:val="0001669D"/>
    <w:rsid w:val="000166EB"/>
    <w:rsid w:val="00016C8A"/>
    <w:rsid w:val="00016FBD"/>
    <w:rsid w:val="00020331"/>
    <w:rsid w:val="000239FA"/>
    <w:rsid w:val="00025E87"/>
    <w:rsid w:val="00026AF0"/>
    <w:rsid w:val="00032964"/>
    <w:rsid w:val="00035F53"/>
    <w:rsid w:val="00036007"/>
    <w:rsid w:val="00040CED"/>
    <w:rsid w:val="00040D17"/>
    <w:rsid w:val="00041B6B"/>
    <w:rsid w:val="00042424"/>
    <w:rsid w:val="00043F7D"/>
    <w:rsid w:val="000445DB"/>
    <w:rsid w:val="0004532C"/>
    <w:rsid w:val="00045848"/>
    <w:rsid w:val="000464AF"/>
    <w:rsid w:val="00047A95"/>
    <w:rsid w:val="00047B4E"/>
    <w:rsid w:val="000509D3"/>
    <w:rsid w:val="00053FF5"/>
    <w:rsid w:val="00054ABC"/>
    <w:rsid w:val="000556FE"/>
    <w:rsid w:val="00055885"/>
    <w:rsid w:val="00056B2A"/>
    <w:rsid w:val="0006006C"/>
    <w:rsid w:val="000608BE"/>
    <w:rsid w:val="000609B9"/>
    <w:rsid w:val="000612DD"/>
    <w:rsid w:val="000622BA"/>
    <w:rsid w:val="00063735"/>
    <w:rsid w:val="000642A8"/>
    <w:rsid w:val="00064ACE"/>
    <w:rsid w:val="00065346"/>
    <w:rsid w:val="0006578F"/>
    <w:rsid w:val="00066082"/>
    <w:rsid w:val="00070427"/>
    <w:rsid w:val="00072726"/>
    <w:rsid w:val="0007282E"/>
    <w:rsid w:val="00072C2D"/>
    <w:rsid w:val="00073258"/>
    <w:rsid w:val="00074AE9"/>
    <w:rsid w:val="00074DE3"/>
    <w:rsid w:val="000755B6"/>
    <w:rsid w:val="00076125"/>
    <w:rsid w:val="00076395"/>
    <w:rsid w:val="0007714B"/>
    <w:rsid w:val="00077EB8"/>
    <w:rsid w:val="00077EC6"/>
    <w:rsid w:val="00080150"/>
    <w:rsid w:val="000811A1"/>
    <w:rsid w:val="00081505"/>
    <w:rsid w:val="0008346D"/>
    <w:rsid w:val="00083AA4"/>
    <w:rsid w:val="00084C96"/>
    <w:rsid w:val="000856DC"/>
    <w:rsid w:val="00085C11"/>
    <w:rsid w:val="00086609"/>
    <w:rsid w:val="00086C0B"/>
    <w:rsid w:val="0008777B"/>
    <w:rsid w:val="00090104"/>
    <w:rsid w:val="00092191"/>
    <w:rsid w:val="00092F37"/>
    <w:rsid w:val="0009498C"/>
    <w:rsid w:val="00094C10"/>
    <w:rsid w:val="000955F5"/>
    <w:rsid w:val="000974A1"/>
    <w:rsid w:val="000A026D"/>
    <w:rsid w:val="000A033F"/>
    <w:rsid w:val="000A0936"/>
    <w:rsid w:val="000A1C0D"/>
    <w:rsid w:val="000A412B"/>
    <w:rsid w:val="000A5A8F"/>
    <w:rsid w:val="000A6403"/>
    <w:rsid w:val="000A6725"/>
    <w:rsid w:val="000A7A13"/>
    <w:rsid w:val="000B057E"/>
    <w:rsid w:val="000B12E6"/>
    <w:rsid w:val="000B3616"/>
    <w:rsid w:val="000B5370"/>
    <w:rsid w:val="000B57F7"/>
    <w:rsid w:val="000B5C28"/>
    <w:rsid w:val="000B63B0"/>
    <w:rsid w:val="000B66EB"/>
    <w:rsid w:val="000B7B85"/>
    <w:rsid w:val="000C0F4D"/>
    <w:rsid w:val="000C1E7B"/>
    <w:rsid w:val="000C2516"/>
    <w:rsid w:val="000C375A"/>
    <w:rsid w:val="000C3978"/>
    <w:rsid w:val="000C52EE"/>
    <w:rsid w:val="000C7581"/>
    <w:rsid w:val="000D2586"/>
    <w:rsid w:val="000D3BA7"/>
    <w:rsid w:val="000D4D17"/>
    <w:rsid w:val="000D602D"/>
    <w:rsid w:val="000E0979"/>
    <w:rsid w:val="000E1472"/>
    <w:rsid w:val="000E3827"/>
    <w:rsid w:val="000E4C4D"/>
    <w:rsid w:val="000E5149"/>
    <w:rsid w:val="000E553A"/>
    <w:rsid w:val="000E65B9"/>
    <w:rsid w:val="000E70E8"/>
    <w:rsid w:val="000E73B3"/>
    <w:rsid w:val="000F0DDF"/>
    <w:rsid w:val="000F0F54"/>
    <w:rsid w:val="000F2372"/>
    <w:rsid w:val="000F463A"/>
    <w:rsid w:val="000F482C"/>
    <w:rsid w:val="000F560A"/>
    <w:rsid w:val="000F5CA8"/>
    <w:rsid w:val="000F5FA0"/>
    <w:rsid w:val="000F7124"/>
    <w:rsid w:val="000F72E9"/>
    <w:rsid w:val="001009AD"/>
    <w:rsid w:val="00100EF5"/>
    <w:rsid w:val="00104B07"/>
    <w:rsid w:val="001053BD"/>
    <w:rsid w:val="00105BF9"/>
    <w:rsid w:val="00107449"/>
    <w:rsid w:val="00110A61"/>
    <w:rsid w:val="001124D2"/>
    <w:rsid w:val="00112C2B"/>
    <w:rsid w:val="001134A6"/>
    <w:rsid w:val="001134D8"/>
    <w:rsid w:val="001148A7"/>
    <w:rsid w:val="001148AA"/>
    <w:rsid w:val="00114910"/>
    <w:rsid w:val="001151AE"/>
    <w:rsid w:val="0011528D"/>
    <w:rsid w:val="00115E0F"/>
    <w:rsid w:val="00116176"/>
    <w:rsid w:val="00116E39"/>
    <w:rsid w:val="001201ED"/>
    <w:rsid w:val="00121244"/>
    <w:rsid w:val="001216ED"/>
    <w:rsid w:val="0012210C"/>
    <w:rsid w:val="00122B53"/>
    <w:rsid w:val="00123936"/>
    <w:rsid w:val="0012398D"/>
    <w:rsid w:val="00125303"/>
    <w:rsid w:val="00125412"/>
    <w:rsid w:val="00125554"/>
    <w:rsid w:val="001276CC"/>
    <w:rsid w:val="001302E6"/>
    <w:rsid w:val="00131514"/>
    <w:rsid w:val="0013269B"/>
    <w:rsid w:val="0013306E"/>
    <w:rsid w:val="00136095"/>
    <w:rsid w:val="00141512"/>
    <w:rsid w:val="00141D91"/>
    <w:rsid w:val="00142B43"/>
    <w:rsid w:val="001430B6"/>
    <w:rsid w:val="00145183"/>
    <w:rsid w:val="0014535E"/>
    <w:rsid w:val="00146123"/>
    <w:rsid w:val="001462B4"/>
    <w:rsid w:val="001468DB"/>
    <w:rsid w:val="00150489"/>
    <w:rsid w:val="0015097D"/>
    <w:rsid w:val="001509AE"/>
    <w:rsid w:val="0015134B"/>
    <w:rsid w:val="001531D9"/>
    <w:rsid w:val="00153EAF"/>
    <w:rsid w:val="00154EC5"/>
    <w:rsid w:val="00154F4C"/>
    <w:rsid w:val="001557F6"/>
    <w:rsid w:val="00156159"/>
    <w:rsid w:val="00157389"/>
    <w:rsid w:val="00157582"/>
    <w:rsid w:val="0016005B"/>
    <w:rsid w:val="00160E27"/>
    <w:rsid w:val="00161450"/>
    <w:rsid w:val="0016178C"/>
    <w:rsid w:val="001619FE"/>
    <w:rsid w:val="001633C6"/>
    <w:rsid w:val="00163A44"/>
    <w:rsid w:val="0016629F"/>
    <w:rsid w:val="001667D6"/>
    <w:rsid w:val="00167524"/>
    <w:rsid w:val="001676E2"/>
    <w:rsid w:val="001677BD"/>
    <w:rsid w:val="00170EA4"/>
    <w:rsid w:val="0017122F"/>
    <w:rsid w:val="0017127D"/>
    <w:rsid w:val="00171719"/>
    <w:rsid w:val="00173963"/>
    <w:rsid w:val="0017469F"/>
    <w:rsid w:val="00174A37"/>
    <w:rsid w:val="00174BF6"/>
    <w:rsid w:val="00177246"/>
    <w:rsid w:val="00180879"/>
    <w:rsid w:val="00183DC5"/>
    <w:rsid w:val="00184DAE"/>
    <w:rsid w:val="00185884"/>
    <w:rsid w:val="00185E74"/>
    <w:rsid w:val="0018626B"/>
    <w:rsid w:val="00191C25"/>
    <w:rsid w:val="00194256"/>
    <w:rsid w:val="001947E2"/>
    <w:rsid w:val="001959A2"/>
    <w:rsid w:val="001975CA"/>
    <w:rsid w:val="0019799F"/>
    <w:rsid w:val="001A0417"/>
    <w:rsid w:val="001A04B7"/>
    <w:rsid w:val="001A071E"/>
    <w:rsid w:val="001A19EA"/>
    <w:rsid w:val="001A1E94"/>
    <w:rsid w:val="001A23CC"/>
    <w:rsid w:val="001A445A"/>
    <w:rsid w:val="001A52FE"/>
    <w:rsid w:val="001A587A"/>
    <w:rsid w:val="001A6AEE"/>
    <w:rsid w:val="001A6ECC"/>
    <w:rsid w:val="001A71B6"/>
    <w:rsid w:val="001A728A"/>
    <w:rsid w:val="001B04C6"/>
    <w:rsid w:val="001B0DE2"/>
    <w:rsid w:val="001B1D29"/>
    <w:rsid w:val="001B423E"/>
    <w:rsid w:val="001B44AF"/>
    <w:rsid w:val="001B62F8"/>
    <w:rsid w:val="001B6321"/>
    <w:rsid w:val="001B645A"/>
    <w:rsid w:val="001B6772"/>
    <w:rsid w:val="001B6945"/>
    <w:rsid w:val="001B6E34"/>
    <w:rsid w:val="001C3B4B"/>
    <w:rsid w:val="001C5D99"/>
    <w:rsid w:val="001C72C9"/>
    <w:rsid w:val="001C7DE1"/>
    <w:rsid w:val="001D093E"/>
    <w:rsid w:val="001D17BE"/>
    <w:rsid w:val="001D2236"/>
    <w:rsid w:val="001D2CA7"/>
    <w:rsid w:val="001D402A"/>
    <w:rsid w:val="001D434E"/>
    <w:rsid w:val="001D6310"/>
    <w:rsid w:val="001D662E"/>
    <w:rsid w:val="001E1268"/>
    <w:rsid w:val="001E17CB"/>
    <w:rsid w:val="001E37A0"/>
    <w:rsid w:val="001E383F"/>
    <w:rsid w:val="001E6315"/>
    <w:rsid w:val="001E6515"/>
    <w:rsid w:val="001F1532"/>
    <w:rsid w:val="001F37AF"/>
    <w:rsid w:val="001F3C08"/>
    <w:rsid w:val="001F678A"/>
    <w:rsid w:val="001F7499"/>
    <w:rsid w:val="001F7832"/>
    <w:rsid w:val="00200313"/>
    <w:rsid w:val="0020051A"/>
    <w:rsid w:val="00200DCF"/>
    <w:rsid w:val="002010B0"/>
    <w:rsid w:val="00201ABE"/>
    <w:rsid w:val="002026DD"/>
    <w:rsid w:val="00204448"/>
    <w:rsid w:val="00206FFA"/>
    <w:rsid w:val="0020732D"/>
    <w:rsid w:val="002077FC"/>
    <w:rsid w:val="00207806"/>
    <w:rsid w:val="00210205"/>
    <w:rsid w:val="00213C02"/>
    <w:rsid w:val="00215563"/>
    <w:rsid w:val="00215603"/>
    <w:rsid w:val="002162AA"/>
    <w:rsid w:val="002170FF"/>
    <w:rsid w:val="00217435"/>
    <w:rsid w:val="002202B2"/>
    <w:rsid w:val="002215F2"/>
    <w:rsid w:val="00221A6C"/>
    <w:rsid w:val="00222B92"/>
    <w:rsid w:val="002234C6"/>
    <w:rsid w:val="00225DF6"/>
    <w:rsid w:val="00225E44"/>
    <w:rsid w:val="00226255"/>
    <w:rsid w:val="00226493"/>
    <w:rsid w:val="00226D8E"/>
    <w:rsid w:val="00227218"/>
    <w:rsid w:val="002304A7"/>
    <w:rsid w:val="00230F82"/>
    <w:rsid w:val="0023191C"/>
    <w:rsid w:val="00231A99"/>
    <w:rsid w:val="0023352B"/>
    <w:rsid w:val="00234656"/>
    <w:rsid w:val="002364B9"/>
    <w:rsid w:val="00236AB5"/>
    <w:rsid w:val="00237FCE"/>
    <w:rsid w:val="0024030F"/>
    <w:rsid w:val="002409DC"/>
    <w:rsid w:val="00240A68"/>
    <w:rsid w:val="00240EC0"/>
    <w:rsid w:val="00241501"/>
    <w:rsid w:val="00241FB5"/>
    <w:rsid w:val="00242E1F"/>
    <w:rsid w:val="0024343B"/>
    <w:rsid w:val="0024411C"/>
    <w:rsid w:val="00244D3C"/>
    <w:rsid w:val="00246B7C"/>
    <w:rsid w:val="00246D57"/>
    <w:rsid w:val="00246E11"/>
    <w:rsid w:val="002477BB"/>
    <w:rsid w:val="00251789"/>
    <w:rsid w:val="00251AAB"/>
    <w:rsid w:val="0025273E"/>
    <w:rsid w:val="00252FEE"/>
    <w:rsid w:val="00253D5C"/>
    <w:rsid w:val="00253F42"/>
    <w:rsid w:val="002555ED"/>
    <w:rsid w:val="00256AFF"/>
    <w:rsid w:val="00257340"/>
    <w:rsid w:val="002607FC"/>
    <w:rsid w:val="00261B5E"/>
    <w:rsid w:val="002640BD"/>
    <w:rsid w:val="0026426D"/>
    <w:rsid w:val="00264571"/>
    <w:rsid w:val="00265562"/>
    <w:rsid w:val="002665A0"/>
    <w:rsid w:val="00267281"/>
    <w:rsid w:val="0026785C"/>
    <w:rsid w:val="002706C0"/>
    <w:rsid w:val="00270C8C"/>
    <w:rsid w:val="002715B9"/>
    <w:rsid w:val="00271B3D"/>
    <w:rsid w:val="002754ED"/>
    <w:rsid w:val="002769CA"/>
    <w:rsid w:val="00276AF3"/>
    <w:rsid w:val="00276EF1"/>
    <w:rsid w:val="002812BC"/>
    <w:rsid w:val="00282291"/>
    <w:rsid w:val="002825BB"/>
    <w:rsid w:val="002833EE"/>
    <w:rsid w:val="002841DD"/>
    <w:rsid w:val="00284843"/>
    <w:rsid w:val="00285AA7"/>
    <w:rsid w:val="00285DEC"/>
    <w:rsid w:val="00285F2E"/>
    <w:rsid w:val="002874C2"/>
    <w:rsid w:val="00290218"/>
    <w:rsid w:val="00290357"/>
    <w:rsid w:val="0029063E"/>
    <w:rsid w:val="00290AE5"/>
    <w:rsid w:val="00291412"/>
    <w:rsid w:val="00291D34"/>
    <w:rsid w:val="00292A77"/>
    <w:rsid w:val="002938CE"/>
    <w:rsid w:val="00294874"/>
    <w:rsid w:val="0029530A"/>
    <w:rsid w:val="00297E7F"/>
    <w:rsid w:val="002A03FF"/>
    <w:rsid w:val="002A0DAD"/>
    <w:rsid w:val="002A16B6"/>
    <w:rsid w:val="002A4AAD"/>
    <w:rsid w:val="002A4D5B"/>
    <w:rsid w:val="002A6191"/>
    <w:rsid w:val="002A6B23"/>
    <w:rsid w:val="002B0064"/>
    <w:rsid w:val="002B0E29"/>
    <w:rsid w:val="002B37AE"/>
    <w:rsid w:val="002B3EA0"/>
    <w:rsid w:val="002B41C8"/>
    <w:rsid w:val="002B5EDD"/>
    <w:rsid w:val="002B68A4"/>
    <w:rsid w:val="002B79DC"/>
    <w:rsid w:val="002C121A"/>
    <w:rsid w:val="002C13D9"/>
    <w:rsid w:val="002C1D70"/>
    <w:rsid w:val="002C24A7"/>
    <w:rsid w:val="002C7B96"/>
    <w:rsid w:val="002D14CE"/>
    <w:rsid w:val="002D3AD4"/>
    <w:rsid w:val="002D7495"/>
    <w:rsid w:val="002D76E6"/>
    <w:rsid w:val="002D7832"/>
    <w:rsid w:val="002D7B3D"/>
    <w:rsid w:val="002E017E"/>
    <w:rsid w:val="002E211B"/>
    <w:rsid w:val="002E32AD"/>
    <w:rsid w:val="002E337B"/>
    <w:rsid w:val="002E4C30"/>
    <w:rsid w:val="002E6411"/>
    <w:rsid w:val="002F15EB"/>
    <w:rsid w:val="002F1D86"/>
    <w:rsid w:val="002F3369"/>
    <w:rsid w:val="002F3470"/>
    <w:rsid w:val="002F4734"/>
    <w:rsid w:val="002F5111"/>
    <w:rsid w:val="002F5E25"/>
    <w:rsid w:val="002F64DB"/>
    <w:rsid w:val="002F68FF"/>
    <w:rsid w:val="00300BF1"/>
    <w:rsid w:val="00301584"/>
    <w:rsid w:val="00302D58"/>
    <w:rsid w:val="00302E48"/>
    <w:rsid w:val="003044AC"/>
    <w:rsid w:val="00304E78"/>
    <w:rsid w:val="00307323"/>
    <w:rsid w:val="0030795D"/>
    <w:rsid w:val="00307A4D"/>
    <w:rsid w:val="00311B12"/>
    <w:rsid w:val="00312800"/>
    <w:rsid w:val="00312A58"/>
    <w:rsid w:val="00314FC0"/>
    <w:rsid w:val="0031509D"/>
    <w:rsid w:val="0031595F"/>
    <w:rsid w:val="00315BF0"/>
    <w:rsid w:val="00316162"/>
    <w:rsid w:val="00316E2B"/>
    <w:rsid w:val="00317234"/>
    <w:rsid w:val="00317F0C"/>
    <w:rsid w:val="003207FC"/>
    <w:rsid w:val="00322A10"/>
    <w:rsid w:val="00322BC9"/>
    <w:rsid w:val="00323A35"/>
    <w:rsid w:val="00323BDA"/>
    <w:rsid w:val="00326178"/>
    <w:rsid w:val="00327201"/>
    <w:rsid w:val="0033022B"/>
    <w:rsid w:val="003309E1"/>
    <w:rsid w:val="00332F48"/>
    <w:rsid w:val="00333393"/>
    <w:rsid w:val="00333681"/>
    <w:rsid w:val="003348CB"/>
    <w:rsid w:val="003352B3"/>
    <w:rsid w:val="00337897"/>
    <w:rsid w:val="00340D20"/>
    <w:rsid w:val="003418F1"/>
    <w:rsid w:val="00341F66"/>
    <w:rsid w:val="00342321"/>
    <w:rsid w:val="00342772"/>
    <w:rsid w:val="00343166"/>
    <w:rsid w:val="00343341"/>
    <w:rsid w:val="00343E70"/>
    <w:rsid w:val="0034408B"/>
    <w:rsid w:val="003448E2"/>
    <w:rsid w:val="00344AC6"/>
    <w:rsid w:val="0034603D"/>
    <w:rsid w:val="003478A0"/>
    <w:rsid w:val="00350AE0"/>
    <w:rsid w:val="00355280"/>
    <w:rsid w:val="0035558E"/>
    <w:rsid w:val="00355C90"/>
    <w:rsid w:val="00357765"/>
    <w:rsid w:val="00361CC2"/>
    <w:rsid w:val="00361FA6"/>
    <w:rsid w:val="00363AD2"/>
    <w:rsid w:val="00363FF3"/>
    <w:rsid w:val="0036404F"/>
    <w:rsid w:val="00364F44"/>
    <w:rsid w:val="00365DAA"/>
    <w:rsid w:val="0036737F"/>
    <w:rsid w:val="00370AA1"/>
    <w:rsid w:val="00370D77"/>
    <w:rsid w:val="00371F05"/>
    <w:rsid w:val="00373A08"/>
    <w:rsid w:val="00376651"/>
    <w:rsid w:val="00380D85"/>
    <w:rsid w:val="00382096"/>
    <w:rsid w:val="00385083"/>
    <w:rsid w:val="0038578D"/>
    <w:rsid w:val="0038612F"/>
    <w:rsid w:val="00386274"/>
    <w:rsid w:val="0038694B"/>
    <w:rsid w:val="00386B7C"/>
    <w:rsid w:val="003924FD"/>
    <w:rsid w:val="003930AA"/>
    <w:rsid w:val="0039322D"/>
    <w:rsid w:val="00393896"/>
    <w:rsid w:val="00395906"/>
    <w:rsid w:val="0039644E"/>
    <w:rsid w:val="003A17DF"/>
    <w:rsid w:val="003A17FB"/>
    <w:rsid w:val="003A1B6E"/>
    <w:rsid w:val="003A1C91"/>
    <w:rsid w:val="003A1E07"/>
    <w:rsid w:val="003A2442"/>
    <w:rsid w:val="003A35CB"/>
    <w:rsid w:val="003A4567"/>
    <w:rsid w:val="003A5060"/>
    <w:rsid w:val="003A5A8E"/>
    <w:rsid w:val="003A60F6"/>
    <w:rsid w:val="003B0543"/>
    <w:rsid w:val="003B228B"/>
    <w:rsid w:val="003B52D2"/>
    <w:rsid w:val="003B7833"/>
    <w:rsid w:val="003B7849"/>
    <w:rsid w:val="003B7DDF"/>
    <w:rsid w:val="003C05F6"/>
    <w:rsid w:val="003C0E2F"/>
    <w:rsid w:val="003C0E9A"/>
    <w:rsid w:val="003C1CD1"/>
    <w:rsid w:val="003C3DFF"/>
    <w:rsid w:val="003C515A"/>
    <w:rsid w:val="003C5BEA"/>
    <w:rsid w:val="003C5CA3"/>
    <w:rsid w:val="003C7FDF"/>
    <w:rsid w:val="003D05FE"/>
    <w:rsid w:val="003D07C2"/>
    <w:rsid w:val="003D161D"/>
    <w:rsid w:val="003D2272"/>
    <w:rsid w:val="003D2594"/>
    <w:rsid w:val="003D40F4"/>
    <w:rsid w:val="003D5225"/>
    <w:rsid w:val="003D6B7B"/>
    <w:rsid w:val="003D787C"/>
    <w:rsid w:val="003D7D34"/>
    <w:rsid w:val="003E16A4"/>
    <w:rsid w:val="003E22AB"/>
    <w:rsid w:val="003E48A8"/>
    <w:rsid w:val="003E505D"/>
    <w:rsid w:val="003E5093"/>
    <w:rsid w:val="003E69D7"/>
    <w:rsid w:val="003E6A6E"/>
    <w:rsid w:val="003E7497"/>
    <w:rsid w:val="003E7DBE"/>
    <w:rsid w:val="003F092D"/>
    <w:rsid w:val="003F3852"/>
    <w:rsid w:val="003F3D26"/>
    <w:rsid w:val="003F4908"/>
    <w:rsid w:val="003F5731"/>
    <w:rsid w:val="003F5A70"/>
    <w:rsid w:val="003F5B39"/>
    <w:rsid w:val="003F6244"/>
    <w:rsid w:val="003F700F"/>
    <w:rsid w:val="003F7A8E"/>
    <w:rsid w:val="004001E7"/>
    <w:rsid w:val="004002C1"/>
    <w:rsid w:val="00403CA4"/>
    <w:rsid w:val="004043D3"/>
    <w:rsid w:val="00404DFD"/>
    <w:rsid w:val="004066BC"/>
    <w:rsid w:val="00410479"/>
    <w:rsid w:val="00411A3F"/>
    <w:rsid w:val="00411B8B"/>
    <w:rsid w:val="00411FB7"/>
    <w:rsid w:val="004137D8"/>
    <w:rsid w:val="00414ADB"/>
    <w:rsid w:val="00414CAE"/>
    <w:rsid w:val="0041533E"/>
    <w:rsid w:val="00416542"/>
    <w:rsid w:val="00417B0D"/>
    <w:rsid w:val="004206A6"/>
    <w:rsid w:val="0042160C"/>
    <w:rsid w:val="00421B1A"/>
    <w:rsid w:val="0042284C"/>
    <w:rsid w:val="00424DCC"/>
    <w:rsid w:val="00425269"/>
    <w:rsid w:val="0042712B"/>
    <w:rsid w:val="00430E4A"/>
    <w:rsid w:val="0043257B"/>
    <w:rsid w:val="00434852"/>
    <w:rsid w:val="00436A7D"/>
    <w:rsid w:val="004374F7"/>
    <w:rsid w:val="00437773"/>
    <w:rsid w:val="00437C86"/>
    <w:rsid w:val="00440CD1"/>
    <w:rsid w:val="004411E1"/>
    <w:rsid w:val="00442786"/>
    <w:rsid w:val="00445166"/>
    <w:rsid w:val="0044594B"/>
    <w:rsid w:val="00445EF1"/>
    <w:rsid w:val="00445FFA"/>
    <w:rsid w:val="00447632"/>
    <w:rsid w:val="00447E9B"/>
    <w:rsid w:val="004523FC"/>
    <w:rsid w:val="004528CD"/>
    <w:rsid w:val="00452D29"/>
    <w:rsid w:val="00452D9B"/>
    <w:rsid w:val="004530E1"/>
    <w:rsid w:val="00453352"/>
    <w:rsid w:val="00454307"/>
    <w:rsid w:val="00454430"/>
    <w:rsid w:val="0045708C"/>
    <w:rsid w:val="004571CD"/>
    <w:rsid w:val="00460E69"/>
    <w:rsid w:val="00461452"/>
    <w:rsid w:val="00461C8C"/>
    <w:rsid w:val="0046249D"/>
    <w:rsid w:val="004655CC"/>
    <w:rsid w:val="00465A7E"/>
    <w:rsid w:val="00465CA2"/>
    <w:rsid w:val="0046637E"/>
    <w:rsid w:val="00467FB7"/>
    <w:rsid w:val="004709DB"/>
    <w:rsid w:val="00470A9A"/>
    <w:rsid w:val="004714E8"/>
    <w:rsid w:val="004722A1"/>
    <w:rsid w:val="00472322"/>
    <w:rsid w:val="00473464"/>
    <w:rsid w:val="00475018"/>
    <w:rsid w:val="0047643B"/>
    <w:rsid w:val="00476B1E"/>
    <w:rsid w:val="00476CC6"/>
    <w:rsid w:val="00477932"/>
    <w:rsid w:val="00483427"/>
    <w:rsid w:val="00483804"/>
    <w:rsid w:val="00484518"/>
    <w:rsid w:val="00486048"/>
    <w:rsid w:val="004943B8"/>
    <w:rsid w:val="00494B01"/>
    <w:rsid w:val="0049509B"/>
    <w:rsid w:val="004952C9"/>
    <w:rsid w:val="00495825"/>
    <w:rsid w:val="00496492"/>
    <w:rsid w:val="00497C17"/>
    <w:rsid w:val="004A0038"/>
    <w:rsid w:val="004A0C71"/>
    <w:rsid w:val="004A2CE7"/>
    <w:rsid w:val="004A2EF9"/>
    <w:rsid w:val="004A357A"/>
    <w:rsid w:val="004A39F5"/>
    <w:rsid w:val="004A56EC"/>
    <w:rsid w:val="004A6FAA"/>
    <w:rsid w:val="004B1B5C"/>
    <w:rsid w:val="004B2E20"/>
    <w:rsid w:val="004B3833"/>
    <w:rsid w:val="004B405F"/>
    <w:rsid w:val="004B46A4"/>
    <w:rsid w:val="004B4B15"/>
    <w:rsid w:val="004B4DF6"/>
    <w:rsid w:val="004B535E"/>
    <w:rsid w:val="004B6548"/>
    <w:rsid w:val="004B691A"/>
    <w:rsid w:val="004B71D3"/>
    <w:rsid w:val="004C1B72"/>
    <w:rsid w:val="004C2240"/>
    <w:rsid w:val="004C236B"/>
    <w:rsid w:val="004C4AAE"/>
    <w:rsid w:val="004C5A0D"/>
    <w:rsid w:val="004C5C09"/>
    <w:rsid w:val="004C68E6"/>
    <w:rsid w:val="004C755B"/>
    <w:rsid w:val="004D0003"/>
    <w:rsid w:val="004D043B"/>
    <w:rsid w:val="004D2BD1"/>
    <w:rsid w:val="004D434E"/>
    <w:rsid w:val="004D4C3D"/>
    <w:rsid w:val="004D6B43"/>
    <w:rsid w:val="004D7012"/>
    <w:rsid w:val="004D7A07"/>
    <w:rsid w:val="004D7B49"/>
    <w:rsid w:val="004E045B"/>
    <w:rsid w:val="004E0EBF"/>
    <w:rsid w:val="004E1A23"/>
    <w:rsid w:val="004E1D6C"/>
    <w:rsid w:val="004E3273"/>
    <w:rsid w:val="004E38A2"/>
    <w:rsid w:val="004E4001"/>
    <w:rsid w:val="004E5B06"/>
    <w:rsid w:val="004E6054"/>
    <w:rsid w:val="004E6BE4"/>
    <w:rsid w:val="004F1B64"/>
    <w:rsid w:val="004F2329"/>
    <w:rsid w:val="004F26D3"/>
    <w:rsid w:val="004F2AC6"/>
    <w:rsid w:val="004F6A11"/>
    <w:rsid w:val="004F6A8B"/>
    <w:rsid w:val="004F7450"/>
    <w:rsid w:val="004F7C8A"/>
    <w:rsid w:val="005015AD"/>
    <w:rsid w:val="00502966"/>
    <w:rsid w:val="00503302"/>
    <w:rsid w:val="005035A4"/>
    <w:rsid w:val="005039B9"/>
    <w:rsid w:val="00503B1E"/>
    <w:rsid w:val="00504597"/>
    <w:rsid w:val="00505482"/>
    <w:rsid w:val="0050581A"/>
    <w:rsid w:val="0050628E"/>
    <w:rsid w:val="00506AF6"/>
    <w:rsid w:val="005102A9"/>
    <w:rsid w:val="005110F2"/>
    <w:rsid w:val="005111E9"/>
    <w:rsid w:val="005112EA"/>
    <w:rsid w:val="00511CE6"/>
    <w:rsid w:val="005124A4"/>
    <w:rsid w:val="0051309E"/>
    <w:rsid w:val="00516C17"/>
    <w:rsid w:val="005178C7"/>
    <w:rsid w:val="005207D4"/>
    <w:rsid w:val="00522544"/>
    <w:rsid w:val="00522598"/>
    <w:rsid w:val="00522EDF"/>
    <w:rsid w:val="005241F2"/>
    <w:rsid w:val="005246A1"/>
    <w:rsid w:val="005255A3"/>
    <w:rsid w:val="00526BDF"/>
    <w:rsid w:val="005278EB"/>
    <w:rsid w:val="00527A9A"/>
    <w:rsid w:val="00527C5C"/>
    <w:rsid w:val="005314A5"/>
    <w:rsid w:val="00531716"/>
    <w:rsid w:val="00532253"/>
    <w:rsid w:val="005325EA"/>
    <w:rsid w:val="005327D8"/>
    <w:rsid w:val="0053295A"/>
    <w:rsid w:val="00532F71"/>
    <w:rsid w:val="00533393"/>
    <w:rsid w:val="00533F58"/>
    <w:rsid w:val="00534D0F"/>
    <w:rsid w:val="00536D6D"/>
    <w:rsid w:val="00544C7B"/>
    <w:rsid w:val="00545DB5"/>
    <w:rsid w:val="00546B78"/>
    <w:rsid w:val="00547671"/>
    <w:rsid w:val="00547B43"/>
    <w:rsid w:val="005522FD"/>
    <w:rsid w:val="00552B60"/>
    <w:rsid w:val="005532A2"/>
    <w:rsid w:val="0055344D"/>
    <w:rsid w:val="005537E3"/>
    <w:rsid w:val="0055491C"/>
    <w:rsid w:val="00555666"/>
    <w:rsid w:val="00555BFB"/>
    <w:rsid w:val="00555D43"/>
    <w:rsid w:val="00556A4C"/>
    <w:rsid w:val="00556E6A"/>
    <w:rsid w:val="0056476B"/>
    <w:rsid w:val="00564BEF"/>
    <w:rsid w:val="005656C6"/>
    <w:rsid w:val="0056605E"/>
    <w:rsid w:val="005660A9"/>
    <w:rsid w:val="0056791D"/>
    <w:rsid w:val="005744E1"/>
    <w:rsid w:val="00575DA2"/>
    <w:rsid w:val="00575EB7"/>
    <w:rsid w:val="00576A34"/>
    <w:rsid w:val="005800A7"/>
    <w:rsid w:val="005818A4"/>
    <w:rsid w:val="005819F0"/>
    <w:rsid w:val="00583551"/>
    <w:rsid w:val="00584824"/>
    <w:rsid w:val="00586462"/>
    <w:rsid w:val="00587330"/>
    <w:rsid w:val="00587A7D"/>
    <w:rsid w:val="0059340C"/>
    <w:rsid w:val="005958F6"/>
    <w:rsid w:val="00595AA2"/>
    <w:rsid w:val="00595CDB"/>
    <w:rsid w:val="005A2567"/>
    <w:rsid w:val="005A2B7E"/>
    <w:rsid w:val="005A4309"/>
    <w:rsid w:val="005A5328"/>
    <w:rsid w:val="005A6E2D"/>
    <w:rsid w:val="005A739C"/>
    <w:rsid w:val="005B0415"/>
    <w:rsid w:val="005B098E"/>
    <w:rsid w:val="005B1002"/>
    <w:rsid w:val="005B3561"/>
    <w:rsid w:val="005B4039"/>
    <w:rsid w:val="005B449C"/>
    <w:rsid w:val="005B4C2E"/>
    <w:rsid w:val="005B7495"/>
    <w:rsid w:val="005C13A2"/>
    <w:rsid w:val="005C1610"/>
    <w:rsid w:val="005C22DA"/>
    <w:rsid w:val="005C302E"/>
    <w:rsid w:val="005C3BCE"/>
    <w:rsid w:val="005C4064"/>
    <w:rsid w:val="005C5357"/>
    <w:rsid w:val="005C5DF3"/>
    <w:rsid w:val="005C6039"/>
    <w:rsid w:val="005C65E6"/>
    <w:rsid w:val="005C70F9"/>
    <w:rsid w:val="005C7212"/>
    <w:rsid w:val="005C7302"/>
    <w:rsid w:val="005D0427"/>
    <w:rsid w:val="005D04A6"/>
    <w:rsid w:val="005D1052"/>
    <w:rsid w:val="005D212E"/>
    <w:rsid w:val="005D2396"/>
    <w:rsid w:val="005D2618"/>
    <w:rsid w:val="005D2670"/>
    <w:rsid w:val="005D479E"/>
    <w:rsid w:val="005D48F5"/>
    <w:rsid w:val="005D4F57"/>
    <w:rsid w:val="005D59CB"/>
    <w:rsid w:val="005D5FD6"/>
    <w:rsid w:val="005E0114"/>
    <w:rsid w:val="005E053B"/>
    <w:rsid w:val="005E0BDB"/>
    <w:rsid w:val="005E1E70"/>
    <w:rsid w:val="005E2108"/>
    <w:rsid w:val="005E443C"/>
    <w:rsid w:val="005E52E0"/>
    <w:rsid w:val="005E652B"/>
    <w:rsid w:val="005F045F"/>
    <w:rsid w:val="005F0CAC"/>
    <w:rsid w:val="005F175D"/>
    <w:rsid w:val="005F2C44"/>
    <w:rsid w:val="005F35D0"/>
    <w:rsid w:val="005F385C"/>
    <w:rsid w:val="005F4347"/>
    <w:rsid w:val="005F47CE"/>
    <w:rsid w:val="005F4B91"/>
    <w:rsid w:val="00600F83"/>
    <w:rsid w:val="00601415"/>
    <w:rsid w:val="006066EF"/>
    <w:rsid w:val="0060731F"/>
    <w:rsid w:val="006118D7"/>
    <w:rsid w:val="00612CFF"/>
    <w:rsid w:val="00613B47"/>
    <w:rsid w:val="00613FDE"/>
    <w:rsid w:val="006147CB"/>
    <w:rsid w:val="006152D3"/>
    <w:rsid w:val="0061609C"/>
    <w:rsid w:val="00616DA8"/>
    <w:rsid w:val="00620319"/>
    <w:rsid w:val="00622236"/>
    <w:rsid w:val="00622327"/>
    <w:rsid w:val="006249E7"/>
    <w:rsid w:val="00625C9B"/>
    <w:rsid w:val="00625FC1"/>
    <w:rsid w:val="00626089"/>
    <w:rsid w:val="006264D4"/>
    <w:rsid w:val="00626B77"/>
    <w:rsid w:val="00626DC9"/>
    <w:rsid w:val="0062752A"/>
    <w:rsid w:val="00630790"/>
    <w:rsid w:val="00632581"/>
    <w:rsid w:val="00632691"/>
    <w:rsid w:val="00635FBA"/>
    <w:rsid w:val="006362D9"/>
    <w:rsid w:val="00636459"/>
    <w:rsid w:val="00637139"/>
    <w:rsid w:val="006400B4"/>
    <w:rsid w:val="00640769"/>
    <w:rsid w:val="0064092B"/>
    <w:rsid w:val="00641E8D"/>
    <w:rsid w:val="00642A01"/>
    <w:rsid w:val="00643D21"/>
    <w:rsid w:val="006448F6"/>
    <w:rsid w:val="00645654"/>
    <w:rsid w:val="00645B4B"/>
    <w:rsid w:val="006502B1"/>
    <w:rsid w:val="006506C3"/>
    <w:rsid w:val="00650BA3"/>
    <w:rsid w:val="00653D26"/>
    <w:rsid w:val="0065513F"/>
    <w:rsid w:val="0065537F"/>
    <w:rsid w:val="006616DB"/>
    <w:rsid w:val="00665525"/>
    <w:rsid w:val="00665857"/>
    <w:rsid w:val="006664B1"/>
    <w:rsid w:val="00666CDA"/>
    <w:rsid w:val="00666E88"/>
    <w:rsid w:val="006670C3"/>
    <w:rsid w:val="006673D8"/>
    <w:rsid w:val="00667787"/>
    <w:rsid w:val="00667B06"/>
    <w:rsid w:val="006701FE"/>
    <w:rsid w:val="00670432"/>
    <w:rsid w:val="00672F49"/>
    <w:rsid w:val="00673E41"/>
    <w:rsid w:val="00674447"/>
    <w:rsid w:val="00674A73"/>
    <w:rsid w:val="006760A9"/>
    <w:rsid w:val="0067660B"/>
    <w:rsid w:val="00677316"/>
    <w:rsid w:val="00681EE4"/>
    <w:rsid w:val="00684C64"/>
    <w:rsid w:val="006904D7"/>
    <w:rsid w:val="00690A1F"/>
    <w:rsid w:val="00691A81"/>
    <w:rsid w:val="00691F38"/>
    <w:rsid w:val="00692F2F"/>
    <w:rsid w:val="006937C9"/>
    <w:rsid w:val="00694770"/>
    <w:rsid w:val="006952B2"/>
    <w:rsid w:val="00695CD7"/>
    <w:rsid w:val="006972B9"/>
    <w:rsid w:val="00697CD3"/>
    <w:rsid w:val="006A068A"/>
    <w:rsid w:val="006A0871"/>
    <w:rsid w:val="006A155E"/>
    <w:rsid w:val="006A2237"/>
    <w:rsid w:val="006A31F3"/>
    <w:rsid w:val="006A4090"/>
    <w:rsid w:val="006A4585"/>
    <w:rsid w:val="006A461B"/>
    <w:rsid w:val="006A46B6"/>
    <w:rsid w:val="006A612A"/>
    <w:rsid w:val="006A6D0A"/>
    <w:rsid w:val="006A784E"/>
    <w:rsid w:val="006A7D16"/>
    <w:rsid w:val="006B00B7"/>
    <w:rsid w:val="006B0A4C"/>
    <w:rsid w:val="006B0E13"/>
    <w:rsid w:val="006B1F3A"/>
    <w:rsid w:val="006B2A44"/>
    <w:rsid w:val="006B31F7"/>
    <w:rsid w:val="006B3E78"/>
    <w:rsid w:val="006B65F7"/>
    <w:rsid w:val="006B6730"/>
    <w:rsid w:val="006C07DC"/>
    <w:rsid w:val="006C0DEF"/>
    <w:rsid w:val="006C17C3"/>
    <w:rsid w:val="006C1BB3"/>
    <w:rsid w:val="006C1C82"/>
    <w:rsid w:val="006C4165"/>
    <w:rsid w:val="006C46ED"/>
    <w:rsid w:val="006C4BFE"/>
    <w:rsid w:val="006C5193"/>
    <w:rsid w:val="006C5381"/>
    <w:rsid w:val="006C6DBC"/>
    <w:rsid w:val="006C7170"/>
    <w:rsid w:val="006C78FE"/>
    <w:rsid w:val="006C7BC9"/>
    <w:rsid w:val="006D0437"/>
    <w:rsid w:val="006D0816"/>
    <w:rsid w:val="006D3A30"/>
    <w:rsid w:val="006D444F"/>
    <w:rsid w:val="006D49D5"/>
    <w:rsid w:val="006D74A8"/>
    <w:rsid w:val="006E0742"/>
    <w:rsid w:val="006E1B11"/>
    <w:rsid w:val="006E21A9"/>
    <w:rsid w:val="006E4BE2"/>
    <w:rsid w:val="006E5EA6"/>
    <w:rsid w:val="006E62DC"/>
    <w:rsid w:val="006E679D"/>
    <w:rsid w:val="006E70B4"/>
    <w:rsid w:val="006E7780"/>
    <w:rsid w:val="006E78FC"/>
    <w:rsid w:val="006F03F6"/>
    <w:rsid w:val="006F0C77"/>
    <w:rsid w:val="006F273A"/>
    <w:rsid w:val="006F3D7E"/>
    <w:rsid w:val="006F3D82"/>
    <w:rsid w:val="006F69D2"/>
    <w:rsid w:val="006F7B6D"/>
    <w:rsid w:val="006F7BE5"/>
    <w:rsid w:val="00700B31"/>
    <w:rsid w:val="00701E08"/>
    <w:rsid w:val="00702926"/>
    <w:rsid w:val="00702985"/>
    <w:rsid w:val="00702A83"/>
    <w:rsid w:val="007052EE"/>
    <w:rsid w:val="0071076B"/>
    <w:rsid w:val="00711239"/>
    <w:rsid w:val="00711A02"/>
    <w:rsid w:val="00712332"/>
    <w:rsid w:val="00712681"/>
    <w:rsid w:val="007127E2"/>
    <w:rsid w:val="00712922"/>
    <w:rsid w:val="00715613"/>
    <w:rsid w:val="00715A65"/>
    <w:rsid w:val="00715D1C"/>
    <w:rsid w:val="00716B7F"/>
    <w:rsid w:val="00716BBD"/>
    <w:rsid w:val="00717F64"/>
    <w:rsid w:val="007208BE"/>
    <w:rsid w:val="00721492"/>
    <w:rsid w:val="00722370"/>
    <w:rsid w:val="00722C14"/>
    <w:rsid w:val="00722C80"/>
    <w:rsid w:val="0072330F"/>
    <w:rsid w:val="00723523"/>
    <w:rsid w:val="007241AA"/>
    <w:rsid w:val="007243DA"/>
    <w:rsid w:val="00724F46"/>
    <w:rsid w:val="00725904"/>
    <w:rsid w:val="00725CC6"/>
    <w:rsid w:val="00727E57"/>
    <w:rsid w:val="007302A0"/>
    <w:rsid w:val="00733BAC"/>
    <w:rsid w:val="007341D7"/>
    <w:rsid w:val="00734D85"/>
    <w:rsid w:val="007354CF"/>
    <w:rsid w:val="007357F8"/>
    <w:rsid w:val="00735E8E"/>
    <w:rsid w:val="0073652C"/>
    <w:rsid w:val="00740F63"/>
    <w:rsid w:val="0074177A"/>
    <w:rsid w:val="00741C0A"/>
    <w:rsid w:val="0074284E"/>
    <w:rsid w:val="00742D53"/>
    <w:rsid w:val="00743207"/>
    <w:rsid w:val="00744E83"/>
    <w:rsid w:val="007475CB"/>
    <w:rsid w:val="00747A07"/>
    <w:rsid w:val="00750BF5"/>
    <w:rsid w:val="007515DE"/>
    <w:rsid w:val="00751CA3"/>
    <w:rsid w:val="00752AC8"/>
    <w:rsid w:val="00754AB9"/>
    <w:rsid w:val="00755157"/>
    <w:rsid w:val="00755DEC"/>
    <w:rsid w:val="0075655A"/>
    <w:rsid w:val="007571BE"/>
    <w:rsid w:val="007603CB"/>
    <w:rsid w:val="00760DB3"/>
    <w:rsid w:val="00761AF8"/>
    <w:rsid w:val="00763555"/>
    <w:rsid w:val="00763A8C"/>
    <w:rsid w:val="00765408"/>
    <w:rsid w:val="00765DAA"/>
    <w:rsid w:val="00765DC9"/>
    <w:rsid w:val="0076667E"/>
    <w:rsid w:val="00766F5B"/>
    <w:rsid w:val="00767F69"/>
    <w:rsid w:val="007711AB"/>
    <w:rsid w:val="00771E0C"/>
    <w:rsid w:val="0077604B"/>
    <w:rsid w:val="00776F99"/>
    <w:rsid w:val="007777A2"/>
    <w:rsid w:val="00777D35"/>
    <w:rsid w:val="00780129"/>
    <w:rsid w:val="007825C2"/>
    <w:rsid w:val="007831AE"/>
    <w:rsid w:val="007832A4"/>
    <w:rsid w:val="00784374"/>
    <w:rsid w:val="00784F6A"/>
    <w:rsid w:val="0078588C"/>
    <w:rsid w:val="00785B35"/>
    <w:rsid w:val="007870D6"/>
    <w:rsid w:val="00790883"/>
    <w:rsid w:val="00790F96"/>
    <w:rsid w:val="007916D7"/>
    <w:rsid w:val="00791D39"/>
    <w:rsid w:val="007925D4"/>
    <w:rsid w:val="0079401D"/>
    <w:rsid w:val="00795BB6"/>
    <w:rsid w:val="007A071D"/>
    <w:rsid w:val="007A1871"/>
    <w:rsid w:val="007A22EB"/>
    <w:rsid w:val="007A258C"/>
    <w:rsid w:val="007A2AC9"/>
    <w:rsid w:val="007A329B"/>
    <w:rsid w:val="007A3C9B"/>
    <w:rsid w:val="007A70EC"/>
    <w:rsid w:val="007B0097"/>
    <w:rsid w:val="007B1442"/>
    <w:rsid w:val="007B1537"/>
    <w:rsid w:val="007B2405"/>
    <w:rsid w:val="007B32C7"/>
    <w:rsid w:val="007B37F2"/>
    <w:rsid w:val="007B6B45"/>
    <w:rsid w:val="007B7788"/>
    <w:rsid w:val="007B796B"/>
    <w:rsid w:val="007B7A52"/>
    <w:rsid w:val="007B7C5F"/>
    <w:rsid w:val="007B7FEF"/>
    <w:rsid w:val="007C092D"/>
    <w:rsid w:val="007C64C2"/>
    <w:rsid w:val="007D1C01"/>
    <w:rsid w:val="007D3243"/>
    <w:rsid w:val="007D3574"/>
    <w:rsid w:val="007D3C8F"/>
    <w:rsid w:val="007D4C00"/>
    <w:rsid w:val="007D5B9B"/>
    <w:rsid w:val="007D7079"/>
    <w:rsid w:val="007E0C62"/>
    <w:rsid w:val="007E1759"/>
    <w:rsid w:val="007E212A"/>
    <w:rsid w:val="007E30C9"/>
    <w:rsid w:val="007E38C8"/>
    <w:rsid w:val="007E3D11"/>
    <w:rsid w:val="007E47EF"/>
    <w:rsid w:val="007E6A49"/>
    <w:rsid w:val="007E6ECA"/>
    <w:rsid w:val="007E7C99"/>
    <w:rsid w:val="007F1FA8"/>
    <w:rsid w:val="007F223B"/>
    <w:rsid w:val="007F299C"/>
    <w:rsid w:val="007F2D48"/>
    <w:rsid w:val="007F32A9"/>
    <w:rsid w:val="007F4B15"/>
    <w:rsid w:val="007F5807"/>
    <w:rsid w:val="008001E1"/>
    <w:rsid w:val="00803153"/>
    <w:rsid w:val="008036B5"/>
    <w:rsid w:val="00804B56"/>
    <w:rsid w:val="00804DCB"/>
    <w:rsid w:val="00806A2E"/>
    <w:rsid w:val="00813823"/>
    <w:rsid w:val="00813A47"/>
    <w:rsid w:val="0081475C"/>
    <w:rsid w:val="008154CD"/>
    <w:rsid w:val="008169DF"/>
    <w:rsid w:val="00816FFD"/>
    <w:rsid w:val="00820B44"/>
    <w:rsid w:val="008217BD"/>
    <w:rsid w:val="00821D81"/>
    <w:rsid w:val="00822E1C"/>
    <w:rsid w:val="00822E99"/>
    <w:rsid w:val="00823716"/>
    <w:rsid w:val="00824E8F"/>
    <w:rsid w:val="008253D1"/>
    <w:rsid w:val="0083047C"/>
    <w:rsid w:val="008304E8"/>
    <w:rsid w:val="00830723"/>
    <w:rsid w:val="00830B9E"/>
    <w:rsid w:val="00830FAE"/>
    <w:rsid w:val="00831908"/>
    <w:rsid w:val="008323AE"/>
    <w:rsid w:val="00832D00"/>
    <w:rsid w:val="00834CC1"/>
    <w:rsid w:val="00836CA6"/>
    <w:rsid w:val="00840128"/>
    <w:rsid w:val="008402BE"/>
    <w:rsid w:val="0084063C"/>
    <w:rsid w:val="00840D8F"/>
    <w:rsid w:val="0084126B"/>
    <w:rsid w:val="0084184E"/>
    <w:rsid w:val="0084234D"/>
    <w:rsid w:val="008430F0"/>
    <w:rsid w:val="00843764"/>
    <w:rsid w:val="00844140"/>
    <w:rsid w:val="00845A9A"/>
    <w:rsid w:val="00845F00"/>
    <w:rsid w:val="0084617D"/>
    <w:rsid w:val="00846588"/>
    <w:rsid w:val="00847819"/>
    <w:rsid w:val="00850870"/>
    <w:rsid w:val="00851299"/>
    <w:rsid w:val="00853226"/>
    <w:rsid w:val="00853594"/>
    <w:rsid w:val="00853DC5"/>
    <w:rsid w:val="00856713"/>
    <w:rsid w:val="008627E7"/>
    <w:rsid w:val="008643A4"/>
    <w:rsid w:val="0086484B"/>
    <w:rsid w:val="00865C63"/>
    <w:rsid w:val="008663AD"/>
    <w:rsid w:val="00866A24"/>
    <w:rsid w:val="00866CC9"/>
    <w:rsid w:val="00867728"/>
    <w:rsid w:val="008703E4"/>
    <w:rsid w:val="00872624"/>
    <w:rsid w:val="00872BE4"/>
    <w:rsid w:val="008740A7"/>
    <w:rsid w:val="00874986"/>
    <w:rsid w:val="008753E0"/>
    <w:rsid w:val="00875AD0"/>
    <w:rsid w:val="00877A5A"/>
    <w:rsid w:val="0088220E"/>
    <w:rsid w:val="008822CF"/>
    <w:rsid w:val="00882D40"/>
    <w:rsid w:val="00883A7A"/>
    <w:rsid w:val="008852FE"/>
    <w:rsid w:val="0088595E"/>
    <w:rsid w:val="00885BB9"/>
    <w:rsid w:val="00886CB6"/>
    <w:rsid w:val="008874F7"/>
    <w:rsid w:val="0088760E"/>
    <w:rsid w:val="00893CBE"/>
    <w:rsid w:val="00895469"/>
    <w:rsid w:val="00896A04"/>
    <w:rsid w:val="008973D0"/>
    <w:rsid w:val="008A0B1B"/>
    <w:rsid w:val="008A3B08"/>
    <w:rsid w:val="008A5986"/>
    <w:rsid w:val="008A65AE"/>
    <w:rsid w:val="008A6949"/>
    <w:rsid w:val="008B058C"/>
    <w:rsid w:val="008B18EC"/>
    <w:rsid w:val="008B19AB"/>
    <w:rsid w:val="008B1F65"/>
    <w:rsid w:val="008B2174"/>
    <w:rsid w:val="008B33B6"/>
    <w:rsid w:val="008B70FA"/>
    <w:rsid w:val="008B72D9"/>
    <w:rsid w:val="008B7C43"/>
    <w:rsid w:val="008C3513"/>
    <w:rsid w:val="008C3DF5"/>
    <w:rsid w:val="008C4903"/>
    <w:rsid w:val="008C5BCD"/>
    <w:rsid w:val="008C63BE"/>
    <w:rsid w:val="008C6884"/>
    <w:rsid w:val="008C6D34"/>
    <w:rsid w:val="008C73DC"/>
    <w:rsid w:val="008C7639"/>
    <w:rsid w:val="008D311A"/>
    <w:rsid w:val="008D5705"/>
    <w:rsid w:val="008E1D48"/>
    <w:rsid w:val="008E3644"/>
    <w:rsid w:val="008E377F"/>
    <w:rsid w:val="008E549D"/>
    <w:rsid w:val="008E6168"/>
    <w:rsid w:val="008E6300"/>
    <w:rsid w:val="008F0032"/>
    <w:rsid w:val="008F18E4"/>
    <w:rsid w:val="008F191A"/>
    <w:rsid w:val="008F2F57"/>
    <w:rsid w:val="008F35C3"/>
    <w:rsid w:val="008F3C81"/>
    <w:rsid w:val="008F4615"/>
    <w:rsid w:val="008F5CCC"/>
    <w:rsid w:val="008F6F90"/>
    <w:rsid w:val="008F76CC"/>
    <w:rsid w:val="008F7A3C"/>
    <w:rsid w:val="0090114E"/>
    <w:rsid w:val="00901195"/>
    <w:rsid w:val="009021BA"/>
    <w:rsid w:val="0090374D"/>
    <w:rsid w:val="009049A5"/>
    <w:rsid w:val="00906189"/>
    <w:rsid w:val="009062E7"/>
    <w:rsid w:val="0090791C"/>
    <w:rsid w:val="00911C0B"/>
    <w:rsid w:val="0091243A"/>
    <w:rsid w:val="009129CB"/>
    <w:rsid w:val="00912A76"/>
    <w:rsid w:val="00914A53"/>
    <w:rsid w:val="00914BF5"/>
    <w:rsid w:val="00914DAD"/>
    <w:rsid w:val="009177C7"/>
    <w:rsid w:val="00920642"/>
    <w:rsid w:val="009212D5"/>
    <w:rsid w:val="0092151B"/>
    <w:rsid w:val="009220A7"/>
    <w:rsid w:val="00922ABC"/>
    <w:rsid w:val="009232A2"/>
    <w:rsid w:val="00923356"/>
    <w:rsid w:val="0092379C"/>
    <w:rsid w:val="00923E81"/>
    <w:rsid w:val="00924F8D"/>
    <w:rsid w:val="009251E3"/>
    <w:rsid w:val="0092587E"/>
    <w:rsid w:val="009259C9"/>
    <w:rsid w:val="00927141"/>
    <w:rsid w:val="009274F0"/>
    <w:rsid w:val="00927CEB"/>
    <w:rsid w:val="00927E1C"/>
    <w:rsid w:val="009303B8"/>
    <w:rsid w:val="00930728"/>
    <w:rsid w:val="00930B72"/>
    <w:rsid w:val="00931841"/>
    <w:rsid w:val="00932F9C"/>
    <w:rsid w:val="00933346"/>
    <w:rsid w:val="00934161"/>
    <w:rsid w:val="0093459E"/>
    <w:rsid w:val="009348A7"/>
    <w:rsid w:val="00936361"/>
    <w:rsid w:val="009375F6"/>
    <w:rsid w:val="009418E5"/>
    <w:rsid w:val="00942078"/>
    <w:rsid w:val="0094218E"/>
    <w:rsid w:val="00943274"/>
    <w:rsid w:val="00943D34"/>
    <w:rsid w:val="0094457F"/>
    <w:rsid w:val="009451F4"/>
    <w:rsid w:val="00945D28"/>
    <w:rsid w:val="009464B4"/>
    <w:rsid w:val="00950186"/>
    <w:rsid w:val="0095079E"/>
    <w:rsid w:val="009508B2"/>
    <w:rsid w:val="009516E1"/>
    <w:rsid w:val="00952140"/>
    <w:rsid w:val="00952A7D"/>
    <w:rsid w:val="00954E15"/>
    <w:rsid w:val="00955AF5"/>
    <w:rsid w:val="00960AAB"/>
    <w:rsid w:val="00960B1E"/>
    <w:rsid w:val="00961112"/>
    <w:rsid w:val="00961124"/>
    <w:rsid w:val="00961F94"/>
    <w:rsid w:val="00962060"/>
    <w:rsid w:val="00964EFB"/>
    <w:rsid w:val="009658B1"/>
    <w:rsid w:val="00966640"/>
    <w:rsid w:val="00966792"/>
    <w:rsid w:val="009668D6"/>
    <w:rsid w:val="00970778"/>
    <w:rsid w:val="00974677"/>
    <w:rsid w:val="00975178"/>
    <w:rsid w:val="00975BD3"/>
    <w:rsid w:val="00977605"/>
    <w:rsid w:val="00977FE2"/>
    <w:rsid w:val="00980D93"/>
    <w:rsid w:val="00981D92"/>
    <w:rsid w:val="009822FF"/>
    <w:rsid w:val="00984508"/>
    <w:rsid w:val="00986038"/>
    <w:rsid w:val="009862D5"/>
    <w:rsid w:val="00987E9C"/>
    <w:rsid w:val="00990BB6"/>
    <w:rsid w:val="009911B9"/>
    <w:rsid w:val="00991F11"/>
    <w:rsid w:val="00992C3A"/>
    <w:rsid w:val="0099335D"/>
    <w:rsid w:val="00993494"/>
    <w:rsid w:val="00996DA8"/>
    <w:rsid w:val="009A1612"/>
    <w:rsid w:val="009A2D58"/>
    <w:rsid w:val="009A2EDD"/>
    <w:rsid w:val="009A448F"/>
    <w:rsid w:val="009A50FC"/>
    <w:rsid w:val="009A5911"/>
    <w:rsid w:val="009A5AD0"/>
    <w:rsid w:val="009A7633"/>
    <w:rsid w:val="009A786A"/>
    <w:rsid w:val="009B26CB"/>
    <w:rsid w:val="009B3A6E"/>
    <w:rsid w:val="009B3C4C"/>
    <w:rsid w:val="009B3FAF"/>
    <w:rsid w:val="009B5565"/>
    <w:rsid w:val="009B7D75"/>
    <w:rsid w:val="009C011D"/>
    <w:rsid w:val="009C0C34"/>
    <w:rsid w:val="009C27DD"/>
    <w:rsid w:val="009C399A"/>
    <w:rsid w:val="009C39B9"/>
    <w:rsid w:val="009C3AC9"/>
    <w:rsid w:val="009C4B8C"/>
    <w:rsid w:val="009C4D7B"/>
    <w:rsid w:val="009C7680"/>
    <w:rsid w:val="009D29B9"/>
    <w:rsid w:val="009D3119"/>
    <w:rsid w:val="009D31A2"/>
    <w:rsid w:val="009D3A99"/>
    <w:rsid w:val="009D3ED7"/>
    <w:rsid w:val="009D420D"/>
    <w:rsid w:val="009D4C79"/>
    <w:rsid w:val="009D5EA3"/>
    <w:rsid w:val="009D5FE9"/>
    <w:rsid w:val="009D7698"/>
    <w:rsid w:val="009D7A21"/>
    <w:rsid w:val="009D7B29"/>
    <w:rsid w:val="009D7CDA"/>
    <w:rsid w:val="009E15A9"/>
    <w:rsid w:val="009E474A"/>
    <w:rsid w:val="009E4B5D"/>
    <w:rsid w:val="009E5482"/>
    <w:rsid w:val="009E563C"/>
    <w:rsid w:val="009E5732"/>
    <w:rsid w:val="009E576A"/>
    <w:rsid w:val="009E5D67"/>
    <w:rsid w:val="009E5EA3"/>
    <w:rsid w:val="009E5F35"/>
    <w:rsid w:val="009F2CE6"/>
    <w:rsid w:val="009F40B7"/>
    <w:rsid w:val="00A00828"/>
    <w:rsid w:val="00A00B7A"/>
    <w:rsid w:val="00A0394C"/>
    <w:rsid w:val="00A03A98"/>
    <w:rsid w:val="00A03B73"/>
    <w:rsid w:val="00A03B96"/>
    <w:rsid w:val="00A03D71"/>
    <w:rsid w:val="00A046E2"/>
    <w:rsid w:val="00A077F4"/>
    <w:rsid w:val="00A07B1D"/>
    <w:rsid w:val="00A1044C"/>
    <w:rsid w:val="00A12CD2"/>
    <w:rsid w:val="00A1306D"/>
    <w:rsid w:val="00A14175"/>
    <w:rsid w:val="00A15818"/>
    <w:rsid w:val="00A169F6"/>
    <w:rsid w:val="00A17E31"/>
    <w:rsid w:val="00A20A73"/>
    <w:rsid w:val="00A20E67"/>
    <w:rsid w:val="00A215CF"/>
    <w:rsid w:val="00A2160E"/>
    <w:rsid w:val="00A21919"/>
    <w:rsid w:val="00A22ADE"/>
    <w:rsid w:val="00A2405A"/>
    <w:rsid w:val="00A24B23"/>
    <w:rsid w:val="00A25998"/>
    <w:rsid w:val="00A30E9B"/>
    <w:rsid w:val="00A32372"/>
    <w:rsid w:val="00A3268A"/>
    <w:rsid w:val="00A33C54"/>
    <w:rsid w:val="00A347C4"/>
    <w:rsid w:val="00A351E6"/>
    <w:rsid w:val="00A35220"/>
    <w:rsid w:val="00A35D2D"/>
    <w:rsid w:val="00A405DF"/>
    <w:rsid w:val="00A4102E"/>
    <w:rsid w:val="00A41348"/>
    <w:rsid w:val="00A41BA7"/>
    <w:rsid w:val="00A43DAF"/>
    <w:rsid w:val="00A45FC3"/>
    <w:rsid w:val="00A47EAD"/>
    <w:rsid w:val="00A50901"/>
    <w:rsid w:val="00A52504"/>
    <w:rsid w:val="00A54487"/>
    <w:rsid w:val="00A54F1E"/>
    <w:rsid w:val="00A54FC4"/>
    <w:rsid w:val="00A550E5"/>
    <w:rsid w:val="00A556DF"/>
    <w:rsid w:val="00A5580B"/>
    <w:rsid w:val="00A55DB6"/>
    <w:rsid w:val="00A56400"/>
    <w:rsid w:val="00A57A20"/>
    <w:rsid w:val="00A57F57"/>
    <w:rsid w:val="00A6113D"/>
    <w:rsid w:val="00A61BB0"/>
    <w:rsid w:val="00A61FFD"/>
    <w:rsid w:val="00A62B01"/>
    <w:rsid w:val="00A64A49"/>
    <w:rsid w:val="00A6729C"/>
    <w:rsid w:val="00A70869"/>
    <w:rsid w:val="00A72792"/>
    <w:rsid w:val="00A72CB3"/>
    <w:rsid w:val="00A74A22"/>
    <w:rsid w:val="00A76F6B"/>
    <w:rsid w:val="00A77733"/>
    <w:rsid w:val="00A80134"/>
    <w:rsid w:val="00A82CD2"/>
    <w:rsid w:val="00A858D3"/>
    <w:rsid w:val="00A85FBB"/>
    <w:rsid w:val="00A86E13"/>
    <w:rsid w:val="00A871EC"/>
    <w:rsid w:val="00A8781B"/>
    <w:rsid w:val="00A87CA6"/>
    <w:rsid w:val="00A91F51"/>
    <w:rsid w:val="00A929F4"/>
    <w:rsid w:val="00A9397D"/>
    <w:rsid w:val="00A94803"/>
    <w:rsid w:val="00A9493E"/>
    <w:rsid w:val="00A968A5"/>
    <w:rsid w:val="00A97406"/>
    <w:rsid w:val="00A97A92"/>
    <w:rsid w:val="00AA023A"/>
    <w:rsid w:val="00AA0662"/>
    <w:rsid w:val="00AA120C"/>
    <w:rsid w:val="00AA167C"/>
    <w:rsid w:val="00AA186A"/>
    <w:rsid w:val="00AA1BA0"/>
    <w:rsid w:val="00AA341A"/>
    <w:rsid w:val="00AA3C51"/>
    <w:rsid w:val="00AA5D3E"/>
    <w:rsid w:val="00AA65DC"/>
    <w:rsid w:val="00AA6714"/>
    <w:rsid w:val="00AA6E52"/>
    <w:rsid w:val="00AB043B"/>
    <w:rsid w:val="00AB1701"/>
    <w:rsid w:val="00AB1BF0"/>
    <w:rsid w:val="00AB2177"/>
    <w:rsid w:val="00AB2C4B"/>
    <w:rsid w:val="00AB36C4"/>
    <w:rsid w:val="00AB4151"/>
    <w:rsid w:val="00AB4CD8"/>
    <w:rsid w:val="00AB4DC3"/>
    <w:rsid w:val="00AB632E"/>
    <w:rsid w:val="00AB6372"/>
    <w:rsid w:val="00AB69AF"/>
    <w:rsid w:val="00AB6CA4"/>
    <w:rsid w:val="00AB7161"/>
    <w:rsid w:val="00AB77DF"/>
    <w:rsid w:val="00AB7968"/>
    <w:rsid w:val="00AB7A10"/>
    <w:rsid w:val="00AC0416"/>
    <w:rsid w:val="00AC0EBC"/>
    <w:rsid w:val="00AC1EE8"/>
    <w:rsid w:val="00AC1FC6"/>
    <w:rsid w:val="00AC2961"/>
    <w:rsid w:val="00AC2F5F"/>
    <w:rsid w:val="00AC3E47"/>
    <w:rsid w:val="00AC4924"/>
    <w:rsid w:val="00AC5644"/>
    <w:rsid w:val="00AC7DD8"/>
    <w:rsid w:val="00AD0858"/>
    <w:rsid w:val="00AD0B37"/>
    <w:rsid w:val="00AD1DC0"/>
    <w:rsid w:val="00AD246A"/>
    <w:rsid w:val="00AD29BF"/>
    <w:rsid w:val="00AD46D8"/>
    <w:rsid w:val="00AD4E99"/>
    <w:rsid w:val="00AD4EE8"/>
    <w:rsid w:val="00AD5170"/>
    <w:rsid w:val="00AD5DEC"/>
    <w:rsid w:val="00AD6B3D"/>
    <w:rsid w:val="00AD7963"/>
    <w:rsid w:val="00AE04C8"/>
    <w:rsid w:val="00AE3606"/>
    <w:rsid w:val="00AE4A73"/>
    <w:rsid w:val="00AE4EF1"/>
    <w:rsid w:val="00AE5A94"/>
    <w:rsid w:val="00AE6152"/>
    <w:rsid w:val="00AE64B3"/>
    <w:rsid w:val="00AE6D2D"/>
    <w:rsid w:val="00AF0700"/>
    <w:rsid w:val="00AF0939"/>
    <w:rsid w:val="00AF1FE7"/>
    <w:rsid w:val="00AF4636"/>
    <w:rsid w:val="00AF4CA3"/>
    <w:rsid w:val="00AF5CD8"/>
    <w:rsid w:val="00AF7C4F"/>
    <w:rsid w:val="00B00F90"/>
    <w:rsid w:val="00B03C54"/>
    <w:rsid w:val="00B056C9"/>
    <w:rsid w:val="00B06C36"/>
    <w:rsid w:val="00B06D81"/>
    <w:rsid w:val="00B06EE8"/>
    <w:rsid w:val="00B124EF"/>
    <w:rsid w:val="00B12AD1"/>
    <w:rsid w:val="00B13339"/>
    <w:rsid w:val="00B13DFD"/>
    <w:rsid w:val="00B145A5"/>
    <w:rsid w:val="00B14D56"/>
    <w:rsid w:val="00B15C05"/>
    <w:rsid w:val="00B16B66"/>
    <w:rsid w:val="00B17018"/>
    <w:rsid w:val="00B1777B"/>
    <w:rsid w:val="00B178FD"/>
    <w:rsid w:val="00B17AD0"/>
    <w:rsid w:val="00B17AD3"/>
    <w:rsid w:val="00B20726"/>
    <w:rsid w:val="00B22A32"/>
    <w:rsid w:val="00B23FD0"/>
    <w:rsid w:val="00B2464A"/>
    <w:rsid w:val="00B25329"/>
    <w:rsid w:val="00B26264"/>
    <w:rsid w:val="00B278A6"/>
    <w:rsid w:val="00B2796B"/>
    <w:rsid w:val="00B30DBB"/>
    <w:rsid w:val="00B3141C"/>
    <w:rsid w:val="00B31421"/>
    <w:rsid w:val="00B33668"/>
    <w:rsid w:val="00B33E58"/>
    <w:rsid w:val="00B34117"/>
    <w:rsid w:val="00B37A10"/>
    <w:rsid w:val="00B4061A"/>
    <w:rsid w:val="00B40CF4"/>
    <w:rsid w:val="00B40DBF"/>
    <w:rsid w:val="00B425A8"/>
    <w:rsid w:val="00B435D3"/>
    <w:rsid w:val="00B45143"/>
    <w:rsid w:val="00B459EE"/>
    <w:rsid w:val="00B47246"/>
    <w:rsid w:val="00B47F14"/>
    <w:rsid w:val="00B50D05"/>
    <w:rsid w:val="00B50E3D"/>
    <w:rsid w:val="00B50F68"/>
    <w:rsid w:val="00B51F5F"/>
    <w:rsid w:val="00B52A6D"/>
    <w:rsid w:val="00B5473A"/>
    <w:rsid w:val="00B5644E"/>
    <w:rsid w:val="00B573AA"/>
    <w:rsid w:val="00B573C5"/>
    <w:rsid w:val="00B57683"/>
    <w:rsid w:val="00B61328"/>
    <w:rsid w:val="00B61498"/>
    <w:rsid w:val="00B615C0"/>
    <w:rsid w:val="00B6197F"/>
    <w:rsid w:val="00B6201D"/>
    <w:rsid w:val="00B64E1E"/>
    <w:rsid w:val="00B65370"/>
    <w:rsid w:val="00B65C40"/>
    <w:rsid w:val="00B708A4"/>
    <w:rsid w:val="00B71B9A"/>
    <w:rsid w:val="00B724DB"/>
    <w:rsid w:val="00B7470E"/>
    <w:rsid w:val="00B75015"/>
    <w:rsid w:val="00B75827"/>
    <w:rsid w:val="00B75A6A"/>
    <w:rsid w:val="00B80221"/>
    <w:rsid w:val="00B802AC"/>
    <w:rsid w:val="00B81A44"/>
    <w:rsid w:val="00B83D66"/>
    <w:rsid w:val="00B84301"/>
    <w:rsid w:val="00B85391"/>
    <w:rsid w:val="00B86918"/>
    <w:rsid w:val="00B90D1B"/>
    <w:rsid w:val="00B91E13"/>
    <w:rsid w:val="00B92C55"/>
    <w:rsid w:val="00B9307D"/>
    <w:rsid w:val="00B9546C"/>
    <w:rsid w:val="00B97392"/>
    <w:rsid w:val="00BA1860"/>
    <w:rsid w:val="00BA18B2"/>
    <w:rsid w:val="00BA515B"/>
    <w:rsid w:val="00BA7B51"/>
    <w:rsid w:val="00BB26A9"/>
    <w:rsid w:val="00BB5523"/>
    <w:rsid w:val="00BB574E"/>
    <w:rsid w:val="00BB703D"/>
    <w:rsid w:val="00BC0FD3"/>
    <w:rsid w:val="00BC11CA"/>
    <w:rsid w:val="00BC18D4"/>
    <w:rsid w:val="00BC1A25"/>
    <w:rsid w:val="00BC319D"/>
    <w:rsid w:val="00BC3692"/>
    <w:rsid w:val="00BC449C"/>
    <w:rsid w:val="00BC45A8"/>
    <w:rsid w:val="00BC5352"/>
    <w:rsid w:val="00BC6790"/>
    <w:rsid w:val="00BD06E5"/>
    <w:rsid w:val="00BD11DD"/>
    <w:rsid w:val="00BD363A"/>
    <w:rsid w:val="00BD3E3F"/>
    <w:rsid w:val="00BD5737"/>
    <w:rsid w:val="00BD5978"/>
    <w:rsid w:val="00BD75BE"/>
    <w:rsid w:val="00BE100C"/>
    <w:rsid w:val="00BE3D82"/>
    <w:rsid w:val="00BE45A0"/>
    <w:rsid w:val="00BE4A5D"/>
    <w:rsid w:val="00BE7749"/>
    <w:rsid w:val="00BF0A82"/>
    <w:rsid w:val="00BF1E7F"/>
    <w:rsid w:val="00BF433F"/>
    <w:rsid w:val="00BF6B23"/>
    <w:rsid w:val="00BF7873"/>
    <w:rsid w:val="00C00387"/>
    <w:rsid w:val="00C01697"/>
    <w:rsid w:val="00C01834"/>
    <w:rsid w:val="00C04A95"/>
    <w:rsid w:val="00C0553D"/>
    <w:rsid w:val="00C0560C"/>
    <w:rsid w:val="00C07169"/>
    <w:rsid w:val="00C12196"/>
    <w:rsid w:val="00C127CD"/>
    <w:rsid w:val="00C13D52"/>
    <w:rsid w:val="00C1625B"/>
    <w:rsid w:val="00C17F55"/>
    <w:rsid w:val="00C2000B"/>
    <w:rsid w:val="00C2095E"/>
    <w:rsid w:val="00C21338"/>
    <w:rsid w:val="00C214C6"/>
    <w:rsid w:val="00C21511"/>
    <w:rsid w:val="00C22B2D"/>
    <w:rsid w:val="00C22EBF"/>
    <w:rsid w:val="00C23165"/>
    <w:rsid w:val="00C2470D"/>
    <w:rsid w:val="00C25195"/>
    <w:rsid w:val="00C25EF0"/>
    <w:rsid w:val="00C27709"/>
    <w:rsid w:val="00C3086E"/>
    <w:rsid w:val="00C30D00"/>
    <w:rsid w:val="00C31B9E"/>
    <w:rsid w:val="00C32CB8"/>
    <w:rsid w:val="00C3415E"/>
    <w:rsid w:val="00C34A9D"/>
    <w:rsid w:val="00C35CAB"/>
    <w:rsid w:val="00C3652A"/>
    <w:rsid w:val="00C41093"/>
    <w:rsid w:val="00C41099"/>
    <w:rsid w:val="00C456D8"/>
    <w:rsid w:val="00C473AC"/>
    <w:rsid w:val="00C516DD"/>
    <w:rsid w:val="00C53790"/>
    <w:rsid w:val="00C544FA"/>
    <w:rsid w:val="00C55197"/>
    <w:rsid w:val="00C55ADF"/>
    <w:rsid w:val="00C6006E"/>
    <w:rsid w:val="00C620FF"/>
    <w:rsid w:val="00C63CA5"/>
    <w:rsid w:val="00C64583"/>
    <w:rsid w:val="00C663B5"/>
    <w:rsid w:val="00C6668E"/>
    <w:rsid w:val="00C67450"/>
    <w:rsid w:val="00C67482"/>
    <w:rsid w:val="00C67601"/>
    <w:rsid w:val="00C67A01"/>
    <w:rsid w:val="00C7139D"/>
    <w:rsid w:val="00C72A83"/>
    <w:rsid w:val="00C73E1B"/>
    <w:rsid w:val="00C74194"/>
    <w:rsid w:val="00C746D5"/>
    <w:rsid w:val="00C74D11"/>
    <w:rsid w:val="00C74D29"/>
    <w:rsid w:val="00C75E13"/>
    <w:rsid w:val="00C76370"/>
    <w:rsid w:val="00C7730F"/>
    <w:rsid w:val="00C805B5"/>
    <w:rsid w:val="00C81900"/>
    <w:rsid w:val="00C82D1C"/>
    <w:rsid w:val="00C83F1D"/>
    <w:rsid w:val="00C843F8"/>
    <w:rsid w:val="00C908D9"/>
    <w:rsid w:val="00C91245"/>
    <w:rsid w:val="00C9427F"/>
    <w:rsid w:val="00C94DA3"/>
    <w:rsid w:val="00C94FD5"/>
    <w:rsid w:val="00C952D5"/>
    <w:rsid w:val="00C953F3"/>
    <w:rsid w:val="00C956E6"/>
    <w:rsid w:val="00C95D54"/>
    <w:rsid w:val="00C95FC7"/>
    <w:rsid w:val="00C963B7"/>
    <w:rsid w:val="00C963EE"/>
    <w:rsid w:val="00C964B1"/>
    <w:rsid w:val="00C96B16"/>
    <w:rsid w:val="00CA18D8"/>
    <w:rsid w:val="00CA2DA6"/>
    <w:rsid w:val="00CA354B"/>
    <w:rsid w:val="00CA4052"/>
    <w:rsid w:val="00CA40F7"/>
    <w:rsid w:val="00CA4EE1"/>
    <w:rsid w:val="00CA5925"/>
    <w:rsid w:val="00CA5D1D"/>
    <w:rsid w:val="00CA73CE"/>
    <w:rsid w:val="00CA764A"/>
    <w:rsid w:val="00CB0380"/>
    <w:rsid w:val="00CB0842"/>
    <w:rsid w:val="00CB1D38"/>
    <w:rsid w:val="00CB2A1E"/>
    <w:rsid w:val="00CB2D50"/>
    <w:rsid w:val="00CB534B"/>
    <w:rsid w:val="00CB5813"/>
    <w:rsid w:val="00CB5EE1"/>
    <w:rsid w:val="00CB6CC2"/>
    <w:rsid w:val="00CB6F17"/>
    <w:rsid w:val="00CB751B"/>
    <w:rsid w:val="00CC0079"/>
    <w:rsid w:val="00CC14AB"/>
    <w:rsid w:val="00CC1E97"/>
    <w:rsid w:val="00CC4207"/>
    <w:rsid w:val="00CC6285"/>
    <w:rsid w:val="00CC70AE"/>
    <w:rsid w:val="00CC7546"/>
    <w:rsid w:val="00CC7963"/>
    <w:rsid w:val="00CD0A10"/>
    <w:rsid w:val="00CD3BC4"/>
    <w:rsid w:val="00CD687B"/>
    <w:rsid w:val="00CD6AF4"/>
    <w:rsid w:val="00CD72F4"/>
    <w:rsid w:val="00CD73B1"/>
    <w:rsid w:val="00CE0558"/>
    <w:rsid w:val="00CE0EFB"/>
    <w:rsid w:val="00CE2E27"/>
    <w:rsid w:val="00CE3939"/>
    <w:rsid w:val="00CE39BE"/>
    <w:rsid w:val="00CE5E91"/>
    <w:rsid w:val="00CE7212"/>
    <w:rsid w:val="00CE79DA"/>
    <w:rsid w:val="00CF06D2"/>
    <w:rsid w:val="00CF1B25"/>
    <w:rsid w:val="00CF38E4"/>
    <w:rsid w:val="00CF621A"/>
    <w:rsid w:val="00CF640A"/>
    <w:rsid w:val="00CF6FFB"/>
    <w:rsid w:val="00CF7B8D"/>
    <w:rsid w:val="00D00154"/>
    <w:rsid w:val="00D00D84"/>
    <w:rsid w:val="00D02E9C"/>
    <w:rsid w:val="00D04898"/>
    <w:rsid w:val="00D05142"/>
    <w:rsid w:val="00D0540C"/>
    <w:rsid w:val="00D05557"/>
    <w:rsid w:val="00D067E0"/>
    <w:rsid w:val="00D06932"/>
    <w:rsid w:val="00D075F0"/>
    <w:rsid w:val="00D10CEA"/>
    <w:rsid w:val="00D12CD5"/>
    <w:rsid w:val="00D14000"/>
    <w:rsid w:val="00D20961"/>
    <w:rsid w:val="00D2114B"/>
    <w:rsid w:val="00D2159F"/>
    <w:rsid w:val="00D21E01"/>
    <w:rsid w:val="00D22096"/>
    <w:rsid w:val="00D22674"/>
    <w:rsid w:val="00D23051"/>
    <w:rsid w:val="00D24EA2"/>
    <w:rsid w:val="00D2507C"/>
    <w:rsid w:val="00D2628D"/>
    <w:rsid w:val="00D311FB"/>
    <w:rsid w:val="00D312DC"/>
    <w:rsid w:val="00D31C73"/>
    <w:rsid w:val="00D31EB0"/>
    <w:rsid w:val="00D32BE0"/>
    <w:rsid w:val="00D33391"/>
    <w:rsid w:val="00D33935"/>
    <w:rsid w:val="00D342D4"/>
    <w:rsid w:val="00D35D1B"/>
    <w:rsid w:val="00D3692D"/>
    <w:rsid w:val="00D3716B"/>
    <w:rsid w:val="00D37E4D"/>
    <w:rsid w:val="00D40E6E"/>
    <w:rsid w:val="00D40F4D"/>
    <w:rsid w:val="00D41619"/>
    <w:rsid w:val="00D41A75"/>
    <w:rsid w:val="00D43689"/>
    <w:rsid w:val="00D44F95"/>
    <w:rsid w:val="00D46699"/>
    <w:rsid w:val="00D46799"/>
    <w:rsid w:val="00D4690C"/>
    <w:rsid w:val="00D46E1A"/>
    <w:rsid w:val="00D4755A"/>
    <w:rsid w:val="00D47E3F"/>
    <w:rsid w:val="00D519DF"/>
    <w:rsid w:val="00D52320"/>
    <w:rsid w:val="00D5249D"/>
    <w:rsid w:val="00D55B8D"/>
    <w:rsid w:val="00D56D23"/>
    <w:rsid w:val="00D572AD"/>
    <w:rsid w:val="00D62691"/>
    <w:rsid w:val="00D63439"/>
    <w:rsid w:val="00D63C04"/>
    <w:rsid w:val="00D64781"/>
    <w:rsid w:val="00D6486E"/>
    <w:rsid w:val="00D661F4"/>
    <w:rsid w:val="00D67B44"/>
    <w:rsid w:val="00D702C5"/>
    <w:rsid w:val="00D70502"/>
    <w:rsid w:val="00D71EC1"/>
    <w:rsid w:val="00D724D1"/>
    <w:rsid w:val="00D7268B"/>
    <w:rsid w:val="00D72D0A"/>
    <w:rsid w:val="00D735E7"/>
    <w:rsid w:val="00D755F6"/>
    <w:rsid w:val="00D76471"/>
    <w:rsid w:val="00D76E6E"/>
    <w:rsid w:val="00D778F3"/>
    <w:rsid w:val="00D83348"/>
    <w:rsid w:val="00D847D4"/>
    <w:rsid w:val="00D84948"/>
    <w:rsid w:val="00D857AB"/>
    <w:rsid w:val="00D85B5D"/>
    <w:rsid w:val="00D8744E"/>
    <w:rsid w:val="00D9096E"/>
    <w:rsid w:val="00D909F6"/>
    <w:rsid w:val="00D91BFB"/>
    <w:rsid w:val="00D92114"/>
    <w:rsid w:val="00D935C1"/>
    <w:rsid w:val="00D93889"/>
    <w:rsid w:val="00D93927"/>
    <w:rsid w:val="00D944E4"/>
    <w:rsid w:val="00D953C9"/>
    <w:rsid w:val="00D9627E"/>
    <w:rsid w:val="00D96E53"/>
    <w:rsid w:val="00D97EF0"/>
    <w:rsid w:val="00DA25CC"/>
    <w:rsid w:val="00DA3618"/>
    <w:rsid w:val="00DA61B4"/>
    <w:rsid w:val="00DA769D"/>
    <w:rsid w:val="00DB27E1"/>
    <w:rsid w:val="00DB3212"/>
    <w:rsid w:val="00DB396D"/>
    <w:rsid w:val="00DB454C"/>
    <w:rsid w:val="00DC072E"/>
    <w:rsid w:val="00DC1DAC"/>
    <w:rsid w:val="00DC2513"/>
    <w:rsid w:val="00DC2FE2"/>
    <w:rsid w:val="00DC3635"/>
    <w:rsid w:val="00DC39B7"/>
    <w:rsid w:val="00DC400B"/>
    <w:rsid w:val="00DC40D6"/>
    <w:rsid w:val="00DC4284"/>
    <w:rsid w:val="00DC4CFC"/>
    <w:rsid w:val="00DD043C"/>
    <w:rsid w:val="00DD0E02"/>
    <w:rsid w:val="00DD10AC"/>
    <w:rsid w:val="00DD11DD"/>
    <w:rsid w:val="00DD13A0"/>
    <w:rsid w:val="00DD14C5"/>
    <w:rsid w:val="00DD2904"/>
    <w:rsid w:val="00DD299A"/>
    <w:rsid w:val="00DD3F83"/>
    <w:rsid w:val="00DD7769"/>
    <w:rsid w:val="00DE0095"/>
    <w:rsid w:val="00DE0AD1"/>
    <w:rsid w:val="00DE1388"/>
    <w:rsid w:val="00DE3A70"/>
    <w:rsid w:val="00DE40D4"/>
    <w:rsid w:val="00DE6A8A"/>
    <w:rsid w:val="00DE6D11"/>
    <w:rsid w:val="00DE7410"/>
    <w:rsid w:val="00DE7B3C"/>
    <w:rsid w:val="00DF05FC"/>
    <w:rsid w:val="00DF0D83"/>
    <w:rsid w:val="00DF15AB"/>
    <w:rsid w:val="00DF15C5"/>
    <w:rsid w:val="00DF45D0"/>
    <w:rsid w:val="00DF491A"/>
    <w:rsid w:val="00DF52D9"/>
    <w:rsid w:val="00DF5528"/>
    <w:rsid w:val="00DF5B94"/>
    <w:rsid w:val="00DF603E"/>
    <w:rsid w:val="00DF6921"/>
    <w:rsid w:val="00DF749C"/>
    <w:rsid w:val="00DF76A5"/>
    <w:rsid w:val="00E00DDE"/>
    <w:rsid w:val="00E0113A"/>
    <w:rsid w:val="00E015DA"/>
    <w:rsid w:val="00E0336D"/>
    <w:rsid w:val="00E045BA"/>
    <w:rsid w:val="00E047E9"/>
    <w:rsid w:val="00E05148"/>
    <w:rsid w:val="00E06E60"/>
    <w:rsid w:val="00E07132"/>
    <w:rsid w:val="00E1036F"/>
    <w:rsid w:val="00E108B7"/>
    <w:rsid w:val="00E11989"/>
    <w:rsid w:val="00E12D97"/>
    <w:rsid w:val="00E149BE"/>
    <w:rsid w:val="00E14F01"/>
    <w:rsid w:val="00E1613F"/>
    <w:rsid w:val="00E1621A"/>
    <w:rsid w:val="00E1661C"/>
    <w:rsid w:val="00E20463"/>
    <w:rsid w:val="00E20D8F"/>
    <w:rsid w:val="00E23374"/>
    <w:rsid w:val="00E25F44"/>
    <w:rsid w:val="00E2686A"/>
    <w:rsid w:val="00E26FA2"/>
    <w:rsid w:val="00E301C1"/>
    <w:rsid w:val="00E31958"/>
    <w:rsid w:val="00E3384C"/>
    <w:rsid w:val="00E3533E"/>
    <w:rsid w:val="00E36478"/>
    <w:rsid w:val="00E40333"/>
    <w:rsid w:val="00E4085A"/>
    <w:rsid w:val="00E40AD5"/>
    <w:rsid w:val="00E41644"/>
    <w:rsid w:val="00E41C6D"/>
    <w:rsid w:val="00E42411"/>
    <w:rsid w:val="00E42511"/>
    <w:rsid w:val="00E42C77"/>
    <w:rsid w:val="00E43A93"/>
    <w:rsid w:val="00E43BBD"/>
    <w:rsid w:val="00E44004"/>
    <w:rsid w:val="00E440AC"/>
    <w:rsid w:val="00E44269"/>
    <w:rsid w:val="00E46712"/>
    <w:rsid w:val="00E46F7A"/>
    <w:rsid w:val="00E470CC"/>
    <w:rsid w:val="00E50C15"/>
    <w:rsid w:val="00E50E60"/>
    <w:rsid w:val="00E5199E"/>
    <w:rsid w:val="00E51A47"/>
    <w:rsid w:val="00E51EA5"/>
    <w:rsid w:val="00E52CE8"/>
    <w:rsid w:val="00E53803"/>
    <w:rsid w:val="00E54086"/>
    <w:rsid w:val="00E545A9"/>
    <w:rsid w:val="00E54C50"/>
    <w:rsid w:val="00E57381"/>
    <w:rsid w:val="00E608DA"/>
    <w:rsid w:val="00E60FD3"/>
    <w:rsid w:val="00E611B9"/>
    <w:rsid w:val="00E61E49"/>
    <w:rsid w:val="00E6263B"/>
    <w:rsid w:val="00E65941"/>
    <w:rsid w:val="00E65E84"/>
    <w:rsid w:val="00E6691E"/>
    <w:rsid w:val="00E70DD7"/>
    <w:rsid w:val="00E70F09"/>
    <w:rsid w:val="00E72E24"/>
    <w:rsid w:val="00E73415"/>
    <w:rsid w:val="00E740F5"/>
    <w:rsid w:val="00E77032"/>
    <w:rsid w:val="00E77302"/>
    <w:rsid w:val="00E77B33"/>
    <w:rsid w:val="00E802A9"/>
    <w:rsid w:val="00E80E06"/>
    <w:rsid w:val="00E8279B"/>
    <w:rsid w:val="00E832D8"/>
    <w:rsid w:val="00E83710"/>
    <w:rsid w:val="00E8534D"/>
    <w:rsid w:val="00E8594C"/>
    <w:rsid w:val="00E859FC"/>
    <w:rsid w:val="00E85D00"/>
    <w:rsid w:val="00E903B2"/>
    <w:rsid w:val="00E905C1"/>
    <w:rsid w:val="00E91F7C"/>
    <w:rsid w:val="00E930A0"/>
    <w:rsid w:val="00E93BC8"/>
    <w:rsid w:val="00E93E5C"/>
    <w:rsid w:val="00E946EE"/>
    <w:rsid w:val="00E94764"/>
    <w:rsid w:val="00E95E2B"/>
    <w:rsid w:val="00E96FDD"/>
    <w:rsid w:val="00E9752F"/>
    <w:rsid w:val="00EA019E"/>
    <w:rsid w:val="00EA06B4"/>
    <w:rsid w:val="00EA118E"/>
    <w:rsid w:val="00EA1228"/>
    <w:rsid w:val="00EA1564"/>
    <w:rsid w:val="00EA1974"/>
    <w:rsid w:val="00EA2338"/>
    <w:rsid w:val="00EA2A17"/>
    <w:rsid w:val="00EA337D"/>
    <w:rsid w:val="00EA44C1"/>
    <w:rsid w:val="00EA4DC2"/>
    <w:rsid w:val="00EA6606"/>
    <w:rsid w:val="00EA7BE2"/>
    <w:rsid w:val="00EB17D8"/>
    <w:rsid w:val="00EB1FA8"/>
    <w:rsid w:val="00EB1FF7"/>
    <w:rsid w:val="00EB28F6"/>
    <w:rsid w:val="00EB40BF"/>
    <w:rsid w:val="00EB40F4"/>
    <w:rsid w:val="00EB5120"/>
    <w:rsid w:val="00EB56A6"/>
    <w:rsid w:val="00EB583C"/>
    <w:rsid w:val="00EB66A3"/>
    <w:rsid w:val="00EB6B49"/>
    <w:rsid w:val="00EB798B"/>
    <w:rsid w:val="00EB7BDD"/>
    <w:rsid w:val="00EC1798"/>
    <w:rsid w:val="00EC2B75"/>
    <w:rsid w:val="00EC35B6"/>
    <w:rsid w:val="00EC3E4F"/>
    <w:rsid w:val="00EC4FBB"/>
    <w:rsid w:val="00EC5BBC"/>
    <w:rsid w:val="00EC5E69"/>
    <w:rsid w:val="00EC7DFF"/>
    <w:rsid w:val="00ED041A"/>
    <w:rsid w:val="00ED04B5"/>
    <w:rsid w:val="00ED065E"/>
    <w:rsid w:val="00ED1A01"/>
    <w:rsid w:val="00ED2D63"/>
    <w:rsid w:val="00ED2DCD"/>
    <w:rsid w:val="00ED2ED1"/>
    <w:rsid w:val="00ED37B1"/>
    <w:rsid w:val="00ED3C6E"/>
    <w:rsid w:val="00ED6741"/>
    <w:rsid w:val="00EE0FAD"/>
    <w:rsid w:val="00EE2AB8"/>
    <w:rsid w:val="00EE2BDD"/>
    <w:rsid w:val="00EE2FEA"/>
    <w:rsid w:val="00EE48C5"/>
    <w:rsid w:val="00EE5523"/>
    <w:rsid w:val="00EE553C"/>
    <w:rsid w:val="00EE6213"/>
    <w:rsid w:val="00EE64C7"/>
    <w:rsid w:val="00EE711D"/>
    <w:rsid w:val="00EF4A3A"/>
    <w:rsid w:val="00EF4CC6"/>
    <w:rsid w:val="00F00043"/>
    <w:rsid w:val="00F007CB"/>
    <w:rsid w:val="00F01730"/>
    <w:rsid w:val="00F05708"/>
    <w:rsid w:val="00F05DD7"/>
    <w:rsid w:val="00F06057"/>
    <w:rsid w:val="00F06E40"/>
    <w:rsid w:val="00F10697"/>
    <w:rsid w:val="00F10800"/>
    <w:rsid w:val="00F1122D"/>
    <w:rsid w:val="00F1169E"/>
    <w:rsid w:val="00F11F62"/>
    <w:rsid w:val="00F1269A"/>
    <w:rsid w:val="00F13363"/>
    <w:rsid w:val="00F133C0"/>
    <w:rsid w:val="00F14775"/>
    <w:rsid w:val="00F149C0"/>
    <w:rsid w:val="00F14BD3"/>
    <w:rsid w:val="00F14C62"/>
    <w:rsid w:val="00F157B4"/>
    <w:rsid w:val="00F16B58"/>
    <w:rsid w:val="00F2093F"/>
    <w:rsid w:val="00F20F07"/>
    <w:rsid w:val="00F22CC1"/>
    <w:rsid w:val="00F22F3A"/>
    <w:rsid w:val="00F24BBD"/>
    <w:rsid w:val="00F25418"/>
    <w:rsid w:val="00F26B6E"/>
    <w:rsid w:val="00F278E4"/>
    <w:rsid w:val="00F27E0B"/>
    <w:rsid w:val="00F30D45"/>
    <w:rsid w:val="00F33F6A"/>
    <w:rsid w:val="00F34006"/>
    <w:rsid w:val="00F360E1"/>
    <w:rsid w:val="00F369C9"/>
    <w:rsid w:val="00F36D62"/>
    <w:rsid w:val="00F37704"/>
    <w:rsid w:val="00F3771B"/>
    <w:rsid w:val="00F40078"/>
    <w:rsid w:val="00F40373"/>
    <w:rsid w:val="00F4093B"/>
    <w:rsid w:val="00F4097A"/>
    <w:rsid w:val="00F43698"/>
    <w:rsid w:val="00F4415A"/>
    <w:rsid w:val="00F4461F"/>
    <w:rsid w:val="00F461C2"/>
    <w:rsid w:val="00F47590"/>
    <w:rsid w:val="00F47653"/>
    <w:rsid w:val="00F47F9F"/>
    <w:rsid w:val="00F50468"/>
    <w:rsid w:val="00F50747"/>
    <w:rsid w:val="00F50CB7"/>
    <w:rsid w:val="00F5212F"/>
    <w:rsid w:val="00F54A8C"/>
    <w:rsid w:val="00F574C8"/>
    <w:rsid w:val="00F575E1"/>
    <w:rsid w:val="00F57668"/>
    <w:rsid w:val="00F6126D"/>
    <w:rsid w:val="00F62062"/>
    <w:rsid w:val="00F6283E"/>
    <w:rsid w:val="00F63454"/>
    <w:rsid w:val="00F6378D"/>
    <w:rsid w:val="00F642DE"/>
    <w:rsid w:val="00F64B3F"/>
    <w:rsid w:val="00F652F6"/>
    <w:rsid w:val="00F67435"/>
    <w:rsid w:val="00F704A1"/>
    <w:rsid w:val="00F7058D"/>
    <w:rsid w:val="00F70FB1"/>
    <w:rsid w:val="00F72093"/>
    <w:rsid w:val="00F7392E"/>
    <w:rsid w:val="00F74EF4"/>
    <w:rsid w:val="00F7638B"/>
    <w:rsid w:val="00F76B40"/>
    <w:rsid w:val="00F82BEB"/>
    <w:rsid w:val="00F82CC7"/>
    <w:rsid w:val="00F82D0C"/>
    <w:rsid w:val="00F8462B"/>
    <w:rsid w:val="00F85E81"/>
    <w:rsid w:val="00F8617D"/>
    <w:rsid w:val="00F86682"/>
    <w:rsid w:val="00F86FF9"/>
    <w:rsid w:val="00F87095"/>
    <w:rsid w:val="00F87695"/>
    <w:rsid w:val="00F87C6E"/>
    <w:rsid w:val="00F90425"/>
    <w:rsid w:val="00F90992"/>
    <w:rsid w:val="00F90F25"/>
    <w:rsid w:val="00F92652"/>
    <w:rsid w:val="00F92D38"/>
    <w:rsid w:val="00F931BA"/>
    <w:rsid w:val="00F93913"/>
    <w:rsid w:val="00F95E9C"/>
    <w:rsid w:val="00F96EF9"/>
    <w:rsid w:val="00FA00E1"/>
    <w:rsid w:val="00FA015F"/>
    <w:rsid w:val="00FA13E2"/>
    <w:rsid w:val="00FA193D"/>
    <w:rsid w:val="00FA39AD"/>
    <w:rsid w:val="00FA44C2"/>
    <w:rsid w:val="00FA4DCB"/>
    <w:rsid w:val="00FA52B6"/>
    <w:rsid w:val="00FA53C9"/>
    <w:rsid w:val="00FA6972"/>
    <w:rsid w:val="00FA6F7F"/>
    <w:rsid w:val="00FB0D9B"/>
    <w:rsid w:val="00FB3BA1"/>
    <w:rsid w:val="00FB4CB0"/>
    <w:rsid w:val="00FB4EBF"/>
    <w:rsid w:val="00FB778D"/>
    <w:rsid w:val="00FB7942"/>
    <w:rsid w:val="00FC034C"/>
    <w:rsid w:val="00FC08F3"/>
    <w:rsid w:val="00FC0CE8"/>
    <w:rsid w:val="00FC0EF8"/>
    <w:rsid w:val="00FC2075"/>
    <w:rsid w:val="00FC2FE0"/>
    <w:rsid w:val="00FC32D7"/>
    <w:rsid w:val="00FC3705"/>
    <w:rsid w:val="00FC49EA"/>
    <w:rsid w:val="00FC5F14"/>
    <w:rsid w:val="00FC710E"/>
    <w:rsid w:val="00FC7B4A"/>
    <w:rsid w:val="00FD3167"/>
    <w:rsid w:val="00FD52BB"/>
    <w:rsid w:val="00FD535F"/>
    <w:rsid w:val="00FE2087"/>
    <w:rsid w:val="00FE212E"/>
    <w:rsid w:val="00FE2CE4"/>
    <w:rsid w:val="00FE3580"/>
    <w:rsid w:val="00FE391A"/>
    <w:rsid w:val="00FE640B"/>
    <w:rsid w:val="00FE66F5"/>
    <w:rsid w:val="00FE6997"/>
    <w:rsid w:val="00FE7CA2"/>
    <w:rsid w:val="00FE7DF6"/>
    <w:rsid w:val="00FF2ED7"/>
    <w:rsid w:val="00FF2F42"/>
    <w:rsid w:val="00FF566F"/>
    <w:rsid w:val="00FF5BB4"/>
    <w:rsid w:val="00FF7990"/>
    <w:rsid w:val="00FF7BC2"/>
  </w:rsids>
  <m:mathPr>
    <m:mathFont m:val="Cambria Math"/>
    <m:brkBin m:val="before"/>
    <m:brkBinSub m:val="--"/>
    <m:smallFrac/>
    <m:dispDef/>
    <m:lMargin m:val="0"/>
    <m:rMargin m:val="0"/>
    <m:defJc m:val="centerGroup"/>
    <m:wrapIndent m:val="1440"/>
    <m:intLim m:val="subSup"/>
    <m:naryLim m:val="undOvr"/>
  </m:mathPr>
  <w:themeFontLang w:val="en-IE" w:eastAsia="zh-TW"/>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31243C15"/>
  <w15:docId w15:val="{3BC261A9-64F2-4726-BB92-CF8B7E6C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0BF"/>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832D0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AA167C"/>
    <w:pPr>
      <w:keepNext/>
      <w:spacing w:line="300" w:lineRule="exact"/>
      <w:jc w:val="both"/>
      <w:outlineLvl w:val="1"/>
    </w:pPr>
    <w:rPr>
      <w:rFonts w:ascii="Trebuchet MS" w:hAnsi="Trebuchet MS"/>
      <w:b/>
      <w:bCs/>
      <w:i/>
      <w:iCs/>
      <w:sz w:val="22"/>
      <w:u w:val="single"/>
      <w:lang w:val="en-GB"/>
    </w:rPr>
  </w:style>
  <w:style w:type="paragraph" w:styleId="Heading3">
    <w:name w:val="heading 3"/>
    <w:basedOn w:val="Normal"/>
    <w:next w:val="Normal"/>
    <w:link w:val="Heading3Char"/>
    <w:unhideWhenUsed/>
    <w:qFormat/>
    <w:rsid w:val="008461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AA167C"/>
    <w:pPr>
      <w:keepNext/>
      <w:outlineLvl w:val="3"/>
    </w:pPr>
    <w:rPr>
      <w:b/>
      <w:bCs/>
      <w:lang w:val="en-GB"/>
    </w:rPr>
  </w:style>
  <w:style w:type="paragraph" w:styleId="Heading9">
    <w:name w:val="heading 9"/>
    <w:basedOn w:val="Normal"/>
    <w:next w:val="Normal"/>
    <w:link w:val="Heading9Char"/>
    <w:qFormat/>
    <w:rsid w:val="00DE7410"/>
    <w:pPr>
      <w:keepNext/>
      <w:tabs>
        <w:tab w:val="left" w:pos="216"/>
        <w:tab w:val="left" w:pos="432"/>
        <w:tab w:val="left" w:pos="648"/>
        <w:tab w:val="left" w:pos="864"/>
        <w:tab w:val="left" w:pos="1080"/>
        <w:tab w:val="left" w:pos="1296"/>
        <w:tab w:val="left" w:pos="1512"/>
        <w:tab w:val="left" w:pos="1728"/>
        <w:tab w:val="left" w:pos="1944"/>
      </w:tabs>
      <w:suppressAutoHyphens/>
      <w:spacing w:line="220" w:lineRule="exact"/>
      <w:ind w:left="144" w:hanging="144"/>
      <w:outlineLvl w:val="8"/>
    </w:pPr>
    <w:rPr>
      <w:bCs/>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A167C"/>
    <w:rPr>
      <w:rFonts w:ascii="Trebuchet MS" w:eastAsia="Times New Roman" w:hAnsi="Trebuchet MS" w:cs="Times New Roman"/>
      <w:b/>
      <w:bCs/>
      <w:i/>
      <w:iCs/>
      <w:szCs w:val="24"/>
      <w:u w:val="single"/>
      <w:lang w:val="en-GB"/>
    </w:rPr>
  </w:style>
  <w:style w:type="character" w:customStyle="1" w:styleId="Heading4Char">
    <w:name w:val="Heading 4 Char"/>
    <w:link w:val="Heading4"/>
    <w:rsid w:val="00AA167C"/>
    <w:rPr>
      <w:rFonts w:ascii="Times New Roman" w:eastAsia="Times New Roman" w:hAnsi="Times New Roman" w:cs="Times New Roman"/>
      <w:b/>
      <w:bCs/>
      <w:sz w:val="24"/>
      <w:szCs w:val="24"/>
      <w:lang w:val="en-GB"/>
    </w:rPr>
  </w:style>
  <w:style w:type="character" w:styleId="Hyperlink">
    <w:name w:val="Hyperlink"/>
    <w:rsid w:val="00AA167C"/>
    <w:rPr>
      <w:color w:val="0000FF"/>
      <w:u w:val="single"/>
    </w:rPr>
  </w:style>
  <w:style w:type="paragraph" w:styleId="Header">
    <w:name w:val="header"/>
    <w:basedOn w:val="Normal"/>
    <w:link w:val="HeaderChar"/>
    <w:rsid w:val="00AA167C"/>
    <w:pPr>
      <w:tabs>
        <w:tab w:val="center" w:pos="4153"/>
        <w:tab w:val="right" w:pos="8306"/>
      </w:tabs>
    </w:pPr>
  </w:style>
  <w:style w:type="character" w:customStyle="1" w:styleId="HeaderChar">
    <w:name w:val="Header Char"/>
    <w:link w:val="Header"/>
    <w:rsid w:val="00AA16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167C"/>
    <w:pPr>
      <w:tabs>
        <w:tab w:val="center" w:pos="4513"/>
        <w:tab w:val="right" w:pos="9026"/>
      </w:tabs>
    </w:pPr>
  </w:style>
  <w:style w:type="character" w:customStyle="1" w:styleId="FooterChar">
    <w:name w:val="Footer Char"/>
    <w:link w:val="Footer"/>
    <w:uiPriority w:val="99"/>
    <w:rsid w:val="00AA167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F1169E"/>
    <w:rPr>
      <w:rFonts w:ascii="Tahoma" w:hAnsi="Tahoma" w:cs="Tahoma"/>
      <w:sz w:val="16"/>
      <w:szCs w:val="16"/>
    </w:rPr>
  </w:style>
  <w:style w:type="character" w:customStyle="1" w:styleId="BalloonTextChar">
    <w:name w:val="Balloon Text Char"/>
    <w:link w:val="BalloonText"/>
    <w:uiPriority w:val="99"/>
    <w:semiHidden/>
    <w:rsid w:val="00F1169E"/>
    <w:rPr>
      <w:rFonts w:ascii="Tahoma" w:eastAsia="Times New Roman" w:hAnsi="Tahoma" w:cs="Tahoma"/>
      <w:sz w:val="16"/>
      <w:szCs w:val="16"/>
      <w:lang w:eastAsia="en-US"/>
    </w:rPr>
  </w:style>
  <w:style w:type="character" w:customStyle="1" w:styleId="Heading3Char">
    <w:name w:val="Heading 3 Char"/>
    <w:link w:val="Heading3"/>
    <w:uiPriority w:val="9"/>
    <w:rsid w:val="0084617D"/>
    <w:rPr>
      <w:rFonts w:ascii="Cambria" w:eastAsia="Times New Roman" w:hAnsi="Cambria" w:cs="Times New Roman"/>
      <w:b/>
      <w:bCs/>
      <w:sz w:val="26"/>
      <w:szCs w:val="26"/>
      <w:lang w:eastAsia="en-US"/>
    </w:rPr>
  </w:style>
  <w:style w:type="character" w:styleId="Emphasis">
    <w:name w:val="Emphasis"/>
    <w:uiPriority w:val="20"/>
    <w:qFormat/>
    <w:rsid w:val="00942078"/>
    <w:rPr>
      <w:i/>
      <w:iCs/>
    </w:rPr>
  </w:style>
  <w:style w:type="character" w:customStyle="1" w:styleId="Heading9Char">
    <w:name w:val="Heading 9 Char"/>
    <w:basedOn w:val="DefaultParagraphFont"/>
    <w:link w:val="Heading9"/>
    <w:rsid w:val="00DE7410"/>
    <w:rPr>
      <w:rFonts w:ascii="Times New Roman" w:eastAsia="Times New Roman" w:hAnsi="Times New Roman"/>
      <w:bCs/>
      <w:iCs/>
      <w:lang w:val="en-US" w:eastAsia="en-US"/>
    </w:rPr>
  </w:style>
  <w:style w:type="paragraph" w:styleId="EnvelopeAddress">
    <w:name w:val="envelope address"/>
    <w:basedOn w:val="Normal"/>
    <w:rsid w:val="00DE7410"/>
    <w:pPr>
      <w:framePr w:w="7920" w:h="1980" w:hRule="exact" w:hSpace="180" w:wrap="auto" w:hAnchor="page" w:xAlign="center" w:yAlign="bottom"/>
      <w:ind w:left="2880"/>
    </w:pPr>
    <w:rPr>
      <w:rFonts w:cs="Arial"/>
    </w:rPr>
  </w:style>
  <w:style w:type="paragraph" w:styleId="EnvelopeReturn">
    <w:name w:val="envelope return"/>
    <w:basedOn w:val="Normal"/>
    <w:rsid w:val="00DE7410"/>
    <w:rPr>
      <w:rFonts w:cs="Arial"/>
      <w:sz w:val="20"/>
      <w:szCs w:val="20"/>
    </w:rPr>
  </w:style>
  <w:style w:type="paragraph" w:customStyle="1" w:styleId="CG-Title-Center-Bold">
    <w:name w:val="CG-Title-Center-Bold"/>
    <w:aliases w:val="t1"/>
    <w:basedOn w:val="Normal"/>
    <w:next w:val="Normal"/>
    <w:rsid w:val="00DE7410"/>
    <w:pPr>
      <w:keepNext/>
      <w:spacing w:after="240"/>
      <w:jc w:val="center"/>
    </w:pPr>
    <w:rPr>
      <w:b/>
      <w:sz w:val="32"/>
      <w:szCs w:val="20"/>
      <w:lang w:val="en-US"/>
    </w:rPr>
  </w:style>
  <w:style w:type="paragraph" w:customStyle="1" w:styleId="CG-Title-Center">
    <w:name w:val="CG-Title-Center"/>
    <w:aliases w:val="t5"/>
    <w:basedOn w:val="Normal"/>
    <w:next w:val="Normal"/>
    <w:rsid w:val="00DE7410"/>
    <w:pPr>
      <w:keepNext/>
      <w:spacing w:after="240"/>
      <w:jc w:val="center"/>
    </w:pPr>
    <w:rPr>
      <w:szCs w:val="20"/>
      <w:lang w:val="en-US"/>
    </w:rPr>
  </w:style>
  <w:style w:type="paragraph" w:customStyle="1" w:styleId="Outline3L1">
    <w:name w:val="Outline3_L1"/>
    <w:basedOn w:val="Normal"/>
    <w:next w:val="Normal"/>
    <w:rsid w:val="00DE7410"/>
    <w:pPr>
      <w:keepNext/>
      <w:numPr>
        <w:numId w:val="1"/>
      </w:numPr>
      <w:spacing w:after="240"/>
      <w:outlineLvl w:val="0"/>
    </w:pPr>
    <w:rPr>
      <w:szCs w:val="20"/>
      <w:lang w:val="en-US"/>
    </w:rPr>
  </w:style>
  <w:style w:type="paragraph" w:customStyle="1" w:styleId="Outline3L2">
    <w:name w:val="Outline3_L2"/>
    <w:basedOn w:val="Outline3L1"/>
    <w:next w:val="Normal"/>
    <w:rsid w:val="00DE7410"/>
    <w:pPr>
      <w:numPr>
        <w:ilvl w:val="1"/>
      </w:numPr>
      <w:outlineLvl w:val="1"/>
    </w:pPr>
  </w:style>
  <w:style w:type="paragraph" w:customStyle="1" w:styleId="Outline3L3">
    <w:name w:val="Outline3_L3"/>
    <w:basedOn w:val="Outline3L2"/>
    <w:next w:val="Normal"/>
    <w:rsid w:val="00DE7410"/>
    <w:pPr>
      <w:numPr>
        <w:ilvl w:val="2"/>
      </w:numPr>
      <w:outlineLvl w:val="2"/>
    </w:pPr>
  </w:style>
  <w:style w:type="paragraph" w:customStyle="1" w:styleId="Outline3L4">
    <w:name w:val="Outline3_L4"/>
    <w:basedOn w:val="Outline3L3"/>
    <w:next w:val="Normal"/>
    <w:rsid w:val="00DE7410"/>
    <w:pPr>
      <w:keepNext w:val="0"/>
      <w:numPr>
        <w:ilvl w:val="3"/>
      </w:numPr>
      <w:outlineLvl w:val="3"/>
    </w:pPr>
  </w:style>
  <w:style w:type="paragraph" w:customStyle="1" w:styleId="Outline3L5">
    <w:name w:val="Outline3_L5"/>
    <w:basedOn w:val="Outline3L4"/>
    <w:next w:val="Normal"/>
    <w:rsid w:val="00DE7410"/>
    <w:pPr>
      <w:numPr>
        <w:ilvl w:val="4"/>
      </w:numPr>
      <w:outlineLvl w:val="4"/>
    </w:pPr>
  </w:style>
  <w:style w:type="paragraph" w:customStyle="1" w:styleId="TableFN">
    <w:name w:val="TableFN"/>
    <w:aliases w:val="tfn"/>
    <w:basedOn w:val="Normal"/>
    <w:rsid w:val="00DE7410"/>
    <w:pPr>
      <w:spacing w:after="240"/>
    </w:pPr>
    <w:rPr>
      <w:sz w:val="18"/>
      <w:szCs w:val="20"/>
      <w:lang w:val="en-US"/>
    </w:rPr>
  </w:style>
  <w:style w:type="paragraph" w:styleId="Title">
    <w:name w:val="Title"/>
    <w:basedOn w:val="Normal"/>
    <w:link w:val="TitleChar"/>
    <w:qFormat/>
    <w:rsid w:val="00DE7410"/>
    <w:pPr>
      <w:ind w:right="983"/>
      <w:jc w:val="center"/>
    </w:pPr>
    <w:rPr>
      <w:b/>
      <w:szCs w:val="20"/>
      <w:lang w:val="en-GB"/>
    </w:rPr>
  </w:style>
  <w:style w:type="character" w:customStyle="1" w:styleId="TitleChar">
    <w:name w:val="Title Char"/>
    <w:basedOn w:val="DefaultParagraphFont"/>
    <w:link w:val="Title"/>
    <w:rsid w:val="00DE7410"/>
    <w:rPr>
      <w:rFonts w:ascii="Times New Roman" w:eastAsia="Times New Roman" w:hAnsi="Times New Roman"/>
      <w:b/>
      <w:sz w:val="24"/>
      <w:lang w:val="en-GB" w:eastAsia="en-US"/>
    </w:rPr>
  </w:style>
  <w:style w:type="paragraph" w:styleId="BodyText3">
    <w:name w:val="Body Text 3"/>
    <w:basedOn w:val="Normal"/>
    <w:link w:val="BodyText3Char"/>
    <w:rsid w:val="00DE7410"/>
    <w:rPr>
      <w:b/>
      <w:szCs w:val="20"/>
      <w:lang w:val="en-GB"/>
    </w:rPr>
  </w:style>
  <w:style w:type="character" w:customStyle="1" w:styleId="BodyText3Char">
    <w:name w:val="Body Text 3 Char"/>
    <w:basedOn w:val="DefaultParagraphFont"/>
    <w:link w:val="BodyText3"/>
    <w:rsid w:val="00DE7410"/>
    <w:rPr>
      <w:rFonts w:ascii="Times New Roman" w:eastAsia="Times New Roman" w:hAnsi="Times New Roman"/>
      <w:b/>
      <w:sz w:val="24"/>
      <w:lang w:val="en-GB" w:eastAsia="en-US"/>
    </w:rPr>
  </w:style>
  <w:style w:type="paragraph" w:customStyle="1" w:styleId="CG-SingleSp05">
    <w:name w:val="CG-Single Sp 0.5"/>
    <w:aliases w:val="s2,!Body Text .5(J),!Body Text .5s2(J),Normal + Interstate-RegularCondensed,9 pt"/>
    <w:basedOn w:val="Normal"/>
    <w:rsid w:val="00DE7410"/>
    <w:pPr>
      <w:spacing w:after="240"/>
      <w:ind w:firstLine="720"/>
      <w:jc w:val="both"/>
    </w:pPr>
    <w:rPr>
      <w:rFonts w:eastAsia="MS Mincho"/>
      <w:sz w:val="22"/>
      <w:szCs w:val="20"/>
      <w:lang w:val="en-US"/>
    </w:rPr>
  </w:style>
  <w:style w:type="character" w:styleId="PageNumber">
    <w:name w:val="page number"/>
    <w:basedOn w:val="DefaultParagraphFont"/>
    <w:rsid w:val="00DE7410"/>
  </w:style>
  <w:style w:type="table" w:styleId="TableGrid">
    <w:name w:val="Table Grid"/>
    <w:basedOn w:val="TableNormal"/>
    <w:uiPriority w:val="39"/>
    <w:rsid w:val="00DE74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G-SingleSp05s2">
    <w:name w:val="CG-Single Sp 0.5.s2"/>
    <w:basedOn w:val="Normal"/>
    <w:rsid w:val="00DE7410"/>
    <w:pPr>
      <w:spacing w:after="240"/>
      <w:ind w:firstLine="720"/>
      <w:jc w:val="both"/>
    </w:pPr>
    <w:rPr>
      <w:snapToGrid w:val="0"/>
      <w:sz w:val="22"/>
      <w:szCs w:val="20"/>
    </w:rPr>
  </w:style>
  <w:style w:type="character" w:styleId="CommentReference">
    <w:name w:val="annotation reference"/>
    <w:semiHidden/>
    <w:rsid w:val="00DE7410"/>
    <w:rPr>
      <w:sz w:val="16"/>
      <w:szCs w:val="16"/>
    </w:rPr>
  </w:style>
  <w:style w:type="paragraph" w:styleId="CommentText">
    <w:name w:val="annotation text"/>
    <w:basedOn w:val="Normal"/>
    <w:link w:val="CommentTextChar"/>
    <w:semiHidden/>
    <w:rsid w:val="00DE7410"/>
    <w:rPr>
      <w:sz w:val="20"/>
      <w:szCs w:val="20"/>
    </w:rPr>
  </w:style>
  <w:style w:type="character" w:customStyle="1" w:styleId="CommentTextChar">
    <w:name w:val="Comment Text Char"/>
    <w:basedOn w:val="DefaultParagraphFont"/>
    <w:link w:val="CommentText"/>
    <w:semiHidden/>
    <w:rsid w:val="00DE7410"/>
    <w:rPr>
      <w:rFonts w:ascii="Times New Roman" w:eastAsia="Times New Roman" w:hAnsi="Times New Roman"/>
      <w:lang w:eastAsia="en-US"/>
    </w:rPr>
  </w:style>
  <w:style w:type="paragraph" w:styleId="CommentSubject">
    <w:name w:val="annotation subject"/>
    <w:basedOn w:val="CommentText"/>
    <w:next w:val="CommentText"/>
    <w:link w:val="CommentSubjectChar"/>
    <w:semiHidden/>
    <w:rsid w:val="00DE7410"/>
    <w:rPr>
      <w:b/>
      <w:bCs/>
    </w:rPr>
  </w:style>
  <w:style w:type="character" w:customStyle="1" w:styleId="CommentSubjectChar">
    <w:name w:val="Comment Subject Char"/>
    <w:basedOn w:val="CommentTextChar"/>
    <w:link w:val="CommentSubject"/>
    <w:semiHidden/>
    <w:rsid w:val="00DE7410"/>
    <w:rPr>
      <w:rFonts w:ascii="Times New Roman" w:eastAsia="Times New Roman" w:hAnsi="Times New Roman"/>
      <w:b/>
      <w:bCs/>
      <w:lang w:eastAsia="en-US"/>
    </w:rPr>
  </w:style>
  <w:style w:type="paragraph" w:customStyle="1" w:styleId="S2">
    <w:name w:val="S2"/>
    <w:basedOn w:val="CG-SingleSp05"/>
    <w:link w:val="S2Char"/>
    <w:rsid w:val="00DE7410"/>
    <w:pPr>
      <w:spacing w:after="120"/>
      <w:ind w:right="144" w:firstLine="432"/>
    </w:pPr>
    <w:rPr>
      <w:rFonts w:eastAsia="Times New Roman"/>
    </w:rPr>
  </w:style>
  <w:style w:type="character" w:customStyle="1" w:styleId="S2Char">
    <w:name w:val="S2 Char"/>
    <w:link w:val="S2"/>
    <w:rsid w:val="00DE7410"/>
    <w:rPr>
      <w:rFonts w:ascii="Times New Roman" w:eastAsia="Times New Roman" w:hAnsi="Times New Roman"/>
      <w:sz w:val="22"/>
      <w:lang w:val="en-US" w:eastAsia="en-US"/>
    </w:rPr>
  </w:style>
  <w:style w:type="paragraph" w:customStyle="1" w:styleId="Text1bullet">
    <w:name w:val="Text 1 bullet"/>
    <w:basedOn w:val="Normal"/>
    <w:rsid w:val="00DE7410"/>
    <w:pPr>
      <w:overflowPunct w:val="0"/>
      <w:autoSpaceDE w:val="0"/>
      <w:autoSpaceDN w:val="0"/>
      <w:adjustRightInd w:val="0"/>
      <w:spacing w:before="100"/>
      <w:ind w:left="440" w:right="300" w:hanging="440"/>
      <w:jc w:val="both"/>
      <w:textAlignment w:val="baseline"/>
    </w:pPr>
    <w:rPr>
      <w:rFonts w:ascii="Times" w:hAnsi="Times"/>
      <w:sz w:val="20"/>
      <w:szCs w:val="20"/>
      <w:lang w:val="en-GB"/>
    </w:rPr>
  </w:style>
  <w:style w:type="paragraph" w:styleId="NormalWeb">
    <w:name w:val="Normal (Web)"/>
    <w:basedOn w:val="Normal"/>
    <w:uiPriority w:val="99"/>
    <w:rsid w:val="00DE7410"/>
    <w:pPr>
      <w:spacing w:before="100" w:beforeAutospacing="1" w:after="100" w:afterAutospacing="1"/>
    </w:pPr>
    <w:rPr>
      <w:lang w:val="en-US"/>
    </w:rPr>
  </w:style>
  <w:style w:type="paragraph" w:styleId="ListParagraph">
    <w:name w:val="List Paragraph"/>
    <w:basedOn w:val="Normal"/>
    <w:uiPriority w:val="34"/>
    <w:qFormat/>
    <w:rsid w:val="00DE7410"/>
    <w:pPr>
      <w:ind w:left="720"/>
    </w:pPr>
  </w:style>
  <w:style w:type="paragraph" w:customStyle="1" w:styleId="CG-Bullet">
    <w:name w:val="CG-Bullet"/>
    <w:aliases w:val="b1"/>
    <w:basedOn w:val="Normal"/>
    <w:rsid w:val="00DE7410"/>
    <w:pPr>
      <w:numPr>
        <w:numId w:val="4"/>
      </w:numPr>
      <w:spacing w:after="240"/>
      <w:jc w:val="both"/>
    </w:pPr>
    <w:rPr>
      <w:rFonts w:eastAsia="MS Mincho"/>
      <w:sz w:val="22"/>
      <w:szCs w:val="22"/>
      <w:lang w:val="en-US"/>
    </w:rPr>
  </w:style>
  <w:style w:type="paragraph" w:customStyle="1" w:styleId="Default">
    <w:name w:val="Default"/>
    <w:uiPriority w:val="99"/>
    <w:rsid w:val="00DE7410"/>
    <w:pPr>
      <w:autoSpaceDE w:val="0"/>
      <w:autoSpaceDN w:val="0"/>
      <w:adjustRightInd w:val="0"/>
    </w:pPr>
    <w:rPr>
      <w:rFonts w:ascii="Trebuchet MS" w:eastAsia="Times New Roman" w:hAnsi="Trebuchet MS" w:cs="Trebuchet MS"/>
      <w:color w:val="000000"/>
      <w:sz w:val="24"/>
      <w:szCs w:val="24"/>
    </w:rPr>
  </w:style>
  <w:style w:type="paragraph" w:customStyle="1" w:styleId="Pa2">
    <w:name w:val="Pa2"/>
    <w:basedOn w:val="Default"/>
    <w:next w:val="Default"/>
    <w:uiPriority w:val="99"/>
    <w:rsid w:val="00DE7410"/>
    <w:pPr>
      <w:spacing w:line="191" w:lineRule="atLeast"/>
    </w:pPr>
    <w:rPr>
      <w:rFonts w:ascii="Univers LT Std 45 Light" w:hAnsi="Univers LT Std 45 Light" w:cs="Times New Roman"/>
      <w:color w:val="auto"/>
    </w:rPr>
  </w:style>
  <w:style w:type="paragraph" w:styleId="Revision">
    <w:name w:val="Revision"/>
    <w:hidden/>
    <w:uiPriority w:val="99"/>
    <w:semiHidden/>
    <w:rsid w:val="00DE7410"/>
    <w:rPr>
      <w:rFonts w:ascii="Times New Roman" w:eastAsia="Times New Roman" w:hAnsi="Times New Roman"/>
      <w:sz w:val="24"/>
      <w:szCs w:val="24"/>
      <w:lang w:eastAsia="en-US"/>
    </w:rPr>
  </w:style>
  <w:style w:type="paragraph" w:styleId="NoSpacing">
    <w:name w:val="No Spacing"/>
    <w:uiPriority w:val="1"/>
    <w:qFormat/>
    <w:rsid w:val="00D7268B"/>
    <w:pPr>
      <w:suppressAutoHyphens/>
      <w:autoSpaceDN w:val="0"/>
    </w:pPr>
    <w:rPr>
      <w:sz w:val="22"/>
      <w:szCs w:val="22"/>
      <w:lang w:eastAsia="en-US"/>
    </w:rPr>
  </w:style>
  <w:style w:type="paragraph" w:customStyle="1" w:styleId="CG-SingleSp1">
    <w:name w:val="CG-Single Sp 1"/>
    <w:aliases w:val="s3"/>
    <w:basedOn w:val="Normal"/>
    <w:rsid w:val="009C3AC9"/>
    <w:pPr>
      <w:spacing w:after="240"/>
      <w:ind w:firstLine="1440"/>
    </w:pPr>
    <w:rPr>
      <w:rFonts w:eastAsia="MS Mincho"/>
      <w:lang w:val="en-US"/>
    </w:rPr>
  </w:style>
  <w:style w:type="paragraph" w:customStyle="1" w:styleId="CG-SingleSp">
    <w:name w:val="CG-Single Sp"/>
    <w:aliases w:val="s1"/>
    <w:basedOn w:val="Normal"/>
    <w:rsid w:val="009C3AC9"/>
    <w:pPr>
      <w:spacing w:after="240"/>
    </w:pPr>
    <w:rPr>
      <w:rFonts w:eastAsia="MS Mincho"/>
      <w:sz w:val="22"/>
      <w:szCs w:val="22"/>
      <w:lang w:val="en-US"/>
    </w:rPr>
  </w:style>
  <w:style w:type="paragraph" w:customStyle="1" w:styleId="CG-Title-Left-Bold">
    <w:name w:val="CG-Title-Left-Bold"/>
    <w:aliases w:val="t3"/>
    <w:basedOn w:val="Normal"/>
    <w:next w:val="CG-SingleSp1"/>
    <w:rsid w:val="009C3AC9"/>
    <w:pPr>
      <w:keepNext/>
      <w:spacing w:after="240"/>
    </w:pPr>
    <w:rPr>
      <w:rFonts w:eastAsia="MS Mincho"/>
      <w:b/>
      <w:bCs/>
      <w:sz w:val="22"/>
      <w:szCs w:val="22"/>
      <w:lang w:val="en-US"/>
    </w:rPr>
  </w:style>
  <w:style w:type="character" w:customStyle="1" w:styleId="r">
    <w:name w:val="r"/>
    <w:basedOn w:val="DefaultParagraphFont"/>
    <w:rsid w:val="0035558E"/>
  </w:style>
  <w:style w:type="character" w:customStyle="1" w:styleId="cf">
    <w:name w:val="cf"/>
    <w:basedOn w:val="DefaultParagraphFont"/>
    <w:rsid w:val="000A5A8F"/>
  </w:style>
  <w:style w:type="paragraph" w:customStyle="1" w:styleId="-Body-text">
    <w:name w:val="- Body - text"/>
    <w:basedOn w:val="Normal"/>
    <w:link w:val="-Body-textChar1"/>
    <w:uiPriority w:val="99"/>
    <w:rsid w:val="00D735E7"/>
    <w:pPr>
      <w:widowControl w:val="0"/>
      <w:tabs>
        <w:tab w:val="left" w:pos="340"/>
      </w:tabs>
      <w:suppressAutoHyphens/>
      <w:autoSpaceDE w:val="0"/>
      <w:autoSpaceDN w:val="0"/>
      <w:adjustRightInd w:val="0"/>
      <w:spacing w:after="120" w:line="288" w:lineRule="auto"/>
      <w:textAlignment w:val="center"/>
    </w:pPr>
    <w:rPr>
      <w:rFonts w:ascii="Arial" w:hAnsi="Arial" w:cs="Arial"/>
      <w:color w:val="000000"/>
      <w:sz w:val="17"/>
      <w:szCs w:val="17"/>
      <w:lang w:val="en-GB" w:eastAsia="en-GB"/>
    </w:rPr>
  </w:style>
  <w:style w:type="paragraph" w:customStyle="1" w:styleId="FSHeadingStyle2">
    <w:name w:val="FS Heading Style 2"/>
    <w:basedOn w:val="Normal"/>
    <w:link w:val="FSHeadingStyle2Char"/>
    <w:qFormat/>
    <w:rsid w:val="00D735E7"/>
    <w:pPr>
      <w:keepLines/>
      <w:widowControl w:val="0"/>
      <w:suppressAutoHyphens/>
      <w:autoSpaceDE w:val="0"/>
      <w:autoSpaceDN w:val="0"/>
      <w:adjustRightInd w:val="0"/>
      <w:spacing w:after="120" w:line="280" w:lineRule="atLeast"/>
      <w:textAlignment w:val="center"/>
    </w:pPr>
    <w:rPr>
      <w:rFonts w:ascii="Arial" w:hAnsi="Arial" w:cs="Arial"/>
      <w:bCs/>
      <w:color w:val="000000" w:themeColor="text1"/>
      <w:sz w:val="28"/>
      <w:szCs w:val="28"/>
      <w:lang w:val="en-GB" w:eastAsia="en-GB"/>
    </w:rPr>
  </w:style>
  <w:style w:type="paragraph" w:customStyle="1" w:styleId="FSHeadingStyle1">
    <w:name w:val="FS Heading Style 1"/>
    <w:basedOn w:val="Normal"/>
    <w:link w:val="FSHeadingStyle1Char"/>
    <w:qFormat/>
    <w:rsid w:val="00D735E7"/>
    <w:pPr>
      <w:keepLines/>
      <w:pageBreakBefore/>
      <w:widowControl w:val="0"/>
      <w:suppressAutoHyphens/>
      <w:autoSpaceDE w:val="0"/>
      <w:autoSpaceDN w:val="0"/>
      <w:adjustRightInd w:val="0"/>
      <w:spacing w:before="360" w:after="120" w:line="280" w:lineRule="atLeast"/>
      <w:textAlignment w:val="center"/>
    </w:pPr>
    <w:rPr>
      <w:rFonts w:ascii="Arial" w:hAnsi="Arial" w:cs="Arial"/>
      <w:b/>
      <w:bCs/>
      <w:color w:val="002060"/>
      <w:sz w:val="36"/>
      <w:szCs w:val="36"/>
      <w:lang w:val="en-GB" w:eastAsia="en-GB"/>
    </w:rPr>
  </w:style>
  <w:style w:type="character" w:customStyle="1" w:styleId="FSHeadingStyle2Char">
    <w:name w:val="FS Heading Style 2 Char"/>
    <w:basedOn w:val="DefaultParagraphFont"/>
    <w:link w:val="FSHeadingStyle2"/>
    <w:rsid w:val="00D735E7"/>
    <w:rPr>
      <w:rFonts w:ascii="Arial" w:eastAsia="Times New Roman" w:hAnsi="Arial" w:cs="Arial"/>
      <w:bCs/>
      <w:color w:val="000000" w:themeColor="text1"/>
      <w:sz w:val="28"/>
      <w:szCs w:val="28"/>
      <w:lang w:val="en-GB" w:eastAsia="en-GB"/>
    </w:rPr>
  </w:style>
  <w:style w:type="character" w:customStyle="1" w:styleId="FSHeadingStyle1Char">
    <w:name w:val="FS Heading Style 1 Char"/>
    <w:basedOn w:val="DefaultParagraphFont"/>
    <w:link w:val="FSHeadingStyle1"/>
    <w:rsid w:val="00D735E7"/>
    <w:rPr>
      <w:rFonts w:ascii="Arial" w:eastAsia="Times New Roman" w:hAnsi="Arial" w:cs="Arial"/>
      <w:b/>
      <w:bCs/>
      <w:color w:val="002060"/>
      <w:sz w:val="36"/>
      <w:szCs w:val="36"/>
      <w:lang w:val="en-GB" w:eastAsia="en-GB"/>
    </w:rPr>
  </w:style>
  <w:style w:type="paragraph" w:customStyle="1" w:styleId="FSBodyStyle1">
    <w:name w:val="FS Body Style 1"/>
    <w:basedOn w:val="-Body-text"/>
    <w:link w:val="FSBodyStyle1Char"/>
    <w:qFormat/>
    <w:rsid w:val="00D735E7"/>
    <w:pPr>
      <w:spacing w:before="120"/>
    </w:pPr>
  </w:style>
  <w:style w:type="character" w:customStyle="1" w:styleId="-Body-textChar1">
    <w:name w:val="- Body - text Char1"/>
    <w:basedOn w:val="DefaultParagraphFont"/>
    <w:link w:val="-Body-text"/>
    <w:uiPriority w:val="99"/>
    <w:rsid w:val="00D735E7"/>
    <w:rPr>
      <w:rFonts w:ascii="Arial" w:eastAsia="Times New Roman" w:hAnsi="Arial" w:cs="Arial"/>
      <w:color w:val="000000"/>
      <w:sz w:val="17"/>
      <w:szCs w:val="17"/>
      <w:lang w:val="en-GB" w:eastAsia="en-GB"/>
    </w:rPr>
  </w:style>
  <w:style w:type="character" w:customStyle="1" w:styleId="FSBodyStyle1Char">
    <w:name w:val="FS Body Style 1 Char"/>
    <w:basedOn w:val="-Body-textChar1"/>
    <w:link w:val="FSBodyStyle1"/>
    <w:rsid w:val="00D735E7"/>
    <w:rPr>
      <w:rFonts w:ascii="Arial" w:eastAsia="Times New Roman" w:hAnsi="Arial" w:cs="Arial"/>
      <w:color w:val="000000"/>
      <w:sz w:val="17"/>
      <w:szCs w:val="17"/>
      <w:lang w:val="en-GB" w:eastAsia="en-GB"/>
    </w:rPr>
  </w:style>
  <w:style w:type="paragraph" w:customStyle="1" w:styleId="Pa20">
    <w:name w:val="Pa20"/>
    <w:basedOn w:val="Normal"/>
    <w:uiPriority w:val="99"/>
    <w:rsid w:val="006F69D2"/>
    <w:pPr>
      <w:autoSpaceDE w:val="0"/>
      <w:autoSpaceDN w:val="0"/>
      <w:spacing w:line="191" w:lineRule="atLeast"/>
    </w:pPr>
    <w:rPr>
      <w:rFonts w:ascii="Univers LT Std 45 Light" w:eastAsia="Calibri" w:hAnsi="Univers LT Std 45 Light"/>
    </w:rPr>
  </w:style>
  <w:style w:type="character" w:customStyle="1" w:styleId="Heading1Char">
    <w:name w:val="Heading 1 Char"/>
    <w:basedOn w:val="DefaultParagraphFont"/>
    <w:link w:val="Heading1"/>
    <w:uiPriority w:val="9"/>
    <w:rsid w:val="00832D00"/>
    <w:rPr>
      <w:rFonts w:ascii="Calibri Light" w:eastAsia="Times New Roman" w:hAnsi="Calibri Light"/>
      <w:b/>
      <w:bCs/>
      <w:kern w:val="32"/>
      <w:sz w:val="32"/>
      <w:szCs w:val="32"/>
      <w:lang w:eastAsia="en-US"/>
    </w:rPr>
  </w:style>
  <w:style w:type="paragraph" w:customStyle="1" w:styleId="Sub-header">
    <w:name w:val="Sub-header"/>
    <w:basedOn w:val="Normal"/>
    <w:next w:val="Normal"/>
    <w:uiPriority w:val="3"/>
    <w:qFormat/>
    <w:rsid w:val="00832D00"/>
    <w:rPr>
      <w:rFonts w:ascii="Arial" w:eastAsia="Calibri" w:hAnsi="Arial"/>
      <w:i/>
      <w:sz w:val="20"/>
      <w:szCs w:val="22"/>
    </w:rPr>
  </w:style>
  <w:style w:type="character" w:styleId="FollowedHyperlink">
    <w:name w:val="FollowedHyperlink"/>
    <w:uiPriority w:val="99"/>
    <w:semiHidden/>
    <w:unhideWhenUsed/>
    <w:rsid w:val="00832D0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05116">
      <w:bodyDiv w:val="1"/>
      <w:marLeft w:val="0"/>
      <w:marRight w:val="0"/>
      <w:marTop w:val="0"/>
      <w:marBottom w:val="0"/>
      <w:divBdr>
        <w:top w:val="none" w:sz="0" w:space="0" w:color="auto"/>
        <w:left w:val="none" w:sz="0" w:space="0" w:color="auto"/>
        <w:bottom w:val="none" w:sz="0" w:space="0" w:color="auto"/>
        <w:right w:val="none" w:sz="0" w:space="0" w:color="auto"/>
      </w:divBdr>
    </w:div>
    <w:div w:id="54621412">
      <w:bodyDiv w:val="1"/>
      <w:marLeft w:val="0"/>
      <w:marRight w:val="0"/>
      <w:marTop w:val="0"/>
      <w:marBottom w:val="0"/>
      <w:divBdr>
        <w:top w:val="none" w:sz="0" w:space="0" w:color="auto"/>
        <w:left w:val="none" w:sz="0" w:space="0" w:color="auto"/>
        <w:bottom w:val="none" w:sz="0" w:space="0" w:color="auto"/>
        <w:right w:val="none" w:sz="0" w:space="0" w:color="auto"/>
      </w:divBdr>
    </w:div>
    <w:div w:id="63652993">
      <w:bodyDiv w:val="1"/>
      <w:marLeft w:val="0"/>
      <w:marRight w:val="0"/>
      <w:marTop w:val="0"/>
      <w:marBottom w:val="0"/>
      <w:divBdr>
        <w:top w:val="none" w:sz="0" w:space="0" w:color="auto"/>
        <w:left w:val="none" w:sz="0" w:space="0" w:color="auto"/>
        <w:bottom w:val="none" w:sz="0" w:space="0" w:color="auto"/>
        <w:right w:val="none" w:sz="0" w:space="0" w:color="auto"/>
      </w:divBdr>
    </w:div>
    <w:div w:id="84766603">
      <w:bodyDiv w:val="1"/>
      <w:marLeft w:val="0"/>
      <w:marRight w:val="0"/>
      <w:marTop w:val="0"/>
      <w:marBottom w:val="0"/>
      <w:divBdr>
        <w:top w:val="none" w:sz="0" w:space="0" w:color="auto"/>
        <w:left w:val="none" w:sz="0" w:space="0" w:color="auto"/>
        <w:bottom w:val="none" w:sz="0" w:space="0" w:color="auto"/>
        <w:right w:val="none" w:sz="0" w:space="0" w:color="auto"/>
      </w:divBdr>
    </w:div>
    <w:div w:id="127938800">
      <w:bodyDiv w:val="1"/>
      <w:marLeft w:val="0"/>
      <w:marRight w:val="0"/>
      <w:marTop w:val="0"/>
      <w:marBottom w:val="0"/>
      <w:divBdr>
        <w:top w:val="none" w:sz="0" w:space="0" w:color="auto"/>
        <w:left w:val="none" w:sz="0" w:space="0" w:color="auto"/>
        <w:bottom w:val="none" w:sz="0" w:space="0" w:color="auto"/>
        <w:right w:val="none" w:sz="0" w:space="0" w:color="auto"/>
      </w:divBdr>
    </w:div>
    <w:div w:id="160891928">
      <w:bodyDiv w:val="1"/>
      <w:marLeft w:val="0"/>
      <w:marRight w:val="0"/>
      <w:marTop w:val="0"/>
      <w:marBottom w:val="0"/>
      <w:divBdr>
        <w:top w:val="none" w:sz="0" w:space="0" w:color="auto"/>
        <w:left w:val="none" w:sz="0" w:space="0" w:color="auto"/>
        <w:bottom w:val="none" w:sz="0" w:space="0" w:color="auto"/>
        <w:right w:val="none" w:sz="0" w:space="0" w:color="auto"/>
      </w:divBdr>
    </w:div>
    <w:div w:id="161822248">
      <w:bodyDiv w:val="1"/>
      <w:marLeft w:val="0"/>
      <w:marRight w:val="0"/>
      <w:marTop w:val="0"/>
      <w:marBottom w:val="0"/>
      <w:divBdr>
        <w:top w:val="none" w:sz="0" w:space="0" w:color="auto"/>
        <w:left w:val="none" w:sz="0" w:space="0" w:color="auto"/>
        <w:bottom w:val="none" w:sz="0" w:space="0" w:color="auto"/>
        <w:right w:val="none" w:sz="0" w:space="0" w:color="auto"/>
      </w:divBdr>
    </w:div>
    <w:div w:id="168369101">
      <w:bodyDiv w:val="1"/>
      <w:marLeft w:val="0"/>
      <w:marRight w:val="0"/>
      <w:marTop w:val="0"/>
      <w:marBottom w:val="0"/>
      <w:divBdr>
        <w:top w:val="none" w:sz="0" w:space="0" w:color="auto"/>
        <w:left w:val="none" w:sz="0" w:space="0" w:color="auto"/>
        <w:bottom w:val="none" w:sz="0" w:space="0" w:color="auto"/>
        <w:right w:val="none" w:sz="0" w:space="0" w:color="auto"/>
      </w:divBdr>
    </w:div>
    <w:div w:id="183398901">
      <w:bodyDiv w:val="1"/>
      <w:marLeft w:val="0"/>
      <w:marRight w:val="0"/>
      <w:marTop w:val="0"/>
      <w:marBottom w:val="0"/>
      <w:divBdr>
        <w:top w:val="none" w:sz="0" w:space="0" w:color="auto"/>
        <w:left w:val="none" w:sz="0" w:space="0" w:color="auto"/>
        <w:bottom w:val="none" w:sz="0" w:space="0" w:color="auto"/>
        <w:right w:val="none" w:sz="0" w:space="0" w:color="auto"/>
      </w:divBdr>
    </w:div>
    <w:div w:id="193427216">
      <w:bodyDiv w:val="1"/>
      <w:marLeft w:val="0"/>
      <w:marRight w:val="0"/>
      <w:marTop w:val="0"/>
      <w:marBottom w:val="0"/>
      <w:divBdr>
        <w:top w:val="none" w:sz="0" w:space="0" w:color="auto"/>
        <w:left w:val="none" w:sz="0" w:space="0" w:color="auto"/>
        <w:bottom w:val="none" w:sz="0" w:space="0" w:color="auto"/>
        <w:right w:val="none" w:sz="0" w:space="0" w:color="auto"/>
      </w:divBdr>
    </w:div>
    <w:div w:id="255941001">
      <w:bodyDiv w:val="1"/>
      <w:marLeft w:val="0"/>
      <w:marRight w:val="0"/>
      <w:marTop w:val="0"/>
      <w:marBottom w:val="0"/>
      <w:divBdr>
        <w:top w:val="none" w:sz="0" w:space="0" w:color="auto"/>
        <w:left w:val="none" w:sz="0" w:space="0" w:color="auto"/>
        <w:bottom w:val="none" w:sz="0" w:space="0" w:color="auto"/>
        <w:right w:val="none" w:sz="0" w:space="0" w:color="auto"/>
      </w:divBdr>
    </w:div>
    <w:div w:id="259460287">
      <w:bodyDiv w:val="1"/>
      <w:marLeft w:val="0"/>
      <w:marRight w:val="0"/>
      <w:marTop w:val="0"/>
      <w:marBottom w:val="0"/>
      <w:divBdr>
        <w:top w:val="none" w:sz="0" w:space="0" w:color="auto"/>
        <w:left w:val="none" w:sz="0" w:space="0" w:color="auto"/>
        <w:bottom w:val="none" w:sz="0" w:space="0" w:color="auto"/>
        <w:right w:val="none" w:sz="0" w:space="0" w:color="auto"/>
      </w:divBdr>
    </w:div>
    <w:div w:id="333609419">
      <w:bodyDiv w:val="1"/>
      <w:marLeft w:val="0"/>
      <w:marRight w:val="0"/>
      <w:marTop w:val="0"/>
      <w:marBottom w:val="0"/>
      <w:divBdr>
        <w:top w:val="none" w:sz="0" w:space="0" w:color="auto"/>
        <w:left w:val="none" w:sz="0" w:space="0" w:color="auto"/>
        <w:bottom w:val="none" w:sz="0" w:space="0" w:color="auto"/>
        <w:right w:val="none" w:sz="0" w:space="0" w:color="auto"/>
      </w:divBdr>
    </w:div>
    <w:div w:id="337124996">
      <w:bodyDiv w:val="1"/>
      <w:marLeft w:val="0"/>
      <w:marRight w:val="0"/>
      <w:marTop w:val="0"/>
      <w:marBottom w:val="0"/>
      <w:divBdr>
        <w:top w:val="none" w:sz="0" w:space="0" w:color="auto"/>
        <w:left w:val="none" w:sz="0" w:space="0" w:color="auto"/>
        <w:bottom w:val="none" w:sz="0" w:space="0" w:color="auto"/>
        <w:right w:val="none" w:sz="0" w:space="0" w:color="auto"/>
      </w:divBdr>
    </w:div>
    <w:div w:id="436603275">
      <w:bodyDiv w:val="1"/>
      <w:marLeft w:val="0"/>
      <w:marRight w:val="0"/>
      <w:marTop w:val="0"/>
      <w:marBottom w:val="0"/>
      <w:divBdr>
        <w:top w:val="none" w:sz="0" w:space="0" w:color="auto"/>
        <w:left w:val="none" w:sz="0" w:space="0" w:color="auto"/>
        <w:bottom w:val="none" w:sz="0" w:space="0" w:color="auto"/>
        <w:right w:val="none" w:sz="0" w:space="0" w:color="auto"/>
      </w:divBdr>
    </w:div>
    <w:div w:id="460415399">
      <w:bodyDiv w:val="1"/>
      <w:marLeft w:val="0"/>
      <w:marRight w:val="0"/>
      <w:marTop w:val="0"/>
      <w:marBottom w:val="0"/>
      <w:divBdr>
        <w:top w:val="none" w:sz="0" w:space="0" w:color="auto"/>
        <w:left w:val="none" w:sz="0" w:space="0" w:color="auto"/>
        <w:bottom w:val="none" w:sz="0" w:space="0" w:color="auto"/>
        <w:right w:val="none" w:sz="0" w:space="0" w:color="auto"/>
      </w:divBdr>
    </w:div>
    <w:div w:id="467283857">
      <w:bodyDiv w:val="1"/>
      <w:marLeft w:val="0"/>
      <w:marRight w:val="0"/>
      <w:marTop w:val="0"/>
      <w:marBottom w:val="0"/>
      <w:divBdr>
        <w:top w:val="none" w:sz="0" w:space="0" w:color="auto"/>
        <w:left w:val="none" w:sz="0" w:space="0" w:color="auto"/>
        <w:bottom w:val="none" w:sz="0" w:space="0" w:color="auto"/>
        <w:right w:val="none" w:sz="0" w:space="0" w:color="auto"/>
      </w:divBdr>
    </w:div>
    <w:div w:id="691348216">
      <w:bodyDiv w:val="1"/>
      <w:marLeft w:val="0"/>
      <w:marRight w:val="0"/>
      <w:marTop w:val="0"/>
      <w:marBottom w:val="0"/>
      <w:divBdr>
        <w:top w:val="none" w:sz="0" w:space="0" w:color="auto"/>
        <w:left w:val="none" w:sz="0" w:space="0" w:color="auto"/>
        <w:bottom w:val="none" w:sz="0" w:space="0" w:color="auto"/>
        <w:right w:val="none" w:sz="0" w:space="0" w:color="auto"/>
      </w:divBdr>
    </w:div>
    <w:div w:id="789782933">
      <w:bodyDiv w:val="1"/>
      <w:marLeft w:val="0"/>
      <w:marRight w:val="0"/>
      <w:marTop w:val="0"/>
      <w:marBottom w:val="0"/>
      <w:divBdr>
        <w:top w:val="none" w:sz="0" w:space="0" w:color="auto"/>
        <w:left w:val="none" w:sz="0" w:space="0" w:color="auto"/>
        <w:bottom w:val="none" w:sz="0" w:space="0" w:color="auto"/>
        <w:right w:val="none" w:sz="0" w:space="0" w:color="auto"/>
      </w:divBdr>
    </w:div>
    <w:div w:id="852109522">
      <w:bodyDiv w:val="1"/>
      <w:marLeft w:val="0"/>
      <w:marRight w:val="0"/>
      <w:marTop w:val="0"/>
      <w:marBottom w:val="0"/>
      <w:divBdr>
        <w:top w:val="none" w:sz="0" w:space="0" w:color="auto"/>
        <w:left w:val="none" w:sz="0" w:space="0" w:color="auto"/>
        <w:bottom w:val="none" w:sz="0" w:space="0" w:color="auto"/>
        <w:right w:val="none" w:sz="0" w:space="0" w:color="auto"/>
      </w:divBdr>
    </w:div>
    <w:div w:id="888685562">
      <w:bodyDiv w:val="1"/>
      <w:marLeft w:val="0"/>
      <w:marRight w:val="0"/>
      <w:marTop w:val="0"/>
      <w:marBottom w:val="0"/>
      <w:divBdr>
        <w:top w:val="none" w:sz="0" w:space="0" w:color="auto"/>
        <w:left w:val="none" w:sz="0" w:space="0" w:color="auto"/>
        <w:bottom w:val="none" w:sz="0" w:space="0" w:color="auto"/>
        <w:right w:val="none" w:sz="0" w:space="0" w:color="auto"/>
      </w:divBdr>
    </w:div>
    <w:div w:id="891229729">
      <w:bodyDiv w:val="1"/>
      <w:marLeft w:val="0"/>
      <w:marRight w:val="0"/>
      <w:marTop w:val="0"/>
      <w:marBottom w:val="0"/>
      <w:divBdr>
        <w:top w:val="none" w:sz="0" w:space="0" w:color="auto"/>
        <w:left w:val="none" w:sz="0" w:space="0" w:color="auto"/>
        <w:bottom w:val="none" w:sz="0" w:space="0" w:color="auto"/>
        <w:right w:val="none" w:sz="0" w:space="0" w:color="auto"/>
      </w:divBdr>
    </w:div>
    <w:div w:id="1013069049">
      <w:bodyDiv w:val="1"/>
      <w:marLeft w:val="0"/>
      <w:marRight w:val="0"/>
      <w:marTop w:val="0"/>
      <w:marBottom w:val="0"/>
      <w:divBdr>
        <w:top w:val="none" w:sz="0" w:space="0" w:color="auto"/>
        <w:left w:val="none" w:sz="0" w:space="0" w:color="auto"/>
        <w:bottom w:val="none" w:sz="0" w:space="0" w:color="auto"/>
        <w:right w:val="none" w:sz="0" w:space="0" w:color="auto"/>
      </w:divBdr>
    </w:div>
    <w:div w:id="1056008257">
      <w:bodyDiv w:val="1"/>
      <w:marLeft w:val="0"/>
      <w:marRight w:val="0"/>
      <w:marTop w:val="0"/>
      <w:marBottom w:val="0"/>
      <w:divBdr>
        <w:top w:val="none" w:sz="0" w:space="0" w:color="auto"/>
        <w:left w:val="none" w:sz="0" w:space="0" w:color="auto"/>
        <w:bottom w:val="none" w:sz="0" w:space="0" w:color="auto"/>
        <w:right w:val="none" w:sz="0" w:space="0" w:color="auto"/>
      </w:divBdr>
    </w:div>
    <w:div w:id="1067414639">
      <w:bodyDiv w:val="1"/>
      <w:marLeft w:val="0"/>
      <w:marRight w:val="0"/>
      <w:marTop w:val="0"/>
      <w:marBottom w:val="0"/>
      <w:divBdr>
        <w:top w:val="none" w:sz="0" w:space="0" w:color="auto"/>
        <w:left w:val="none" w:sz="0" w:space="0" w:color="auto"/>
        <w:bottom w:val="none" w:sz="0" w:space="0" w:color="auto"/>
        <w:right w:val="none" w:sz="0" w:space="0" w:color="auto"/>
      </w:divBdr>
    </w:div>
    <w:div w:id="1068383514">
      <w:bodyDiv w:val="1"/>
      <w:marLeft w:val="0"/>
      <w:marRight w:val="0"/>
      <w:marTop w:val="0"/>
      <w:marBottom w:val="0"/>
      <w:divBdr>
        <w:top w:val="none" w:sz="0" w:space="0" w:color="auto"/>
        <w:left w:val="none" w:sz="0" w:space="0" w:color="auto"/>
        <w:bottom w:val="none" w:sz="0" w:space="0" w:color="auto"/>
        <w:right w:val="none" w:sz="0" w:space="0" w:color="auto"/>
      </w:divBdr>
    </w:div>
    <w:div w:id="1097752459">
      <w:bodyDiv w:val="1"/>
      <w:marLeft w:val="0"/>
      <w:marRight w:val="0"/>
      <w:marTop w:val="0"/>
      <w:marBottom w:val="0"/>
      <w:divBdr>
        <w:top w:val="none" w:sz="0" w:space="0" w:color="auto"/>
        <w:left w:val="none" w:sz="0" w:space="0" w:color="auto"/>
        <w:bottom w:val="none" w:sz="0" w:space="0" w:color="auto"/>
        <w:right w:val="none" w:sz="0" w:space="0" w:color="auto"/>
      </w:divBdr>
    </w:div>
    <w:div w:id="1258126827">
      <w:bodyDiv w:val="1"/>
      <w:marLeft w:val="0"/>
      <w:marRight w:val="0"/>
      <w:marTop w:val="0"/>
      <w:marBottom w:val="0"/>
      <w:divBdr>
        <w:top w:val="none" w:sz="0" w:space="0" w:color="auto"/>
        <w:left w:val="none" w:sz="0" w:space="0" w:color="auto"/>
        <w:bottom w:val="none" w:sz="0" w:space="0" w:color="auto"/>
        <w:right w:val="none" w:sz="0" w:space="0" w:color="auto"/>
      </w:divBdr>
    </w:div>
    <w:div w:id="1262909961">
      <w:bodyDiv w:val="1"/>
      <w:marLeft w:val="0"/>
      <w:marRight w:val="0"/>
      <w:marTop w:val="0"/>
      <w:marBottom w:val="0"/>
      <w:divBdr>
        <w:top w:val="none" w:sz="0" w:space="0" w:color="auto"/>
        <w:left w:val="none" w:sz="0" w:space="0" w:color="auto"/>
        <w:bottom w:val="none" w:sz="0" w:space="0" w:color="auto"/>
        <w:right w:val="none" w:sz="0" w:space="0" w:color="auto"/>
      </w:divBdr>
    </w:div>
    <w:div w:id="1627656014">
      <w:bodyDiv w:val="1"/>
      <w:marLeft w:val="0"/>
      <w:marRight w:val="0"/>
      <w:marTop w:val="0"/>
      <w:marBottom w:val="0"/>
      <w:divBdr>
        <w:top w:val="none" w:sz="0" w:space="0" w:color="auto"/>
        <w:left w:val="none" w:sz="0" w:space="0" w:color="auto"/>
        <w:bottom w:val="none" w:sz="0" w:space="0" w:color="auto"/>
        <w:right w:val="none" w:sz="0" w:space="0" w:color="auto"/>
      </w:divBdr>
    </w:div>
    <w:div w:id="1630208549">
      <w:bodyDiv w:val="1"/>
      <w:marLeft w:val="0"/>
      <w:marRight w:val="0"/>
      <w:marTop w:val="0"/>
      <w:marBottom w:val="0"/>
      <w:divBdr>
        <w:top w:val="none" w:sz="0" w:space="0" w:color="auto"/>
        <w:left w:val="none" w:sz="0" w:space="0" w:color="auto"/>
        <w:bottom w:val="none" w:sz="0" w:space="0" w:color="auto"/>
        <w:right w:val="none" w:sz="0" w:space="0" w:color="auto"/>
      </w:divBdr>
    </w:div>
    <w:div w:id="1650745749">
      <w:bodyDiv w:val="1"/>
      <w:marLeft w:val="0"/>
      <w:marRight w:val="0"/>
      <w:marTop w:val="0"/>
      <w:marBottom w:val="0"/>
      <w:divBdr>
        <w:top w:val="none" w:sz="0" w:space="0" w:color="auto"/>
        <w:left w:val="none" w:sz="0" w:space="0" w:color="auto"/>
        <w:bottom w:val="none" w:sz="0" w:space="0" w:color="auto"/>
        <w:right w:val="none" w:sz="0" w:space="0" w:color="auto"/>
      </w:divBdr>
    </w:div>
    <w:div w:id="1664308579">
      <w:bodyDiv w:val="1"/>
      <w:marLeft w:val="0"/>
      <w:marRight w:val="0"/>
      <w:marTop w:val="0"/>
      <w:marBottom w:val="0"/>
      <w:divBdr>
        <w:top w:val="none" w:sz="0" w:space="0" w:color="auto"/>
        <w:left w:val="none" w:sz="0" w:space="0" w:color="auto"/>
        <w:bottom w:val="none" w:sz="0" w:space="0" w:color="auto"/>
        <w:right w:val="none" w:sz="0" w:space="0" w:color="auto"/>
      </w:divBdr>
    </w:div>
    <w:div w:id="1750929270">
      <w:bodyDiv w:val="1"/>
      <w:marLeft w:val="0"/>
      <w:marRight w:val="0"/>
      <w:marTop w:val="0"/>
      <w:marBottom w:val="0"/>
      <w:divBdr>
        <w:top w:val="none" w:sz="0" w:space="0" w:color="auto"/>
        <w:left w:val="none" w:sz="0" w:space="0" w:color="auto"/>
        <w:bottom w:val="none" w:sz="0" w:space="0" w:color="auto"/>
        <w:right w:val="none" w:sz="0" w:space="0" w:color="auto"/>
      </w:divBdr>
    </w:div>
    <w:div w:id="1808619775">
      <w:bodyDiv w:val="1"/>
      <w:marLeft w:val="0"/>
      <w:marRight w:val="0"/>
      <w:marTop w:val="0"/>
      <w:marBottom w:val="0"/>
      <w:divBdr>
        <w:top w:val="none" w:sz="0" w:space="0" w:color="auto"/>
        <w:left w:val="none" w:sz="0" w:space="0" w:color="auto"/>
        <w:bottom w:val="none" w:sz="0" w:space="0" w:color="auto"/>
        <w:right w:val="none" w:sz="0" w:space="0" w:color="auto"/>
      </w:divBdr>
    </w:div>
    <w:div w:id="1821998074">
      <w:bodyDiv w:val="1"/>
      <w:marLeft w:val="0"/>
      <w:marRight w:val="0"/>
      <w:marTop w:val="0"/>
      <w:marBottom w:val="0"/>
      <w:divBdr>
        <w:top w:val="none" w:sz="0" w:space="0" w:color="auto"/>
        <w:left w:val="none" w:sz="0" w:space="0" w:color="auto"/>
        <w:bottom w:val="none" w:sz="0" w:space="0" w:color="auto"/>
        <w:right w:val="none" w:sz="0" w:space="0" w:color="auto"/>
      </w:divBdr>
    </w:div>
    <w:div w:id="1883442980">
      <w:bodyDiv w:val="1"/>
      <w:marLeft w:val="0"/>
      <w:marRight w:val="0"/>
      <w:marTop w:val="0"/>
      <w:marBottom w:val="0"/>
      <w:divBdr>
        <w:top w:val="none" w:sz="0" w:space="0" w:color="auto"/>
        <w:left w:val="none" w:sz="0" w:space="0" w:color="auto"/>
        <w:bottom w:val="none" w:sz="0" w:space="0" w:color="auto"/>
        <w:right w:val="none" w:sz="0" w:space="0" w:color="auto"/>
      </w:divBdr>
    </w:div>
    <w:div w:id="1937712576">
      <w:bodyDiv w:val="1"/>
      <w:marLeft w:val="0"/>
      <w:marRight w:val="0"/>
      <w:marTop w:val="0"/>
      <w:marBottom w:val="0"/>
      <w:divBdr>
        <w:top w:val="none" w:sz="0" w:space="0" w:color="auto"/>
        <w:left w:val="none" w:sz="0" w:space="0" w:color="auto"/>
        <w:bottom w:val="none" w:sz="0" w:space="0" w:color="auto"/>
        <w:right w:val="none" w:sz="0" w:space="0" w:color="auto"/>
      </w:divBdr>
    </w:div>
    <w:div w:id="1984191381">
      <w:bodyDiv w:val="1"/>
      <w:marLeft w:val="0"/>
      <w:marRight w:val="0"/>
      <w:marTop w:val="0"/>
      <w:marBottom w:val="0"/>
      <w:divBdr>
        <w:top w:val="none" w:sz="0" w:space="0" w:color="auto"/>
        <w:left w:val="none" w:sz="0" w:space="0" w:color="auto"/>
        <w:bottom w:val="none" w:sz="0" w:space="0" w:color="auto"/>
        <w:right w:val="none" w:sz="0" w:space="0" w:color="auto"/>
      </w:divBdr>
    </w:div>
    <w:div w:id="2031300001">
      <w:bodyDiv w:val="1"/>
      <w:marLeft w:val="0"/>
      <w:marRight w:val="0"/>
      <w:marTop w:val="0"/>
      <w:marBottom w:val="0"/>
      <w:divBdr>
        <w:top w:val="none" w:sz="0" w:space="0" w:color="auto"/>
        <w:left w:val="none" w:sz="0" w:space="0" w:color="auto"/>
        <w:bottom w:val="none" w:sz="0" w:space="0" w:color="auto"/>
        <w:right w:val="none" w:sz="0" w:space="0" w:color="auto"/>
      </w:divBdr>
    </w:div>
    <w:div w:id="2051999971">
      <w:bodyDiv w:val="1"/>
      <w:marLeft w:val="0"/>
      <w:marRight w:val="0"/>
      <w:marTop w:val="0"/>
      <w:marBottom w:val="0"/>
      <w:divBdr>
        <w:top w:val="none" w:sz="0" w:space="0" w:color="auto"/>
        <w:left w:val="none" w:sz="0" w:space="0" w:color="auto"/>
        <w:bottom w:val="none" w:sz="0" w:space="0" w:color="auto"/>
        <w:right w:val="none" w:sz="0" w:space="0" w:color="auto"/>
      </w:divBdr>
    </w:div>
    <w:div w:id="2083403291">
      <w:bodyDiv w:val="1"/>
      <w:marLeft w:val="0"/>
      <w:marRight w:val="0"/>
      <w:marTop w:val="0"/>
      <w:marBottom w:val="0"/>
      <w:divBdr>
        <w:top w:val="none" w:sz="0" w:space="0" w:color="auto"/>
        <w:left w:val="none" w:sz="0" w:space="0" w:color="auto"/>
        <w:bottom w:val="none" w:sz="0" w:space="0" w:color="auto"/>
        <w:right w:val="none" w:sz="0" w:space="0" w:color="auto"/>
      </w:divBdr>
    </w:div>
    <w:div w:id="2085253618">
      <w:bodyDiv w:val="1"/>
      <w:marLeft w:val="0"/>
      <w:marRight w:val="0"/>
      <w:marTop w:val="0"/>
      <w:marBottom w:val="0"/>
      <w:divBdr>
        <w:top w:val="none" w:sz="0" w:space="0" w:color="auto"/>
        <w:left w:val="none" w:sz="0" w:space="0" w:color="auto"/>
        <w:bottom w:val="none" w:sz="0" w:space="0" w:color="auto"/>
        <w:right w:val="none" w:sz="0" w:space="0" w:color="auto"/>
      </w:divBdr>
    </w:div>
    <w:div w:id="2112970105">
      <w:bodyDiv w:val="1"/>
      <w:marLeft w:val="0"/>
      <w:marRight w:val="0"/>
      <w:marTop w:val="0"/>
      <w:marBottom w:val="0"/>
      <w:divBdr>
        <w:top w:val="none" w:sz="0" w:space="0" w:color="auto"/>
        <w:left w:val="none" w:sz="0" w:space="0" w:color="auto"/>
        <w:bottom w:val="none" w:sz="0" w:space="0" w:color="auto"/>
        <w:right w:val="none" w:sz="0" w:space="0" w:color="auto"/>
      </w:divBdr>
    </w:div>
    <w:div w:id="211983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yanair.com"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investor.ryanair.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2020-11-02T07:04:39+00:00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38196FC1-55A5-47AD-82DB-F04BE7CEBFD6}"/>
</file>

<file path=customXml/itemProps2.xml><?xml version="1.0" encoding="utf-8"?>
<ds:datastoreItem xmlns:ds="http://schemas.openxmlformats.org/officeDocument/2006/customXml" ds:itemID="{28F08BC4-904D-455B-BF2B-3A601CBC52E0}"/>
</file>

<file path=customXml/itemProps3.xml><?xml version="1.0" encoding="utf-8"?>
<ds:datastoreItem xmlns:ds="http://schemas.openxmlformats.org/officeDocument/2006/customXml" ds:itemID="{273D6A36-94B2-43E9-99F6-670589EA716C}"/>
</file>

<file path=customXml/itemProps4.xml><?xml version="1.0" encoding="utf-8"?>
<ds:datastoreItem xmlns:ds="http://schemas.openxmlformats.org/officeDocument/2006/customXml" ds:itemID="{3357D17C-A4F8-4D28-ADF9-F4D18C670727}"/>
</file>

<file path=docProps/app.xml><?xml version="1.0" encoding="utf-8"?>
<Properties xmlns="http://schemas.openxmlformats.org/officeDocument/2006/extended-properties" xmlns:vt="http://schemas.openxmlformats.org/officeDocument/2006/docPropsVTypes">
  <Template>Normal</Template>
  <TotalTime>1</TotalTime>
  <Pages>41</Pages>
  <Words>10250</Words>
  <Characters>58426</Characters>
  <Application>Microsoft Office Word</Application>
  <DocSecurity>4</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Ryanair Limited</Company>
  <LinksUpToDate>false</LinksUpToDate>
  <CharactersWithSpaces>68539</CharactersWithSpaces>
  <SharedDoc>false</SharedDoc>
  <HLinks>
    <vt:vector size="6" baseType="variant">
      <vt:variant>
        <vt:i4>2424943</vt:i4>
      </vt:variant>
      <vt:variant>
        <vt:i4>0</vt:i4>
      </vt:variant>
      <vt:variant>
        <vt:i4>0</vt:i4>
      </vt:variant>
      <vt:variant>
        <vt:i4>5</vt:i4>
      </vt:variant>
      <vt:variant>
        <vt:lpwstr>http://www.ryanair.com/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obriens</dc:creator>
  <cp:lastModifiedBy>Tennant Humphreys, Stephen</cp:lastModifiedBy>
  <cp:revision>2</cp:revision>
  <cp:lastPrinted>2020-01-29T11:32:00Z</cp:lastPrinted>
  <dcterms:created xsi:type="dcterms:W3CDTF">2020-10-31T12:33:00Z</dcterms:created>
  <dcterms:modified xsi:type="dcterms:W3CDTF">2020-10-31T12:33:00Z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0x010100BE156B1CF39149A8843C57AB06C49AFE0011B886BEF4CCD94F85F46E94360FD412</vt:lpwstr>
  </property>
  <property fmtid="{D5CDD505-2E9C-101B-9397-08002B2CF9AE}" pid="4" name="IssuerName">
    <vt:lpwstr/>
  </property>
  <property fmtid="{D5CDD505-2E9C-101B-9397-08002B2CF9AE}" pid="5" name="MigrateFolderIssueDetected">
    <vt:bool>false</vt:bool>
  </property>
  <property fmtid="{D5CDD505-2E9C-101B-9397-08002B2CF9AE}" pid="6" name="Order">
    <vt:r8>168979500</vt:r8>
  </property>
  <property fmtid="{D5CDD505-2E9C-101B-9397-08002B2CF9AE}" pid="7" name="JobType">
    <vt:lpwstr/>
  </property>
  <property fmtid="{D5CDD505-2E9C-101B-9397-08002B2CF9AE}" pid="8" name="IssuerID">
    <vt:lpwstr/>
  </property>
  <property fmtid="{D5CDD505-2E9C-101B-9397-08002B2CF9AE}" pid="9" name="SendToWeb">
    <vt:bool>false</vt:bool>
  </property>
  <property fmtid="{D5CDD505-2E9C-101B-9397-08002B2CF9AE}" pid="10" name="JobContentType">
    <vt:lpwstr/>
  </property>
  <property fmtid="{D5CDD505-2E9C-101B-9397-08002B2CF9AE}" pid="11" name="Organisation">
    <vt:lpwstr/>
  </property>
  <property fmtid="{D5CDD505-2E9C-101B-9397-08002B2CF9AE}" pid="12" name="Contact">
    <vt:lpwstr/>
  </property>
  <property fmtid="{D5CDD505-2E9C-101B-9397-08002B2CF9AE}" pid="13" name="MigrateFolderIssueDetected0">
    <vt:bool>false</vt:bool>
  </property>
</Properties>
</file>