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7D0AB3" w14:paraId="494FB2B2" w14:textId="77777777">
        <w:tc>
          <w:tcPr>
            <w:tcW w:w="9694" w:type="dxa"/>
            <w:gridSpan w:val="2"/>
            <w:tcBorders>
              <w:top w:val="nil"/>
              <w:left w:val="nil"/>
              <w:bottom w:val="nil"/>
              <w:right w:val="nil"/>
            </w:tcBorders>
            <w:tcMar>
              <w:top w:w="60" w:type="dxa"/>
              <w:bottom w:w="20" w:type="dxa"/>
            </w:tcMar>
          </w:tcPr>
          <w:p w14:paraId="4AC9A5EA" w14:textId="77777777" w:rsidR="007D0AB3" w:rsidRDefault="009E3322">
            <w:pPr>
              <w:widowControl w:val="0"/>
              <w:autoSpaceDE w:val="0"/>
              <w:autoSpaceDN w:val="0"/>
              <w:adjustRightInd w:val="0"/>
              <w:spacing w:after="120" w:line="240" w:lineRule="auto"/>
              <w:rPr>
                <w:rFonts w:ascii="Helvetica" w:hAnsi="Helvetica" w:cs="Helvetica"/>
                <w:b/>
                <w:bCs/>
                <w:color w:val="000000"/>
                <w:sz w:val="26"/>
                <w:szCs w:val="26"/>
              </w:rPr>
            </w:pPr>
            <w:bookmarkStart w:id="0" w:name="_GoBack"/>
            <w:bookmarkEnd w:id="0"/>
            <w:r>
              <w:rPr>
                <w:rFonts w:ascii="Helvetica" w:hAnsi="Helvetica" w:cs="Helvetica"/>
                <w:b/>
                <w:bCs/>
                <w:color w:val="000000"/>
                <w:sz w:val="26"/>
                <w:szCs w:val="26"/>
              </w:rPr>
              <w:t xml:space="preserve"> Standard Form TR-1 </w:t>
            </w:r>
          </w:p>
          <w:p w14:paraId="34EED435" w14:textId="77777777" w:rsidR="007D0AB3" w:rsidRDefault="009E3322">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7D0AB3" w14:paraId="0A0C1A29"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11872E69" w14:textId="77777777" w:rsidR="007D0AB3" w:rsidRDefault="009E3322">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7D0AB3" w14:paraId="75B03070" w14:textId="77777777">
        <w:tc>
          <w:tcPr>
            <w:tcW w:w="9694" w:type="dxa"/>
            <w:gridSpan w:val="2"/>
            <w:tcBorders>
              <w:top w:val="nil"/>
              <w:left w:val="nil"/>
              <w:bottom w:val="nil"/>
              <w:right w:val="nil"/>
            </w:tcBorders>
            <w:tcMar>
              <w:top w:w="60" w:type="dxa"/>
              <w:left w:w="60" w:type="dxa"/>
              <w:bottom w:w="60" w:type="dxa"/>
              <w:right w:w="60" w:type="dxa"/>
            </w:tcMar>
          </w:tcPr>
          <w:p w14:paraId="0D544A39" w14:textId="77777777" w:rsidR="007D0AB3" w:rsidRDefault="007D0AB3">
            <w:pPr>
              <w:widowControl w:val="0"/>
              <w:autoSpaceDE w:val="0"/>
              <w:autoSpaceDN w:val="0"/>
              <w:adjustRightInd w:val="0"/>
              <w:spacing w:after="0" w:line="240" w:lineRule="auto"/>
              <w:rPr>
                <w:rFonts w:ascii="Helvetica" w:hAnsi="Helvetica" w:cs="Helvetica"/>
                <w:color w:val="000000"/>
                <w:sz w:val="20"/>
                <w:szCs w:val="20"/>
              </w:rPr>
            </w:pPr>
          </w:p>
        </w:tc>
      </w:tr>
      <w:tr w:rsidR="007D0AB3" w14:paraId="42327064"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033F40B0" w14:textId="77777777" w:rsidR="007D0AB3" w:rsidRDefault="009E332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14:paraId="2CA14720" w14:textId="77777777" w:rsidR="007D0AB3" w:rsidRDefault="009E33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RYANAIR HOLDINGS PLC</w:t>
            </w:r>
          </w:p>
        </w:tc>
      </w:tr>
      <w:tr w:rsidR="007D0AB3" w14:paraId="721AE2AA"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40E8E09" w14:textId="77777777" w:rsidR="007D0AB3" w:rsidRDefault="009E33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14:paraId="5D6BC3B6" w14:textId="77777777" w:rsidR="007D0AB3" w:rsidRDefault="009E33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14:paraId="0A401229" w14:textId="77777777" w:rsidR="007D0AB3" w:rsidRDefault="009E33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acquisition or disposal of financial instruments</w:t>
            </w:r>
          </w:p>
          <w:p w14:paraId="570557BB" w14:textId="77777777" w:rsidR="007D0AB3" w:rsidRDefault="009E33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event changing the breakdown of voting rights</w:t>
            </w:r>
          </w:p>
          <w:p w14:paraId="03037A8D" w14:textId="77777777" w:rsidR="007D0AB3" w:rsidRDefault="009E33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Other (please specify):</w:t>
            </w:r>
          </w:p>
          <w:p w14:paraId="37812FFE" w14:textId="77777777" w:rsidR="007D0AB3" w:rsidRDefault="007D0AB3">
            <w:pPr>
              <w:widowControl w:val="0"/>
              <w:autoSpaceDE w:val="0"/>
              <w:autoSpaceDN w:val="0"/>
              <w:adjustRightInd w:val="0"/>
              <w:spacing w:after="0" w:line="240" w:lineRule="auto"/>
              <w:rPr>
                <w:rFonts w:ascii="Helvetica" w:hAnsi="Helvetica" w:cs="Helvetica"/>
                <w:color w:val="000000"/>
                <w:sz w:val="20"/>
                <w:szCs w:val="20"/>
              </w:rPr>
            </w:pPr>
          </w:p>
        </w:tc>
      </w:tr>
      <w:tr w:rsidR="007D0AB3" w14:paraId="37E12689" w14:textId="77777777">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14:paraId="0C7677DE" w14:textId="77777777" w:rsidR="007D0AB3" w:rsidRDefault="009E332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7D0AB3" w14:paraId="5707E159" w14:textId="77777777">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53903A06" w14:textId="77777777" w:rsidR="007D0AB3" w:rsidRDefault="009E3322">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14:paraId="5F0ED35E" w14:textId="77777777" w:rsidR="007D0AB3" w:rsidRDefault="009E33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Harris Associates L.P.</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56CF9929" w14:textId="77777777" w:rsidR="007D0AB3" w:rsidRDefault="009E3322">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14:paraId="753395D4" w14:textId="77777777" w:rsidR="007D0AB3" w:rsidRDefault="000D1448">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Wilmington, Delaware, USA</w:t>
            </w:r>
          </w:p>
        </w:tc>
      </w:tr>
      <w:tr w:rsidR="007D0AB3" w14:paraId="1B84F14C"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645CEC92" w14:textId="77777777" w:rsidR="007D0AB3" w:rsidRDefault="009E33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14:paraId="5BEC83B0" w14:textId="77777777" w:rsidR="007D0AB3" w:rsidRDefault="007D0AB3">
            <w:pPr>
              <w:widowControl w:val="0"/>
              <w:autoSpaceDE w:val="0"/>
              <w:autoSpaceDN w:val="0"/>
              <w:adjustRightInd w:val="0"/>
              <w:spacing w:after="120" w:line="240" w:lineRule="auto"/>
              <w:rPr>
                <w:rFonts w:ascii="Helvetica" w:hAnsi="Helvetica" w:cs="Helvetica"/>
                <w:color w:val="000000"/>
                <w:sz w:val="20"/>
                <w:szCs w:val="20"/>
              </w:rPr>
            </w:pPr>
          </w:p>
        </w:tc>
      </w:tr>
      <w:tr w:rsidR="007D0AB3" w14:paraId="2245BF7D"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629BBD6" w14:textId="77777777" w:rsidR="007D0AB3" w:rsidRDefault="009E332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 the threshold was crossed or reached:</w:t>
            </w:r>
          </w:p>
          <w:p w14:paraId="1A17E8AC" w14:textId="77777777" w:rsidR="007D0AB3" w:rsidRDefault="009E33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06 Feb 2020</w:t>
            </w:r>
          </w:p>
        </w:tc>
      </w:tr>
      <w:tr w:rsidR="007D0AB3" w14:paraId="79FDDEB6"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68CFF04E" w14:textId="77777777" w:rsidR="007D0AB3" w:rsidRDefault="009E332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14:paraId="0C42CEA2" w14:textId="77777777" w:rsidR="007D0AB3" w:rsidRDefault="000D1448">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7 </w:t>
            </w:r>
            <w:r w:rsidR="009E3322">
              <w:rPr>
                <w:rFonts w:ascii="Helvetica" w:hAnsi="Helvetica" w:cs="Helvetica"/>
                <w:color w:val="000000"/>
                <w:sz w:val="20"/>
                <w:szCs w:val="20"/>
              </w:rPr>
              <w:t>Feb 2020</w:t>
            </w:r>
          </w:p>
        </w:tc>
      </w:tr>
      <w:tr w:rsidR="007D0AB3" w14:paraId="2161D3EA"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1B55DF5C" w14:textId="77777777" w:rsidR="007D0AB3" w:rsidRDefault="009E332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14:paraId="48668DFC" w14:textId="77777777" w:rsidR="007D0AB3" w:rsidRDefault="009E33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7%</w:t>
            </w:r>
          </w:p>
        </w:tc>
      </w:tr>
    </w:tbl>
    <w:p w14:paraId="410B89E8" w14:textId="77777777" w:rsidR="007D0AB3" w:rsidRDefault="007D0AB3">
      <w:pPr>
        <w:widowControl w:val="0"/>
        <w:autoSpaceDE w:val="0"/>
        <w:autoSpaceDN w:val="0"/>
        <w:adjustRightInd w:val="0"/>
        <w:spacing w:after="0" w:line="240" w:lineRule="auto"/>
        <w:rPr>
          <w:rFonts w:ascii="Arial" w:hAnsi="Arial" w:cs="Arial"/>
          <w:sz w:val="24"/>
          <w:szCs w:val="24"/>
        </w:rPr>
        <w:sectPr w:rsidR="007D0AB3">
          <w:headerReference w:type="even" r:id="rId6"/>
          <w:headerReference w:type="default" r:id="rId7"/>
          <w:footerReference w:type="even" r:id="rId8"/>
          <w:footerReference w:type="default" r:id="rId9"/>
          <w:headerReference w:type="first" r:id="rId10"/>
          <w:footerReference w:type="first" r:id="rId11"/>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7D0AB3" w14:paraId="57566CD7" w14:textId="77777777">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72B65136" w14:textId="77777777" w:rsidR="007D0AB3" w:rsidRDefault="009E332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7D0AB3" w14:paraId="0C5D2CE3"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299A676C" w14:textId="77777777" w:rsidR="007D0AB3" w:rsidRDefault="007D0AB3">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237E629E" w14:textId="77777777" w:rsidR="007D0AB3" w:rsidRDefault="009E332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14:paraId="429A0CB5" w14:textId="77777777" w:rsidR="007D0AB3" w:rsidRDefault="009E332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2AE65645" w14:textId="77777777" w:rsidR="007D0AB3" w:rsidRDefault="009E332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14:paraId="618858BA" w14:textId="77777777" w:rsidR="007D0AB3" w:rsidRDefault="009E332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6C0B23C" w14:textId="77777777" w:rsidR="007D0AB3" w:rsidRDefault="009E332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14:paraId="69827964" w14:textId="77777777" w:rsidR="007D0AB3" w:rsidRDefault="009E332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D77EA1D" w14:textId="77777777" w:rsidR="007D0AB3" w:rsidRDefault="009E332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number of voting rights of issuer</w:t>
            </w:r>
          </w:p>
        </w:tc>
      </w:tr>
      <w:tr w:rsidR="007D0AB3" w14:paraId="408C6661"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D8FA57A" w14:textId="77777777" w:rsidR="007D0AB3" w:rsidRDefault="009E33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ACC2F2F" w14:textId="77777777" w:rsidR="007D0AB3" w:rsidRDefault="002529B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6.999</w:t>
            </w:r>
            <w:r w:rsidR="009E3322">
              <w:rPr>
                <w:rFonts w:ascii="Helvetica" w:hAnsi="Helvetica" w:cs="Helvetica"/>
                <w:color w:val="000000"/>
                <w:sz w:val="20"/>
                <w:szCs w:val="20"/>
              </w:rPr>
              <w:t>%</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63AED46" w14:textId="77777777" w:rsidR="007D0AB3" w:rsidRDefault="007D0AB3">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DAD700B" w14:textId="77777777" w:rsidR="007D0AB3" w:rsidRDefault="002529B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6.999</w:t>
            </w:r>
            <w:r w:rsidR="009E3322">
              <w:rPr>
                <w:rFonts w:ascii="Helvetica" w:hAnsi="Helvetica" w:cs="Helvetica"/>
                <w:color w:val="000000"/>
                <w:sz w:val="20"/>
                <w:szCs w:val="20"/>
              </w:rPr>
              <w:t>%</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1B03920" w14:textId="77777777" w:rsidR="007D0AB3" w:rsidRDefault="009E33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1,098,336,459</w:t>
            </w:r>
          </w:p>
        </w:tc>
      </w:tr>
      <w:tr w:rsidR="007D0AB3" w14:paraId="37083030"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5406456" w14:textId="77777777" w:rsidR="007D0AB3" w:rsidRDefault="009E33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25633EC" w14:textId="77777777" w:rsidR="007D0AB3" w:rsidRDefault="009E33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7.87%</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012C829" w14:textId="77777777" w:rsidR="007D0AB3" w:rsidRDefault="007D0AB3">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B95CE99" w14:textId="77777777" w:rsidR="007D0AB3" w:rsidRDefault="009E33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7.87%</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5D23873E" w14:textId="77777777" w:rsidR="007D0AB3" w:rsidRDefault="007D0AB3">
            <w:pPr>
              <w:widowControl w:val="0"/>
              <w:autoSpaceDE w:val="0"/>
              <w:autoSpaceDN w:val="0"/>
              <w:adjustRightInd w:val="0"/>
              <w:spacing w:after="0" w:line="240" w:lineRule="auto"/>
              <w:rPr>
                <w:rFonts w:ascii="Helvetica" w:hAnsi="Helvetica" w:cs="Helvetica"/>
                <w:color w:val="000000"/>
                <w:sz w:val="20"/>
                <w:szCs w:val="20"/>
              </w:rPr>
            </w:pPr>
          </w:p>
        </w:tc>
      </w:tr>
      <w:tr w:rsidR="007D0AB3" w14:paraId="7AA2F2B0" w14:textId="77777777">
        <w:tc>
          <w:tcPr>
            <w:tcW w:w="9694" w:type="dxa"/>
            <w:gridSpan w:val="11"/>
            <w:tcBorders>
              <w:top w:val="nil"/>
              <w:left w:val="nil"/>
              <w:bottom w:val="nil"/>
              <w:right w:val="nil"/>
            </w:tcBorders>
            <w:tcMar>
              <w:top w:w="60" w:type="dxa"/>
              <w:bottom w:w="60" w:type="dxa"/>
            </w:tcMar>
          </w:tcPr>
          <w:p w14:paraId="502D7309" w14:textId="77777777" w:rsidR="007D0AB3" w:rsidRDefault="007D0AB3">
            <w:pPr>
              <w:widowControl w:val="0"/>
              <w:autoSpaceDE w:val="0"/>
              <w:autoSpaceDN w:val="0"/>
              <w:adjustRightInd w:val="0"/>
              <w:spacing w:after="0" w:line="240" w:lineRule="auto"/>
              <w:rPr>
                <w:rFonts w:ascii="Helvetica" w:hAnsi="Helvetica" w:cs="Helvetica"/>
                <w:color w:val="000000"/>
                <w:sz w:val="20"/>
                <w:szCs w:val="20"/>
              </w:rPr>
            </w:pPr>
          </w:p>
        </w:tc>
      </w:tr>
      <w:tr w:rsidR="007D0AB3" w14:paraId="741AA5C1"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584542A5" w14:textId="77777777" w:rsidR="007D0AB3" w:rsidRDefault="009E33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7D0AB3" w14:paraId="2196E412"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3D55D9F2" w14:textId="77777777" w:rsidR="007D0AB3" w:rsidRDefault="009E33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7D0AB3" w14:paraId="05B740F2" w14:textId="77777777">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4B84122" w14:textId="77777777" w:rsidR="007D0AB3" w:rsidRDefault="009E33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BA790D7" w14:textId="77777777" w:rsidR="007D0AB3" w:rsidRDefault="009E33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66C59A2" w14:textId="77777777" w:rsidR="007D0AB3" w:rsidRDefault="009E33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7D0AB3" w14:paraId="024200CA" w14:textId="77777777">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2433404" w14:textId="77777777" w:rsidR="007D0AB3" w:rsidRDefault="007D0AB3">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72F6ED2" w14:textId="77777777" w:rsidR="007D0AB3" w:rsidRDefault="009E332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1BB4150" w14:textId="77777777" w:rsidR="007D0AB3" w:rsidRDefault="009E332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7C5576F" w14:textId="77777777" w:rsidR="007D0AB3" w:rsidRDefault="009E332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8B7E7BD" w14:textId="77777777" w:rsidR="007D0AB3" w:rsidRDefault="009E332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7D0AB3" w14:paraId="6420B3FF"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9250659" w14:textId="77777777" w:rsidR="007D0AB3" w:rsidRDefault="009E332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IE00BYTBXV33 Ordinary Shares</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C714A51" w14:textId="77777777" w:rsidR="007D0AB3" w:rsidRDefault="007D0AB3">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13CE8EF" w14:textId="77777777" w:rsidR="007D0AB3" w:rsidRDefault="009E332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76,876,265</w:t>
            </w:r>
          </w:p>
          <w:p w14:paraId="18C0D4B2" w14:textId="77777777" w:rsidR="007D0AB3" w:rsidRDefault="009E332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( 15,375,253 Depository Receipt shares or 76,876,265 Ordinary Shares votes on a converted basis)</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8AC6929" w14:textId="77777777" w:rsidR="007D0AB3" w:rsidRDefault="007D0AB3">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94B2D96" w14:textId="77777777" w:rsidR="007D0AB3" w:rsidRDefault="002529B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20"/>
                <w:szCs w:val="20"/>
              </w:rPr>
              <w:t>6.999</w:t>
            </w:r>
            <w:r w:rsidR="009E3322">
              <w:rPr>
                <w:rFonts w:ascii="Helvetica" w:hAnsi="Helvetica" w:cs="Helvetica"/>
                <w:color w:val="000000"/>
                <w:sz w:val="18"/>
                <w:szCs w:val="18"/>
              </w:rPr>
              <w:t>%</w:t>
            </w:r>
          </w:p>
        </w:tc>
      </w:tr>
      <w:tr w:rsidR="007D0AB3" w14:paraId="1338D34C"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5A63C0A" w14:textId="77777777" w:rsidR="007D0AB3" w:rsidRDefault="007D0AB3">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55A35E1" w14:textId="77777777" w:rsidR="007D0AB3" w:rsidRDefault="007D0AB3">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0D1E84E" w14:textId="77777777" w:rsidR="007D0AB3" w:rsidRDefault="007D0AB3">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FC9E3EF" w14:textId="77777777" w:rsidR="007D0AB3" w:rsidRDefault="007D0AB3">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F3A1B5F" w14:textId="77777777" w:rsidR="007D0AB3" w:rsidRDefault="007D0AB3">
            <w:pPr>
              <w:widowControl w:val="0"/>
              <w:autoSpaceDE w:val="0"/>
              <w:autoSpaceDN w:val="0"/>
              <w:adjustRightInd w:val="0"/>
              <w:spacing w:after="0" w:line="240" w:lineRule="auto"/>
              <w:rPr>
                <w:rFonts w:ascii="Helvetica" w:hAnsi="Helvetica" w:cs="Helvetica"/>
                <w:color w:val="000000"/>
                <w:sz w:val="18"/>
                <w:szCs w:val="18"/>
              </w:rPr>
            </w:pPr>
          </w:p>
        </w:tc>
      </w:tr>
      <w:tr w:rsidR="007D0AB3" w14:paraId="40E40352"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60EBE8A" w14:textId="77777777" w:rsidR="007D0AB3" w:rsidRDefault="009E33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EB062E2" w14:textId="77777777" w:rsidR="007D0AB3" w:rsidRDefault="009E332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76,876,265</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FCE857E" w14:textId="77777777" w:rsidR="007D0AB3" w:rsidRDefault="002529BF">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6.999</w:t>
            </w:r>
            <w:r w:rsidR="009E3322">
              <w:rPr>
                <w:rFonts w:ascii="Helvetica" w:hAnsi="Helvetica" w:cs="Helvetica"/>
                <w:color w:val="000000"/>
                <w:sz w:val="20"/>
                <w:szCs w:val="20"/>
              </w:rPr>
              <w:t>%</w:t>
            </w:r>
          </w:p>
        </w:tc>
      </w:tr>
      <w:tr w:rsidR="007D0AB3" w14:paraId="363A12B4" w14:textId="77777777">
        <w:tc>
          <w:tcPr>
            <w:tcW w:w="9694" w:type="dxa"/>
            <w:gridSpan w:val="11"/>
            <w:tcBorders>
              <w:top w:val="nil"/>
              <w:left w:val="nil"/>
              <w:bottom w:val="nil"/>
              <w:right w:val="nil"/>
            </w:tcBorders>
            <w:tcMar>
              <w:top w:w="60" w:type="dxa"/>
              <w:bottom w:w="60" w:type="dxa"/>
            </w:tcMar>
          </w:tcPr>
          <w:p w14:paraId="066044BF" w14:textId="77777777" w:rsidR="007D0AB3" w:rsidRDefault="007D0AB3">
            <w:pPr>
              <w:widowControl w:val="0"/>
              <w:autoSpaceDE w:val="0"/>
              <w:autoSpaceDN w:val="0"/>
              <w:adjustRightInd w:val="0"/>
              <w:spacing w:after="0" w:line="240" w:lineRule="auto"/>
              <w:rPr>
                <w:rFonts w:ascii="Helvetica" w:hAnsi="Helvetica" w:cs="Helvetica"/>
                <w:color w:val="000000"/>
                <w:sz w:val="20"/>
                <w:szCs w:val="20"/>
              </w:rPr>
            </w:pPr>
          </w:p>
        </w:tc>
      </w:tr>
      <w:tr w:rsidR="007D0AB3" w14:paraId="3FCD741E"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6CEC4985" w14:textId="77777777" w:rsidR="007D0AB3" w:rsidRDefault="009E33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7D0AB3" w14:paraId="75E4A45F"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7EC8607" w14:textId="77777777" w:rsidR="007D0AB3" w:rsidRDefault="009E33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7DEA04B" w14:textId="77777777" w:rsidR="007D0AB3" w:rsidRDefault="009E33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2B850B7" w14:textId="77777777" w:rsidR="007D0AB3" w:rsidRDefault="009E33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3FD2C6F" w14:textId="77777777" w:rsidR="007D0AB3" w:rsidRDefault="009E33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29E81C1" w14:textId="77777777" w:rsidR="007D0AB3" w:rsidRDefault="009E33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7D0AB3" w14:paraId="357C4C61"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F82D9DB" w14:textId="77777777" w:rsidR="007D0AB3" w:rsidRDefault="007D0AB3">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9EC7E73" w14:textId="77777777" w:rsidR="007D0AB3" w:rsidRDefault="007D0AB3">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0BBDE17" w14:textId="77777777" w:rsidR="007D0AB3" w:rsidRDefault="007D0AB3">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243E9CE" w14:textId="77777777" w:rsidR="007D0AB3" w:rsidRDefault="007D0AB3">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26D4853" w14:textId="77777777" w:rsidR="007D0AB3" w:rsidRDefault="007D0AB3">
            <w:pPr>
              <w:widowControl w:val="0"/>
              <w:autoSpaceDE w:val="0"/>
              <w:autoSpaceDN w:val="0"/>
              <w:adjustRightInd w:val="0"/>
              <w:spacing w:after="0" w:line="240" w:lineRule="auto"/>
              <w:rPr>
                <w:rFonts w:ascii="Helvetica" w:hAnsi="Helvetica" w:cs="Helvetica"/>
                <w:color w:val="000000"/>
                <w:sz w:val="18"/>
                <w:szCs w:val="18"/>
              </w:rPr>
            </w:pPr>
          </w:p>
        </w:tc>
      </w:tr>
      <w:tr w:rsidR="007D0AB3" w14:paraId="2301D61F" w14:textId="77777777">
        <w:tc>
          <w:tcPr>
            <w:tcW w:w="1700" w:type="dxa"/>
            <w:tcBorders>
              <w:top w:val="nil"/>
              <w:left w:val="nil"/>
              <w:bottom w:val="nil"/>
              <w:right w:val="nil"/>
            </w:tcBorders>
            <w:tcMar>
              <w:top w:w="60" w:type="dxa"/>
              <w:left w:w="120" w:type="dxa"/>
              <w:bottom w:w="20" w:type="dxa"/>
              <w:right w:w="120" w:type="dxa"/>
            </w:tcMar>
          </w:tcPr>
          <w:p w14:paraId="7C8B06DD" w14:textId="77777777" w:rsidR="007D0AB3" w:rsidRDefault="007D0AB3">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7C93387A" w14:textId="77777777" w:rsidR="007D0AB3" w:rsidRDefault="007D0AB3">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6EAAB9D" w14:textId="77777777" w:rsidR="007D0AB3" w:rsidRDefault="009E33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3C67349" w14:textId="77777777" w:rsidR="007D0AB3" w:rsidRDefault="007D0AB3">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F419BC6" w14:textId="77777777" w:rsidR="007D0AB3" w:rsidRDefault="007D0AB3">
            <w:pPr>
              <w:widowControl w:val="0"/>
              <w:autoSpaceDE w:val="0"/>
              <w:autoSpaceDN w:val="0"/>
              <w:adjustRightInd w:val="0"/>
              <w:spacing w:after="0" w:line="240" w:lineRule="auto"/>
              <w:jc w:val="center"/>
              <w:rPr>
                <w:rFonts w:ascii="Helvetica" w:hAnsi="Helvetica" w:cs="Helvetica"/>
                <w:color w:val="000000"/>
                <w:sz w:val="20"/>
                <w:szCs w:val="20"/>
              </w:rPr>
            </w:pPr>
          </w:p>
        </w:tc>
      </w:tr>
      <w:tr w:rsidR="007D0AB3" w14:paraId="05487E96" w14:textId="77777777">
        <w:tc>
          <w:tcPr>
            <w:tcW w:w="9694" w:type="dxa"/>
            <w:gridSpan w:val="11"/>
            <w:tcBorders>
              <w:top w:val="nil"/>
              <w:left w:val="nil"/>
              <w:bottom w:val="nil"/>
              <w:right w:val="nil"/>
            </w:tcBorders>
            <w:tcMar>
              <w:top w:w="60" w:type="dxa"/>
              <w:bottom w:w="60" w:type="dxa"/>
            </w:tcMar>
          </w:tcPr>
          <w:p w14:paraId="188018EA" w14:textId="77777777" w:rsidR="007D0AB3" w:rsidRDefault="007D0AB3">
            <w:pPr>
              <w:widowControl w:val="0"/>
              <w:autoSpaceDE w:val="0"/>
              <w:autoSpaceDN w:val="0"/>
              <w:adjustRightInd w:val="0"/>
              <w:spacing w:after="0" w:line="240" w:lineRule="auto"/>
              <w:rPr>
                <w:rFonts w:ascii="Helvetica" w:hAnsi="Helvetica" w:cs="Helvetica"/>
                <w:color w:val="000000"/>
                <w:sz w:val="20"/>
                <w:szCs w:val="20"/>
              </w:rPr>
            </w:pPr>
          </w:p>
        </w:tc>
      </w:tr>
      <w:tr w:rsidR="007D0AB3" w14:paraId="5BDD6B2C"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492CEF19" w14:textId="77777777" w:rsidR="007D0AB3" w:rsidRDefault="009E33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7D0AB3" w14:paraId="0CF2A5C5"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8654FB3" w14:textId="77777777" w:rsidR="007D0AB3" w:rsidRDefault="009E33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1AF6244" w14:textId="77777777" w:rsidR="007D0AB3" w:rsidRDefault="009E33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0599530" w14:textId="77777777" w:rsidR="007D0AB3" w:rsidRDefault="009E33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7BCF4AF" w14:textId="77777777" w:rsidR="007D0AB3" w:rsidRDefault="009E33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703916C" w14:textId="77777777" w:rsidR="007D0AB3" w:rsidRDefault="009E33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EEEDF20" w14:textId="77777777" w:rsidR="007D0AB3" w:rsidRDefault="009E33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7D0AB3" w14:paraId="082066F1"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3CE338F" w14:textId="77777777" w:rsidR="007D0AB3" w:rsidRDefault="007D0AB3">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89CC93F" w14:textId="77777777" w:rsidR="007D0AB3" w:rsidRDefault="007D0AB3">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1E136A0" w14:textId="77777777" w:rsidR="007D0AB3" w:rsidRDefault="007D0AB3">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7F96F91" w14:textId="77777777" w:rsidR="007D0AB3" w:rsidRDefault="007D0AB3">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739E68B" w14:textId="77777777" w:rsidR="007D0AB3" w:rsidRDefault="007D0AB3">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34E264F" w14:textId="77777777" w:rsidR="007D0AB3" w:rsidRDefault="007D0AB3">
            <w:pPr>
              <w:widowControl w:val="0"/>
              <w:autoSpaceDE w:val="0"/>
              <w:autoSpaceDN w:val="0"/>
              <w:adjustRightInd w:val="0"/>
              <w:spacing w:after="0" w:line="240" w:lineRule="auto"/>
              <w:rPr>
                <w:rFonts w:ascii="Helvetica" w:hAnsi="Helvetica" w:cs="Helvetica"/>
                <w:color w:val="000000"/>
                <w:sz w:val="18"/>
                <w:szCs w:val="18"/>
              </w:rPr>
            </w:pPr>
          </w:p>
        </w:tc>
      </w:tr>
      <w:tr w:rsidR="007D0AB3" w14:paraId="0E5D5DF4" w14:textId="77777777">
        <w:tc>
          <w:tcPr>
            <w:tcW w:w="1700" w:type="dxa"/>
            <w:tcBorders>
              <w:top w:val="nil"/>
              <w:left w:val="nil"/>
              <w:bottom w:val="nil"/>
              <w:right w:val="nil"/>
            </w:tcBorders>
            <w:tcMar>
              <w:top w:w="60" w:type="dxa"/>
              <w:left w:w="120" w:type="dxa"/>
              <w:bottom w:w="20" w:type="dxa"/>
              <w:right w:w="120" w:type="dxa"/>
            </w:tcMar>
          </w:tcPr>
          <w:p w14:paraId="5E19CE8A" w14:textId="77777777" w:rsidR="007D0AB3" w:rsidRDefault="007D0AB3">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1F157DAB" w14:textId="77777777" w:rsidR="007D0AB3" w:rsidRDefault="007D0AB3">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1682D46D" w14:textId="77777777" w:rsidR="007D0AB3" w:rsidRDefault="007D0AB3">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41C2221" w14:textId="77777777" w:rsidR="007D0AB3" w:rsidRDefault="009E33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36561F3C" w14:textId="77777777" w:rsidR="007D0AB3" w:rsidRDefault="007D0AB3">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0F91312" w14:textId="77777777" w:rsidR="007D0AB3" w:rsidRDefault="007D0AB3">
            <w:pPr>
              <w:widowControl w:val="0"/>
              <w:autoSpaceDE w:val="0"/>
              <w:autoSpaceDN w:val="0"/>
              <w:adjustRightInd w:val="0"/>
              <w:spacing w:after="0" w:line="240" w:lineRule="auto"/>
              <w:jc w:val="center"/>
              <w:rPr>
                <w:rFonts w:ascii="Helvetica" w:hAnsi="Helvetica" w:cs="Helvetica"/>
                <w:color w:val="000000"/>
                <w:sz w:val="20"/>
                <w:szCs w:val="20"/>
              </w:rPr>
            </w:pPr>
          </w:p>
        </w:tc>
      </w:tr>
    </w:tbl>
    <w:p w14:paraId="2EEA06E6" w14:textId="77777777" w:rsidR="007D0AB3" w:rsidRDefault="007D0AB3">
      <w:pPr>
        <w:widowControl w:val="0"/>
        <w:autoSpaceDE w:val="0"/>
        <w:autoSpaceDN w:val="0"/>
        <w:adjustRightInd w:val="0"/>
        <w:spacing w:after="0" w:line="240" w:lineRule="auto"/>
        <w:rPr>
          <w:rFonts w:ascii="Arial" w:hAnsi="Arial" w:cs="Arial"/>
          <w:sz w:val="24"/>
          <w:szCs w:val="24"/>
        </w:rPr>
        <w:sectPr w:rsidR="007D0AB3">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7D0AB3" w14:paraId="15D5AA82" w14:textId="77777777">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6317744D" w14:textId="77777777" w:rsidR="007D0AB3" w:rsidRDefault="009E332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10. Information in relation to the person subject to the notification obligation </w:t>
            </w:r>
            <w:r>
              <w:rPr>
                <w:rFonts w:ascii="Helvetica" w:hAnsi="Helvetica" w:cs="Helvetica"/>
                <w:color w:val="000000"/>
                <w:sz w:val="20"/>
                <w:szCs w:val="20"/>
              </w:rPr>
              <w:t>(please tick the applicable box):</w:t>
            </w:r>
          </w:p>
        </w:tc>
      </w:tr>
      <w:tr w:rsidR="007D0AB3" w14:paraId="754A428F"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40FAEC5B" w14:textId="77777777" w:rsidR="007D0AB3" w:rsidRDefault="009E332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 Person subject to the notification obligation is not controlled by any natural person or legal entity and does not control any other undertaking(s) holding directly or indirectly an interest in the (underlying) issuer.</w:t>
            </w:r>
          </w:p>
        </w:tc>
      </w:tr>
      <w:tr w:rsidR="007D0AB3" w14:paraId="3C32636E"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3CE8708B" w14:textId="77777777" w:rsidR="007D0AB3" w:rsidRDefault="009E332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7D0AB3" w14:paraId="3328A227" w14:textId="77777777">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741D521E" w14:textId="77777777" w:rsidR="007D0AB3" w:rsidRDefault="009E332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23E43CF7" w14:textId="77777777" w:rsidR="007D0AB3" w:rsidRDefault="009E332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06039126" w14:textId="77777777" w:rsidR="007D0AB3" w:rsidRDefault="009E332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51E401DF" w14:textId="77777777" w:rsidR="007D0AB3" w:rsidRDefault="009E332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7D0AB3" w14:paraId="0E9AEF74"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8E1795A" w14:textId="77777777" w:rsidR="007D0AB3" w:rsidRDefault="009E33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Harris Associates L.P.</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CF93A9A" w14:textId="77777777" w:rsidR="007D0AB3" w:rsidRDefault="002529B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6.999</w:t>
            </w:r>
            <w:r w:rsidR="009E3322">
              <w:rPr>
                <w:rFonts w:ascii="Helvetica" w:hAnsi="Helvetica" w:cs="Helvetica"/>
                <w:color w:val="000000"/>
                <w:sz w:val="20"/>
                <w:szCs w:val="20"/>
              </w:rPr>
              <w:t>%</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049F5AB" w14:textId="77777777" w:rsidR="007D0AB3" w:rsidRDefault="007D0AB3">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0628526" w14:textId="77777777" w:rsidR="007D0AB3" w:rsidRDefault="002529B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6.999</w:t>
            </w:r>
            <w:r w:rsidR="00994271">
              <w:rPr>
                <w:rFonts w:ascii="Helvetica" w:hAnsi="Helvetica" w:cs="Helvetica"/>
                <w:color w:val="000000"/>
                <w:sz w:val="20"/>
                <w:szCs w:val="20"/>
              </w:rPr>
              <w:t>e</w:t>
            </w:r>
            <w:r w:rsidR="009E3322">
              <w:rPr>
                <w:rFonts w:ascii="Helvetica" w:hAnsi="Helvetica" w:cs="Helvetica"/>
                <w:color w:val="000000"/>
                <w:sz w:val="20"/>
                <w:szCs w:val="20"/>
              </w:rPr>
              <w:t>%</w:t>
            </w:r>
          </w:p>
        </w:tc>
      </w:tr>
      <w:tr w:rsidR="007D0AB3" w14:paraId="036EAE04"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8E0F74D" w14:textId="77777777" w:rsidR="007D0AB3" w:rsidRDefault="007D0AB3">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97C2DBA" w14:textId="77777777" w:rsidR="007D0AB3" w:rsidRDefault="007D0AB3">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BF2E980" w14:textId="77777777" w:rsidR="007D0AB3" w:rsidRDefault="007D0AB3">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0F49E6E" w14:textId="77777777" w:rsidR="007D0AB3" w:rsidRDefault="007D0AB3">
            <w:pPr>
              <w:widowControl w:val="0"/>
              <w:autoSpaceDE w:val="0"/>
              <w:autoSpaceDN w:val="0"/>
              <w:adjustRightInd w:val="0"/>
              <w:spacing w:after="0" w:line="240" w:lineRule="auto"/>
              <w:rPr>
                <w:rFonts w:ascii="Helvetica" w:hAnsi="Helvetica" w:cs="Helvetica"/>
                <w:color w:val="000000"/>
                <w:sz w:val="20"/>
                <w:szCs w:val="20"/>
              </w:rPr>
            </w:pPr>
          </w:p>
        </w:tc>
      </w:tr>
      <w:tr w:rsidR="007D0AB3" w14:paraId="24C33DF3" w14:textId="77777777">
        <w:tc>
          <w:tcPr>
            <w:tcW w:w="9692" w:type="dxa"/>
            <w:gridSpan w:val="4"/>
            <w:tcBorders>
              <w:top w:val="nil"/>
              <w:left w:val="nil"/>
              <w:bottom w:val="nil"/>
              <w:right w:val="nil"/>
            </w:tcBorders>
            <w:tcMar>
              <w:top w:w="120" w:type="dxa"/>
              <w:left w:w="120" w:type="dxa"/>
              <w:bottom w:w="20" w:type="dxa"/>
              <w:right w:w="120" w:type="dxa"/>
            </w:tcMar>
          </w:tcPr>
          <w:p w14:paraId="481690F1" w14:textId="77777777" w:rsidR="007D0AB3" w:rsidRDefault="007D0AB3">
            <w:pPr>
              <w:widowControl w:val="0"/>
              <w:autoSpaceDE w:val="0"/>
              <w:autoSpaceDN w:val="0"/>
              <w:adjustRightInd w:val="0"/>
              <w:spacing w:after="0" w:line="240" w:lineRule="auto"/>
              <w:rPr>
                <w:rFonts w:ascii="Helvetica" w:hAnsi="Helvetica" w:cs="Helvetica"/>
                <w:color w:val="000000"/>
                <w:sz w:val="20"/>
                <w:szCs w:val="20"/>
              </w:rPr>
            </w:pPr>
          </w:p>
        </w:tc>
      </w:tr>
      <w:tr w:rsidR="007D0AB3" w14:paraId="4FD0502A"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712C694B" w14:textId="77777777" w:rsidR="007D0AB3" w:rsidRDefault="009E332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w:t>
            </w:r>
            <w:proofErr w:type="gramStart"/>
            <w:r>
              <w:rPr>
                <w:rFonts w:ascii="Helvetica" w:hAnsi="Helvetica" w:cs="Helvetica"/>
                <w:b/>
                <w:bCs/>
                <w:i/>
                <w:iCs/>
                <w:color w:val="000000"/>
                <w:sz w:val="20"/>
                <w:szCs w:val="20"/>
              </w:rPr>
              <w:t xml:space="preserve">holder] </w:t>
            </w:r>
            <w:r>
              <w:rPr>
                <w:rFonts w:ascii="Helvetica" w:hAnsi="Helvetica" w:cs="Helvetica"/>
                <w:b/>
                <w:bCs/>
                <w:color w:val="000000"/>
                <w:sz w:val="20"/>
                <w:szCs w:val="20"/>
              </w:rPr>
              <w:t xml:space="preserve"> will</w:t>
            </w:r>
            <w:proofErr w:type="gramEnd"/>
            <w:r>
              <w:rPr>
                <w:rFonts w:ascii="Helvetica" w:hAnsi="Helvetica" w:cs="Helvetica"/>
                <w:b/>
                <w:bCs/>
                <w:color w:val="000000"/>
                <w:sz w:val="20"/>
                <w:szCs w:val="20"/>
              </w:rPr>
              <w:t xml:space="preserve">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7D0AB3" w14:paraId="70D3B2B7" w14:textId="77777777">
        <w:tc>
          <w:tcPr>
            <w:tcW w:w="9694" w:type="dxa"/>
            <w:gridSpan w:val="4"/>
            <w:tcBorders>
              <w:top w:val="nil"/>
              <w:left w:val="nil"/>
              <w:bottom w:val="nil"/>
              <w:right w:val="nil"/>
            </w:tcBorders>
            <w:tcMar>
              <w:top w:w="120" w:type="dxa"/>
              <w:left w:w="120" w:type="dxa"/>
              <w:bottom w:w="20" w:type="dxa"/>
              <w:right w:w="120" w:type="dxa"/>
            </w:tcMar>
          </w:tcPr>
          <w:p w14:paraId="05A04715" w14:textId="77777777" w:rsidR="007D0AB3" w:rsidRDefault="007D0AB3">
            <w:pPr>
              <w:widowControl w:val="0"/>
              <w:autoSpaceDE w:val="0"/>
              <w:autoSpaceDN w:val="0"/>
              <w:adjustRightInd w:val="0"/>
              <w:spacing w:after="0" w:line="240" w:lineRule="auto"/>
              <w:rPr>
                <w:rFonts w:ascii="Helvetica" w:hAnsi="Helvetica" w:cs="Helvetica"/>
                <w:color w:val="000000"/>
                <w:sz w:val="20"/>
                <w:szCs w:val="20"/>
              </w:rPr>
            </w:pPr>
          </w:p>
        </w:tc>
      </w:tr>
      <w:tr w:rsidR="007D0AB3" w14:paraId="6BE97F89"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047BF844" w14:textId="77777777" w:rsidR="007D0AB3" w:rsidRDefault="009E332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14:paraId="22EFFDD4" w14:textId="77777777" w:rsidR="007D0AB3" w:rsidRDefault="007D0AB3">
            <w:pPr>
              <w:widowControl w:val="0"/>
              <w:autoSpaceDE w:val="0"/>
              <w:autoSpaceDN w:val="0"/>
              <w:adjustRightInd w:val="0"/>
              <w:spacing w:after="120" w:line="240" w:lineRule="auto"/>
              <w:rPr>
                <w:rFonts w:ascii="Helvetica" w:hAnsi="Helvetica" w:cs="Helvetica"/>
                <w:color w:val="000000"/>
                <w:sz w:val="20"/>
                <w:szCs w:val="20"/>
              </w:rPr>
            </w:pPr>
          </w:p>
        </w:tc>
      </w:tr>
      <w:tr w:rsidR="007D0AB3" w14:paraId="4C59FD09" w14:textId="77777777">
        <w:tc>
          <w:tcPr>
            <w:tcW w:w="9694" w:type="dxa"/>
            <w:gridSpan w:val="4"/>
            <w:tcBorders>
              <w:top w:val="nil"/>
              <w:left w:val="nil"/>
              <w:bottom w:val="nil"/>
              <w:right w:val="nil"/>
            </w:tcBorders>
            <w:tcMar>
              <w:top w:w="120" w:type="dxa"/>
              <w:left w:w="120" w:type="dxa"/>
              <w:bottom w:w="20" w:type="dxa"/>
              <w:right w:w="120" w:type="dxa"/>
            </w:tcMar>
          </w:tcPr>
          <w:p w14:paraId="77CE9C95" w14:textId="77777777" w:rsidR="007D0AB3" w:rsidRDefault="007D0AB3">
            <w:pPr>
              <w:widowControl w:val="0"/>
              <w:autoSpaceDE w:val="0"/>
              <w:autoSpaceDN w:val="0"/>
              <w:adjustRightInd w:val="0"/>
              <w:spacing w:after="0" w:line="240" w:lineRule="auto"/>
              <w:rPr>
                <w:rFonts w:ascii="Helvetica" w:hAnsi="Helvetica" w:cs="Helvetica"/>
                <w:color w:val="000000"/>
                <w:sz w:val="20"/>
                <w:szCs w:val="20"/>
              </w:rPr>
            </w:pPr>
          </w:p>
        </w:tc>
      </w:tr>
      <w:tr w:rsidR="007D0AB3" w14:paraId="2F113D4C" w14:textId="77777777">
        <w:tc>
          <w:tcPr>
            <w:tcW w:w="9694" w:type="dxa"/>
            <w:gridSpan w:val="4"/>
            <w:tcBorders>
              <w:top w:val="nil"/>
              <w:left w:val="nil"/>
              <w:bottom w:val="nil"/>
              <w:right w:val="nil"/>
            </w:tcBorders>
            <w:tcMar>
              <w:top w:w="120" w:type="dxa"/>
              <w:left w:w="120" w:type="dxa"/>
              <w:bottom w:w="20" w:type="dxa"/>
              <w:right w:w="120" w:type="dxa"/>
            </w:tcMar>
          </w:tcPr>
          <w:p w14:paraId="334D1451" w14:textId="77777777" w:rsidR="007D0AB3" w:rsidRDefault="009E3322" w:rsidP="000D1448">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Done at Chicago on </w:t>
            </w:r>
            <w:r w:rsidR="000D1448">
              <w:rPr>
                <w:rFonts w:ascii="Helvetica" w:hAnsi="Helvetica" w:cs="Helvetica"/>
                <w:color w:val="000000"/>
                <w:sz w:val="20"/>
                <w:szCs w:val="20"/>
              </w:rPr>
              <w:t xml:space="preserve">7 </w:t>
            </w:r>
            <w:r>
              <w:rPr>
                <w:rFonts w:ascii="Helvetica" w:hAnsi="Helvetica" w:cs="Helvetica"/>
                <w:color w:val="000000"/>
                <w:sz w:val="20"/>
                <w:szCs w:val="20"/>
              </w:rPr>
              <w:t xml:space="preserve">Feb </w:t>
            </w:r>
            <w:proofErr w:type="gramStart"/>
            <w:r>
              <w:rPr>
                <w:rFonts w:ascii="Helvetica" w:hAnsi="Helvetica" w:cs="Helvetica"/>
                <w:color w:val="000000"/>
                <w:sz w:val="20"/>
                <w:szCs w:val="20"/>
              </w:rPr>
              <w:t>2020 .</w:t>
            </w:r>
            <w:proofErr w:type="gramEnd"/>
          </w:p>
        </w:tc>
      </w:tr>
    </w:tbl>
    <w:p w14:paraId="4369463B" w14:textId="77777777" w:rsidR="007D0AB3" w:rsidRDefault="007D0AB3">
      <w:pPr>
        <w:widowControl w:val="0"/>
        <w:autoSpaceDE w:val="0"/>
        <w:autoSpaceDN w:val="0"/>
        <w:adjustRightInd w:val="0"/>
        <w:spacing w:after="0" w:line="240" w:lineRule="auto"/>
        <w:rPr>
          <w:rFonts w:ascii="Arial" w:hAnsi="Arial" w:cs="Arial"/>
          <w:sz w:val="24"/>
          <w:szCs w:val="24"/>
        </w:rPr>
        <w:sectPr w:rsidR="007D0AB3">
          <w:pgSz w:w="11905" w:h="16837"/>
          <w:pgMar w:top="1587" w:right="1020" w:bottom="1587" w:left="1020" w:header="720" w:footer="720" w:gutter="0"/>
          <w:cols w:space="720"/>
          <w:noEndnote/>
        </w:sectPr>
      </w:pPr>
    </w:p>
    <w:p w14:paraId="38B8130F" w14:textId="77777777" w:rsidR="007D0AB3" w:rsidRDefault="007D0AB3" w:rsidP="009E3322">
      <w:pPr>
        <w:widowControl w:val="0"/>
        <w:autoSpaceDE w:val="0"/>
        <w:autoSpaceDN w:val="0"/>
        <w:adjustRightInd w:val="0"/>
        <w:spacing w:after="0" w:line="240" w:lineRule="auto"/>
        <w:rPr>
          <w:rFonts w:ascii="Arial" w:hAnsi="Arial" w:cs="Arial"/>
          <w:sz w:val="24"/>
          <w:szCs w:val="24"/>
        </w:rPr>
      </w:pPr>
    </w:p>
    <w:sectPr w:rsidR="007D0AB3">
      <w:pgSz w:w="11905" w:h="16837"/>
      <w:pgMar w:top="1587" w:right="1020" w:bottom="1587" w:left="10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BD4D0" w14:textId="77777777" w:rsidR="005C2EF5" w:rsidRDefault="005C2EF5" w:rsidP="005C2EF5">
      <w:pPr>
        <w:spacing w:after="0" w:line="240" w:lineRule="auto"/>
      </w:pPr>
      <w:r>
        <w:separator/>
      </w:r>
    </w:p>
  </w:endnote>
  <w:endnote w:type="continuationSeparator" w:id="0">
    <w:p w14:paraId="573D9181" w14:textId="77777777" w:rsidR="005C2EF5" w:rsidRDefault="005C2EF5" w:rsidP="005C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E3635" w14:textId="77777777" w:rsidR="005C2EF5" w:rsidRDefault="005C2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FDB25" w14:textId="77777777" w:rsidR="005C2EF5" w:rsidRDefault="005C2E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16D5" w14:textId="77777777" w:rsidR="005C2EF5" w:rsidRDefault="005C2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63DAE" w14:textId="77777777" w:rsidR="005C2EF5" w:rsidRDefault="005C2EF5" w:rsidP="005C2EF5">
      <w:pPr>
        <w:spacing w:after="0" w:line="240" w:lineRule="auto"/>
      </w:pPr>
      <w:r>
        <w:separator/>
      </w:r>
    </w:p>
  </w:footnote>
  <w:footnote w:type="continuationSeparator" w:id="0">
    <w:p w14:paraId="5F59F3F4" w14:textId="77777777" w:rsidR="005C2EF5" w:rsidRDefault="005C2EF5" w:rsidP="005C2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5C2C8" w14:textId="77777777" w:rsidR="005C2EF5" w:rsidRDefault="005C2E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F4A5A" w14:textId="77777777" w:rsidR="005C2EF5" w:rsidRDefault="005C2E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05ABA" w14:textId="77777777" w:rsidR="005C2EF5" w:rsidRDefault="005C2E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135"/>
    <w:rsid w:val="000D1448"/>
    <w:rsid w:val="001A39E9"/>
    <w:rsid w:val="002529BF"/>
    <w:rsid w:val="00345135"/>
    <w:rsid w:val="004278AC"/>
    <w:rsid w:val="00573B4D"/>
    <w:rsid w:val="005C2EF5"/>
    <w:rsid w:val="007D0AB3"/>
    <w:rsid w:val="00943412"/>
    <w:rsid w:val="00994271"/>
    <w:rsid w:val="009E3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E05CA8"/>
  <w14:defaultImageDpi w14:val="0"/>
  <w15:docId w15:val="{A4C256F0-002B-4DE0-A24B-8555D7C6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B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B4D"/>
    <w:rPr>
      <w:rFonts w:ascii="Segoe UI" w:hAnsi="Segoe UI" w:cs="Segoe UI"/>
      <w:sz w:val="18"/>
      <w:szCs w:val="18"/>
    </w:rPr>
  </w:style>
  <w:style w:type="paragraph" w:styleId="Header">
    <w:name w:val="header"/>
    <w:basedOn w:val="Normal"/>
    <w:link w:val="HeaderChar"/>
    <w:uiPriority w:val="99"/>
    <w:unhideWhenUsed/>
    <w:rsid w:val="005C2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EF5"/>
  </w:style>
  <w:style w:type="paragraph" w:styleId="Footer">
    <w:name w:val="footer"/>
    <w:basedOn w:val="Normal"/>
    <w:link w:val="FooterChar"/>
    <w:uiPriority w:val="99"/>
    <w:unhideWhenUsed/>
    <w:rsid w:val="005C2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2020-02-10T08:36:42+00:00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7426A716-AD96-4F5F-93E2-6EBDBDF9BBB9}"/>
</file>

<file path=customXml/itemProps2.xml><?xml version="1.0" encoding="utf-8"?>
<ds:datastoreItem xmlns:ds="http://schemas.openxmlformats.org/officeDocument/2006/customXml" ds:itemID="{C40F6BD3-BD8C-4C01-B976-CC4E44AE6979}"/>
</file>

<file path=customXml/itemProps3.xml><?xml version="1.0" encoding="utf-8"?>
<ds:datastoreItem xmlns:ds="http://schemas.openxmlformats.org/officeDocument/2006/customXml" ds:itemID="{756C30BB-CD3D-471C-B77A-966424883CD1}"/>
</file>

<file path=docProps/app.xml><?xml version="1.0" encoding="utf-8"?>
<Properties xmlns="http://schemas.openxmlformats.org/officeDocument/2006/extended-properties" xmlns:vt="http://schemas.openxmlformats.org/officeDocument/2006/docPropsVTypes">
  <Template>Normal</Template>
  <TotalTime>1</TotalTime>
  <Pages>4</Pages>
  <Words>533</Words>
  <Characters>2930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 Sarah</dc:creator>
  <cp:keywords/>
  <dc:description/>
  <cp:lastModifiedBy>Tennant Humphreys, Stephen</cp:lastModifiedBy>
  <cp:revision>2</cp:revision>
  <cp:lastPrinted>2020-02-07T23:13:00Z</cp:lastPrinted>
  <dcterms:created xsi:type="dcterms:W3CDTF">2020-02-10T08:26:00Z</dcterms:created>
  <dcterms:modified xsi:type="dcterms:W3CDTF">2020-02-10T08:26:00Z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42578700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