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303C3D">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B1997">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4B1997">
            <w:pPr>
              <w:spacing w:after="0" w:line="240" w:lineRule="auto"/>
              <w:rPr>
                <w:rFonts w:ascii="Helvetica" w:hAnsi="Helvetica" w:cs="Helvetica"/>
                <w:lang w:val="en-GB"/>
              </w:rPr>
            </w:pPr>
            <w:r w:rsidRPr="00C055A5">
              <w:rPr>
                <w:rFonts w:ascii="Helvetica" w:hAnsi="Helvetica" w:cs="Helvetica"/>
                <w:lang w:val="en-GB"/>
              </w:rPr>
              <w:t>[</w:t>
            </w:r>
            <w:r w:rsidR="004B1997">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320F50" w:rsidRPr="00320F50">
              <w:rPr>
                <w:rFonts w:ascii="Helvetica" w:hAnsi="Helvetica" w:cs="Helvetica"/>
                <w:b/>
                <w:lang w:val="en-GB"/>
              </w:rPr>
              <w:t>Change In Nature</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rsidTr="00E153F3">
        <w:trPr>
          <w:trHeight w:val="1493"/>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INKA Internationale Kapitala</w:t>
            </w:r>
            <w:r w:rsidR="0051302B">
              <w:rPr>
                <w:rFonts w:ascii="Helvetica" w:hAnsi="Helvetica" w:cs="Helvetica"/>
                <w:lang w:val="en-GB"/>
              </w:rPr>
              <w:t>nlagegesellschaft mbH</w:t>
            </w:r>
          </w:p>
        </w:tc>
      </w:tr>
      <w:tr w:rsidR="00C5065C" w:rsidRPr="00C055A5" w:rsidTr="00F1736C">
        <w:trPr>
          <w:trHeight w:val="419"/>
        </w:trPr>
        <w:tc>
          <w:tcPr>
            <w:tcW w:w="10620" w:type="dxa"/>
            <w:gridSpan w:val="6"/>
            <w:vAlign w:val="center"/>
          </w:tcPr>
          <w:p w:rsidR="00BA72A7" w:rsidRPr="00617C3C" w:rsidRDefault="00C5065C" w:rsidP="00363D19">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2505B1">
              <w:rPr>
                <w:rFonts w:ascii="Helvetica" w:hAnsi="Helvetica" w:cs="Helvetica"/>
                <w:b/>
                <w:lang w:val="en-GB"/>
              </w:rPr>
              <w:t xml:space="preserve"> </w:t>
            </w:r>
            <w:r w:rsidR="00320F50">
              <w:rPr>
                <w:rFonts w:ascii="Helvetica" w:hAnsi="Helvetica" w:cs="Helvetica"/>
                <w:lang w:val="en-GB"/>
              </w:rPr>
              <w:t>23</w:t>
            </w:r>
            <w:r w:rsidR="009A31F4">
              <w:rPr>
                <w:rFonts w:ascii="Helvetica" w:hAnsi="Helvetica" w:cs="Helvetica"/>
                <w:lang w:val="en-GB"/>
              </w:rPr>
              <w:t xml:space="preserve"> April</w:t>
            </w:r>
            <w:r w:rsidR="00617C3C">
              <w:rPr>
                <w:rFonts w:ascii="Helvetica" w:hAnsi="Helvetica" w:cs="Helvetica"/>
                <w:lang w:val="en-GB"/>
              </w:rPr>
              <w:t xml:space="preserve"> 20</w:t>
            </w:r>
            <w:r w:rsidR="00262901">
              <w:rPr>
                <w:rFonts w:ascii="Helvetica" w:hAnsi="Helvetica" w:cs="Helvetica"/>
                <w:lang w:val="en-GB"/>
              </w:rPr>
              <w:t>20</w:t>
            </w:r>
          </w:p>
        </w:tc>
      </w:tr>
      <w:tr w:rsidR="00521E70" w:rsidRPr="00C055A5" w:rsidTr="00306839">
        <w:trPr>
          <w:trHeight w:val="419"/>
        </w:trPr>
        <w:tc>
          <w:tcPr>
            <w:tcW w:w="10620" w:type="dxa"/>
            <w:gridSpan w:val="6"/>
            <w:vAlign w:val="center"/>
          </w:tcPr>
          <w:p w:rsidR="00D2326B" w:rsidRPr="00C055A5" w:rsidRDefault="00521E70" w:rsidP="00320F50">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320F50">
              <w:rPr>
                <w:rFonts w:ascii="Helvetica" w:hAnsi="Helvetica" w:cs="Helvetica"/>
                <w:lang w:val="en-GB"/>
              </w:rPr>
              <w:t>24</w:t>
            </w:r>
            <w:r w:rsidR="009A31F4">
              <w:rPr>
                <w:rFonts w:ascii="Helvetica" w:hAnsi="Helvetica" w:cs="Helvetica"/>
                <w:lang w:val="en-GB"/>
              </w:rPr>
              <w:t xml:space="preserve"> April </w:t>
            </w:r>
            <w:r w:rsidR="00262901">
              <w:rPr>
                <w:rFonts w:ascii="Helvetica" w:hAnsi="Helvetica" w:cs="Helvetica"/>
                <w:lang w:val="en-GB"/>
              </w:rPr>
              <w:t>2020</w:t>
            </w:r>
          </w:p>
        </w:tc>
      </w:tr>
      <w:tr w:rsidR="00521E70" w:rsidRPr="00C055A5" w:rsidTr="00306839">
        <w:trPr>
          <w:trHeight w:val="419"/>
        </w:trPr>
        <w:tc>
          <w:tcPr>
            <w:tcW w:w="10620" w:type="dxa"/>
            <w:gridSpan w:val="6"/>
            <w:vAlign w:val="center"/>
          </w:tcPr>
          <w:p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517DC7">
              <w:rPr>
                <w:rFonts w:ascii="Helvetica" w:hAnsi="Helvetica" w:cs="Helvetica"/>
                <w:lang w:val="en-GB"/>
              </w:rPr>
              <w:t>6</w:t>
            </w:r>
            <w:r w:rsidR="00262901">
              <w:rPr>
                <w:rFonts w:ascii="Helvetica" w:hAnsi="Helvetica" w:cs="Helvetica"/>
                <w:lang w:val="en-GB"/>
              </w:rPr>
              <w:t>%</w:t>
            </w:r>
            <w:r w:rsidR="00FE015E">
              <w:rPr>
                <w:rFonts w:ascii="Helvetica" w:hAnsi="Helvetica" w:cs="Helvetica"/>
                <w:lang w:val="en-GB"/>
              </w:rPr>
              <w:t xml:space="preserve"> </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2505B1" w:rsidRPr="00C055A5" w:rsidTr="00F1736C">
        <w:trPr>
          <w:trHeight w:val="555"/>
        </w:trPr>
        <w:tc>
          <w:tcPr>
            <w:tcW w:w="2124" w:type="dxa"/>
            <w:vAlign w:val="center"/>
          </w:tcPr>
          <w:p w:rsidR="002505B1" w:rsidRPr="008F18BE" w:rsidRDefault="002505B1" w:rsidP="002505B1">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2505B1" w:rsidRPr="00B765F9" w:rsidRDefault="00320F50" w:rsidP="006738DB">
            <w:pPr>
              <w:jc w:val="center"/>
              <w:rPr>
                <w:rFonts w:ascii="Helvetica" w:hAnsi="Helvetica" w:cs="Helvetica"/>
                <w:lang w:val="en-GB"/>
              </w:rPr>
            </w:pPr>
            <w:r>
              <w:rPr>
                <w:rFonts w:ascii="Helvetica" w:hAnsi="Helvetica" w:cs="Helvetica"/>
                <w:lang w:val="en-GB"/>
              </w:rPr>
              <w:t>4.099</w:t>
            </w:r>
            <w:r w:rsidR="006853C8">
              <w:rPr>
                <w:rFonts w:ascii="Helvetica" w:hAnsi="Helvetica" w:cs="Helvetica"/>
                <w:lang w:val="en-GB"/>
              </w:rPr>
              <w:t xml:space="preserve"> </w:t>
            </w:r>
            <w:r w:rsidR="00DF0437">
              <w:rPr>
                <w:rFonts w:ascii="Helvetica" w:hAnsi="Helvetica" w:cs="Helvetica"/>
                <w:lang w:val="en-GB"/>
              </w:rPr>
              <w:t>%</w:t>
            </w:r>
          </w:p>
        </w:tc>
        <w:tc>
          <w:tcPr>
            <w:tcW w:w="2313" w:type="dxa"/>
            <w:vAlign w:val="center"/>
          </w:tcPr>
          <w:p w:rsidR="002505B1" w:rsidRPr="00B765F9" w:rsidRDefault="00320F50" w:rsidP="00517DC7">
            <w:pPr>
              <w:jc w:val="center"/>
              <w:rPr>
                <w:rFonts w:ascii="Helvetica" w:hAnsi="Helvetica" w:cs="Helvetica"/>
                <w:lang w:val="en-GB"/>
              </w:rPr>
            </w:pPr>
            <w:r>
              <w:rPr>
                <w:rFonts w:ascii="Helvetica" w:hAnsi="Helvetica" w:cs="Helvetica"/>
                <w:lang w:val="en-GB"/>
              </w:rPr>
              <w:t>2.057</w:t>
            </w:r>
            <w:r w:rsidR="006853C8">
              <w:rPr>
                <w:rFonts w:ascii="Helvetica" w:hAnsi="Helvetica" w:cs="Helvetica"/>
                <w:lang w:val="en-GB"/>
              </w:rPr>
              <w:t xml:space="preserve"> </w:t>
            </w:r>
            <w:r w:rsidR="00DF0437">
              <w:rPr>
                <w:rFonts w:ascii="Helvetica" w:hAnsi="Helvetica" w:cs="Helvetica"/>
                <w:lang w:val="en-GB"/>
              </w:rPr>
              <w:t>%</w:t>
            </w:r>
          </w:p>
        </w:tc>
        <w:tc>
          <w:tcPr>
            <w:tcW w:w="2126" w:type="dxa"/>
            <w:vAlign w:val="center"/>
          </w:tcPr>
          <w:p w:rsidR="002505B1" w:rsidRPr="00B765F9" w:rsidRDefault="00320F50" w:rsidP="00364679">
            <w:pPr>
              <w:jc w:val="center"/>
              <w:rPr>
                <w:rFonts w:ascii="Helvetica" w:hAnsi="Helvetica" w:cs="Helvetica"/>
                <w:lang w:val="en-GB"/>
              </w:rPr>
            </w:pPr>
            <w:r>
              <w:rPr>
                <w:rFonts w:ascii="Helvetica" w:hAnsi="Helvetica" w:cs="Helvetica"/>
                <w:lang w:val="en-GB"/>
              </w:rPr>
              <w:t>6.157</w:t>
            </w:r>
            <w:r w:rsidR="006853C8">
              <w:rPr>
                <w:rFonts w:ascii="Helvetica" w:hAnsi="Helvetica" w:cs="Helvetica"/>
                <w:lang w:val="en-GB"/>
              </w:rPr>
              <w:t xml:space="preserve"> </w:t>
            </w:r>
            <w:r w:rsidR="00DF0437">
              <w:rPr>
                <w:rFonts w:ascii="Helvetica" w:hAnsi="Helvetica" w:cs="Helvetica"/>
                <w:lang w:val="en-GB"/>
              </w:rPr>
              <w:t>%</w:t>
            </w:r>
          </w:p>
        </w:tc>
        <w:tc>
          <w:tcPr>
            <w:tcW w:w="1933" w:type="dxa"/>
            <w:vAlign w:val="center"/>
          </w:tcPr>
          <w:p w:rsidR="00B45628" w:rsidRPr="00B45628" w:rsidRDefault="009A31F4" w:rsidP="000C091A">
            <w:pPr>
              <w:jc w:val="center"/>
              <w:rPr>
                <w:rFonts w:ascii="Helvetica" w:hAnsi="Helvetica" w:cs="Helvetica"/>
                <w:lang w:val="en-GB"/>
              </w:rPr>
            </w:pPr>
            <w:r w:rsidRPr="009A31F4">
              <w:rPr>
                <w:rFonts w:ascii="Helvetica" w:hAnsi="Helvetica" w:cs="Helvetica"/>
                <w:lang w:val="en-GB"/>
              </w:rPr>
              <w:t>1,089,181,737</w:t>
            </w:r>
          </w:p>
        </w:tc>
      </w:tr>
      <w:tr w:rsidR="00320F50" w:rsidRPr="00C055A5" w:rsidTr="00F1736C">
        <w:trPr>
          <w:trHeight w:val="555"/>
        </w:trPr>
        <w:tc>
          <w:tcPr>
            <w:tcW w:w="2124" w:type="dxa"/>
            <w:vAlign w:val="center"/>
          </w:tcPr>
          <w:p w:rsidR="00320F50" w:rsidRPr="008F18BE" w:rsidRDefault="00320F50" w:rsidP="00320F50">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320F50" w:rsidRPr="00B765F9" w:rsidRDefault="00320F50" w:rsidP="00320F50">
            <w:pPr>
              <w:jc w:val="center"/>
              <w:rPr>
                <w:rFonts w:ascii="Helvetica" w:hAnsi="Helvetica" w:cs="Helvetica"/>
                <w:lang w:val="en-GB"/>
              </w:rPr>
            </w:pPr>
            <w:r>
              <w:rPr>
                <w:rFonts w:ascii="Helvetica" w:hAnsi="Helvetica" w:cs="Helvetica"/>
                <w:lang w:val="en-GB"/>
              </w:rPr>
              <w:t>4.456 %</w:t>
            </w:r>
          </w:p>
        </w:tc>
        <w:tc>
          <w:tcPr>
            <w:tcW w:w="2313" w:type="dxa"/>
            <w:vAlign w:val="center"/>
          </w:tcPr>
          <w:p w:rsidR="00320F50" w:rsidRPr="00B765F9" w:rsidRDefault="00320F50" w:rsidP="00320F50">
            <w:pPr>
              <w:jc w:val="center"/>
              <w:rPr>
                <w:rFonts w:ascii="Helvetica" w:hAnsi="Helvetica" w:cs="Helvetica"/>
                <w:lang w:val="en-GB"/>
              </w:rPr>
            </w:pPr>
            <w:r>
              <w:rPr>
                <w:rFonts w:ascii="Helvetica" w:hAnsi="Helvetica" w:cs="Helvetica"/>
                <w:lang w:val="en-GB"/>
              </w:rPr>
              <w:t>1.555 %</w:t>
            </w:r>
          </w:p>
        </w:tc>
        <w:tc>
          <w:tcPr>
            <w:tcW w:w="2126" w:type="dxa"/>
            <w:vAlign w:val="center"/>
          </w:tcPr>
          <w:p w:rsidR="00320F50" w:rsidRPr="00B765F9" w:rsidRDefault="00320F50" w:rsidP="00320F50">
            <w:pPr>
              <w:jc w:val="center"/>
              <w:rPr>
                <w:rFonts w:ascii="Helvetica" w:hAnsi="Helvetica" w:cs="Helvetica"/>
                <w:lang w:val="en-GB"/>
              </w:rPr>
            </w:pPr>
            <w:r>
              <w:rPr>
                <w:rFonts w:ascii="Helvetica" w:hAnsi="Helvetica" w:cs="Helvetica"/>
                <w:lang w:val="en-GB"/>
              </w:rPr>
              <w:t>6.011 %</w:t>
            </w:r>
          </w:p>
        </w:tc>
        <w:tc>
          <w:tcPr>
            <w:tcW w:w="1933" w:type="dxa"/>
            <w:shd w:val="thinDiagStripe" w:color="auto" w:fill="auto"/>
            <w:vAlign w:val="center"/>
          </w:tcPr>
          <w:p w:rsidR="00320F50" w:rsidRPr="00C055A5" w:rsidRDefault="00320F50" w:rsidP="00320F50">
            <w:pPr>
              <w:rPr>
                <w:rFonts w:ascii="Helvetica" w:hAnsi="Helvetica" w:cs="Helvetica"/>
                <w:lang w:val="en-GB"/>
              </w:rPr>
            </w:pPr>
          </w:p>
        </w:tc>
      </w:tr>
    </w:tbl>
    <w:p w:rsidR="007C162B" w:rsidRDefault="007C162B">
      <w:pPr>
        <w:rPr>
          <w:rFonts w:ascii="Helvetica" w:hAnsi="Helvetica" w:cs="Helvetica"/>
        </w:rPr>
      </w:pPr>
    </w:p>
    <w:tbl>
      <w:tblPr>
        <w:tblW w:w="1071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76"/>
        <w:gridCol w:w="222"/>
        <w:gridCol w:w="1450"/>
        <w:gridCol w:w="377"/>
        <w:gridCol w:w="1061"/>
        <w:gridCol w:w="1152"/>
        <w:gridCol w:w="480"/>
        <w:gridCol w:w="1886"/>
        <w:gridCol w:w="111"/>
        <w:gridCol w:w="83"/>
        <w:gridCol w:w="2015"/>
      </w:tblGrid>
      <w:tr w:rsidR="00C5065C" w:rsidRPr="00C055A5" w:rsidTr="00167CAC">
        <w:trPr>
          <w:trHeight w:val="301"/>
          <w:jc w:val="center"/>
        </w:trPr>
        <w:tc>
          <w:tcPr>
            <w:tcW w:w="1071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167CAC">
        <w:trPr>
          <w:trHeight w:val="424"/>
          <w:jc w:val="center"/>
        </w:trPr>
        <w:tc>
          <w:tcPr>
            <w:tcW w:w="1071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0D594E">
        <w:trPr>
          <w:trHeight w:val="358"/>
          <w:jc w:val="center"/>
        </w:trPr>
        <w:tc>
          <w:tcPr>
            <w:tcW w:w="1876"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62"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75"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0D594E">
        <w:tblPrEx>
          <w:tblBorders>
            <w:top w:val="none" w:sz="0" w:space="0" w:color="auto"/>
            <w:left w:val="none" w:sz="0" w:space="0" w:color="auto"/>
            <w:bottom w:val="none" w:sz="0" w:space="0" w:color="auto"/>
            <w:right w:val="none" w:sz="0" w:space="0" w:color="auto"/>
          </w:tblBorders>
        </w:tblPrEx>
        <w:trPr>
          <w:trHeight w:val="347"/>
          <w:jc w:val="center"/>
        </w:trPr>
        <w:tc>
          <w:tcPr>
            <w:tcW w:w="1876"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49"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213"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66"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9"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2505B1" w:rsidRPr="00C055A5"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rsidR="002505B1" w:rsidRPr="00C055A5" w:rsidRDefault="00903EB8" w:rsidP="002505B1">
            <w:pPr>
              <w:rPr>
                <w:rFonts w:ascii="Helvetica" w:hAnsi="Helvetica" w:cs="Helvetica"/>
                <w:lang w:val="en-GB"/>
              </w:rPr>
            </w:pPr>
            <w:r w:rsidRPr="00903EB8">
              <w:rPr>
                <w:rFonts w:ascii="Helvetica" w:hAnsi="Helvetica" w:cs="Helvetica"/>
                <w:lang w:val="en-GB"/>
              </w:rPr>
              <w:t>IE00BYTBXV33</w:t>
            </w:r>
          </w:p>
        </w:tc>
        <w:tc>
          <w:tcPr>
            <w:tcW w:w="204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13" w:type="dxa"/>
            <w:gridSpan w:val="2"/>
            <w:tcBorders>
              <w:top w:val="single" w:sz="4" w:space="0" w:color="auto"/>
              <w:left w:val="single" w:sz="4" w:space="0" w:color="auto"/>
              <w:bottom w:val="single" w:sz="4" w:space="0" w:color="auto"/>
              <w:right w:val="single" w:sz="4" w:space="0" w:color="auto"/>
            </w:tcBorders>
          </w:tcPr>
          <w:p w:rsidR="002505B1" w:rsidRPr="00DF0437" w:rsidRDefault="00CF7EFB" w:rsidP="002505B1">
            <w:pPr>
              <w:jc w:val="center"/>
              <w:rPr>
                <w:rFonts w:ascii="Helvetica" w:hAnsi="Helvetica" w:cs="Helvetica"/>
              </w:rPr>
            </w:pPr>
            <w:r w:rsidRPr="00CF7EFB">
              <w:rPr>
                <w:rFonts w:ascii="Helvetica" w:hAnsi="Helvetica" w:cs="Helvetica"/>
              </w:rPr>
              <w:t>44,649,698</w:t>
            </w:r>
          </w:p>
        </w:tc>
        <w:tc>
          <w:tcPr>
            <w:tcW w:w="2366" w:type="dxa"/>
            <w:gridSpan w:val="2"/>
            <w:tcBorders>
              <w:top w:val="single" w:sz="4" w:space="0" w:color="auto"/>
              <w:left w:val="single" w:sz="4" w:space="0" w:color="auto"/>
              <w:bottom w:val="single" w:sz="4" w:space="0" w:color="auto"/>
              <w:right w:val="single" w:sz="4" w:space="0" w:color="auto"/>
            </w:tcBorders>
          </w:tcPr>
          <w:p w:rsidR="002505B1" w:rsidRPr="0074121F" w:rsidRDefault="002505B1" w:rsidP="002505B1">
            <w:pPr>
              <w:jc w:val="center"/>
              <w:rPr>
                <w:rFonts w:ascii="Helvetica" w:hAnsi="Helvetica" w:cs="Helvetica"/>
              </w:rPr>
            </w:pPr>
          </w:p>
        </w:tc>
        <w:tc>
          <w:tcPr>
            <w:tcW w:w="2209" w:type="dxa"/>
            <w:gridSpan w:val="3"/>
            <w:tcBorders>
              <w:top w:val="single" w:sz="4" w:space="0" w:color="auto"/>
              <w:left w:val="single" w:sz="4" w:space="0" w:color="auto"/>
              <w:bottom w:val="single" w:sz="4" w:space="0" w:color="auto"/>
              <w:right w:val="single" w:sz="4" w:space="0" w:color="auto"/>
            </w:tcBorders>
          </w:tcPr>
          <w:p w:rsidR="002505B1" w:rsidRPr="000E62F5" w:rsidRDefault="00517DC7" w:rsidP="00CF7EFB">
            <w:pPr>
              <w:jc w:val="center"/>
              <w:rPr>
                <w:rFonts w:ascii="Calibri" w:hAnsi="Calibri"/>
                <w:color w:val="000000"/>
              </w:rPr>
            </w:pPr>
            <w:r>
              <w:rPr>
                <w:rFonts w:ascii="Calibri" w:hAnsi="Calibri"/>
                <w:color w:val="000000"/>
              </w:rPr>
              <w:t>4.</w:t>
            </w:r>
            <w:r w:rsidR="00CF7EFB">
              <w:rPr>
                <w:rFonts w:ascii="Calibri" w:hAnsi="Calibri"/>
                <w:color w:val="000000"/>
              </w:rPr>
              <w:t>099</w:t>
            </w:r>
            <w:r w:rsidR="006853C8">
              <w:rPr>
                <w:rFonts w:ascii="Calibri" w:hAnsi="Calibri"/>
                <w:color w:val="000000"/>
              </w:rPr>
              <w:t xml:space="preserve"> </w:t>
            </w:r>
            <w:r w:rsidR="00DF0437">
              <w:rPr>
                <w:rFonts w:ascii="Calibri" w:hAnsi="Calibri"/>
                <w:color w:val="000000"/>
              </w:rPr>
              <w:t>%</w:t>
            </w:r>
          </w:p>
        </w:tc>
      </w:tr>
      <w:tr w:rsidR="002505B1" w:rsidRPr="00C055A5"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04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13"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66"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0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2505B1" w:rsidRPr="00C055A5"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04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13"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66"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0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1E7805" w:rsidRPr="00C055A5"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rsidR="001E7805" w:rsidRPr="00C055A5" w:rsidRDefault="001E7805" w:rsidP="00AB250E">
            <w:pPr>
              <w:rPr>
                <w:rFonts w:ascii="Helvetica" w:hAnsi="Helvetica" w:cs="Helvetica"/>
                <w:b/>
                <w:lang w:val="en-GB"/>
              </w:rPr>
            </w:pPr>
            <w:r w:rsidRPr="00C055A5">
              <w:rPr>
                <w:rFonts w:ascii="Helvetica" w:hAnsi="Helvetica" w:cs="Helvetica"/>
                <w:b/>
                <w:lang w:val="en-GB"/>
              </w:rPr>
              <w:t>SUBTOTAL A</w:t>
            </w:r>
          </w:p>
        </w:tc>
        <w:tc>
          <w:tcPr>
            <w:tcW w:w="4262" w:type="dxa"/>
            <w:gridSpan w:val="5"/>
            <w:tcBorders>
              <w:top w:val="single" w:sz="4" w:space="0" w:color="auto"/>
              <w:left w:val="single" w:sz="4" w:space="0" w:color="auto"/>
              <w:bottom w:val="single" w:sz="4" w:space="0" w:color="auto"/>
              <w:right w:val="single" w:sz="4" w:space="0" w:color="auto"/>
            </w:tcBorders>
          </w:tcPr>
          <w:p w:rsidR="001E7805" w:rsidRPr="000E62F5" w:rsidRDefault="00CF7EFB" w:rsidP="00AB250E">
            <w:pPr>
              <w:jc w:val="center"/>
              <w:rPr>
                <w:rFonts w:ascii="Helvetica" w:hAnsi="Helvetica" w:cs="Helvetica"/>
              </w:rPr>
            </w:pPr>
            <w:r w:rsidRPr="00CF7EFB">
              <w:rPr>
                <w:rFonts w:ascii="Helvetica" w:hAnsi="Helvetica" w:cs="Helvetica"/>
              </w:rPr>
              <w:t>44,649,698</w:t>
            </w:r>
          </w:p>
        </w:tc>
        <w:tc>
          <w:tcPr>
            <w:tcW w:w="4575" w:type="dxa"/>
            <w:gridSpan w:val="5"/>
            <w:tcBorders>
              <w:top w:val="single" w:sz="4" w:space="0" w:color="auto"/>
              <w:left w:val="single" w:sz="4" w:space="0" w:color="auto"/>
              <w:bottom w:val="single" w:sz="4" w:space="0" w:color="auto"/>
              <w:right w:val="single" w:sz="4" w:space="0" w:color="auto"/>
            </w:tcBorders>
          </w:tcPr>
          <w:p w:rsidR="001E7805" w:rsidRPr="000E62F5" w:rsidRDefault="00CF7EFB" w:rsidP="006738DB">
            <w:pPr>
              <w:jc w:val="center"/>
              <w:rPr>
                <w:rFonts w:ascii="Calibri" w:hAnsi="Calibri"/>
                <w:color w:val="000000"/>
              </w:rPr>
            </w:pPr>
            <w:r>
              <w:rPr>
                <w:rFonts w:ascii="Calibri" w:hAnsi="Calibri"/>
                <w:color w:val="000000"/>
              </w:rPr>
              <w:t>4.099 %</w:t>
            </w:r>
          </w:p>
        </w:tc>
      </w:tr>
      <w:tr w:rsidR="002505B1" w:rsidRPr="00C055A5" w:rsidTr="00167CAC">
        <w:tblPrEx>
          <w:tblBorders>
            <w:top w:val="none" w:sz="0" w:space="0" w:color="auto"/>
            <w:left w:val="none" w:sz="0" w:space="0" w:color="auto"/>
            <w:bottom w:val="none" w:sz="0" w:space="0" w:color="auto"/>
            <w:right w:val="none" w:sz="0" w:space="0" w:color="auto"/>
          </w:tblBorders>
        </w:tblPrEx>
        <w:trPr>
          <w:trHeight w:val="201"/>
          <w:jc w:val="center"/>
        </w:trPr>
        <w:tc>
          <w:tcPr>
            <w:tcW w:w="10713" w:type="dxa"/>
            <w:gridSpan w:val="11"/>
          </w:tcPr>
          <w:p w:rsidR="002505B1" w:rsidRPr="00C055A5" w:rsidRDefault="002505B1" w:rsidP="002505B1">
            <w:pPr>
              <w:rPr>
                <w:rFonts w:ascii="Helvetica" w:hAnsi="Helvetica" w:cs="Helvetica"/>
                <w:lang w:val="en-GB"/>
              </w:rPr>
            </w:pPr>
          </w:p>
        </w:tc>
      </w:tr>
      <w:tr w:rsidR="002505B1" w:rsidRPr="00C055A5" w:rsidTr="00167CAC">
        <w:trPr>
          <w:trHeight w:val="491"/>
          <w:jc w:val="center"/>
        </w:trPr>
        <w:tc>
          <w:tcPr>
            <w:tcW w:w="10713" w:type="dxa"/>
            <w:gridSpan w:val="11"/>
            <w:tcBorders>
              <w:top w:val="single" w:sz="4" w:space="0" w:color="auto"/>
              <w:bottom w:val="single" w:sz="4" w:space="0" w:color="auto"/>
            </w:tcBorders>
            <w:vAlign w:val="center"/>
          </w:tcPr>
          <w:p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rsidTr="000D594E">
        <w:trPr>
          <w:trHeight w:val="1232"/>
          <w:jc w:val="center"/>
        </w:trPr>
        <w:tc>
          <w:tcPr>
            <w:tcW w:w="2098" w:type="dxa"/>
            <w:gridSpan w:val="2"/>
            <w:tcBorders>
              <w:top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50" w:type="dxa"/>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90"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77"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98" w:type="dxa"/>
            <w:gridSpan w:val="2"/>
            <w:tcBorders>
              <w:top w:val="single" w:sz="4" w:space="0" w:color="auto"/>
              <w:left w:val="single" w:sz="4" w:space="0" w:color="auto"/>
              <w:bottom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rsidTr="000D594E">
        <w:trPr>
          <w:trHeight w:val="445"/>
          <w:jc w:val="center"/>
        </w:trPr>
        <w:tc>
          <w:tcPr>
            <w:tcW w:w="2098"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r>
              <w:rPr>
                <w:rFonts w:ascii="Helvetica" w:hAnsi="Helvetica" w:cs="Helvetica"/>
                <w:lang w:val="en-GB"/>
              </w:rPr>
              <w:t>Stock lent</w:t>
            </w:r>
          </w:p>
        </w:tc>
        <w:tc>
          <w:tcPr>
            <w:tcW w:w="1450"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77" w:type="dxa"/>
            <w:gridSpan w:val="3"/>
            <w:tcBorders>
              <w:top w:val="single" w:sz="4" w:space="0" w:color="auto"/>
              <w:left w:val="single" w:sz="4" w:space="0" w:color="auto"/>
              <w:bottom w:val="single" w:sz="4" w:space="0" w:color="auto"/>
              <w:right w:val="single" w:sz="4" w:space="0" w:color="auto"/>
            </w:tcBorders>
          </w:tcPr>
          <w:p w:rsidR="002505B1" w:rsidRPr="001C11BC" w:rsidRDefault="00CF7EFB" w:rsidP="00364679">
            <w:pPr>
              <w:jc w:val="center"/>
              <w:rPr>
                <w:rFonts w:ascii="Helvetica" w:hAnsi="Helvetica" w:cs="Helvetica"/>
              </w:rPr>
            </w:pPr>
            <w:r>
              <w:rPr>
                <w:rFonts w:ascii="Helvetica" w:hAnsi="Helvetica" w:cs="Helvetica"/>
              </w:rPr>
              <w:t>602,500</w:t>
            </w:r>
          </w:p>
        </w:tc>
        <w:tc>
          <w:tcPr>
            <w:tcW w:w="2098" w:type="dxa"/>
            <w:gridSpan w:val="2"/>
            <w:tcBorders>
              <w:top w:val="single" w:sz="4" w:space="0" w:color="auto"/>
              <w:left w:val="single" w:sz="4" w:space="0" w:color="auto"/>
              <w:bottom w:val="single" w:sz="4" w:space="0" w:color="auto"/>
            </w:tcBorders>
          </w:tcPr>
          <w:p w:rsidR="002505B1" w:rsidRPr="001C11BC" w:rsidRDefault="00CF7EFB" w:rsidP="000D594E">
            <w:pPr>
              <w:jc w:val="center"/>
              <w:rPr>
                <w:rFonts w:ascii="Helvetica" w:hAnsi="Helvetica" w:cs="Helvetica"/>
              </w:rPr>
            </w:pPr>
            <w:r>
              <w:rPr>
                <w:rFonts w:ascii="Helvetica" w:hAnsi="Helvetica" w:cs="Helvetica"/>
              </w:rPr>
              <w:t>0.055</w:t>
            </w:r>
            <w:r w:rsidR="009A31F4">
              <w:rPr>
                <w:rFonts w:ascii="Helvetica" w:hAnsi="Helvetica" w:cs="Helvetica"/>
              </w:rPr>
              <w:t xml:space="preserve"> %</w:t>
            </w:r>
          </w:p>
        </w:tc>
      </w:tr>
      <w:tr w:rsidR="002505B1" w:rsidRPr="00C055A5" w:rsidTr="000D594E">
        <w:trPr>
          <w:trHeight w:val="445"/>
          <w:jc w:val="center"/>
        </w:trPr>
        <w:tc>
          <w:tcPr>
            <w:tcW w:w="2098" w:type="dxa"/>
            <w:gridSpan w:val="2"/>
            <w:tcBorders>
              <w:top w:val="single" w:sz="4" w:space="0" w:color="auto"/>
              <w:bottom w:val="single" w:sz="4" w:space="0" w:color="auto"/>
              <w:right w:val="single" w:sz="4" w:space="0" w:color="auto"/>
            </w:tcBorders>
          </w:tcPr>
          <w:p w:rsidR="002505B1" w:rsidRPr="00C055A5" w:rsidRDefault="00DF0437" w:rsidP="00DF0437">
            <w:pPr>
              <w:rPr>
                <w:rFonts w:ascii="Helvetica" w:hAnsi="Helvetica" w:cs="Helvetica"/>
                <w:lang w:val="en-GB"/>
              </w:rPr>
            </w:pPr>
            <w:r w:rsidRPr="00DF0437">
              <w:rPr>
                <w:rFonts w:ascii="Helvetica" w:hAnsi="Helvetica" w:cs="Helvetica"/>
                <w:lang w:val="en-GB"/>
              </w:rPr>
              <w:t xml:space="preserve">Option Basket </w:t>
            </w:r>
          </w:p>
        </w:tc>
        <w:tc>
          <w:tcPr>
            <w:tcW w:w="1450"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77" w:type="dxa"/>
            <w:gridSpan w:val="3"/>
            <w:tcBorders>
              <w:top w:val="single" w:sz="4" w:space="0" w:color="auto"/>
              <w:left w:val="single" w:sz="4" w:space="0" w:color="auto"/>
              <w:bottom w:val="single" w:sz="4" w:space="0" w:color="auto"/>
              <w:right w:val="single" w:sz="4" w:space="0" w:color="auto"/>
            </w:tcBorders>
          </w:tcPr>
          <w:p w:rsidR="002505B1" w:rsidRPr="00C055A5" w:rsidRDefault="00CF7EFB" w:rsidP="000D594E">
            <w:pPr>
              <w:jc w:val="center"/>
              <w:rPr>
                <w:rFonts w:ascii="Helvetica" w:hAnsi="Helvetica" w:cs="Helvetica"/>
                <w:lang w:val="en-GB"/>
              </w:rPr>
            </w:pPr>
            <w:r>
              <w:rPr>
                <w:rFonts w:ascii="Helvetica" w:hAnsi="Helvetica" w:cs="Helvetica"/>
                <w:lang w:val="en-GB"/>
              </w:rPr>
              <w:t xml:space="preserve"> 66,280</w:t>
            </w:r>
          </w:p>
        </w:tc>
        <w:tc>
          <w:tcPr>
            <w:tcW w:w="2098" w:type="dxa"/>
            <w:gridSpan w:val="2"/>
            <w:tcBorders>
              <w:top w:val="single" w:sz="4" w:space="0" w:color="auto"/>
              <w:left w:val="single" w:sz="4" w:space="0" w:color="auto"/>
              <w:bottom w:val="single" w:sz="4" w:space="0" w:color="auto"/>
            </w:tcBorders>
          </w:tcPr>
          <w:p w:rsidR="002505B1" w:rsidRPr="00C055A5" w:rsidRDefault="00DF0437" w:rsidP="00DF0437">
            <w:pPr>
              <w:jc w:val="center"/>
              <w:rPr>
                <w:rFonts w:ascii="Helvetica" w:hAnsi="Helvetica" w:cs="Helvetica"/>
                <w:lang w:val="en-GB"/>
              </w:rPr>
            </w:pPr>
            <w:r w:rsidRPr="00DF0437">
              <w:rPr>
                <w:rFonts w:ascii="Helvetica" w:hAnsi="Helvetica" w:cs="Helvetica"/>
                <w:lang w:val="en-GB"/>
              </w:rPr>
              <w:t>0.006</w:t>
            </w:r>
            <w:r>
              <w:rPr>
                <w:rFonts w:ascii="Helvetica" w:hAnsi="Helvetica" w:cs="Helvetica"/>
                <w:lang w:val="en-GB"/>
              </w:rPr>
              <w:t xml:space="preserve"> %</w:t>
            </w:r>
          </w:p>
        </w:tc>
      </w:tr>
      <w:tr w:rsidR="002505B1" w:rsidRPr="00C055A5" w:rsidTr="000D594E">
        <w:trPr>
          <w:trHeight w:val="445"/>
          <w:jc w:val="center"/>
        </w:trPr>
        <w:tc>
          <w:tcPr>
            <w:tcW w:w="2098"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450"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77"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098" w:type="dxa"/>
            <w:gridSpan w:val="2"/>
            <w:tcBorders>
              <w:top w:val="single" w:sz="4" w:space="0" w:color="auto"/>
              <w:left w:val="single" w:sz="4" w:space="0" w:color="auto"/>
              <w:bottom w:val="single" w:sz="4" w:space="0" w:color="auto"/>
            </w:tcBorders>
          </w:tcPr>
          <w:p w:rsidR="002505B1" w:rsidRPr="00C055A5" w:rsidRDefault="002505B1" w:rsidP="002505B1">
            <w:pPr>
              <w:rPr>
                <w:rFonts w:ascii="Helvetica" w:hAnsi="Helvetica" w:cs="Helvetica"/>
                <w:lang w:val="en-GB"/>
              </w:rPr>
            </w:pPr>
          </w:p>
        </w:tc>
      </w:tr>
      <w:tr w:rsidR="00AE0EAF" w:rsidRPr="00C055A5" w:rsidTr="000D594E">
        <w:trPr>
          <w:trHeight w:val="445"/>
          <w:jc w:val="center"/>
        </w:trPr>
        <w:tc>
          <w:tcPr>
            <w:tcW w:w="2098" w:type="dxa"/>
            <w:gridSpan w:val="2"/>
            <w:tcBorders>
              <w:top w:val="single" w:sz="4" w:space="0" w:color="auto"/>
              <w:left w:val="nil"/>
              <w:bottom w:val="nil"/>
              <w:right w:val="nil"/>
            </w:tcBorders>
          </w:tcPr>
          <w:p w:rsidR="00AE0EAF" w:rsidRPr="00C055A5" w:rsidRDefault="00AE0EAF" w:rsidP="00AE0EAF">
            <w:pPr>
              <w:rPr>
                <w:rFonts w:ascii="Helvetica" w:hAnsi="Helvetica" w:cs="Helvetica"/>
                <w:lang w:val="en-GB"/>
              </w:rPr>
            </w:pPr>
          </w:p>
        </w:tc>
        <w:tc>
          <w:tcPr>
            <w:tcW w:w="1450" w:type="dxa"/>
            <w:tcBorders>
              <w:top w:val="single" w:sz="4" w:space="0" w:color="auto"/>
              <w:left w:val="nil"/>
              <w:bottom w:val="nil"/>
              <w:right w:val="single" w:sz="4" w:space="0" w:color="auto"/>
            </w:tcBorders>
          </w:tcPr>
          <w:p w:rsidR="00AE0EAF" w:rsidRPr="00C055A5" w:rsidRDefault="00AE0EAF" w:rsidP="00AE0EAF">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rsidR="00AE0EAF" w:rsidRPr="00C055A5" w:rsidRDefault="00AE0EAF" w:rsidP="00AE0EAF">
            <w:pPr>
              <w:rPr>
                <w:rFonts w:ascii="Helvetica" w:hAnsi="Helvetica" w:cs="Helvetica"/>
                <w:b/>
                <w:lang w:val="en-GB"/>
              </w:rPr>
            </w:pPr>
            <w:r w:rsidRPr="00C055A5">
              <w:rPr>
                <w:rFonts w:ascii="Helvetica" w:hAnsi="Helvetica" w:cs="Helvetica"/>
                <w:b/>
                <w:lang w:val="en-GB"/>
              </w:rPr>
              <w:t>SUBTOTAL B.1</w:t>
            </w:r>
          </w:p>
        </w:tc>
        <w:tc>
          <w:tcPr>
            <w:tcW w:w="2477" w:type="dxa"/>
            <w:gridSpan w:val="3"/>
            <w:tcBorders>
              <w:top w:val="single" w:sz="4" w:space="0" w:color="auto"/>
              <w:left w:val="single" w:sz="4" w:space="0" w:color="auto"/>
              <w:bottom w:val="single" w:sz="4" w:space="0" w:color="auto"/>
              <w:right w:val="single" w:sz="4" w:space="0" w:color="auto"/>
            </w:tcBorders>
          </w:tcPr>
          <w:p w:rsidR="00AE0EAF" w:rsidRPr="001C11BC" w:rsidRDefault="00CF7EFB" w:rsidP="00AE0EAF">
            <w:pPr>
              <w:jc w:val="center"/>
              <w:rPr>
                <w:rFonts w:ascii="Helvetica" w:hAnsi="Helvetica" w:cs="Helvetica"/>
              </w:rPr>
            </w:pPr>
            <w:r>
              <w:rPr>
                <w:rFonts w:ascii="Helvetica" w:hAnsi="Helvetica" w:cs="Helvetica"/>
              </w:rPr>
              <w:t>668,780</w:t>
            </w:r>
          </w:p>
        </w:tc>
        <w:tc>
          <w:tcPr>
            <w:tcW w:w="2098" w:type="dxa"/>
            <w:gridSpan w:val="2"/>
            <w:tcBorders>
              <w:top w:val="single" w:sz="4" w:space="0" w:color="auto"/>
              <w:left w:val="single" w:sz="4" w:space="0" w:color="auto"/>
              <w:bottom w:val="single" w:sz="4" w:space="0" w:color="auto"/>
            </w:tcBorders>
          </w:tcPr>
          <w:p w:rsidR="00AE0EAF" w:rsidRPr="001C11BC" w:rsidRDefault="00B03853" w:rsidP="00CF7EFB">
            <w:pPr>
              <w:jc w:val="center"/>
              <w:rPr>
                <w:rFonts w:ascii="Helvetica" w:hAnsi="Helvetica" w:cs="Helvetica"/>
              </w:rPr>
            </w:pPr>
            <w:r>
              <w:rPr>
                <w:rFonts w:ascii="Helvetica" w:hAnsi="Helvetica" w:cs="Helvetica"/>
              </w:rPr>
              <w:t>0.0</w:t>
            </w:r>
            <w:r w:rsidR="00CF7EFB">
              <w:rPr>
                <w:rFonts w:ascii="Helvetica" w:hAnsi="Helvetica" w:cs="Helvetica"/>
              </w:rPr>
              <w:t>61</w:t>
            </w:r>
            <w:r w:rsidR="006853C8">
              <w:rPr>
                <w:rFonts w:ascii="Helvetica" w:hAnsi="Helvetica" w:cs="Helvetica"/>
              </w:rPr>
              <w:t xml:space="preserve"> </w:t>
            </w:r>
            <w:r w:rsidR="00DF0437">
              <w:rPr>
                <w:rFonts w:ascii="Helvetica" w:hAnsi="Helvetica" w:cs="Helvetica"/>
              </w:rPr>
              <w:t>%</w:t>
            </w:r>
          </w:p>
        </w:tc>
      </w:tr>
      <w:tr w:rsidR="00AE0EAF" w:rsidRPr="00C055A5" w:rsidTr="00167CAC">
        <w:tblPrEx>
          <w:tblBorders>
            <w:top w:val="none" w:sz="0" w:space="0" w:color="auto"/>
            <w:left w:val="none" w:sz="0" w:space="0" w:color="auto"/>
            <w:bottom w:val="none" w:sz="0" w:space="0" w:color="auto"/>
            <w:right w:val="none" w:sz="0" w:space="0" w:color="auto"/>
          </w:tblBorders>
        </w:tblPrEx>
        <w:trPr>
          <w:trHeight w:val="201"/>
          <w:jc w:val="center"/>
        </w:trPr>
        <w:tc>
          <w:tcPr>
            <w:tcW w:w="10713" w:type="dxa"/>
            <w:gridSpan w:val="11"/>
          </w:tcPr>
          <w:p w:rsidR="00AE0EAF" w:rsidRPr="00C055A5" w:rsidRDefault="00AE0EAF" w:rsidP="00AE0EAF">
            <w:pPr>
              <w:rPr>
                <w:rFonts w:ascii="Helvetica" w:hAnsi="Helvetica" w:cs="Helvetica"/>
                <w:lang w:val="en-GB"/>
              </w:rPr>
            </w:pPr>
          </w:p>
        </w:tc>
      </w:tr>
      <w:tr w:rsidR="00AE0EAF" w:rsidRPr="00C055A5" w:rsidTr="00167CAC">
        <w:trPr>
          <w:trHeight w:val="377"/>
          <w:jc w:val="center"/>
        </w:trPr>
        <w:tc>
          <w:tcPr>
            <w:tcW w:w="10713" w:type="dxa"/>
            <w:gridSpan w:val="11"/>
            <w:tcBorders>
              <w:top w:val="single" w:sz="4" w:space="0" w:color="auto"/>
              <w:bottom w:val="single" w:sz="4" w:space="0" w:color="auto"/>
            </w:tcBorders>
            <w:vAlign w:val="center"/>
          </w:tcPr>
          <w:p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rsidTr="000D594E">
        <w:trPr>
          <w:trHeight w:val="732"/>
          <w:jc w:val="center"/>
        </w:trPr>
        <w:tc>
          <w:tcPr>
            <w:tcW w:w="1876" w:type="dxa"/>
            <w:tcBorders>
              <w:top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2080" w:type="dxa"/>
            <w:gridSpan w:val="3"/>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15" w:type="dxa"/>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E0EAF" w:rsidRPr="00C055A5" w:rsidTr="000D594E">
        <w:trPr>
          <w:trHeight w:val="445"/>
          <w:jc w:val="center"/>
        </w:trPr>
        <w:tc>
          <w:tcPr>
            <w:tcW w:w="1876" w:type="dxa"/>
            <w:tcBorders>
              <w:top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r>
              <w:rPr>
                <w:rFonts w:ascii="Helvetica" w:hAnsi="Helvetica" w:cs="Helvetica"/>
                <w:lang w:val="en-GB"/>
              </w:rPr>
              <w:t>Equity Swap</w:t>
            </w:r>
          </w:p>
        </w:tc>
        <w:tc>
          <w:tcPr>
            <w:tcW w:w="1672" w:type="dxa"/>
            <w:gridSpan w:val="2"/>
            <w:tcBorders>
              <w:top w:val="single" w:sz="4" w:space="0" w:color="auto"/>
              <w:left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AE0EAF" w:rsidRPr="00C055A5" w:rsidRDefault="00AE0EAF" w:rsidP="00AE0EAF">
            <w:pPr>
              <w:rPr>
                <w:rFonts w:ascii="Helvetica" w:hAnsi="Helvetica" w:cs="Helvetica"/>
                <w:b/>
                <w:lang w:val="en-GB"/>
              </w:rPr>
            </w:pPr>
          </w:p>
        </w:tc>
        <w:tc>
          <w:tcPr>
            <w:tcW w:w="1632" w:type="dxa"/>
            <w:gridSpan w:val="2"/>
            <w:tcBorders>
              <w:top w:val="single" w:sz="4" w:space="0" w:color="auto"/>
              <w:left w:val="single" w:sz="4" w:space="0" w:color="auto"/>
              <w:bottom w:val="single" w:sz="4" w:space="0" w:color="auto"/>
              <w:right w:val="single" w:sz="4" w:space="0" w:color="auto"/>
            </w:tcBorders>
          </w:tcPr>
          <w:p w:rsidR="00AE0EAF" w:rsidRDefault="00AE0EAF" w:rsidP="00AE0EAF">
            <w:pPr>
              <w:rPr>
                <w:rFonts w:ascii="Arial" w:eastAsia="Arial" w:hAnsi="Arial"/>
                <w:color w:val="000000"/>
                <w:sz w:val="24"/>
              </w:rPr>
            </w:pPr>
          </w:p>
        </w:tc>
        <w:tc>
          <w:tcPr>
            <w:tcW w:w="2080" w:type="dxa"/>
            <w:gridSpan w:val="3"/>
            <w:tcBorders>
              <w:top w:val="single" w:sz="4" w:space="0" w:color="auto"/>
              <w:left w:val="single" w:sz="4" w:space="0" w:color="auto"/>
              <w:bottom w:val="single" w:sz="4" w:space="0" w:color="auto"/>
            </w:tcBorders>
          </w:tcPr>
          <w:p w:rsidR="00AE0EAF" w:rsidRPr="00AE0EAF" w:rsidRDefault="00CF7EFB" w:rsidP="00AE0EAF">
            <w:pPr>
              <w:jc w:val="center"/>
              <w:rPr>
                <w:rFonts w:ascii="Helvetica" w:hAnsi="Helvetica" w:cs="Helvetica"/>
                <w:bCs/>
              </w:rPr>
            </w:pPr>
            <w:r w:rsidRPr="00CF7EFB">
              <w:rPr>
                <w:rFonts w:ascii="Helvetica" w:hAnsi="Helvetica" w:cs="Helvetica"/>
                <w:bCs/>
              </w:rPr>
              <w:t>21,742,683</w:t>
            </w:r>
          </w:p>
        </w:tc>
        <w:tc>
          <w:tcPr>
            <w:tcW w:w="2015" w:type="dxa"/>
            <w:tcBorders>
              <w:top w:val="single" w:sz="4" w:space="0" w:color="auto"/>
              <w:left w:val="single" w:sz="4" w:space="0" w:color="auto"/>
              <w:bottom w:val="single" w:sz="4" w:space="0" w:color="auto"/>
            </w:tcBorders>
          </w:tcPr>
          <w:p w:rsidR="00AE0EAF" w:rsidRPr="00AE0EAF" w:rsidRDefault="00B34D60" w:rsidP="00AE0EAF">
            <w:pPr>
              <w:jc w:val="center"/>
              <w:rPr>
                <w:rFonts w:ascii="Helvetica" w:hAnsi="Helvetica" w:cs="Helvetica"/>
                <w:bCs/>
              </w:rPr>
            </w:pPr>
            <w:r>
              <w:rPr>
                <w:rFonts w:ascii="Helvetica" w:hAnsi="Helvetica" w:cs="Helvetica"/>
                <w:bCs/>
              </w:rPr>
              <w:t>1.996</w:t>
            </w:r>
            <w:r w:rsidR="009A31F4">
              <w:rPr>
                <w:rFonts w:ascii="Helvetica" w:hAnsi="Helvetica" w:cs="Helvetica"/>
                <w:bCs/>
              </w:rPr>
              <w:t xml:space="preserve"> </w:t>
            </w:r>
            <w:r w:rsidR="00DF0437">
              <w:rPr>
                <w:rFonts w:ascii="Helvetica" w:hAnsi="Helvetica" w:cs="Helvetica"/>
                <w:bCs/>
              </w:rPr>
              <w:t>%</w:t>
            </w:r>
          </w:p>
        </w:tc>
      </w:tr>
      <w:tr w:rsidR="00B34D60" w:rsidRPr="00C055A5" w:rsidTr="000D594E">
        <w:trPr>
          <w:trHeight w:val="795"/>
          <w:jc w:val="center"/>
        </w:trPr>
        <w:tc>
          <w:tcPr>
            <w:tcW w:w="1876" w:type="dxa"/>
            <w:tcBorders>
              <w:top w:val="single" w:sz="4" w:space="0" w:color="auto"/>
              <w:left w:val="nil"/>
              <w:bottom w:val="nil"/>
              <w:right w:val="nil"/>
            </w:tcBorders>
          </w:tcPr>
          <w:p w:rsidR="00B34D60" w:rsidRPr="00C055A5" w:rsidRDefault="00B34D60" w:rsidP="00B34D60">
            <w:pPr>
              <w:rPr>
                <w:rFonts w:ascii="Helvetica" w:hAnsi="Helvetica" w:cs="Helvetica"/>
                <w:lang w:val="en-GB"/>
              </w:rPr>
            </w:pPr>
          </w:p>
        </w:tc>
        <w:tc>
          <w:tcPr>
            <w:tcW w:w="1672" w:type="dxa"/>
            <w:gridSpan w:val="2"/>
            <w:tcBorders>
              <w:top w:val="single" w:sz="4" w:space="0" w:color="auto"/>
              <w:left w:val="nil"/>
              <w:bottom w:val="nil"/>
              <w:right w:val="nil"/>
            </w:tcBorders>
          </w:tcPr>
          <w:p w:rsidR="00B34D60" w:rsidRPr="00C055A5" w:rsidRDefault="00B34D60" w:rsidP="00B34D60">
            <w:pPr>
              <w:rPr>
                <w:rFonts w:ascii="Helvetica" w:hAnsi="Helvetica" w:cs="Helvetica"/>
                <w:lang w:val="en-GB"/>
              </w:rPr>
            </w:pPr>
          </w:p>
        </w:tc>
        <w:tc>
          <w:tcPr>
            <w:tcW w:w="1438" w:type="dxa"/>
            <w:gridSpan w:val="2"/>
            <w:tcBorders>
              <w:top w:val="single" w:sz="4" w:space="0" w:color="auto"/>
              <w:left w:val="nil"/>
              <w:bottom w:val="nil"/>
              <w:right w:val="single" w:sz="4" w:space="0" w:color="auto"/>
            </w:tcBorders>
          </w:tcPr>
          <w:p w:rsidR="00B34D60" w:rsidRDefault="00B34D60" w:rsidP="00B34D60">
            <w:pPr>
              <w:rPr>
                <w:rFonts w:ascii="Helvetica" w:hAnsi="Helvetica" w:cs="Helvetica"/>
                <w:b/>
                <w:lang w:val="en-GB"/>
              </w:rPr>
            </w:pPr>
          </w:p>
          <w:p w:rsidR="00B34D60" w:rsidRDefault="00B34D60" w:rsidP="00B34D60">
            <w:pPr>
              <w:rPr>
                <w:rFonts w:ascii="Helvetica" w:hAnsi="Helvetica" w:cs="Helvetica"/>
                <w:b/>
                <w:lang w:val="en-GB"/>
              </w:rPr>
            </w:pPr>
          </w:p>
          <w:p w:rsidR="00B34D60" w:rsidRPr="00C055A5" w:rsidRDefault="00B34D60" w:rsidP="00B34D60">
            <w:pPr>
              <w:rPr>
                <w:rFonts w:ascii="Helvetica" w:hAnsi="Helvetica" w:cs="Helvetica"/>
                <w:b/>
                <w:lang w:val="en-GB"/>
              </w:rPr>
            </w:pPr>
          </w:p>
        </w:tc>
        <w:tc>
          <w:tcPr>
            <w:tcW w:w="1632" w:type="dxa"/>
            <w:gridSpan w:val="2"/>
            <w:tcBorders>
              <w:top w:val="single" w:sz="4" w:space="0" w:color="auto"/>
              <w:left w:val="single" w:sz="4" w:space="0" w:color="auto"/>
              <w:bottom w:val="single" w:sz="4" w:space="0" w:color="auto"/>
              <w:right w:val="single" w:sz="4" w:space="0" w:color="auto"/>
            </w:tcBorders>
          </w:tcPr>
          <w:p w:rsidR="00B34D60" w:rsidRPr="00C055A5" w:rsidRDefault="00B34D60" w:rsidP="00B34D60">
            <w:pPr>
              <w:jc w:val="center"/>
              <w:rPr>
                <w:rFonts w:ascii="Helvetica" w:hAnsi="Helvetica" w:cs="Helvetica"/>
                <w:lang w:val="en-GB"/>
              </w:rPr>
            </w:pPr>
            <w:r w:rsidRPr="00C055A5">
              <w:rPr>
                <w:rFonts w:ascii="Helvetica" w:hAnsi="Helvetica" w:cs="Helvetica"/>
                <w:b/>
                <w:lang w:val="en-GB"/>
              </w:rPr>
              <w:t>SUBTOTAL B.2</w:t>
            </w:r>
          </w:p>
        </w:tc>
        <w:tc>
          <w:tcPr>
            <w:tcW w:w="2080" w:type="dxa"/>
            <w:gridSpan w:val="3"/>
            <w:tcBorders>
              <w:top w:val="single" w:sz="4" w:space="0" w:color="auto"/>
              <w:left w:val="single" w:sz="4" w:space="0" w:color="auto"/>
              <w:bottom w:val="single" w:sz="4" w:space="0" w:color="auto"/>
            </w:tcBorders>
          </w:tcPr>
          <w:p w:rsidR="00B34D60" w:rsidRPr="00AE0EAF" w:rsidRDefault="00B34D60" w:rsidP="00B34D60">
            <w:pPr>
              <w:jc w:val="center"/>
              <w:rPr>
                <w:rFonts w:ascii="Helvetica" w:hAnsi="Helvetica" w:cs="Helvetica"/>
                <w:bCs/>
              </w:rPr>
            </w:pPr>
            <w:r w:rsidRPr="00CF7EFB">
              <w:rPr>
                <w:rFonts w:ascii="Helvetica" w:hAnsi="Helvetica" w:cs="Helvetica"/>
                <w:bCs/>
              </w:rPr>
              <w:t>21,742,683</w:t>
            </w:r>
          </w:p>
        </w:tc>
        <w:tc>
          <w:tcPr>
            <w:tcW w:w="2015" w:type="dxa"/>
            <w:tcBorders>
              <w:top w:val="single" w:sz="4" w:space="0" w:color="auto"/>
              <w:left w:val="single" w:sz="4" w:space="0" w:color="auto"/>
              <w:bottom w:val="single" w:sz="4" w:space="0" w:color="auto"/>
              <w:right w:val="single" w:sz="4" w:space="0" w:color="auto"/>
            </w:tcBorders>
          </w:tcPr>
          <w:p w:rsidR="00B34D60" w:rsidRPr="00AE0EAF" w:rsidRDefault="00B34D60" w:rsidP="00B34D60">
            <w:pPr>
              <w:jc w:val="center"/>
              <w:rPr>
                <w:rFonts w:ascii="Helvetica" w:hAnsi="Helvetica" w:cs="Helvetica"/>
                <w:bCs/>
              </w:rPr>
            </w:pPr>
            <w:r>
              <w:rPr>
                <w:rFonts w:ascii="Helvetica" w:hAnsi="Helvetica" w:cs="Helvetica"/>
                <w:bCs/>
              </w:rPr>
              <w:t>1.996 %</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rsidTr="007D06C3">
        <w:trPr>
          <w:trHeight w:val="440"/>
        </w:trPr>
        <w:tc>
          <w:tcPr>
            <w:tcW w:w="2655" w:type="dxa"/>
            <w:vAlign w:val="center"/>
          </w:tcPr>
          <w:p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2505B1" w:rsidRPr="00C055A5" w:rsidTr="007D06C3">
        <w:trPr>
          <w:trHeight w:val="440"/>
        </w:trPr>
        <w:tc>
          <w:tcPr>
            <w:tcW w:w="2655" w:type="dxa"/>
            <w:vAlign w:val="center"/>
          </w:tcPr>
          <w:p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0A2A41" w:rsidRPr="000A2A41" w:rsidTr="004C552B">
        <w:trPr>
          <w:trHeight w:val="359"/>
        </w:trPr>
        <w:tc>
          <w:tcPr>
            <w:tcW w:w="2655" w:type="dxa"/>
            <w:vAlign w:val="center"/>
          </w:tcPr>
          <w:p w:rsidR="000A2A41" w:rsidRPr="00B72588" w:rsidRDefault="000A2A41" w:rsidP="000A2A41">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rsidR="000A2A41" w:rsidRPr="000A2A41" w:rsidRDefault="00B34D60" w:rsidP="0048695A">
            <w:pPr>
              <w:jc w:val="center"/>
            </w:pPr>
            <w:r>
              <w:t>4.050</w:t>
            </w:r>
            <w:r w:rsidR="006853C8">
              <w:t xml:space="preserve"> </w:t>
            </w:r>
            <w:r w:rsidR="00DF0437">
              <w:t xml:space="preserve">% </w:t>
            </w:r>
          </w:p>
        </w:tc>
        <w:tc>
          <w:tcPr>
            <w:tcW w:w="2655" w:type="dxa"/>
          </w:tcPr>
          <w:p w:rsidR="000A2A41" w:rsidRPr="000A2A41" w:rsidRDefault="00B34D60" w:rsidP="000A2A41">
            <w:pPr>
              <w:jc w:val="center"/>
            </w:pPr>
            <w:r>
              <w:t>2.057</w:t>
            </w:r>
            <w:r w:rsidR="00DF0437">
              <w:t xml:space="preserve"> %</w:t>
            </w:r>
          </w:p>
        </w:tc>
        <w:tc>
          <w:tcPr>
            <w:tcW w:w="2655" w:type="dxa"/>
          </w:tcPr>
          <w:p w:rsidR="000A2A41" w:rsidRPr="000A2A41" w:rsidRDefault="00B34D60" w:rsidP="000A2A41">
            <w:pPr>
              <w:jc w:val="center"/>
            </w:pPr>
            <w:r>
              <w:t>6.107</w:t>
            </w:r>
            <w:r w:rsidR="00DF0437">
              <w:t xml:space="preserve"> %</w:t>
            </w:r>
          </w:p>
        </w:tc>
      </w:tr>
      <w:tr w:rsidR="007D06C3" w:rsidRPr="000A2A41" w:rsidTr="00F1736C">
        <w:trPr>
          <w:trHeight w:val="440"/>
        </w:trPr>
        <w:tc>
          <w:tcPr>
            <w:tcW w:w="2655" w:type="dxa"/>
          </w:tcPr>
          <w:p w:rsidR="007D06C3" w:rsidRPr="00C055A5" w:rsidRDefault="007D06C3" w:rsidP="007D06C3">
            <w:pPr>
              <w:rPr>
                <w:rFonts w:ascii="Helvetica" w:hAnsi="Helvetica" w:cs="Helvetica"/>
                <w:b/>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rsidR="007D06C3" w:rsidRPr="002E67B5" w:rsidRDefault="00DF0437" w:rsidP="000A2A41">
            <w:pPr>
              <w:jc w:val="center"/>
            </w:pPr>
            <w:r w:rsidRPr="00DF0437">
              <w:t>0.000</w:t>
            </w:r>
            <w:r>
              <w:t xml:space="preserve"> %</w:t>
            </w:r>
          </w:p>
        </w:tc>
        <w:tc>
          <w:tcPr>
            <w:tcW w:w="2655" w:type="dxa"/>
            <w:vAlign w:val="center"/>
          </w:tcPr>
          <w:p w:rsidR="007D06C3" w:rsidRPr="000A2A41" w:rsidRDefault="005C0D6C" w:rsidP="000A2A41">
            <w:pPr>
              <w:jc w:val="center"/>
              <w:rPr>
                <w:rFonts w:ascii="Helvetica" w:hAnsi="Helvetica" w:cs="Helvetica"/>
                <w:lang w:val="en-GB"/>
              </w:rPr>
            </w:pPr>
            <w:r>
              <w:t>NA</w:t>
            </w:r>
          </w:p>
        </w:tc>
        <w:tc>
          <w:tcPr>
            <w:tcW w:w="2655" w:type="dxa"/>
            <w:vAlign w:val="center"/>
          </w:tcPr>
          <w:p w:rsidR="007D06C3" w:rsidRPr="00D0489E" w:rsidRDefault="00DF0437" w:rsidP="002E67B5">
            <w:pPr>
              <w:jc w:val="center"/>
            </w:pPr>
            <w:r w:rsidRPr="00D0489E">
              <w:t>0.000 %</w:t>
            </w:r>
          </w:p>
        </w:tc>
      </w:tr>
      <w:tr w:rsidR="007D06C3" w:rsidRPr="000A2A41" w:rsidTr="00F1736C">
        <w:trPr>
          <w:trHeight w:val="440"/>
        </w:trPr>
        <w:tc>
          <w:tcPr>
            <w:tcW w:w="2655" w:type="dxa"/>
          </w:tcPr>
          <w:p w:rsidR="007D06C3" w:rsidRPr="007D06C3" w:rsidRDefault="007D06C3" w:rsidP="007D06C3">
            <w:pPr>
              <w:rPr>
                <w:rFonts w:ascii="Helvetica" w:hAnsi="Helvetica" w:cs="Helvetica"/>
                <w:sz w:val="20"/>
                <w:szCs w:val="20"/>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Gesellschaft fur Bankbeteiligungen mbH</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INKA Internationale Kapitalanlagegesellschaft mbH</w:t>
            </w:r>
          </w:p>
        </w:tc>
        <w:tc>
          <w:tcPr>
            <w:tcW w:w="2655" w:type="dxa"/>
            <w:vAlign w:val="center"/>
          </w:tcPr>
          <w:p w:rsidR="00844167" w:rsidRPr="000A2A41" w:rsidRDefault="00F320F9" w:rsidP="00844167">
            <w:pPr>
              <w:jc w:val="center"/>
              <w:rPr>
                <w:rFonts w:ascii="Helvetica" w:hAnsi="Helvetica" w:cs="Helvetica"/>
                <w:lang w:val="en-GB"/>
              </w:rPr>
            </w:pPr>
            <w:r>
              <w:rPr>
                <w:rFonts w:ascii="Helvetica" w:hAnsi="Helvetica" w:cs="Helvetica"/>
                <w:lang w:val="en-GB"/>
              </w:rPr>
              <w:t>0.049</w:t>
            </w:r>
            <w:r w:rsidR="00DF0437">
              <w:rPr>
                <w:rFonts w:ascii="Helvetica" w:hAnsi="Helvetica" w:cs="Helvetica"/>
                <w:lang w:val="en-GB"/>
              </w:rPr>
              <w:t xml:space="preserve"> %</w:t>
            </w:r>
          </w:p>
        </w:tc>
        <w:tc>
          <w:tcPr>
            <w:tcW w:w="2655" w:type="dxa"/>
            <w:vAlign w:val="center"/>
          </w:tcPr>
          <w:p w:rsidR="00844167" w:rsidRPr="000A2A41" w:rsidRDefault="005C0D6C" w:rsidP="00844167">
            <w:pPr>
              <w:jc w:val="center"/>
              <w:rPr>
                <w:rFonts w:ascii="Helvetica" w:hAnsi="Helvetica" w:cs="Helvetica"/>
                <w:lang w:val="en-GB"/>
              </w:rPr>
            </w:pPr>
            <w:r>
              <w:t>NA</w:t>
            </w:r>
          </w:p>
        </w:tc>
        <w:tc>
          <w:tcPr>
            <w:tcW w:w="2655" w:type="dxa"/>
            <w:vAlign w:val="center"/>
          </w:tcPr>
          <w:p w:rsidR="00844167" w:rsidRPr="000A2A41" w:rsidRDefault="00F320F9" w:rsidP="00844167">
            <w:pPr>
              <w:jc w:val="center"/>
              <w:rPr>
                <w:rFonts w:ascii="Helvetica" w:hAnsi="Helvetica" w:cs="Helvetica"/>
                <w:lang w:val="en-GB"/>
              </w:rPr>
            </w:pPr>
            <w:r>
              <w:rPr>
                <w:rFonts w:ascii="Helvetica" w:hAnsi="Helvetica" w:cs="Helvetica"/>
                <w:lang w:val="en-GB"/>
              </w:rPr>
              <w:t>0.049</w:t>
            </w:r>
            <w:r w:rsidR="00DF0437">
              <w:rPr>
                <w:rFonts w:ascii="Helvetica" w:hAnsi="Helvetica" w:cs="Helvetica"/>
                <w:lang w:val="en-GB"/>
              </w:rPr>
              <w:t xml:space="preserve"> %</w:t>
            </w:r>
          </w:p>
        </w:tc>
      </w:tr>
      <w:tr w:rsidR="00844167" w:rsidRPr="00C055A5" w:rsidTr="00F1736C">
        <w:trPr>
          <w:trHeight w:val="710"/>
        </w:trPr>
        <w:tc>
          <w:tcPr>
            <w:tcW w:w="10620" w:type="dxa"/>
            <w:gridSpan w:val="4"/>
            <w:tcBorders>
              <w:left w:val="nil"/>
              <w:right w:val="nil"/>
            </w:tcBorders>
          </w:tcPr>
          <w:p w:rsidR="00844167" w:rsidRPr="00C055A5" w:rsidRDefault="00844167" w:rsidP="00844167">
            <w:pPr>
              <w:rPr>
                <w:rFonts w:ascii="Helvetica" w:hAnsi="Helvetica" w:cs="Helvetica"/>
                <w:b/>
                <w:lang w:val="en-GB"/>
              </w:rPr>
            </w:pPr>
          </w:p>
        </w:tc>
      </w:tr>
      <w:tr w:rsidR="00844167" w:rsidRPr="00C055A5" w:rsidTr="00F1736C">
        <w:trPr>
          <w:trHeight w:val="694"/>
        </w:trPr>
        <w:tc>
          <w:tcPr>
            <w:tcW w:w="10620" w:type="dxa"/>
            <w:gridSpan w:val="4"/>
            <w:vAlign w:val="center"/>
          </w:tcPr>
          <w:p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rsidTr="00F1736C">
        <w:trPr>
          <w:trHeight w:val="530"/>
        </w:trPr>
        <w:tc>
          <w:tcPr>
            <w:tcW w:w="10620" w:type="dxa"/>
            <w:gridSpan w:val="4"/>
            <w:tcBorders>
              <w:left w:val="nil"/>
              <w:bottom w:val="nil"/>
              <w:right w:val="nil"/>
            </w:tcBorders>
            <w:vAlign w:val="center"/>
          </w:tcPr>
          <w:p w:rsidR="00844167" w:rsidRPr="00C055A5" w:rsidRDefault="00844167" w:rsidP="00844167">
            <w:pPr>
              <w:rPr>
                <w:rFonts w:ascii="Helvetica" w:hAnsi="Helvetica" w:cs="Helvetica"/>
                <w:lang w:val="en-GB"/>
              </w:rPr>
            </w:pPr>
          </w:p>
        </w:tc>
      </w:tr>
      <w:tr w:rsidR="00844167" w:rsidRPr="00C055A5" w:rsidTr="00F1736C">
        <w:trPr>
          <w:trHeight w:val="950"/>
        </w:trPr>
        <w:tc>
          <w:tcPr>
            <w:tcW w:w="10620" w:type="dxa"/>
            <w:gridSpan w:val="4"/>
          </w:tcPr>
          <w:p w:rsidR="00844167" w:rsidRPr="00B765F9" w:rsidRDefault="00844167" w:rsidP="00367C84">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367C84" w:rsidRPr="00367C84">
              <w:rPr>
                <w:rFonts w:ascii="Helvetica" w:hAnsi="Helvetica" w:cs="Helvetica"/>
                <w:sz w:val="18"/>
                <w:szCs w:val="18"/>
                <w:lang w:val="en-GB"/>
              </w:rPr>
              <w:t xml:space="preserve"> includes a stock borrow of 47,000 shares</w:t>
            </w:r>
          </w:p>
        </w:tc>
      </w:tr>
    </w:tbl>
    <w:p w:rsidR="00C5065C" w:rsidRPr="00C055A5" w:rsidRDefault="00C5065C" w:rsidP="00C5065C">
      <w:pPr>
        <w:rPr>
          <w:rFonts w:ascii="Helvetica" w:hAnsi="Helvetica" w:cs="Helvetica"/>
          <w:lang w:val="en-GB"/>
        </w:rPr>
      </w:pPr>
    </w:p>
    <w:p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B34D60">
        <w:rPr>
          <w:rFonts w:ascii="Helvetica" w:hAnsi="Helvetica" w:cs="Helvetica"/>
          <w:lang w:val="en-GB"/>
        </w:rPr>
        <w:t>24</w:t>
      </w:r>
      <w:r w:rsidR="00F320F9">
        <w:rPr>
          <w:rFonts w:ascii="Helvetica" w:hAnsi="Helvetica" w:cs="Helvetica"/>
          <w:lang w:val="en-GB"/>
        </w:rPr>
        <w:t xml:space="preserve"> April</w:t>
      </w:r>
      <w:r w:rsidR="002E67B5">
        <w:rPr>
          <w:rFonts w:ascii="Helvetica" w:hAnsi="Helvetica" w:cs="Helvetica"/>
          <w:lang w:val="en-GB"/>
        </w:rPr>
        <w:t xml:space="preserve"> 2020</w:t>
      </w:r>
    </w:p>
    <w:p w:rsidR="00D0489E" w:rsidRDefault="00D0489E"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153C52" w:rsidRDefault="00153C52" w:rsidP="003F2513">
      <w:pPr>
        <w:spacing w:line="240" w:lineRule="auto"/>
        <w:ind w:left="-709" w:right="-897"/>
        <w:jc w:val="both"/>
        <w:rPr>
          <w:rFonts w:ascii="Helvetica" w:hAnsi="Helvetica" w:cs="Helvetica"/>
          <w:i/>
          <w:iCs/>
          <w:sz w:val="20"/>
          <w:szCs w:val="20"/>
        </w:rPr>
      </w:pPr>
    </w:p>
    <w:p w:rsidR="00153C52" w:rsidRDefault="00153C52" w:rsidP="003F2513">
      <w:pPr>
        <w:spacing w:line="240" w:lineRule="auto"/>
        <w:ind w:left="-709" w:right="-897"/>
        <w:jc w:val="both"/>
        <w:rPr>
          <w:rFonts w:ascii="Helvetica" w:hAnsi="Helvetica" w:cs="Helvetica"/>
          <w:i/>
          <w:iCs/>
          <w:sz w:val="20"/>
          <w:szCs w:val="20"/>
        </w:rPr>
      </w:pPr>
    </w:p>
    <w:p w:rsidR="003F2513" w:rsidRDefault="003F2513" w:rsidP="003F2513">
      <w:pPr>
        <w:spacing w:line="240" w:lineRule="auto"/>
        <w:ind w:left="-709" w:right="-897"/>
        <w:jc w:val="both"/>
        <w:rPr>
          <w:rFonts w:ascii="Helvetica" w:hAnsi="Helvetica" w:cs="Helvetica"/>
          <w:sz w:val="20"/>
          <w:szCs w:val="20"/>
        </w:rPr>
      </w:pPr>
      <w:r>
        <w:rPr>
          <w:rFonts w:ascii="Helvetica" w:hAnsi="Helvetica" w:cs="Helvetica"/>
          <w:i/>
          <w:iCs/>
          <w:sz w:val="20"/>
          <w:szCs w:val="20"/>
        </w:rPr>
        <w:t xml:space="preserve">The Central Bank of Ireland (“Central Bank”)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Pr>
            <w:rStyle w:val="Hyperlink"/>
            <w:rFonts w:ascii="Helvetica" w:hAnsi="Helvetica" w:cs="Helvetica"/>
            <w:i/>
            <w:iCs/>
            <w:sz w:val="20"/>
            <w:szCs w:val="20"/>
            <w:lang w:val="en-US"/>
          </w:rPr>
          <w:t>dataprotection@centralbank.ie</w:t>
        </w:r>
      </w:hyperlink>
      <w:r>
        <w:rPr>
          <w:rFonts w:ascii="Helvetica" w:hAnsi="Helvetica" w:cs="Helvetica"/>
          <w:i/>
          <w:iCs/>
          <w:sz w:val="20"/>
          <w:szCs w:val="20"/>
          <w:lang w:val="en-US"/>
        </w:rPr>
        <w:t xml:space="preserve">. A copy of the Central Bank’s Data Protection Notice is available at </w:t>
      </w:r>
      <w:hyperlink r:id="rId12" w:history="1">
        <w:r>
          <w:rPr>
            <w:rStyle w:val="Hyperlink"/>
            <w:rFonts w:ascii="Helvetica" w:hAnsi="Helvetica" w:cs="Helvetica"/>
            <w:i/>
            <w:iCs/>
            <w:sz w:val="20"/>
            <w:szCs w:val="20"/>
            <w:lang w:val="en-US"/>
          </w:rPr>
          <w:t>www.centralbank.ie/fns/privacy-statement</w:t>
        </w:r>
      </w:hyperlink>
      <w:r>
        <w:rPr>
          <w:rFonts w:ascii="Helvetica" w:hAnsi="Helvetica" w:cs="Helvetica"/>
          <w:i/>
          <w:iCs/>
          <w:sz w:val="20"/>
          <w:szCs w:val="20"/>
          <w:lang w:val="en-US"/>
        </w:rPr>
        <w:t>.</w:t>
      </w:r>
    </w:p>
    <w:p w:rsidR="003F2513" w:rsidRDefault="003F2513" w:rsidP="00FF42DB">
      <w:pPr>
        <w:rPr>
          <w:rFonts w:ascii="Helvetica" w:hAnsi="Helvetica" w:cs="Helvetica"/>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7126" w:rsidRDefault="00077126" w:rsidP="00461D39">
      <w:pPr>
        <w:spacing w:after="0" w:line="240" w:lineRule="auto"/>
      </w:pPr>
      <w:r>
        <w:separator/>
      </w:r>
    </w:p>
  </w:endnote>
  <w:endnote w:type="continuationSeparator" w:id="0">
    <w:p w:rsidR="00077126" w:rsidRDefault="00077126"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B41825">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7126" w:rsidRDefault="00077126" w:rsidP="00461D39">
      <w:pPr>
        <w:spacing w:after="0" w:line="240" w:lineRule="auto"/>
      </w:pPr>
      <w:r>
        <w:separator/>
      </w:r>
    </w:p>
  </w:footnote>
  <w:footnote w:type="continuationSeparator" w:id="0">
    <w:p w:rsidR="00077126" w:rsidRDefault="00077126"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03E2"/>
    <w:rsid w:val="00045841"/>
    <w:rsid w:val="000602C9"/>
    <w:rsid w:val="00077126"/>
    <w:rsid w:val="000911FE"/>
    <w:rsid w:val="000970DD"/>
    <w:rsid w:val="000A2A41"/>
    <w:rsid w:val="000A3CA4"/>
    <w:rsid w:val="000A44F2"/>
    <w:rsid w:val="000C091A"/>
    <w:rsid w:val="000D1565"/>
    <w:rsid w:val="000D594E"/>
    <w:rsid w:val="000E568A"/>
    <w:rsid w:val="000F47A3"/>
    <w:rsid w:val="000F6B76"/>
    <w:rsid w:val="00112785"/>
    <w:rsid w:val="0015068A"/>
    <w:rsid w:val="00153C52"/>
    <w:rsid w:val="00167CAC"/>
    <w:rsid w:val="001C5E7D"/>
    <w:rsid w:val="001E7189"/>
    <w:rsid w:val="001E7805"/>
    <w:rsid w:val="00202FB8"/>
    <w:rsid w:val="002177A2"/>
    <w:rsid w:val="00250073"/>
    <w:rsid w:val="002505B1"/>
    <w:rsid w:val="00262901"/>
    <w:rsid w:val="002679F6"/>
    <w:rsid w:val="002772AA"/>
    <w:rsid w:val="00283687"/>
    <w:rsid w:val="0029198F"/>
    <w:rsid w:val="002B45E2"/>
    <w:rsid w:val="002D7AA4"/>
    <w:rsid w:val="002E08F1"/>
    <w:rsid w:val="002E3367"/>
    <w:rsid w:val="002E67B5"/>
    <w:rsid w:val="00303C3D"/>
    <w:rsid w:val="00320F50"/>
    <w:rsid w:val="00347AA4"/>
    <w:rsid w:val="003513AD"/>
    <w:rsid w:val="00363D19"/>
    <w:rsid w:val="00364679"/>
    <w:rsid w:val="00367C84"/>
    <w:rsid w:val="00375363"/>
    <w:rsid w:val="00383E9F"/>
    <w:rsid w:val="003C2D94"/>
    <w:rsid w:val="003F2513"/>
    <w:rsid w:val="003F7EA9"/>
    <w:rsid w:val="004014AA"/>
    <w:rsid w:val="00413475"/>
    <w:rsid w:val="004315C3"/>
    <w:rsid w:val="004355BC"/>
    <w:rsid w:val="00452B32"/>
    <w:rsid w:val="00461D39"/>
    <w:rsid w:val="00485978"/>
    <w:rsid w:val="0048695A"/>
    <w:rsid w:val="00487EF8"/>
    <w:rsid w:val="00497B7B"/>
    <w:rsid w:val="004B1997"/>
    <w:rsid w:val="004F440A"/>
    <w:rsid w:val="0051302B"/>
    <w:rsid w:val="00517DC7"/>
    <w:rsid w:val="00521E70"/>
    <w:rsid w:val="00562726"/>
    <w:rsid w:val="005A1083"/>
    <w:rsid w:val="005B76F7"/>
    <w:rsid w:val="005C0D6C"/>
    <w:rsid w:val="005E68B6"/>
    <w:rsid w:val="00613BE2"/>
    <w:rsid w:val="00615050"/>
    <w:rsid w:val="00617C3C"/>
    <w:rsid w:val="00634BBC"/>
    <w:rsid w:val="006477DA"/>
    <w:rsid w:val="00660EFD"/>
    <w:rsid w:val="006738DB"/>
    <w:rsid w:val="006853C8"/>
    <w:rsid w:val="00691BE1"/>
    <w:rsid w:val="00692996"/>
    <w:rsid w:val="006D55A2"/>
    <w:rsid w:val="0070184B"/>
    <w:rsid w:val="0071416B"/>
    <w:rsid w:val="00715764"/>
    <w:rsid w:val="007238DB"/>
    <w:rsid w:val="00737B55"/>
    <w:rsid w:val="00795C4F"/>
    <w:rsid w:val="007C162B"/>
    <w:rsid w:val="007C6521"/>
    <w:rsid w:val="007D06C3"/>
    <w:rsid w:val="007D1134"/>
    <w:rsid w:val="007E5936"/>
    <w:rsid w:val="007E5D35"/>
    <w:rsid w:val="00804F7A"/>
    <w:rsid w:val="00837258"/>
    <w:rsid w:val="00844167"/>
    <w:rsid w:val="00850A39"/>
    <w:rsid w:val="008778CE"/>
    <w:rsid w:val="00881609"/>
    <w:rsid w:val="00881769"/>
    <w:rsid w:val="00887DDD"/>
    <w:rsid w:val="008F18BE"/>
    <w:rsid w:val="00903EB8"/>
    <w:rsid w:val="00904147"/>
    <w:rsid w:val="00937EA1"/>
    <w:rsid w:val="00943E63"/>
    <w:rsid w:val="00954635"/>
    <w:rsid w:val="0097462E"/>
    <w:rsid w:val="00975CD2"/>
    <w:rsid w:val="009A31F4"/>
    <w:rsid w:val="009C06FF"/>
    <w:rsid w:val="009C1B4B"/>
    <w:rsid w:val="009F6BC1"/>
    <w:rsid w:val="009F6C11"/>
    <w:rsid w:val="009F72EE"/>
    <w:rsid w:val="00A2252E"/>
    <w:rsid w:val="00A35F1A"/>
    <w:rsid w:val="00A52B83"/>
    <w:rsid w:val="00A548C2"/>
    <w:rsid w:val="00A61A0A"/>
    <w:rsid w:val="00A73B7D"/>
    <w:rsid w:val="00A826EE"/>
    <w:rsid w:val="00AB250E"/>
    <w:rsid w:val="00AC6627"/>
    <w:rsid w:val="00AE0EAF"/>
    <w:rsid w:val="00AE0FFC"/>
    <w:rsid w:val="00AE1C04"/>
    <w:rsid w:val="00AF4C56"/>
    <w:rsid w:val="00B03853"/>
    <w:rsid w:val="00B34D60"/>
    <w:rsid w:val="00B352FB"/>
    <w:rsid w:val="00B41825"/>
    <w:rsid w:val="00B41CCA"/>
    <w:rsid w:val="00B4432C"/>
    <w:rsid w:val="00B45628"/>
    <w:rsid w:val="00B47EB3"/>
    <w:rsid w:val="00B66ACA"/>
    <w:rsid w:val="00B765F9"/>
    <w:rsid w:val="00B878F3"/>
    <w:rsid w:val="00B90819"/>
    <w:rsid w:val="00B93452"/>
    <w:rsid w:val="00BA42D8"/>
    <w:rsid w:val="00BA72A7"/>
    <w:rsid w:val="00BA7EA8"/>
    <w:rsid w:val="00BC7FD6"/>
    <w:rsid w:val="00BE56FD"/>
    <w:rsid w:val="00BF2795"/>
    <w:rsid w:val="00C055A5"/>
    <w:rsid w:val="00C21D61"/>
    <w:rsid w:val="00C40AB9"/>
    <w:rsid w:val="00C5065C"/>
    <w:rsid w:val="00C512C5"/>
    <w:rsid w:val="00CB53E4"/>
    <w:rsid w:val="00CC2D4A"/>
    <w:rsid w:val="00CD45C9"/>
    <w:rsid w:val="00CE3EAB"/>
    <w:rsid w:val="00CF7EFB"/>
    <w:rsid w:val="00D00BF5"/>
    <w:rsid w:val="00D0489E"/>
    <w:rsid w:val="00D10299"/>
    <w:rsid w:val="00D14BB9"/>
    <w:rsid w:val="00D170BF"/>
    <w:rsid w:val="00D2326B"/>
    <w:rsid w:val="00D2417E"/>
    <w:rsid w:val="00D31F60"/>
    <w:rsid w:val="00D363B8"/>
    <w:rsid w:val="00DF0437"/>
    <w:rsid w:val="00E108B0"/>
    <w:rsid w:val="00E153F3"/>
    <w:rsid w:val="00E372B7"/>
    <w:rsid w:val="00E71ADD"/>
    <w:rsid w:val="00E735E4"/>
    <w:rsid w:val="00E76FEA"/>
    <w:rsid w:val="00E82A27"/>
    <w:rsid w:val="00E95185"/>
    <w:rsid w:val="00ED3B5E"/>
    <w:rsid w:val="00EF019C"/>
    <w:rsid w:val="00F21891"/>
    <w:rsid w:val="00F21FBB"/>
    <w:rsid w:val="00F26D04"/>
    <w:rsid w:val="00F27B89"/>
    <w:rsid w:val="00F30280"/>
    <w:rsid w:val="00F30E36"/>
    <w:rsid w:val="00F320F9"/>
    <w:rsid w:val="00F32B37"/>
    <w:rsid w:val="00F951A8"/>
    <w:rsid w:val="00FA5B04"/>
    <w:rsid w:val="00FC4FA5"/>
    <w:rsid w:val="00FD17CE"/>
    <w:rsid w:val="00FD3EC9"/>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2020-04-24T16:23:43+00:00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F2041-2F61-4EB4-BABC-62DFA0CC03A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B0CDA462-2F7C-4E5A-BFE5-2CA2F8C3E501}"/>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10291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Tennant Humphreys, Stephen</cp:lastModifiedBy>
  <cp:revision>2</cp:revision>
  <cp:lastPrinted>2018-05-17T07:12:00Z</cp:lastPrinted>
  <dcterms:created xsi:type="dcterms:W3CDTF">2020-04-24T16:18:00Z</dcterms:created>
  <dcterms:modified xsi:type="dcterms:W3CDTF">2020-04-24T16:18:00Z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Classification">
    <vt:lpwstr>PUBLIC</vt:lpwstr>
  </property>
  <property fmtid="{D5CDD505-2E9C-101B-9397-08002B2CF9AE}" pid="18" name="Source">
    <vt:lpwstr>Internal</vt:lpwstr>
  </property>
  <property fmtid="{D5CDD505-2E9C-101B-9397-08002B2CF9AE}" pid="19" name="Footers">
    <vt:lpwstr>Footers</vt:lpwstr>
  </property>
  <property fmtid="{D5CDD505-2E9C-101B-9397-08002B2CF9AE}" pid="20" name="DocClassification">
    <vt:lpwstr>CLAPUBLIC</vt:lpwstr>
  </property>
  <property fmtid="{D5CDD505-2E9C-101B-9397-08002B2CF9AE}" pid="22" name="IssuerID">
    <vt:lpwstr/>
  </property>
  <property fmtid="{D5CDD505-2E9C-101B-9397-08002B2CF9AE}" pid="23" name="JobContentType">
    <vt:lpwstr/>
  </property>
  <property fmtid="{D5CDD505-2E9C-101B-9397-08002B2CF9AE}" pid="24" name="MediaServiceImageTags">
    <vt:lpwstr/>
  </property>
  <property fmtid="{D5CDD505-2E9C-101B-9397-08002B2CF9AE}" pid="25" name="JobType">
    <vt:lpwstr/>
  </property>
  <property fmtid="{D5CDD505-2E9C-101B-9397-08002B2CF9AE}" pid="26" name="Contact">
    <vt:lpwstr/>
  </property>
  <property fmtid="{D5CDD505-2E9C-101B-9397-08002B2CF9AE}" pid="28" name="IssuerName">
    <vt:lpwstr/>
  </property>
  <property fmtid="{D5CDD505-2E9C-101B-9397-08002B2CF9AE}" pid="30" name="Organisation">
    <vt:lpwstr/>
  </property>
</Properties>
</file>