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226086">
        <w:trPr>
          <w:trHeight w:val="620"/>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226086">
        <w:trPr>
          <w:trHeight w:val="467"/>
        </w:trPr>
        <w:tc>
          <w:tcPr>
            <w:tcW w:w="10620" w:type="dxa"/>
            <w:gridSpan w:val="6"/>
            <w:vAlign w:val="center"/>
          </w:tcPr>
          <w:p w:rsidR="00C5065C" w:rsidRPr="00C055A5" w:rsidRDefault="00C5065C" w:rsidP="00226086">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465B79" w:rsidRPr="00465B79">
              <w:rPr>
                <w:rFonts w:ascii="Helvetica" w:hAnsi="Helvetica" w:cs="Helvetica"/>
                <w:lang w:val="en-GB"/>
              </w:rPr>
              <w:t>Ryanair Holdings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630E34">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xml:space="preserve">[] Other (please </w:t>
            </w:r>
            <w:proofErr w:type="gramStart"/>
            <w:r w:rsidRPr="00C055A5">
              <w:rPr>
                <w:rFonts w:ascii="Helvetica" w:hAnsi="Helvetica" w:cs="Helvetica"/>
                <w:lang w:val="en-GB"/>
              </w:rPr>
              <w:t>specify)</w:t>
            </w:r>
            <w:r w:rsidRPr="00C055A5">
              <w:rPr>
                <w:rFonts w:ascii="Helvetica" w:hAnsi="Helvetica" w:cs="Helvetica"/>
                <w:vertAlign w:val="superscript"/>
                <w:lang w:val="en-GB"/>
              </w:rPr>
              <w:t>iii</w:t>
            </w:r>
            <w:proofErr w:type="gramEnd"/>
            <w:r w:rsidRPr="00C055A5">
              <w:rPr>
                <w:rFonts w:ascii="Helvetica" w:hAnsi="Helvetica" w:cs="Helvetica"/>
                <w:lang w:val="en-GB"/>
              </w:rPr>
              <w:t>:</w:t>
            </w:r>
            <w:r w:rsidR="000C1CAC">
              <w:t xml:space="preserve"> </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rsidTr="00226086">
        <w:trPr>
          <w:trHeight w:val="702"/>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147C18" w:rsidRPr="00147C18">
              <w:rPr>
                <w:rFonts w:ascii="Helvetica" w:hAnsi="Helvetica" w:cs="Helvetica"/>
                <w:lang w:val="en-GB"/>
              </w:rPr>
              <w:t>JPMorgan Chase &amp; Co.</w:t>
            </w:r>
          </w:p>
        </w:tc>
        <w:tc>
          <w:tcPr>
            <w:tcW w:w="6469" w:type="dxa"/>
            <w:gridSpan w:val="4"/>
            <w:tcBorders>
              <w:top w:val="nil"/>
            </w:tcBorders>
            <w:vAlign w:val="center"/>
          </w:tcPr>
          <w:p w:rsidR="00281DF6"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281DF6" w:rsidP="000C1CAC">
            <w:pPr>
              <w:rPr>
                <w:rFonts w:ascii="Helvetica" w:hAnsi="Helvetica" w:cs="Helvetica"/>
                <w:lang w:val="en-GB"/>
              </w:rPr>
            </w:pPr>
            <w:r w:rsidRPr="00EE522D">
              <w:rPr>
                <w:rFonts w:ascii="Helvetica" w:hAnsi="Helvetica" w:cs="Helvetica"/>
                <w:lang w:val="en-GB"/>
              </w:rPr>
              <w:t xml:space="preserve">Wilmington, </w:t>
            </w:r>
            <w:r>
              <w:rPr>
                <w:rFonts w:ascii="Helvetica" w:hAnsi="Helvetica" w:cs="Helvetica"/>
                <w:lang w:val="en-GB"/>
              </w:rPr>
              <w:t xml:space="preserve">Delaware, </w:t>
            </w:r>
            <w:r w:rsidRPr="00EE522D">
              <w:rPr>
                <w:rFonts w:ascii="Helvetica" w:hAnsi="Helvetica" w:cs="Helvetica"/>
                <w:lang w:val="en-GB"/>
              </w:rPr>
              <w:t>United States of America</w:t>
            </w:r>
          </w:p>
        </w:tc>
      </w:tr>
      <w:tr w:rsidR="00C5065C" w:rsidRPr="00C055A5" w:rsidTr="00F1736C">
        <w:trPr>
          <w:trHeight w:val="537"/>
        </w:trPr>
        <w:tc>
          <w:tcPr>
            <w:tcW w:w="10620" w:type="dxa"/>
            <w:gridSpan w:val="6"/>
            <w:vAlign w:val="center"/>
          </w:tcPr>
          <w:p w:rsidR="00147C18" w:rsidRPr="00147C18" w:rsidRDefault="00C5065C" w:rsidP="00147C18">
            <w:pPr>
              <w:spacing w:line="240" w:lineRule="auto"/>
              <w:rPr>
                <w:rFonts w:ascii="Helvetica" w:hAnsi="Helvetica" w:cs="Helvetica"/>
                <w:sz w:val="20"/>
                <w:szCs w:val="20"/>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226086">
              <w:rPr>
                <w:rFonts w:ascii="Helvetica" w:hAnsi="Helvetica" w:cs="Helvetica"/>
                <w:sz w:val="20"/>
                <w:szCs w:val="20"/>
                <w:lang w:val="en-GB"/>
              </w:rPr>
              <w:t>:</w:t>
            </w:r>
            <w:r w:rsidR="00947528" w:rsidRPr="00226086">
              <w:rPr>
                <w:rFonts w:ascii="Helvetica" w:hAnsi="Helvetica" w:cs="Helvetica"/>
                <w:sz w:val="20"/>
                <w:szCs w:val="20"/>
                <w:lang w:val="en-GB"/>
              </w:rPr>
              <w:t xml:space="preserve">         </w:t>
            </w:r>
            <w:r w:rsidR="00947528" w:rsidRPr="00226086">
              <w:rPr>
                <w:rFonts w:ascii="Helvetica" w:hAnsi="Helvetica" w:cs="Helvetica"/>
                <w:lang w:val="en-GB"/>
              </w:rPr>
              <w:t xml:space="preserve"> </w:t>
            </w:r>
            <w:r w:rsidR="00454434">
              <w:rPr>
                <w:rFonts w:ascii="Helvetica" w:hAnsi="Helvetica" w:cs="Helvetica"/>
                <w:sz w:val="20"/>
                <w:szCs w:val="20"/>
                <w:lang w:val="en-GB"/>
              </w:rPr>
              <w:t>J.P. Morgan Securities p</w:t>
            </w:r>
            <w:r w:rsidR="00147C18" w:rsidRPr="00147C18">
              <w:rPr>
                <w:rFonts w:ascii="Helvetica" w:hAnsi="Helvetica" w:cs="Helvetica"/>
                <w:sz w:val="20"/>
                <w:szCs w:val="20"/>
                <w:lang w:val="en-GB"/>
              </w:rPr>
              <w:t>lc</w:t>
            </w:r>
          </w:p>
          <w:p w:rsidR="00B0518C" w:rsidRPr="00C055A5" w:rsidRDefault="00147C18" w:rsidP="00147C18">
            <w:pPr>
              <w:spacing w:line="240" w:lineRule="auto"/>
              <w:ind w:left="5760"/>
              <w:rPr>
                <w:rFonts w:ascii="Helvetica" w:hAnsi="Helvetica" w:cs="Helvetica"/>
                <w:lang w:val="en-GB"/>
              </w:rPr>
            </w:pPr>
            <w:r w:rsidRPr="00147C18">
              <w:rPr>
                <w:rFonts w:ascii="Helvetica" w:hAnsi="Helvetica" w:cs="Helvetica"/>
                <w:sz w:val="20"/>
                <w:szCs w:val="20"/>
                <w:lang w:val="en-GB"/>
              </w:rPr>
              <w:t>J.P. Morgan Securities LLC</w:t>
            </w:r>
          </w:p>
        </w:tc>
      </w:tr>
      <w:tr w:rsidR="00C5065C" w:rsidRPr="00C055A5" w:rsidTr="00F1736C">
        <w:trPr>
          <w:trHeight w:val="419"/>
        </w:trPr>
        <w:tc>
          <w:tcPr>
            <w:tcW w:w="10620" w:type="dxa"/>
            <w:gridSpan w:val="6"/>
            <w:vAlign w:val="center"/>
          </w:tcPr>
          <w:p w:rsidR="00BA72A7" w:rsidRPr="00E50226" w:rsidRDefault="00C5065C" w:rsidP="005A19F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0C1CAC">
              <w:rPr>
                <w:rFonts w:ascii="Helvetica" w:hAnsi="Helvetica" w:cs="Helvetica"/>
                <w:b/>
                <w:lang w:val="en-GB"/>
              </w:rPr>
              <w:t xml:space="preserve"> </w:t>
            </w:r>
            <w:r w:rsidR="005A19F0">
              <w:rPr>
                <w:rFonts w:ascii="Helvetica" w:hAnsi="Helvetica" w:cs="Helvetica"/>
                <w:b/>
                <w:lang w:val="en-GB"/>
              </w:rPr>
              <w:t>20</w:t>
            </w:r>
            <w:r w:rsidR="00BB08CD">
              <w:rPr>
                <w:rFonts w:ascii="Helvetica" w:hAnsi="Helvetica" w:cs="Helvetica"/>
                <w:b/>
                <w:lang w:val="en-GB"/>
              </w:rPr>
              <w:t xml:space="preserve"> May 2020</w:t>
            </w:r>
          </w:p>
        </w:tc>
      </w:tr>
      <w:tr w:rsidR="00521E70" w:rsidRPr="00C055A5" w:rsidTr="00306839">
        <w:trPr>
          <w:trHeight w:val="419"/>
        </w:trPr>
        <w:tc>
          <w:tcPr>
            <w:tcW w:w="10620" w:type="dxa"/>
            <w:gridSpan w:val="6"/>
            <w:vAlign w:val="center"/>
          </w:tcPr>
          <w:p w:rsidR="00D2326B" w:rsidRPr="00C055A5" w:rsidRDefault="00521E70" w:rsidP="005A19F0">
            <w:pPr>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5A19F0">
              <w:rPr>
                <w:rFonts w:ascii="Helvetica" w:hAnsi="Helvetica" w:cs="Helvetica"/>
                <w:b/>
                <w:lang w:val="en-GB"/>
              </w:rPr>
              <w:t>22</w:t>
            </w:r>
            <w:r w:rsidR="00FC6BC5">
              <w:rPr>
                <w:rFonts w:ascii="Helvetica" w:hAnsi="Helvetica" w:cs="Helvetica"/>
                <w:b/>
                <w:lang w:val="en-GB"/>
              </w:rPr>
              <w:t xml:space="preserve"> May 2020</w:t>
            </w:r>
          </w:p>
        </w:tc>
      </w:tr>
      <w:tr w:rsidR="00521E70" w:rsidRPr="00C055A5" w:rsidTr="00306839">
        <w:trPr>
          <w:trHeight w:val="419"/>
        </w:trPr>
        <w:tc>
          <w:tcPr>
            <w:tcW w:w="10620" w:type="dxa"/>
            <w:gridSpan w:val="6"/>
            <w:vAlign w:val="center"/>
          </w:tcPr>
          <w:p w:rsidR="00D2326B" w:rsidRPr="00C055A5" w:rsidRDefault="00521E70" w:rsidP="0006773E">
            <w:pPr>
              <w:rPr>
                <w:rFonts w:ascii="Helvetica" w:hAnsi="Helvetica" w:cs="Helvetica"/>
                <w:b/>
                <w:lang w:val="en-GB"/>
              </w:rPr>
            </w:pPr>
            <w:r>
              <w:rPr>
                <w:rFonts w:ascii="Helvetica" w:hAnsi="Helvetica" w:cs="Helvetica"/>
                <w:b/>
                <w:lang w:val="en-GB"/>
              </w:rPr>
              <w:t>7. Threshold(s) that is/are crossed or reached:</w:t>
            </w:r>
            <w:r w:rsidR="00335CBB">
              <w:rPr>
                <w:rFonts w:ascii="Helvetica" w:hAnsi="Helvetica" w:cs="Helvetica"/>
                <w:b/>
                <w:lang w:val="en-GB"/>
              </w:rPr>
              <w:t xml:space="preserve"> </w:t>
            </w:r>
            <w:r w:rsidR="0006773E">
              <w:rPr>
                <w:rFonts w:ascii="Helvetica" w:hAnsi="Helvetica" w:cs="Helvetica"/>
                <w:b/>
                <w:lang w:val="en-GB"/>
              </w:rPr>
              <w:t>5</w:t>
            </w:r>
            <w:r w:rsidR="000C1CAC">
              <w:rPr>
                <w:rFonts w:ascii="Helvetica" w:hAnsi="Helvetica" w:cs="Helvetica"/>
                <w:b/>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F445F4" w:rsidRPr="00C055A5" w:rsidTr="00F1736C">
        <w:trPr>
          <w:trHeight w:val="555"/>
        </w:trPr>
        <w:tc>
          <w:tcPr>
            <w:tcW w:w="2124" w:type="dxa"/>
            <w:vAlign w:val="center"/>
          </w:tcPr>
          <w:p w:rsidR="00F445F4" w:rsidRPr="008F18BE" w:rsidRDefault="00F445F4"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F445F4" w:rsidRPr="00C055A5" w:rsidRDefault="00FC6BC5" w:rsidP="005A19F0">
            <w:pPr>
              <w:jc w:val="center"/>
              <w:rPr>
                <w:rFonts w:ascii="Helvetica" w:hAnsi="Helvetica" w:cs="Helvetica"/>
                <w:lang w:val="en-GB"/>
              </w:rPr>
            </w:pPr>
            <w:r>
              <w:rPr>
                <w:rFonts w:ascii="Helvetica" w:hAnsi="Helvetica" w:cs="Helvetica"/>
                <w:lang w:val="en-GB"/>
              </w:rPr>
              <w:t>1.</w:t>
            </w:r>
            <w:r w:rsidR="005A19F0">
              <w:rPr>
                <w:rFonts w:ascii="Helvetica" w:hAnsi="Helvetica" w:cs="Helvetica"/>
                <w:lang w:val="en-GB"/>
              </w:rPr>
              <w:t>27</w:t>
            </w:r>
            <w:r w:rsidR="00407438">
              <w:rPr>
                <w:rFonts w:ascii="Helvetica" w:hAnsi="Helvetica" w:cs="Helvetica"/>
                <w:lang w:val="en-GB"/>
              </w:rPr>
              <w:t>%</w:t>
            </w:r>
          </w:p>
        </w:tc>
        <w:tc>
          <w:tcPr>
            <w:tcW w:w="2313" w:type="dxa"/>
            <w:vAlign w:val="center"/>
          </w:tcPr>
          <w:p w:rsidR="00F445F4" w:rsidRPr="00C055A5" w:rsidRDefault="00FC6BC5" w:rsidP="005A19F0">
            <w:pPr>
              <w:jc w:val="center"/>
              <w:rPr>
                <w:rFonts w:ascii="Helvetica" w:hAnsi="Helvetica" w:cs="Helvetica"/>
                <w:lang w:val="en-GB"/>
              </w:rPr>
            </w:pPr>
            <w:r>
              <w:rPr>
                <w:rFonts w:ascii="Helvetica" w:hAnsi="Helvetica" w:cs="Helvetica"/>
                <w:lang w:val="en-GB"/>
              </w:rPr>
              <w:t>3.</w:t>
            </w:r>
            <w:r w:rsidR="005A19F0">
              <w:rPr>
                <w:rFonts w:ascii="Helvetica" w:hAnsi="Helvetica" w:cs="Helvetica"/>
                <w:lang w:val="en-GB"/>
              </w:rPr>
              <w:t>75</w:t>
            </w:r>
            <w:r w:rsidR="00407438">
              <w:rPr>
                <w:rFonts w:ascii="Helvetica" w:hAnsi="Helvetica" w:cs="Helvetica"/>
                <w:lang w:val="en-GB"/>
              </w:rPr>
              <w:t>%</w:t>
            </w:r>
          </w:p>
        </w:tc>
        <w:tc>
          <w:tcPr>
            <w:tcW w:w="2126" w:type="dxa"/>
            <w:vAlign w:val="center"/>
          </w:tcPr>
          <w:p w:rsidR="00F445F4" w:rsidRPr="00C055A5" w:rsidRDefault="005A19F0" w:rsidP="00335CBB">
            <w:pPr>
              <w:jc w:val="center"/>
              <w:rPr>
                <w:rFonts w:ascii="Helvetica" w:hAnsi="Helvetica" w:cs="Helvetica"/>
                <w:lang w:val="en-GB"/>
              </w:rPr>
            </w:pPr>
            <w:r>
              <w:rPr>
                <w:rFonts w:ascii="Helvetica" w:hAnsi="Helvetica" w:cs="Helvetica"/>
                <w:lang w:val="en-GB"/>
              </w:rPr>
              <w:t>5.03</w:t>
            </w:r>
            <w:r w:rsidR="00BC282F">
              <w:rPr>
                <w:rFonts w:ascii="Helvetica" w:hAnsi="Helvetica" w:cs="Helvetica"/>
                <w:lang w:val="en-GB"/>
              </w:rPr>
              <w:t>%</w:t>
            </w:r>
          </w:p>
        </w:tc>
        <w:tc>
          <w:tcPr>
            <w:tcW w:w="1933" w:type="dxa"/>
            <w:vAlign w:val="center"/>
          </w:tcPr>
          <w:p w:rsidR="00F445F4" w:rsidRPr="00C055A5" w:rsidRDefault="00FC6BC5" w:rsidP="0064616E">
            <w:pPr>
              <w:jc w:val="center"/>
              <w:rPr>
                <w:rFonts w:ascii="Helvetica" w:hAnsi="Helvetica" w:cs="Helvetica"/>
                <w:lang w:val="en-GB"/>
              </w:rPr>
            </w:pPr>
            <w:r w:rsidRPr="00FC6BC5">
              <w:rPr>
                <w:rFonts w:ascii="Helvetica" w:hAnsi="Helvetica" w:cs="Helvetica"/>
                <w:lang w:val="en-GB"/>
              </w:rPr>
              <w:t>1,089,181,738</w:t>
            </w:r>
          </w:p>
        </w:tc>
      </w:tr>
      <w:tr w:rsidR="005A19F0" w:rsidRPr="00C055A5" w:rsidTr="00F1736C">
        <w:trPr>
          <w:trHeight w:val="555"/>
        </w:trPr>
        <w:tc>
          <w:tcPr>
            <w:tcW w:w="2124" w:type="dxa"/>
            <w:vAlign w:val="center"/>
          </w:tcPr>
          <w:p w:rsidR="005A19F0" w:rsidRPr="008F18BE" w:rsidRDefault="005A19F0" w:rsidP="005A19F0">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5A19F0" w:rsidRPr="00C055A5" w:rsidRDefault="005A19F0" w:rsidP="005A19F0">
            <w:pPr>
              <w:jc w:val="center"/>
              <w:rPr>
                <w:rFonts w:ascii="Helvetica" w:hAnsi="Helvetica" w:cs="Helvetica"/>
                <w:lang w:val="en-GB"/>
              </w:rPr>
            </w:pPr>
            <w:r>
              <w:rPr>
                <w:rFonts w:ascii="Helvetica" w:hAnsi="Helvetica" w:cs="Helvetica"/>
                <w:lang w:val="en-GB"/>
              </w:rPr>
              <w:t>1.28%</w:t>
            </w:r>
          </w:p>
        </w:tc>
        <w:tc>
          <w:tcPr>
            <w:tcW w:w="2313" w:type="dxa"/>
            <w:vAlign w:val="center"/>
          </w:tcPr>
          <w:p w:rsidR="005A19F0" w:rsidRPr="00C055A5" w:rsidRDefault="005A19F0" w:rsidP="005A19F0">
            <w:pPr>
              <w:jc w:val="center"/>
              <w:rPr>
                <w:rFonts w:ascii="Helvetica" w:hAnsi="Helvetica" w:cs="Helvetica"/>
                <w:lang w:val="en-GB"/>
              </w:rPr>
            </w:pPr>
            <w:r>
              <w:rPr>
                <w:rFonts w:ascii="Helvetica" w:hAnsi="Helvetica" w:cs="Helvetica"/>
                <w:lang w:val="en-GB"/>
              </w:rPr>
              <w:t>3.76%</w:t>
            </w:r>
          </w:p>
        </w:tc>
        <w:tc>
          <w:tcPr>
            <w:tcW w:w="2126" w:type="dxa"/>
            <w:vAlign w:val="center"/>
          </w:tcPr>
          <w:p w:rsidR="005A19F0" w:rsidRPr="00C055A5" w:rsidRDefault="005A19F0" w:rsidP="005A19F0">
            <w:pPr>
              <w:jc w:val="center"/>
              <w:rPr>
                <w:rFonts w:ascii="Helvetica" w:hAnsi="Helvetica" w:cs="Helvetica"/>
                <w:lang w:val="en-GB"/>
              </w:rPr>
            </w:pPr>
            <w:r>
              <w:rPr>
                <w:rFonts w:ascii="Helvetica" w:hAnsi="Helvetica" w:cs="Helvetica"/>
                <w:lang w:val="en-GB"/>
              </w:rPr>
              <w:t>5.04%</w:t>
            </w:r>
          </w:p>
        </w:tc>
        <w:tc>
          <w:tcPr>
            <w:tcW w:w="1933" w:type="dxa"/>
            <w:shd w:val="thinDiagStripe" w:color="auto" w:fill="auto"/>
            <w:vAlign w:val="center"/>
          </w:tcPr>
          <w:p w:rsidR="005A19F0" w:rsidRPr="00C055A5" w:rsidRDefault="005A19F0" w:rsidP="005A19F0">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092E9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092E9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lastRenderedPageBreak/>
              <w:t>A: Voting rights attached to shares</w:t>
            </w:r>
          </w:p>
        </w:tc>
      </w:tr>
      <w:tr w:rsidR="00C5065C" w:rsidRPr="00C055A5" w:rsidTr="00092E9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435CAB" w:rsidP="00C5065C">
            <w:pPr>
              <w:rPr>
                <w:rFonts w:ascii="Helvetica" w:hAnsi="Helvetica" w:cs="Helvetica"/>
                <w:lang w:val="en-GB"/>
              </w:rPr>
            </w:pPr>
            <w:r w:rsidRPr="00435CAB">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5A19F0" w:rsidP="00F445F4">
            <w:pPr>
              <w:jc w:val="center"/>
              <w:rPr>
                <w:rFonts w:ascii="Helvetica" w:hAnsi="Helvetica" w:cs="Helvetica"/>
                <w:lang w:val="en-GB"/>
              </w:rPr>
            </w:pPr>
            <w:r w:rsidRPr="005A19F0">
              <w:rPr>
                <w:rFonts w:ascii="Helvetica" w:hAnsi="Helvetica" w:cs="Helvetica"/>
                <w:lang w:val="en-GB"/>
              </w:rPr>
              <w:t>13,859,770</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0436EE" w:rsidRDefault="00FC6BC5" w:rsidP="005A19F0">
            <w:pPr>
              <w:jc w:val="center"/>
              <w:rPr>
                <w:rFonts w:ascii="Helvetica" w:hAnsi="Helvetica" w:cs="Helvetica"/>
                <w:lang w:val="en-GB"/>
              </w:rPr>
            </w:pPr>
            <w:r>
              <w:rPr>
                <w:rFonts w:ascii="Helvetica" w:hAnsi="Helvetica" w:cs="Helvetica"/>
                <w:lang w:val="en-GB"/>
              </w:rPr>
              <w:t>1.</w:t>
            </w:r>
            <w:r w:rsidR="005A19F0">
              <w:rPr>
                <w:rFonts w:ascii="Helvetica" w:hAnsi="Helvetica" w:cs="Helvetica"/>
                <w:lang w:val="en-GB"/>
              </w:rPr>
              <w:t>27</w:t>
            </w:r>
            <w:r w:rsidR="00281DF6">
              <w:rPr>
                <w:rFonts w:ascii="Helvetica" w:hAnsi="Helvetica" w:cs="Helvetica"/>
                <w:lang w:val="en-GB"/>
              </w:rPr>
              <w:t>%</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0436EE"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0436EE" w:rsidRPr="00C055A5" w:rsidRDefault="000436EE"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rsidR="000436EE" w:rsidRPr="00281DF6" w:rsidRDefault="000436EE" w:rsidP="00281DF6">
            <w:pPr>
              <w:jc w:val="center"/>
              <w:rPr>
                <w:rFonts w:ascii="Helvetica" w:hAnsi="Helvetica" w:cs="Helvetica"/>
                <w:b/>
                <w:lang w:val="en-GB"/>
              </w:rPr>
            </w:pPr>
          </w:p>
        </w:tc>
        <w:tc>
          <w:tcPr>
            <w:tcW w:w="2194" w:type="dxa"/>
            <w:gridSpan w:val="2"/>
            <w:tcBorders>
              <w:top w:val="single" w:sz="4" w:space="0" w:color="auto"/>
              <w:bottom w:val="single" w:sz="4" w:space="0" w:color="auto"/>
              <w:right w:val="single" w:sz="4" w:space="0" w:color="auto"/>
            </w:tcBorders>
          </w:tcPr>
          <w:p w:rsidR="000436EE" w:rsidRPr="00281DF6" w:rsidRDefault="005A19F0" w:rsidP="00281DF6">
            <w:pPr>
              <w:jc w:val="center"/>
              <w:rPr>
                <w:rFonts w:ascii="Helvetica" w:hAnsi="Helvetica" w:cs="Helvetica"/>
                <w:b/>
                <w:lang w:val="en-GB"/>
              </w:rPr>
            </w:pPr>
            <w:r w:rsidRPr="005A19F0">
              <w:rPr>
                <w:rFonts w:ascii="Helvetica" w:hAnsi="Helvetica" w:cs="Helvetica"/>
                <w:b/>
                <w:lang w:val="en-GB"/>
              </w:rPr>
              <w:t>13,859,770</w:t>
            </w:r>
          </w:p>
        </w:tc>
        <w:tc>
          <w:tcPr>
            <w:tcW w:w="2347" w:type="dxa"/>
            <w:gridSpan w:val="2"/>
            <w:tcBorders>
              <w:top w:val="single" w:sz="4" w:space="0" w:color="auto"/>
              <w:left w:val="single" w:sz="4" w:space="0" w:color="auto"/>
              <w:bottom w:val="single" w:sz="4" w:space="0" w:color="auto"/>
            </w:tcBorders>
          </w:tcPr>
          <w:p w:rsidR="000436EE" w:rsidRPr="00281DF6" w:rsidRDefault="000436EE" w:rsidP="00281DF6">
            <w:pPr>
              <w:jc w:val="center"/>
              <w:rPr>
                <w:rFonts w:ascii="Helvetica" w:hAnsi="Helvetica" w:cs="Helvetica"/>
                <w:b/>
                <w:lang w:val="en-GB"/>
              </w:rPr>
            </w:pPr>
          </w:p>
        </w:tc>
        <w:tc>
          <w:tcPr>
            <w:tcW w:w="2186" w:type="dxa"/>
            <w:gridSpan w:val="3"/>
            <w:tcBorders>
              <w:top w:val="single" w:sz="4" w:space="0" w:color="auto"/>
              <w:bottom w:val="single" w:sz="4" w:space="0" w:color="auto"/>
              <w:right w:val="single" w:sz="4" w:space="0" w:color="auto"/>
            </w:tcBorders>
          </w:tcPr>
          <w:p w:rsidR="000436EE" w:rsidRPr="00281DF6" w:rsidRDefault="00FC6BC5" w:rsidP="00335CBB">
            <w:pPr>
              <w:jc w:val="center"/>
              <w:rPr>
                <w:rFonts w:ascii="Helvetica" w:hAnsi="Helvetica" w:cs="Helvetica"/>
                <w:b/>
                <w:lang w:val="en-GB"/>
              </w:rPr>
            </w:pPr>
            <w:r>
              <w:rPr>
                <w:rFonts w:ascii="Helvetica" w:hAnsi="Helvetica" w:cs="Helvetica"/>
                <w:b/>
                <w:lang w:val="en-GB"/>
              </w:rPr>
              <w:t>1.</w:t>
            </w:r>
            <w:r w:rsidR="005A19F0">
              <w:rPr>
                <w:rFonts w:ascii="Helvetica" w:hAnsi="Helvetica" w:cs="Helvetica"/>
                <w:b/>
                <w:lang w:val="en-GB"/>
              </w:rPr>
              <w:t>27</w:t>
            </w:r>
            <w:r w:rsidR="00BC282F" w:rsidRPr="00BC282F">
              <w:rPr>
                <w:rFonts w:ascii="Helvetica" w:hAnsi="Helvetica" w:cs="Helvetica"/>
                <w:b/>
                <w:lang w:val="en-GB"/>
              </w:rPr>
              <w:t>%</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092E9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092E9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36515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FB2FBD" w:rsidP="00F445F4">
            <w:pPr>
              <w:jc w:val="center"/>
              <w:rPr>
                <w:rFonts w:ascii="Helvetica" w:hAnsi="Helvetica" w:cs="Helvetica"/>
                <w:lang w:val="en-GB"/>
              </w:rPr>
            </w:pPr>
            <w:r>
              <w:rPr>
                <w:rFonts w:ascii="Helvetica" w:hAnsi="Helvetica" w:cs="Helvetica"/>
                <w:lang w:val="en-GB"/>
              </w:rPr>
              <w:t>Right to Recall</w:t>
            </w: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FC6BC5" w:rsidP="00F445F4">
            <w:pPr>
              <w:jc w:val="center"/>
              <w:rPr>
                <w:rFonts w:ascii="Helvetica" w:hAnsi="Helvetica" w:cs="Helvetica"/>
                <w:lang w:val="en-GB"/>
              </w:rPr>
            </w:pPr>
            <w:r w:rsidRPr="00FC6BC5">
              <w:rPr>
                <w:rFonts w:ascii="Helvetica" w:hAnsi="Helvetica" w:cs="Helvetica"/>
                <w:lang w:val="en-GB"/>
              </w:rPr>
              <w:t>425,000</w:t>
            </w:r>
          </w:p>
        </w:tc>
        <w:tc>
          <w:tcPr>
            <w:tcW w:w="2077" w:type="dxa"/>
            <w:gridSpan w:val="2"/>
            <w:tcBorders>
              <w:top w:val="single" w:sz="4" w:space="0" w:color="auto"/>
              <w:left w:val="single" w:sz="4" w:space="0" w:color="auto"/>
              <w:bottom w:val="single" w:sz="4" w:space="0" w:color="auto"/>
            </w:tcBorders>
            <w:vAlign w:val="center"/>
          </w:tcPr>
          <w:p w:rsidR="00C5065C" w:rsidRPr="00C055A5" w:rsidRDefault="00FC6BC5" w:rsidP="00365154">
            <w:pPr>
              <w:jc w:val="center"/>
              <w:rPr>
                <w:rFonts w:ascii="Helvetica" w:hAnsi="Helvetica" w:cs="Helvetica"/>
                <w:lang w:val="en-GB"/>
              </w:rPr>
            </w:pPr>
            <w:r>
              <w:rPr>
                <w:rFonts w:ascii="Helvetica" w:hAnsi="Helvetica" w:cs="Helvetica"/>
                <w:lang w:val="en-GB"/>
              </w:rPr>
              <w:t>0.04</w:t>
            </w:r>
            <w:r w:rsidR="00FB2FBD">
              <w:rPr>
                <w:rFonts w:ascii="Helvetica" w:hAnsi="Helvetica" w:cs="Helvetica"/>
                <w:lang w:val="en-GB"/>
              </w:rPr>
              <w:t>%</w:t>
            </w:r>
          </w:p>
        </w:tc>
      </w:tr>
      <w:tr w:rsidR="00C5065C" w:rsidRPr="00C055A5" w:rsidTr="0036515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365154" w:rsidP="00C5065C">
            <w:pPr>
              <w:rPr>
                <w:rFonts w:ascii="Helvetica" w:hAnsi="Helvetica" w:cs="Helvetica"/>
                <w:lang w:val="en-GB"/>
              </w:rPr>
            </w:pPr>
            <w:r w:rsidRPr="00365154">
              <w:rPr>
                <w:rFonts w:ascii="Helvetica" w:hAnsi="Helvetica" w:cs="Helvetica"/>
                <w:lang w:val="en-GB"/>
              </w:rPr>
              <w:t>Depository Receipt</w:t>
            </w: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5A19F0" w:rsidP="00365154">
            <w:pPr>
              <w:jc w:val="center"/>
              <w:rPr>
                <w:rFonts w:ascii="Helvetica" w:hAnsi="Helvetica" w:cs="Helvetica"/>
                <w:lang w:val="en-GB"/>
              </w:rPr>
            </w:pPr>
            <w:r w:rsidRPr="005A19F0">
              <w:rPr>
                <w:rFonts w:ascii="Helvetica" w:hAnsi="Helvetica" w:cs="Helvetica"/>
                <w:lang w:val="en-GB"/>
              </w:rPr>
              <w:t>111,965</w:t>
            </w:r>
          </w:p>
        </w:tc>
        <w:tc>
          <w:tcPr>
            <w:tcW w:w="2077" w:type="dxa"/>
            <w:gridSpan w:val="2"/>
            <w:tcBorders>
              <w:top w:val="single" w:sz="4" w:space="0" w:color="auto"/>
              <w:left w:val="single" w:sz="4" w:space="0" w:color="auto"/>
              <w:bottom w:val="single" w:sz="4" w:space="0" w:color="auto"/>
            </w:tcBorders>
            <w:vAlign w:val="center"/>
          </w:tcPr>
          <w:p w:rsidR="00C5065C" w:rsidRPr="00C055A5" w:rsidRDefault="00335CBB" w:rsidP="0012224A">
            <w:pPr>
              <w:jc w:val="center"/>
              <w:rPr>
                <w:rFonts w:ascii="Helvetica" w:hAnsi="Helvetica" w:cs="Helvetica"/>
                <w:lang w:val="en-GB"/>
              </w:rPr>
            </w:pPr>
            <w:r>
              <w:rPr>
                <w:rFonts w:ascii="Helvetica" w:hAnsi="Helvetica" w:cs="Helvetica"/>
                <w:lang w:val="en-GB"/>
              </w:rPr>
              <w:t>0.01</w:t>
            </w:r>
            <w:r w:rsidR="00365154">
              <w:rPr>
                <w:rFonts w:ascii="Helvetica" w:hAnsi="Helvetica" w:cs="Helvetica"/>
                <w:lang w:val="en-GB"/>
              </w:rPr>
              <w:t>%</w:t>
            </w:r>
          </w:p>
        </w:tc>
      </w:tr>
      <w:tr w:rsidR="00C5065C" w:rsidRPr="00C055A5" w:rsidTr="00092E9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092E94">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FB2FBD" w:rsidRDefault="005A19F0" w:rsidP="00F445F4">
            <w:pPr>
              <w:jc w:val="center"/>
              <w:rPr>
                <w:rFonts w:ascii="Helvetica" w:hAnsi="Helvetica" w:cs="Helvetica"/>
                <w:b/>
                <w:lang w:val="en-GB"/>
              </w:rPr>
            </w:pPr>
            <w:r w:rsidRPr="005A19F0">
              <w:rPr>
                <w:rFonts w:ascii="Helvetica" w:hAnsi="Helvetica" w:cs="Helvetica"/>
                <w:b/>
                <w:lang w:val="en-GB"/>
              </w:rPr>
              <w:t>536,965</w:t>
            </w:r>
          </w:p>
        </w:tc>
        <w:tc>
          <w:tcPr>
            <w:tcW w:w="2077" w:type="dxa"/>
            <w:gridSpan w:val="2"/>
            <w:tcBorders>
              <w:top w:val="single" w:sz="4" w:space="0" w:color="auto"/>
              <w:left w:val="single" w:sz="4" w:space="0" w:color="auto"/>
              <w:bottom w:val="single" w:sz="4" w:space="0" w:color="auto"/>
            </w:tcBorders>
          </w:tcPr>
          <w:p w:rsidR="00C5065C" w:rsidRPr="00FB2FBD" w:rsidRDefault="00335CBB" w:rsidP="0012224A">
            <w:pPr>
              <w:jc w:val="center"/>
              <w:rPr>
                <w:rFonts w:ascii="Helvetica" w:hAnsi="Helvetica" w:cs="Helvetica"/>
                <w:b/>
                <w:lang w:val="en-GB"/>
              </w:rPr>
            </w:pPr>
            <w:r>
              <w:rPr>
                <w:rFonts w:ascii="Helvetica" w:hAnsi="Helvetica" w:cs="Helvetica"/>
                <w:b/>
                <w:lang w:val="en-GB"/>
              </w:rPr>
              <w:t>0.05</w:t>
            </w:r>
            <w:r w:rsidR="00FB2FBD" w:rsidRPr="00FB2FBD">
              <w:rPr>
                <w:rFonts w:ascii="Helvetica" w:hAnsi="Helvetica" w:cs="Helvetica"/>
                <w:b/>
                <w:lang w:val="en-GB"/>
              </w:rPr>
              <w:t>%</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092E9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092E9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26/05/2020</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26/05/2020</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4,056,319</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0.37%</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23/06/2020</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23/06/2020</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410,438</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0.04%</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26/06/2020</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26/06/2020</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7,500,000</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0.69%</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06/07/2020</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06/07/2020</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19,213</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0.00%</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lastRenderedPageBreak/>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12/08/2020</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12/08/2020</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7,133,796</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0.65%</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18/08/2020</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18/08/2020</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3,198,000</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0.29%</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19/08/2020</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19/08/2020</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8,033,644</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0.74%</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22/09/2020</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22/09/2020</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7,654,010</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0.70%</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18/11/2020</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18/11/2020</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40,307</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0.00%</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30/12/2020</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30/12/2020</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64,762</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0.01%</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31/12/2020</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31/12/2020</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863,580</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0.08%</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04/01/2021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04/01/2021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15,400</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0.00%</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17/02/2021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17/02/2021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463,122</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0.04%</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19/03/2021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19/03/2021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145</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0.00%</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30/04/2021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30/04/2021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166,945</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0.02%</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11/05/2021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11/05/2021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3,400</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0.00%</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12/05/2021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12/05/2021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43,267</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0.00%</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14/05/2021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14/05/2021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150</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0.00%</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18/05/2021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18/05/2021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47</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0.00%</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19/05/2021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19/05/2021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7,900</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0.00%</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21/05/2021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21/05/2021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90,991</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0.01%</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lastRenderedPageBreak/>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26/05/2021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26/05/2021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6B0011"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135,000</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0.01%</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23/06/2021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23/06/2021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6B0011"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1,973</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0.00%</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11/11/2021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11/11/2021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6B0011"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309,900</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0.03%</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19/11/2021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19/11/2021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118,271</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0.01%</w:t>
            </w:r>
          </w:p>
        </w:tc>
      </w:tr>
      <w:tr w:rsidR="005A19F0" w:rsidRPr="00435CAB" w:rsidTr="005A19F0">
        <w:trPr>
          <w:trHeight w:val="481"/>
          <w:jc w:val="center"/>
        </w:trPr>
        <w:tc>
          <w:tcPr>
            <w:tcW w:w="1861" w:type="dxa"/>
            <w:tcBorders>
              <w:top w:val="single" w:sz="4" w:space="0" w:color="auto"/>
              <w:bottom w:val="single" w:sz="4" w:space="0" w:color="auto"/>
              <w:right w:val="single" w:sz="4" w:space="0" w:color="auto"/>
            </w:tcBorders>
            <w:vAlign w:val="center"/>
          </w:tcPr>
          <w:p w:rsidR="005A19F0" w:rsidRDefault="005A19F0" w:rsidP="005A19F0">
            <w:pPr>
              <w:jc w:val="center"/>
              <w:rPr>
                <w:rFonts w:ascii="Arial" w:hAnsi="Arial" w:cs="Arial"/>
                <w:color w:val="000000"/>
              </w:rPr>
            </w:pPr>
            <w:r>
              <w:rPr>
                <w:rFonts w:ascii="Arial" w:hAnsi="Arial" w:cs="Arial"/>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16/10/2026</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16/10/2026</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5A19F0" w:rsidRPr="000654E5" w:rsidRDefault="005A19F0" w:rsidP="005A19F0">
            <w:pPr>
              <w:jc w:val="center"/>
              <w:rPr>
                <w:rFonts w:ascii="Arial" w:hAnsi="Arial" w:cs="Arial"/>
                <w:color w:val="000000"/>
              </w:rPr>
            </w:pPr>
            <w:r w:rsidRPr="006B0011">
              <w:rPr>
                <w:rFonts w:ascii="Arial" w:hAnsi="Arial" w:cs="Arial"/>
                <w:color w:val="000000"/>
              </w:rPr>
              <w:t>Cash</w:t>
            </w:r>
          </w:p>
        </w:tc>
        <w:tc>
          <w:tcPr>
            <w:tcW w:w="1535" w:type="dxa"/>
            <w:gridSpan w:val="3"/>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16,525</w:t>
            </w:r>
          </w:p>
        </w:tc>
        <w:tc>
          <w:tcPr>
            <w:tcW w:w="1992" w:type="dxa"/>
            <w:tcBorders>
              <w:top w:val="single" w:sz="4" w:space="0" w:color="auto"/>
              <w:left w:val="single" w:sz="4" w:space="0" w:color="auto"/>
              <w:bottom w:val="single" w:sz="4" w:space="0" w:color="auto"/>
            </w:tcBorders>
            <w:vAlign w:val="center"/>
          </w:tcPr>
          <w:p w:rsidR="005A19F0" w:rsidRPr="005A19F0" w:rsidRDefault="005A19F0" w:rsidP="005A19F0">
            <w:pPr>
              <w:jc w:val="center"/>
              <w:rPr>
                <w:rFonts w:ascii="Arial" w:hAnsi="Arial" w:cs="Arial"/>
                <w:color w:val="000000"/>
              </w:rPr>
            </w:pPr>
            <w:r w:rsidRPr="005A19F0">
              <w:rPr>
                <w:rFonts w:ascii="Arial" w:hAnsi="Arial" w:cs="Arial"/>
                <w:color w:val="000000"/>
              </w:rPr>
              <w:t>0.00%</w:t>
            </w:r>
          </w:p>
        </w:tc>
      </w:tr>
      <w:tr w:rsidR="00335CBB" w:rsidRPr="00C055A5" w:rsidTr="00092E94">
        <w:trPr>
          <w:trHeight w:val="481"/>
          <w:jc w:val="center"/>
        </w:trPr>
        <w:tc>
          <w:tcPr>
            <w:tcW w:w="1861" w:type="dxa"/>
            <w:tcBorders>
              <w:top w:val="single" w:sz="4" w:space="0" w:color="auto"/>
              <w:left w:val="nil"/>
              <w:bottom w:val="nil"/>
              <w:right w:val="nil"/>
            </w:tcBorders>
          </w:tcPr>
          <w:p w:rsidR="00335CBB" w:rsidRPr="00C055A5" w:rsidRDefault="00335CBB" w:rsidP="00335CBB">
            <w:pPr>
              <w:rPr>
                <w:rFonts w:ascii="Helvetica" w:hAnsi="Helvetica" w:cs="Helvetica"/>
                <w:lang w:val="en-GB"/>
              </w:rPr>
            </w:pPr>
          </w:p>
        </w:tc>
        <w:tc>
          <w:tcPr>
            <w:tcW w:w="1657" w:type="dxa"/>
            <w:gridSpan w:val="2"/>
            <w:tcBorders>
              <w:top w:val="single" w:sz="4" w:space="0" w:color="auto"/>
              <w:left w:val="nil"/>
              <w:bottom w:val="nil"/>
              <w:right w:val="nil"/>
            </w:tcBorders>
          </w:tcPr>
          <w:p w:rsidR="00335CBB" w:rsidRPr="00C055A5" w:rsidRDefault="00335CBB" w:rsidP="00335CBB">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335CBB" w:rsidRPr="00C055A5" w:rsidRDefault="00335CBB" w:rsidP="00335CBB">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335CBB" w:rsidRPr="00C055A5" w:rsidRDefault="00335CBB" w:rsidP="00335CBB">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335CBB" w:rsidRPr="00281DF6" w:rsidRDefault="005A19F0" w:rsidP="00335CBB">
            <w:pPr>
              <w:jc w:val="center"/>
              <w:rPr>
                <w:rFonts w:ascii="Helvetica" w:hAnsi="Helvetica" w:cs="Helvetica"/>
                <w:b/>
                <w:lang w:val="en-GB"/>
              </w:rPr>
            </w:pPr>
            <w:r w:rsidRPr="005A19F0">
              <w:rPr>
                <w:rFonts w:ascii="Helvetica" w:hAnsi="Helvetica" w:cs="Helvetica"/>
                <w:b/>
                <w:lang w:val="en-GB"/>
              </w:rPr>
              <w:t>40,347,105</w:t>
            </w:r>
          </w:p>
        </w:tc>
        <w:tc>
          <w:tcPr>
            <w:tcW w:w="1992" w:type="dxa"/>
            <w:tcBorders>
              <w:top w:val="single" w:sz="4" w:space="0" w:color="auto"/>
              <w:left w:val="single" w:sz="4" w:space="0" w:color="auto"/>
              <w:bottom w:val="single" w:sz="4" w:space="0" w:color="auto"/>
              <w:right w:val="single" w:sz="4" w:space="0" w:color="auto"/>
            </w:tcBorders>
          </w:tcPr>
          <w:p w:rsidR="00335CBB" w:rsidRPr="00281DF6" w:rsidRDefault="00335CBB" w:rsidP="00335CBB">
            <w:pPr>
              <w:jc w:val="center"/>
              <w:rPr>
                <w:rFonts w:ascii="Helvetica" w:hAnsi="Helvetica" w:cs="Helvetica"/>
                <w:b/>
                <w:lang w:val="en-GB"/>
              </w:rPr>
            </w:pPr>
            <w:r>
              <w:rPr>
                <w:rFonts w:ascii="Helvetica" w:hAnsi="Helvetica" w:cs="Helvetica"/>
                <w:b/>
                <w:lang w:val="en-GB"/>
              </w:rPr>
              <w:t>3.70</w:t>
            </w:r>
            <w:r w:rsidRPr="00281DF6">
              <w:rPr>
                <w:rFonts w:ascii="Helvetica" w:hAnsi="Helvetica" w:cs="Helvetica"/>
                <w:b/>
                <w:lang w:val="en-GB"/>
              </w:rPr>
              <w:t>%</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543"/>
        <w:gridCol w:w="2767"/>
        <w:gridCol w:w="2543"/>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0C1CAC"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947528">
        <w:trPr>
          <w:trHeight w:val="1149"/>
        </w:trPr>
        <w:tc>
          <w:tcPr>
            <w:tcW w:w="2767"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543"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767"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543"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147C18" w:rsidRPr="00C055A5" w:rsidTr="00365154">
        <w:trPr>
          <w:trHeight w:val="440"/>
        </w:trPr>
        <w:tc>
          <w:tcPr>
            <w:tcW w:w="2767" w:type="dxa"/>
            <w:vAlign w:val="center"/>
          </w:tcPr>
          <w:p w:rsidR="00147C18" w:rsidRPr="00DA3C49" w:rsidRDefault="00147C18" w:rsidP="00365154">
            <w:pPr>
              <w:jc w:val="center"/>
              <w:rPr>
                <w:rFonts w:ascii="Arial" w:hAnsi="Arial" w:cs="Arial"/>
              </w:rPr>
            </w:pPr>
            <w:r w:rsidRPr="00BC5795">
              <w:rPr>
                <w:rFonts w:ascii="Arial" w:hAnsi="Arial" w:cs="Arial"/>
              </w:rPr>
              <w:t>JPMorgan Chase &amp; Co.</w:t>
            </w:r>
          </w:p>
        </w:tc>
        <w:tc>
          <w:tcPr>
            <w:tcW w:w="2543" w:type="dxa"/>
            <w:vAlign w:val="center"/>
          </w:tcPr>
          <w:p w:rsidR="00147C18" w:rsidRPr="00F445F4" w:rsidRDefault="00147C18" w:rsidP="00365154">
            <w:pPr>
              <w:jc w:val="center"/>
              <w:rPr>
                <w:rFonts w:ascii="Helvetica" w:hAnsi="Helvetica" w:cs="Helvetica"/>
                <w:lang w:val="en-GB"/>
              </w:rPr>
            </w:pPr>
          </w:p>
        </w:tc>
        <w:tc>
          <w:tcPr>
            <w:tcW w:w="2767" w:type="dxa"/>
            <w:vAlign w:val="center"/>
          </w:tcPr>
          <w:p w:rsidR="00147C18" w:rsidRPr="00F445F4" w:rsidRDefault="00147C18" w:rsidP="00365154">
            <w:pPr>
              <w:jc w:val="center"/>
              <w:rPr>
                <w:rFonts w:ascii="Helvetica" w:hAnsi="Helvetica" w:cs="Helvetica"/>
                <w:lang w:val="en-GB"/>
              </w:rPr>
            </w:pPr>
          </w:p>
        </w:tc>
        <w:tc>
          <w:tcPr>
            <w:tcW w:w="2543" w:type="dxa"/>
            <w:vAlign w:val="center"/>
          </w:tcPr>
          <w:p w:rsidR="00147C18" w:rsidRPr="00F445F4" w:rsidRDefault="00147C18" w:rsidP="00365154">
            <w:pPr>
              <w:jc w:val="center"/>
              <w:rPr>
                <w:rFonts w:ascii="Helvetica" w:hAnsi="Helvetica" w:cs="Helvetica"/>
                <w:lang w:val="en-GB"/>
              </w:rPr>
            </w:pPr>
          </w:p>
        </w:tc>
      </w:tr>
      <w:tr w:rsidR="00147C18" w:rsidRPr="00C055A5" w:rsidTr="00365154">
        <w:trPr>
          <w:trHeight w:val="440"/>
        </w:trPr>
        <w:tc>
          <w:tcPr>
            <w:tcW w:w="2767" w:type="dxa"/>
            <w:vAlign w:val="center"/>
          </w:tcPr>
          <w:p w:rsidR="00147C18" w:rsidRPr="00DA3C49" w:rsidRDefault="00147C18" w:rsidP="00365154">
            <w:pPr>
              <w:jc w:val="center"/>
              <w:rPr>
                <w:rFonts w:ascii="Arial" w:hAnsi="Arial" w:cs="Arial"/>
              </w:rPr>
            </w:pPr>
            <w:r w:rsidRPr="00BC5795">
              <w:rPr>
                <w:rFonts w:ascii="Arial" w:hAnsi="Arial" w:cs="Arial"/>
              </w:rPr>
              <w:t>JPMorgan Chase Bank, National Association</w:t>
            </w:r>
          </w:p>
        </w:tc>
        <w:tc>
          <w:tcPr>
            <w:tcW w:w="2543" w:type="dxa"/>
            <w:vAlign w:val="center"/>
          </w:tcPr>
          <w:p w:rsidR="00147C18" w:rsidRPr="00F445F4" w:rsidRDefault="00147C18" w:rsidP="00365154">
            <w:pPr>
              <w:jc w:val="center"/>
              <w:rPr>
                <w:rFonts w:ascii="Helvetica" w:hAnsi="Helvetica" w:cs="Helvetica"/>
                <w:lang w:val="en-GB"/>
              </w:rPr>
            </w:pPr>
          </w:p>
        </w:tc>
        <w:tc>
          <w:tcPr>
            <w:tcW w:w="2767" w:type="dxa"/>
            <w:vAlign w:val="center"/>
          </w:tcPr>
          <w:p w:rsidR="00147C18" w:rsidRPr="00F445F4" w:rsidRDefault="00147C18" w:rsidP="00365154">
            <w:pPr>
              <w:jc w:val="center"/>
              <w:rPr>
                <w:rFonts w:ascii="Helvetica" w:hAnsi="Helvetica" w:cs="Helvetica"/>
                <w:lang w:val="en-GB"/>
              </w:rPr>
            </w:pPr>
          </w:p>
        </w:tc>
        <w:tc>
          <w:tcPr>
            <w:tcW w:w="2543" w:type="dxa"/>
            <w:vAlign w:val="center"/>
          </w:tcPr>
          <w:p w:rsidR="00147C18" w:rsidRPr="00F445F4" w:rsidRDefault="00147C18" w:rsidP="00365154">
            <w:pPr>
              <w:jc w:val="center"/>
              <w:rPr>
                <w:rFonts w:ascii="Helvetica" w:hAnsi="Helvetica" w:cs="Helvetica"/>
                <w:lang w:val="en-GB"/>
              </w:rPr>
            </w:pPr>
          </w:p>
        </w:tc>
      </w:tr>
      <w:tr w:rsidR="00147C18" w:rsidRPr="00C055A5" w:rsidTr="00365154">
        <w:trPr>
          <w:trHeight w:val="440"/>
        </w:trPr>
        <w:tc>
          <w:tcPr>
            <w:tcW w:w="2767" w:type="dxa"/>
            <w:vAlign w:val="center"/>
          </w:tcPr>
          <w:p w:rsidR="00147C18" w:rsidRPr="00DA3C49" w:rsidRDefault="00147C18" w:rsidP="00365154">
            <w:pPr>
              <w:jc w:val="center"/>
              <w:rPr>
                <w:rFonts w:ascii="Arial" w:hAnsi="Arial" w:cs="Arial"/>
              </w:rPr>
            </w:pPr>
            <w:r w:rsidRPr="00BC5795">
              <w:rPr>
                <w:rFonts w:ascii="Arial" w:hAnsi="Arial" w:cs="Arial"/>
              </w:rPr>
              <w:t>J.P. Morgan International Finance Limited</w:t>
            </w:r>
          </w:p>
        </w:tc>
        <w:tc>
          <w:tcPr>
            <w:tcW w:w="2543" w:type="dxa"/>
            <w:vAlign w:val="center"/>
          </w:tcPr>
          <w:p w:rsidR="00147C18" w:rsidRPr="00F445F4" w:rsidRDefault="00147C18" w:rsidP="00365154">
            <w:pPr>
              <w:jc w:val="center"/>
              <w:rPr>
                <w:rFonts w:ascii="Helvetica" w:hAnsi="Helvetica" w:cs="Helvetica"/>
                <w:lang w:val="en-GB"/>
              </w:rPr>
            </w:pPr>
          </w:p>
        </w:tc>
        <w:tc>
          <w:tcPr>
            <w:tcW w:w="2767" w:type="dxa"/>
            <w:vAlign w:val="center"/>
          </w:tcPr>
          <w:p w:rsidR="00147C18" w:rsidRPr="00F445F4" w:rsidRDefault="00147C18" w:rsidP="00365154">
            <w:pPr>
              <w:jc w:val="center"/>
              <w:rPr>
                <w:rFonts w:ascii="Helvetica" w:hAnsi="Helvetica" w:cs="Helvetica"/>
                <w:lang w:val="en-GB"/>
              </w:rPr>
            </w:pPr>
          </w:p>
        </w:tc>
        <w:tc>
          <w:tcPr>
            <w:tcW w:w="2543" w:type="dxa"/>
            <w:vAlign w:val="center"/>
          </w:tcPr>
          <w:p w:rsidR="00147C18" w:rsidRPr="00F445F4" w:rsidRDefault="00147C18" w:rsidP="00365154">
            <w:pPr>
              <w:jc w:val="center"/>
              <w:rPr>
                <w:rFonts w:ascii="Helvetica" w:hAnsi="Helvetica" w:cs="Helvetica"/>
                <w:lang w:val="en-GB"/>
              </w:rPr>
            </w:pPr>
          </w:p>
        </w:tc>
      </w:tr>
      <w:tr w:rsidR="00147C18" w:rsidRPr="00C055A5" w:rsidTr="00365154">
        <w:trPr>
          <w:trHeight w:val="440"/>
        </w:trPr>
        <w:tc>
          <w:tcPr>
            <w:tcW w:w="2767" w:type="dxa"/>
            <w:vAlign w:val="center"/>
          </w:tcPr>
          <w:p w:rsidR="00147C18" w:rsidRPr="00DA3C49" w:rsidRDefault="00147C18" w:rsidP="00365154">
            <w:pPr>
              <w:jc w:val="center"/>
              <w:rPr>
                <w:rFonts w:ascii="Arial" w:hAnsi="Arial" w:cs="Arial"/>
              </w:rPr>
            </w:pPr>
            <w:r w:rsidRPr="00BC5795">
              <w:rPr>
                <w:rFonts w:ascii="Arial" w:hAnsi="Arial" w:cs="Arial"/>
              </w:rPr>
              <w:t>J.P. Morgan Capital Holdings Limited</w:t>
            </w:r>
          </w:p>
        </w:tc>
        <w:tc>
          <w:tcPr>
            <w:tcW w:w="2543" w:type="dxa"/>
            <w:vAlign w:val="center"/>
          </w:tcPr>
          <w:p w:rsidR="00147C18" w:rsidRPr="003D1B1C" w:rsidRDefault="00147C18" w:rsidP="00365154">
            <w:pPr>
              <w:jc w:val="center"/>
              <w:rPr>
                <w:rFonts w:ascii="Helvetica" w:hAnsi="Helvetica" w:cs="Helvetica"/>
                <w:lang w:val="en-GB"/>
              </w:rPr>
            </w:pPr>
          </w:p>
        </w:tc>
        <w:tc>
          <w:tcPr>
            <w:tcW w:w="2767" w:type="dxa"/>
            <w:vAlign w:val="center"/>
          </w:tcPr>
          <w:p w:rsidR="00147C18" w:rsidRPr="00F445F4" w:rsidRDefault="00147C18" w:rsidP="00365154">
            <w:pPr>
              <w:jc w:val="center"/>
              <w:rPr>
                <w:rFonts w:ascii="Helvetica" w:hAnsi="Helvetica" w:cs="Helvetica"/>
                <w:lang w:val="en-GB"/>
              </w:rPr>
            </w:pPr>
          </w:p>
        </w:tc>
        <w:tc>
          <w:tcPr>
            <w:tcW w:w="2543" w:type="dxa"/>
            <w:vAlign w:val="center"/>
          </w:tcPr>
          <w:p w:rsidR="00147C18" w:rsidRPr="00F445F4" w:rsidRDefault="00147C18" w:rsidP="00365154">
            <w:pPr>
              <w:jc w:val="center"/>
              <w:rPr>
                <w:rFonts w:ascii="Helvetica" w:hAnsi="Helvetica" w:cs="Helvetica"/>
                <w:lang w:val="en-GB"/>
              </w:rPr>
            </w:pPr>
          </w:p>
        </w:tc>
      </w:tr>
      <w:tr w:rsidR="00147C18" w:rsidRPr="00C055A5" w:rsidTr="00365154">
        <w:trPr>
          <w:trHeight w:val="440"/>
        </w:trPr>
        <w:tc>
          <w:tcPr>
            <w:tcW w:w="2767" w:type="dxa"/>
            <w:vAlign w:val="center"/>
          </w:tcPr>
          <w:p w:rsidR="00147C18" w:rsidRPr="00DA3C49" w:rsidRDefault="00147C18" w:rsidP="00365154">
            <w:pPr>
              <w:jc w:val="center"/>
              <w:rPr>
                <w:rFonts w:ascii="Arial" w:hAnsi="Arial" w:cs="Arial"/>
              </w:rPr>
            </w:pPr>
            <w:r w:rsidRPr="00BC5795">
              <w:rPr>
                <w:rFonts w:ascii="Arial" w:hAnsi="Arial" w:cs="Arial"/>
              </w:rPr>
              <w:t>J.P. Morgan Securities plc</w:t>
            </w:r>
          </w:p>
        </w:tc>
        <w:tc>
          <w:tcPr>
            <w:tcW w:w="2543" w:type="dxa"/>
            <w:vAlign w:val="center"/>
          </w:tcPr>
          <w:p w:rsidR="00147C18" w:rsidRPr="00F445F4" w:rsidRDefault="00147C18" w:rsidP="00365154">
            <w:pPr>
              <w:jc w:val="center"/>
              <w:rPr>
                <w:rFonts w:ascii="Helvetica" w:hAnsi="Helvetica" w:cs="Helvetica"/>
                <w:lang w:val="en-GB"/>
              </w:rPr>
            </w:pPr>
          </w:p>
        </w:tc>
        <w:tc>
          <w:tcPr>
            <w:tcW w:w="2767" w:type="dxa"/>
            <w:vAlign w:val="center"/>
          </w:tcPr>
          <w:p w:rsidR="00147C18" w:rsidRPr="00F445F4" w:rsidRDefault="00FC6BC5" w:rsidP="00335CBB">
            <w:pPr>
              <w:jc w:val="center"/>
              <w:rPr>
                <w:rFonts w:ascii="Helvetica" w:hAnsi="Helvetica" w:cs="Helvetica"/>
                <w:lang w:val="en-GB"/>
              </w:rPr>
            </w:pPr>
            <w:r>
              <w:rPr>
                <w:rFonts w:ascii="Helvetica" w:hAnsi="Helvetica" w:cs="Helvetica"/>
                <w:lang w:val="en-GB"/>
              </w:rPr>
              <w:t>3.</w:t>
            </w:r>
            <w:r w:rsidR="00335CBB">
              <w:rPr>
                <w:rFonts w:ascii="Helvetica" w:hAnsi="Helvetica" w:cs="Helvetica"/>
                <w:lang w:val="en-GB"/>
              </w:rPr>
              <w:t>73</w:t>
            </w:r>
            <w:r w:rsidR="00365154">
              <w:rPr>
                <w:rFonts w:ascii="Helvetica" w:hAnsi="Helvetica" w:cs="Helvetica"/>
                <w:lang w:val="en-GB"/>
              </w:rPr>
              <w:t>%</w:t>
            </w:r>
          </w:p>
        </w:tc>
        <w:tc>
          <w:tcPr>
            <w:tcW w:w="2543" w:type="dxa"/>
            <w:vAlign w:val="center"/>
          </w:tcPr>
          <w:p w:rsidR="00147C18" w:rsidRPr="00F445F4" w:rsidRDefault="005A19F0" w:rsidP="00335CBB">
            <w:pPr>
              <w:jc w:val="center"/>
              <w:rPr>
                <w:rFonts w:ascii="Helvetica" w:hAnsi="Helvetica" w:cs="Helvetica"/>
                <w:lang w:val="en-GB"/>
              </w:rPr>
            </w:pPr>
            <w:r>
              <w:rPr>
                <w:rFonts w:ascii="Helvetica" w:hAnsi="Helvetica" w:cs="Helvetica"/>
                <w:lang w:val="en-GB"/>
              </w:rPr>
              <w:t>4.99</w:t>
            </w:r>
            <w:r w:rsidR="00365154">
              <w:rPr>
                <w:rFonts w:ascii="Helvetica" w:hAnsi="Helvetica" w:cs="Helvetica"/>
                <w:lang w:val="en-GB"/>
              </w:rPr>
              <w:t>%</w:t>
            </w:r>
          </w:p>
        </w:tc>
      </w:tr>
      <w:tr w:rsidR="00281DF6" w:rsidRPr="00C055A5" w:rsidTr="00365154">
        <w:trPr>
          <w:trHeight w:val="440"/>
        </w:trPr>
        <w:tc>
          <w:tcPr>
            <w:tcW w:w="2767" w:type="dxa"/>
            <w:vAlign w:val="center"/>
          </w:tcPr>
          <w:p w:rsidR="00281DF6" w:rsidRPr="00281DF6" w:rsidRDefault="00281DF6" w:rsidP="00365154">
            <w:pPr>
              <w:jc w:val="center"/>
              <w:rPr>
                <w:rFonts w:ascii="Helvetica" w:hAnsi="Helvetica" w:cs="Helvetica"/>
                <w:b/>
                <w:lang w:val="en-GB"/>
              </w:rPr>
            </w:pPr>
          </w:p>
        </w:tc>
        <w:tc>
          <w:tcPr>
            <w:tcW w:w="2543" w:type="dxa"/>
            <w:vAlign w:val="center"/>
          </w:tcPr>
          <w:p w:rsidR="00281DF6" w:rsidRPr="00DA3C49" w:rsidRDefault="00281DF6" w:rsidP="00365154">
            <w:pPr>
              <w:jc w:val="center"/>
              <w:rPr>
                <w:rFonts w:ascii="Arial" w:hAnsi="Arial" w:cs="Arial"/>
              </w:rPr>
            </w:pPr>
          </w:p>
        </w:tc>
        <w:tc>
          <w:tcPr>
            <w:tcW w:w="2767" w:type="dxa"/>
            <w:vAlign w:val="center"/>
          </w:tcPr>
          <w:p w:rsidR="00281DF6" w:rsidRPr="00DA3C49" w:rsidRDefault="00281DF6" w:rsidP="00365154">
            <w:pPr>
              <w:jc w:val="center"/>
              <w:rPr>
                <w:rFonts w:ascii="Arial" w:hAnsi="Arial" w:cs="Arial"/>
              </w:rPr>
            </w:pPr>
          </w:p>
        </w:tc>
        <w:tc>
          <w:tcPr>
            <w:tcW w:w="2543" w:type="dxa"/>
            <w:vAlign w:val="center"/>
          </w:tcPr>
          <w:p w:rsidR="00281DF6" w:rsidRPr="0060309C" w:rsidRDefault="00281DF6" w:rsidP="00365154">
            <w:pPr>
              <w:jc w:val="center"/>
              <w:rPr>
                <w:rFonts w:ascii="Arial" w:hAnsi="Arial" w:cs="Arial"/>
              </w:rPr>
            </w:pPr>
          </w:p>
        </w:tc>
      </w:tr>
      <w:tr w:rsidR="00147C18" w:rsidRPr="00C055A5" w:rsidTr="00365154">
        <w:trPr>
          <w:trHeight w:val="440"/>
        </w:trPr>
        <w:tc>
          <w:tcPr>
            <w:tcW w:w="2767" w:type="dxa"/>
            <w:vAlign w:val="center"/>
          </w:tcPr>
          <w:p w:rsidR="00147C18" w:rsidRPr="00DA3C49" w:rsidRDefault="00147C18" w:rsidP="00365154">
            <w:pPr>
              <w:jc w:val="center"/>
              <w:rPr>
                <w:rFonts w:ascii="Arial" w:hAnsi="Arial" w:cs="Arial"/>
              </w:rPr>
            </w:pPr>
            <w:r w:rsidRPr="008544D4">
              <w:rPr>
                <w:rFonts w:ascii="Arial" w:hAnsi="Arial" w:cs="Arial"/>
              </w:rPr>
              <w:t>JPMorgan Chase &amp; Co.</w:t>
            </w:r>
          </w:p>
        </w:tc>
        <w:tc>
          <w:tcPr>
            <w:tcW w:w="2543" w:type="dxa"/>
            <w:vAlign w:val="center"/>
          </w:tcPr>
          <w:p w:rsidR="00147C18" w:rsidRPr="00DA3C49" w:rsidRDefault="00147C18" w:rsidP="00365154">
            <w:pPr>
              <w:jc w:val="center"/>
              <w:rPr>
                <w:rFonts w:ascii="Arial" w:hAnsi="Arial" w:cs="Arial"/>
              </w:rPr>
            </w:pPr>
          </w:p>
        </w:tc>
        <w:tc>
          <w:tcPr>
            <w:tcW w:w="2767" w:type="dxa"/>
            <w:vAlign w:val="center"/>
          </w:tcPr>
          <w:p w:rsidR="00147C18" w:rsidRPr="00DA3C49" w:rsidRDefault="00147C18" w:rsidP="00365154">
            <w:pPr>
              <w:jc w:val="center"/>
              <w:rPr>
                <w:rFonts w:ascii="Arial" w:hAnsi="Arial" w:cs="Arial"/>
              </w:rPr>
            </w:pPr>
          </w:p>
        </w:tc>
        <w:tc>
          <w:tcPr>
            <w:tcW w:w="2543" w:type="dxa"/>
            <w:vAlign w:val="center"/>
          </w:tcPr>
          <w:p w:rsidR="00147C18" w:rsidRPr="0060309C" w:rsidRDefault="00147C18" w:rsidP="00365154">
            <w:pPr>
              <w:jc w:val="center"/>
              <w:rPr>
                <w:rFonts w:ascii="Arial" w:hAnsi="Arial" w:cs="Arial"/>
              </w:rPr>
            </w:pPr>
          </w:p>
        </w:tc>
      </w:tr>
      <w:tr w:rsidR="00147C18" w:rsidRPr="00C055A5" w:rsidTr="00365154">
        <w:trPr>
          <w:trHeight w:val="440"/>
        </w:trPr>
        <w:tc>
          <w:tcPr>
            <w:tcW w:w="2767" w:type="dxa"/>
            <w:vAlign w:val="center"/>
          </w:tcPr>
          <w:p w:rsidR="00147C18" w:rsidRPr="00DA3C49" w:rsidRDefault="00147C18" w:rsidP="00365154">
            <w:pPr>
              <w:jc w:val="center"/>
              <w:rPr>
                <w:rFonts w:ascii="Arial" w:hAnsi="Arial" w:cs="Arial"/>
              </w:rPr>
            </w:pPr>
            <w:r w:rsidRPr="008544D4">
              <w:rPr>
                <w:rFonts w:ascii="Arial" w:hAnsi="Arial" w:cs="Arial"/>
              </w:rPr>
              <w:t>JPMorgan Chase Holdings LLC</w:t>
            </w:r>
          </w:p>
        </w:tc>
        <w:tc>
          <w:tcPr>
            <w:tcW w:w="2543" w:type="dxa"/>
            <w:vAlign w:val="center"/>
          </w:tcPr>
          <w:p w:rsidR="00147C18" w:rsidRPr="00DA3C49" w:rsidRDefault="00147C18" w:rsidP="00365154">
            <w:pPr>
              <w:jc w:val="center"/>
              <w:rPr>
                <w:rFonts w:ascii="Arial" w:hAnsi="Arial" w:cs="Arial"/>
              </w:rPr>
            </w:pPr>
          </w:p>
        </w:tc>
        <w:tc>
          <w:tcPr>
            <w:tcW w:w="2767" w:type="dxa"/>
            <w:vAlign w:val="center"/>
          </w:tcPr>
          <w:p w:rsidR="00147C18" w:rsidRPr="00DA3C49" w:rsidRDefault="00147C18" w:rsidP="00365154">
            <w:pPr>
              <w:jc w:val="center"/>
              <w:rPr>
                <w:rFonts w:ascii="Arial" w:hAnsi="Arial" w:cs="Arial"/>
              </w:rPr>
            </w:pPr>
          </w:p>
        </w:tc>
        <w:tc>
          <w:tcPr>
            <w:tcW w:w="2543" w:type="dxa"/>
            <w:vAlign w:val="center"/>
          </w:tcPr>
          <w:p w:rsidR="00147C18" w:rsidRPr="0060309C" w:rsidRDefault="00147C18" w:rsidP="00365154">
            <w:pPr>
              <w:jc w:val="center"/>
              <w:rPr>
                <w:rFonts w:ascii="Arial" w:hAnsi="Arial" w:cs="Arial"/>
              </w:rPr>
            </w:pPr>
          </w:p>
        </w:tc>
      </w:tr>
      <w:tr w:rsidR="00147C18" w:rsidRPr="00C055A5" w:rsidTr="00365154">
        <w:trPr>
          <w:trHeight w:val="440"/>
        </w:trPr>
        <w:tc>
          <w:tcPr>
            <w:tcW w:w="2767" w:type="dxa"/>
            <w:vAlign w:val="center"/>
          </w:tcPr>
          <w:p w:rsidR="00147C18" w:rsidRPr="00DA3C49" w:rsidRDefault="00147C18" w:rsidP="00365154">
            <w:pPr>
              <w:jc w:val="center"/>
              <w:rPr>
                <w:rFonts w:ascii="Arial" w:hAnsi="Arial" w:cs="Arial"/>
              </w:rPr>
            </w:pPr>
            <w:r w:rsidRPr="008544D4">
              <w:rPr>
                <w:rFonts w:ascii="Arial" w:hAnsi="Arial" w:cs="Arial"/>
              </w:rPr>
              <w:t>J.P. Morgan Broker-Dealer Holdings Inc.</w:t>
            </w:r>
          </w:p>
        </w:tc>
        <w:tc>
          <w:tcPr>
            <w:tcW w:w="2543" w:type="dxa"/>
            <w:vAlign w:val="center"/>
          </w:tcPr>
          <w:p w:rsidR="00147C18" w:rsidRPr="00DA3C49" w:rsidRDefault="00147C18" w:rsidP="00365154">
            <w:pPr>
              <w:jc w:val="center"/>
              <w:rPr>
                <w:rFonts w:ascii="Arial" w:hAnsi="Arial" w:cs="Arial"/>
              </w:rPr>
            </w:pPr>
          </w:p>
        </w:tc>
        <w:tc>
          <w:tcPr>
            <w:tcW w:w="2767" w:type="dxa"/>
            <w:vAlign w:val="center"/>
          </w:tcPr>
          <w:p w:rsidR="00147C18" w:rsidRPr="00DA3C49" w:rsidRDefault="00147C18" w:rsidP="00365154">
            <w:pPr>
              <w:jc w:val="center"/>
              <w:rPr>
                <w:rFonts w:ascii="Arial" w:hAnsi="Arial" w:cs="Arial"/>
              </w:rPr>
            </w:pPr>
          </w:p>
        </w:tc>
        <w:tc>
          <w:tcPr>
            <w:tcW w:w="2543" w:type="dxa"/>
            <w:vAlign w:val="center"/>
          </w:tcPr>
          <w:p w:rsidR="00147C18" w:rsidRPr="0060309C" w:rsidRDefault="00147C18" w:rsidP="00365154">
            <w:pPr>
              <w:jc w:val="center"/>
              <w:rPr>
                <w:rFonts w:ascii="Arial" w:hAnsi="Arial" w:cs="Arial"/>
              </w:rPr>
            </w:pPr>
          </w:p>
        </w:tc>
      </w:tr>
      <w:tr w:rsidR="00147C18" w:rsidRPr="00C055A5" w:rsidTr="00365154">
        <w:trPr>
          <w:trHeight w:val="440"/>
        </w:trPr>
        <w:tc>
          <w:tcPr>
            <w:tcW w:w="2767" w:type="dxa"/>
            <w:vAlign w:val="center"/>
          </w:tcPr>
          <w:p w:rsidR="00147C18" w:rsidRPr="00DA3C49" w:rsidRDefault="00147C18" w:rsidP="00365154">
            <w:pPr>
              <w:jc w:val="center"/>
              <w:rPr>
                <w:rFonts w:ascii="Arial" w:hAnsi="Arial" w:cs="Arial"/>
              </w:rPr>
            </w:pPr>
            <w:r w:rsidRPr="008544D4">
              <w:rPr>
                <w:rFonts w:ascii="Arial" w:hAnsi="Arial" w:cs="Arial"/>
              </w:rPr>
              <w:t>J.P. Morgan Securities LLC</w:t>
            </w:r>
          </w:p>
        </w:tc>
        <w:tc>
          <w:tcPr>
            <w:tcW w:w="2543" w:type="dxa"/>
            <w:vAlign w:val="center"/>
          </w:tcPr>
          <w:p w:rsidR="00147C18" w:rsidRPr="00DA3C49" w:rsidRDefault="00147C18" w:rsidP="00365154">
            <w:pPr>
              <w:jc w:val="center"/>
              <w:rPr>
                <w:rFonts w:ascii="Arial" w:hAnsi="Arial" w:cs="Arial"/>
              </w:rPr>
            </w:pPr>
          </w:p>
        </w:tc>
        <w:tc>
          <w:tcPr>
            <w:tcW w:w="2767" w:type="dxa"/>
            <w:vAlign w:val="center"/>
          </w:tcPr>
          <w:p w:rsidR="00147C18" w:rsidRPr="00DA3C49" w:rsidRDefault="00147C18" w:rsidP="00365154">
            <w:pPr>
              <w:jc w:val="center"/>
              <w:rPr>
                <w:rFonts w:ascii="Arial" w:hAnsi="Arial" w:cs="Arial"/>
              </w:rPr>
            </w:pPr>
          </w:p>
        </w:tc>
        <w:tc>
          <w:tcPr>
            <w:tcW w:w="2543" w:type="dxa"/>
            <w:vAlign w:val="center"/>
          </w:tcPr>
          <w:p w:rsidR="00147C18" w:rsidRPr="0060309C" w:rsidRDefault="00147C18" w:rsidP="00365154">
            <w:pPr>
              <w:jc w:val="center"/>
              <w:rPr>
                <w:rFonts w:ascii="Arial" w:hAnsi="Arial" w:cs="Arial"/>
              </w:rPr>
            </w:pPr>
          </w:p>
        </w:tc>
      </w:tr>
      <w:tr w:rsidR="00147C18" w:rsidRPr="00C055A5" w:rsidTr="00F1736C">
        <w:trPr>
          <w:trHeight w:val="710"/>
        </w:trPr>
        <w:tc>
          <w:tcPr>
            <w:tcW w:w="10620" w:type="dxa"/>
            <w:gridSpan w:val="4"/>
            <w:tcBorders>
              <w:left w:val="nil"/>
              <w:right w:val="nil"/>
            </w:tcBorders>
          </w:tcPr>
          <w:p w:rsidR="00147C18" w:rsidRPr="00C055A5" w:rsidRDefault="00147C18" w:rsidP="00147C18">
            <w:pPr>
              <w:rPr>
                <w:rFonts w:ascii="Helvetica" w:hAnsi="Helvetica" w:cs="Helvetica"/>
                <w:b/>
                <w:lang w:val="en-GB"/>
              </w:rPr>
            </w:pPr>
          </w:p>
        </w:tc>
      </w:tr>
      <w:tr w:rsidR="00147C18" w:rsidRPr="00C055A5" w:rsidTr="00F1736C">
        <w:trPr>
          <w:trHeight w:val="694"/>
        </w:trPr>
        <w:tc>
          <w:tcPr>
            <w:tcW w:w="10620" w:type="dxa"/>
            <w:gridSpan w:val="4"/>
            <w:vAlign w:val="center"/>
          </w:tcPr>
          <w:p w:rsidR="00147C18" w:rsidRPr="00C055A5" w:rsidRDefault="00147C18" w:rsidP="00147C18">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147C18" w:rsidRPr="00C055A5" w:rsidTr="00F1736C">
        <w:trPr>
          <w:trHeight w:val="530"/>
        </w:trPr>
        <w:tc>
          <w:tcPr>
            <w:tcW w:w="10620" w:type="dxa"/>
            <w:gridSpan w:val="4"/>
            <w:tcBorders>
              <w:left w:val="nil"/>
              <w:bottom w:val="nil"/>
              <w:right w:val="nil"/>
            </w:tcBorders>
            <w:vAlign w:val="center"/>
          </w:tcPr>
          <w:p w:rsidR="00147C18" w:rsidRPr="00C055A5" w:rsidRDefault="00147C18" w:rsidP="00147C18">
            <w:pPr>
              <w:rPr>
                <w:rFonts w:ascii="Helvetica" w:hAnsi="Helvetica" w:cs="Helvetica"/>
                <w:lang w:val="en-GB"/>
              </w:rPr>
            </w:pPr>
          </w:p>
        </w:tc>
      </w:tr>
      <w:tr w:rsidR="00147C18" w:rsidRPr="00C055A5" w:rsidTr="00F1736C">
        <w:trPr>
          <w:trHeight w:val="950"/>
        </w:trPr>
        <w:tc>
          <w:tcPr>
            <w:tcW w:w="10620" w:type="dxa"/>
            <w:gridSpan w:val="4"/>
          </w:tcPr>
          <w:p w:rsidR="00147C18" w:rsidRPr="00C055A5" w:rsidRDefault="00147C18" w:rsidP="00147C18">
            <w:pPr>
              <w:rPr>
                <w:rFonts w:ascii="Helvetica" w:hAnsi="Helvetica" w:cs="Helvetica"/>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0C1CAC">
      <w:pPr>
        <w:rPr>
          <w:rFonts w:ascii="Helvetica" w:hAnsi="Helvetica" w:cs="Helvetica"/>
          <w:lang w:val="en-GB"/>
        </w:rPr>
      </w:pPr>
      <w:r>
        <w:rPr>
          <w:rFonts w:ascii="Helvetica" w:hAnsi="Helvetica" w:cs="Helvetica"/>
          <w:lang w:val="en-GB"/>
        </w:rPr>
        <w:t xml:space="preserve">Done at London </w:t>
      </w:r>
      <w:r w:rsidR="00C5065C" w:rsidRPr="00C055A5">
        <w:rPr>
          <w:rFonts w:ascii="Helvetica" w:hAnsi="Helvetica" w:cs="Helvetica"/>
          <w:lang w:val="en-GB"/>
        </w:rPr>
        <w:t xml:space="preserve">on </w:t>
      </w:r>
      <w:r w:rsidR="005A19F0">
        <w:rPr>
          <w:rFonts w:ascii="Helvetica" w:hAnsi="Helvetica" w:cs="Helvetica"/>
          <w:lang w:val="en-GB"/>
        </w:rPr>
        <w:t xml:space="preserve">22 </w:t>
      </w:r>
      <w:r w:rsidR="00FC6BC5" w:rsidRPr="00FC6BC5">
        <w:rPr>
          <w:rFonts w:ascii="Helvetica" w:hAnsi="Helvetica" w:cs="Helvetica"/>
          <w:lang w:val="en-GB"/>
        </w:rPr>
        <w:t>May 2020</w:t>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lastRenderedPageBreak/>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36EE"/>
    <w:rsid w:val="00045841"/>
    <w:rsid w:val="0006773E"/>
    <w:rsid w:val="00090A9E"/>
    <w:rsid w:val="00092E94"/>
    <w:rsid w:val="000A44F2"/>
    <w:rsid w:val="000C1CAC"/>
    <w:rsid w:val="000F0BBD"/>
    <w:rsid w:val="000F47A3"/>
    <w:rsid w:val="00116B81"/>
    <w:rsid w:val="0012224A"/>
    <w:rsid w:val="001348EB"/>
    <w:rsid w:val="00140CF8"/>
    <w:rsid w:val="00147C18"/>
    <w:rsid w:val="0015068A"/>
    <w:rsid w:val="00180A5E"/>
    <w:rsid w:val="001D12BD"/>
    <w:rsid w:val="001F1DD0"/>
    <w:rsid w:val="002059DD"/>
    <w:rsid w:val="002177A2"/>
    <w:rsid w:val="002177A9"/>
    <w:rsid w:val="00226086"/>
    <w:rsid w:val="00232E04"/>
    <w:rsid w:val="00264FCF"/>
    <w:rsid w:val="002746F0"/>
    <w:rsid w:val="002772AA"/>
    <w:rsid w:val="00281DF6"/>
    <w:rsid w:val="0029207C"/>
    <w:rsid w:val="002A07DA"/>
    <w:rsid w:val="002A5137"/>
    <w:rsid w:val="002D1833"/>
    <w:rsid w:val="002D464A"/>
    <w:rsid w:val="002D7AA4"/>
    <w:rsid w:val="002E08F1"/>
    <w:rsid w:val="00305F2E"/>
    <w:rsid w:val="00335CBB"/>
    <w:rsid w:val="00337182"/>
    <w:rsid w:val="00347AA4"/>
    <w:rsid w:val="00365154"/>
    <w:rsid w:val="00370C11"/>
    <w:rsid w:val="003A17D5"/>
    <w:rsid w:val="003C2D94"/>
    <w:rsid w:val="003D1B1C"/>
    <w:rsid w:val="00407438"/>
    <w:rsid w:val="00413475"/>
    <w:rsid w:val="004308D2"/>
    <w:rsid w:val="00435CAB"/>
    <w:rsid w:val="00454434"/>
    <w:rsid w:val="00462AFD"/>
    <w:rsid w:val="00465B79"/>
    <w:rsid w:val="00482458"/>
    <w:rsid w:val="00485978"/>
    <w:rsid w:val="004A6DCE"/>
    <w:rsid w:val="004A7B00"/>
    <w:rsid w:val="004B1F77"/>
    <w:rsid w:val="004C314C"/>
    <w:rsid w:val="004D265C"/>
    <w:rsid w:val="004F2333"/>
    <w:rsid w:val="004F440A"/>
    <w:rsid w:val="00521E70"/>
    <w:rsid w:val="00562111"/>
    <w:rsid w:val="00562726"/>
    <w:rsid w:val="00573159"/>
    <w:rsid w:val="00586C3D"/>
    <w:rsid w:val="005A19F0"/>
    <w:rsid w:val="005F7359"/>
    <w:rsid w:val="00627F09"/>
    <w:rsid w:val="00630E34"/>
    <w:rsid w:val="00636BC6"/>
    <w:rsid w:val="00642E75"/>
    <w:rsid w:val="0064616E"/>
    <w:rsid w:val="00654393"/>
    <w:rsid w:val="00692996"/>
    <w:rsid w:val="006E5403"/>
    <w:rsid w:val="0070184B"/>
    <w:rsid w:val="00712AB8"/>
    <w:rsid w:val="00737B55"/>
    <w:rsid w:val="007772A1"/>
    <w:rsid w:val="00777D9E"/>
    <w:rsid w:val="00795C4F"/>
    <w:rsid w:val="007A4DA2"/>
    <w:rsid w:val="007C162B"/>
    <w:rsid w:val="007F28E3"/>
    <w:rsid w:val="0080550D"/>
    <w:rsid w:val="008778CE"/>
    <w:rsid w:val="008F18BE"/>
    <w:rsid w:val="008F2685"/>
    <w:rsid w:val="008F5B67"/>
    <w:rsid w:val="009269A8"/>
    <w:rsid w:val="00947528"/>
    <w:rsid w:val="00957F01"/>
    <w:rsid w:val="00A13B89"/>
    <w:rsid w:val="00A17553"/>
    <w:rsid w:val="00A50EAE"/>
    <w:rsid w:val="00AD72E0"/>
    <w:rsid w:val="00B0518C"/>
    <w:rsid w:val="00B47EB3"/>
    <w:rsid w:val="00B80BC0"/>
    <w:rsid w:val="00B878F3"/>
    <w:rsid w:val="00BA42D8"/>
    <w:rsid w:val="00BA72A7"/>
    <w:rsid w:val="00BB08CD"/>
    <w:rsid w:val="00BB7A6D"/>
    <w:rsid w:val="00BC282F"/>
    <w:rsid w:val="00BE706C"/>
    <w:rsid w:val="00BF6EEC"/>
    <w:rsid w:val="00BF7E4A"/>
    <w:rsid w:val="00C01F91"/>
    <w:rsid w:val="00C04ACC"/>
    <w:rsid w:val="00C055A5"/>
    <w:rsid w:val="00C11F38"/>
    <w:rsid w:val="00C4160D"/>
    <w:rsid w:val="00C5065C"/>
    <w:rsid w:val="00C67335"/>
    <w:rsid w:val="00C76B76"/>
    <w:rsid w:val="00CA34EB"/>
    <w:rsid w:val="00CA7ECF"/>
    <w:rsid w:val="00CB5B8D"/>
    <w:rsid w:val="00D0642B"/>
    <w:rsid w:val="00D2326B"/>
    <w:rsid w:val="00D2417E"/>
    <w:rsid w:val="00D31F60"/>
    <w:rsid w:val="00D363B8"/>
    <w:rsid w:val="00D701D8"/>
    <w:rsid w:val="00DC1CEE"/>
    <w:rsid w:val="00E25918"/>
    <w:rsid w:val="00E50226"/>
    <w:rsid w:val="00E767F1"/>
    <w:rsid w:val="00F03C9F"/>
    <w:rsid w:val="00F21891"/>
    <w:rsid w:val="00F21FBB"/>
    <w:rsid w:val="00F26D04"/>
    <w:rsid w:val="00F32B37"/>
    <w:rsid w:val="00F445F4"/>
    <w:rsid w:val="00F9550D"/>
    <w:rsid w:val="00FA0931"/>
    <w:rsid w:val="00FB2FBD"/>
    <w:rsid w:val="00FC6BC5"/>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5BB67-9BEA-40EA-9987-251D5E55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2020-05-22T16:46:36+00:00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1D8D6-5430-4A83-9A6C-3A570148058D}"/>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B4252396-CDFC-480F-8B11-D2C7E58ACD8B}"/>
</file>

<file path=docProps/app.xml><?xml version="1.0" encoding="utf-8"?>
<Properties xmlns="http://schemas.openxmlformats.org/officeDocument/2006/extended-properties" xmlns:vt="http://schemas.openxmlformats.org/officeDocument/2006/docPropsVTypes">
  <Template>Normal</Template>
  <TotalTime>0</TotalTime>
  <Pages>7</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O'Toole, Shane</cp:lastModifiedBy>
  <cp:revision>2</cp:revision>
  <dcterms:created xsi:type="dcterms:W3CDTF">2020-05-22T14:41:00Z</dcterms:created>
  <dcterms:modified xsi:type="dcterms:W3CDTF">2020-05-22T14:41:00Z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