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000000">
        <w:tblPrEx>
          <w:tblCellMar>
            <w:top w:w="0" w:type="dxa"/>
            <w:left w:w="0" w:type="dxa"/>
            <w:bottom w:w="0" w:type="dxa"/>
            <w:right w:w="0" w:type="dxa"/>
          </w:tblCellMar>
        </w:tblPrEx>
        <w:tc>
          <w:tcPr>
            <w:tcW w:w="9694" w:type="dxa"/>
            <w:gridSpan w:val="2"/>
            <w:tcBorders>
              <w:top w:val="nil"/>
              <w:left w:val="nil"/>
              <w:bottom w:val="nil"/>
              <w:right w:val="nil"/>
            </w:tcBorders>
            <w:tcMar>
              <w:top w:w="60" w:type="dxa"/>
              <w:bottom w:w="20" w:type="dxa"/>
            </w:tcMar>
          </w:tcPr>
          <w:p w:rsidR="00000000" w:rsidRDefault="00036149">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rsidR="00000000" w:rsidRDefault="00036149">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036149">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000000">
        <w:tblPrEx>
          <w:tblCellMar>
            <w:top w:w="0" w:type="dxa"/>
            <w:left w:w="0" w:type="dxa"/>
            <w:bottom w:w="0" w:type="dxa"/>
            <w:right w:w="0" w:type="dxa"/>
          </w:tblCellMar>
        </w:tblPrEx>
        <w:tc>
          <w:tcPr>
            <w:tcW w:w="9694" w:type="dxa"/>
            <w:gridSpan w:val="2"/>
            <w:tcBorders>
              <w:top w:val="nil"/>
              <w:left w:val="nil"/>
              <w:bottom w:val="nil"/>
              <w:right w:val="nil"/>
            </w:tcBorders>
            <w:tcMar>
              <w:top w:w="60" w:type="dxa"/>
              <w:left w:w="60" w:type="dxa"/>
              <w:bottom w:w="60" w:type="dxa"/>
              <w:right w:w="6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03614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Ryanair Holdings PLC</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financial instruments</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event changing the breakdown of voting rights</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Other (please specify):</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rsidR="00000000" w:rsidRDefault="0003614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000000">
        <w:tblPrEx>
          <w:tblCellMar>
            <w:top w:w="0" w:type="dxa"/>
            <w:left w:w="0" w:type="dxa"/>
            <w:bottom w:w="0" w:type="dxa"/>
            <w:right w:w="0" w:type="dxa"/>
          </w:tblCellMar>
        </w:tblPrEx>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036149">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w:t>
            </w:r>
            <w:r>
              <w:rPr>
                <w:rFonts w:ascii="Helvetica" w:hAnsi="Helvetica" w:cs="Helvetica"/>
                <w:color w:val="000000"/>
                <w:sz w:val="20"/>
                <w:szCs w:val="20"/>
              </w:rPr>
              <w: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036149">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03614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w:t>
            </w:r>
            <w:r>
              <w:rPr>
                <w:rFonts w:ascii="Helvetica" w:hAnsi="Helvetica" w:cs="Helvetica"/>
                <w:b/>
                <w:bCs/>
                <w:color w:val="000000"/>
                <w:sz w:val="20"/>
                <w:szCs w:val="20"/>
              </w:rPr>
              <w:t xml:space="preserve"> the threshold was crossed or reached:</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12 Nov 2020</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03614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16 Nov 2020</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03614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Capital Research and Management Company increased above 9.00% of total voting rights outstanding.</w:t>
            </w:r>
          </w:p>
        </w:tc>
      </w:tr>
    </w:tbl>
    <w:p w:rsidR="00000000" w:rsidRDefault="00036149">
      <w:pPr>
        <w:widowControl w:val="0"/>
        <w:autoSpaceDE w:val="0"/>
        <w:autoSpaceDN w:val="0"/>
        <w:adjustRightInd w:val="0"/>
        <w:spacing w:after="0" w:line="240" w:lineRule="auto"/>
        <w:rPr>
          <w:rFonts w:ascii="Arial" w:hAnsi="Arial" w:cs="Arial"/>
          <w:sz w:val="24"/>
          <w:szCs w:val="24"/>
        </w:rPr>
        <w:sectPr w:rsidR="00000000">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000000">
        <w:tblPrEx>
          <w:tblCellMar>
            <w:top w:w="0" w:type="dxa"/>
            <w:left w:w="0" w:type="dxa"/>
            <w:bottom w:w="0" w:type="dxa"/>
            <w:right w:w="0" w:type="dxa"/>
          </w:tblCellMar>
        </w:tblPrEx>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03614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000000">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w:t>
            </w:r>
            <w:r>
              <w:rPr>
                <w:rFonts w:ascii="Helvetica" w:hAnsi="Helvetica" w:cs="Helvetica"/>
                <w:color w:val="000000"/>
                <w:sz w:val="20"/>
                <w:szCs w:val="20"/>
              </w:rPr>
              <w:t>al number of voting rights of issuer</w:t>
            </w:r>
          </w:p>
        </w:tc>
      </w:tr>
      <w:tr w:rsidR="00000000">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9.18%</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9.18%</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1,125,292,028</w:t>
            </w:r>
          </w:p>
        </w:tc>
      </w:tr>
      <w:tr w:rsidR="00000000">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9.01%</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9.01%</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000000">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000000">
        <w:tblPrEx>
          <w:tblCellMar>
            <w:top w:w="0" w:type="dxa"/>
            <w:left w:w="0" w:type="dxa"/>
            <w:bottom w:w="0" w:type="dxa"/>
            <w:right w:w="0" w:type="dxa"/>
          </w:tblCellMar>
        </w:tblPrEx>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000000">
        <w:tblPrEx>
          <w:tblCellMar>
            <w:top w:w="0" w:type="dxa"/>
            <w:left w:w="0" w:type="dxa"/>
            <w:bottom w:w="0" w:type="dxa"/>
            <w:right w:w="0" w:type="dxa"/>
          </w:tblCellMar>
        </w:tblPrEx>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US7835132033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95,690,350</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8.50%</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IE00BYTBXV33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7,627,925</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0.68%</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103,318,275</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9.18%</w:t>
            </w:r>
          </w:p>
        </w:tc>
      </w:tr>
      <w:tr w:rsidR="00000000">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w:t>
            </w:r>
            <w:r>
              <w:rPr>
                <w:rFonts w:ascii="Helvetica" w:hAnsi="Helvetica" w:cs="Helvetica"/>
                <w:b/>
                <w:bCs/>
                <w:color w:val="000000"/>
                <w:sz w:val="20"/>
                <w:szCs w:val="20"/>
              </w:rPr>
              <w:t>s</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r>
      <w:tr w:rsidR="00000000">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
        </w:tc>
      </w:tr>
      <w:tr w:rsidR="00000000">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036149">
            <w:pPr>
              <w:widowControl w:val="0"/>
              <w:autoSpaceDE w:val="0"/>
              <w:autoSpaceDN w:val="0"/>
              <w:adjustRightInd w:val="0"/>
              <w:spacing w:after="0" w:line="240" w:lineRule="auto"/>
              <w:jc w:val="center"/>
              <w:rPr>
                <w:rFonts w:ascii="Helvetica" w:hAnsi="Helvetica" w:cs="Helvetica"/>
                <w:color w:val="000000"/>
                <w:sz w:val="20"/>
                <w:szCs w:val="20"/>
              </w:rPr>
            </w:pPr>
          </w:p>
        </w:tc>
      </w:tr>
    </w:tbl>
    <w:p w:rsidR="00000000" w:rsidRDefault="00036149">
      <w:pPr>
        <w:widowControl w:val="0"/>
        <w:autoSpaceDE w:val="0"/>
        <w:autoSpaceDN w:val="0"/>
        <w:adjustRightInd w:val="0"/>
        <w:spacing w:after="0" w:line="240" w:lineRule="auto"/>
        <w:rPr>
          <w:rFonts w:ascii="Arial" w:hAnsi="Arial" w:cs="Arial"/>
          <w:sz w:val="24"/>
          <w:szCs w:val="24"/>
        </w:rPr>
        <w:sectPr w:rsidR="00000000">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000000">
        <w:tblPrEx>
          <w:tblCellMar>
            <w:top w:w="0" w:type="dxa"/>
            <w:left w:w="0" w:type="dxa"/>
            <w:bottom w:w="0" w:type="dxa"/>
            <w:right w:w="0" w:type="dxa"/>
          </w:tblCellMar>
        </w:tblPrEx>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rsidR="00000000" w:rsidRDefault="0003614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000000">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rsidR="00000000" w:rsidRDefault="00036149">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w:t>
            </w:r>
            <w:r>
              <w:rPr>
                <w:rFonts w:ascii="Helvetica" w:hAnsi="Helvetica" w:cs="Helvetica"/>
                <w:b/>
                <w:bCs/>
                <w:color w:val="000000"/>
                <w:sz w:val="20"/>
                <w:szCs w:val="20"/>
              </w:rPr>
              <w:t>ertaking(s) holding directly or indirectly an interest in the (underlying) issuer.</w:t>
            </w:r>
          </w:p>
        </w:tc>
      </w:tr>
      <w:tr w:rsidR="00000000">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rsidR="00000000" w:rsidRDefault="0003614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000000">
        <w:tblPrEx>
          <w:tblCellMar>
            <w:top w:w="0" w:type="dxa"/>
            <w:left w:w="0" w:type="dxa"/>
            <w:bottom w:w="0" w:type="dxa"/>
            <w:right w:w="0" w:type="dxa"/>
          </w:tblCellMar>
        </w:tblPrEx>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03614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03614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w:t>
            </w:r>
            <w:r>
              <w:rPr>
                <w:rFonts w:ascii="Helvetica" w:hAnsi="Helvetica" w:cs="Helvetica"/>
                <w:b/>
                <w:bCs/>
                <w:color w:val="000000"/>
                <w:sz w:val="20"/>
                <w:szCs w:val="20"/>
              </w:rPr>
              <w:t>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03614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03614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9.03%</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9.03%</w:t>
            </w: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w:t>
            </w:r>
            <w:r>
              <w:rPr>
                <w:rFonts w:ascii="Helvetica" w:hAnsi="Helvetica" w:cs="Helvetica"/>
                <w:color w:val="000000"/>
                <w:sz w:val="18"/>
                <w:szCs w:val="18"/>
              </w:rPr>
              <w: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Bank and Trust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Capital International </w:t>
            </w:r>
            <w:proofErr w:type="spellStart"/>
            <w:r>
              <w:rPr>
                <w:rFonts w:ascii="Helvetica" w:hAnsi="Helvetica" w:cs="Helvetica"/>
                <w:color w:val="000000"/>
                <w:sz w:val="18"/>
                <w:szCs w:val="18"/>
              </w:rPr>
              <w:t>S</w:t>
            </w:r>
            <w:r>
              <w:rPr>
                <w:rFonts w:ascii="Helvetica" w:hAnsi="Helvetica" w:cs="Helvetica"/>
                <w:color w:val="000000"/>
                <w:sz w:val="18"/>
                <w:szCs w:val="18"/>
              </w:rPr>
              <w:t>à</w:t>
            </w:r>
            <w:r>
              <w:rPr>
                <w:rFonts w:ascii="Helvetica" w:hAnsi="Helvetica" w:cs="Helvetica"/>
                <w:color w:val="000000"/>
                <w:sz w:val="18"/>
                <w:szCs w:val="18"/>
              </w:rPr>
              <w:t>rl</w:t>
            </w:r>
            <w:proofErr w:type="spellEnd"/>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proofErr w:type="spellStart"/>
            <w:r>
              <w:rPr>
                <w:rFonts w:ascii="Helvetica" w:hAnsi="Helvetica" w:cs="Helvetica"/>
                <w:color w:val="000000"/>
                <w:sz w:val="18"/>
                <w:szCs w:val="18"/>
              </w:rPr>
              <w:t>EuroPacific</w:t>
            </w:r>
            <w:proofErr w:type="spellEnd"/>
            <w:r>
              <w:rPr>
                <w:rFonts w:ascii="Helvetica" w:hAnsi="Helvetica" w:cs="Helvetica"/>
                <w:color w:val="000000"/>
                <w:sz w:val="18"/>
                <w:szCs w:val="18"/>
              </w:rPr>
              <w:t xml:space="preserve">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3.17%</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3.17%</w:t>
            </w: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9.18%</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03614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9.18%</w:t>
            </w:r>
          </w:p>
        </w:tc>
      </w:tr>
      <w:tr w:rsidR="00000000">
        <w:tblPrEx>
          <w:tblCellMar>
            <w:top w:w="0" w:type="dxa"/>
            <w:left w:w="0" w:type="dxa"/>
            <w:bottom w:w="0" w:type="dxa"/>
            <w:right w:w="0" w:type="dxa"/>
          </w:tblCellMar>
        </w:tblPrEx>
        <w:tc>
          <w:tcPr>
            <w:tcW w:w="9692" w:type="dxa"/>
            <w:gridSpan w:val="4"/>
            <w:tcBorders>
              <w:top w:val="nil"/>
              <w:left w:val="nil"/>
              <w:bottom w:val="nil"/>
              <w:right w:val="nil"/>
            </w:tcBorders>
            <w:tcMar>
              <w:top w:w="12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03614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000000">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03614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rsidR="00000000" w:rsidRDefault="0003614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w:t>
            </w:r>
            <w:proofErr w:type="gramStart"/>
            <w:r>
              <w:rPr>
                <w:rFonts w:ascii="Helvetica" w:hAnsi="Helvetica" w:cs="Helvetica"/>
                <w:color w:val="000000"/>
                <w:sz w:val="20"/>
                <w:szCs w:val="20"/>
              </w:rPr>
              <w:t>(”CGC</w:t>
            </w:r>
            <w:proofErr w:type="gramEnd"/>
            <w:r>
              <w:rPr>
                <w:rFonts w:ascii="Helvetica" w:hAnsi="Helvetica" w:cs="Helvetica"/>
                <w:color w:val="000000"/>
                <w:sz w:val="20"/>
                <w:szCs w:val="20"/>
              </w:rPr>
              <w:t>”) is the parent company of Capital Research and Management Company (”CRMC”) and Capital Bank &amp; Trust Company (”CB&amp;T”). CRMC is a U.S.-based investment mana</w:t>
            </w:r>
            <w:r>
              <w:rPr>
                <w:rFonts w:ascii="Helvetica" w:hAnsi="Helvetica" w:cs="Helvetica"/>
                <w:color w:val="000000"/>
                <w:sz w:val="20"/>
                <w:szCs w:val="20"/>
              </w:rPr>
              <w:t>gement company that serves as investment manager to the American Funds family of mutual funds, other pooled investment vehicles, as well as individual and institutional clients. CRMC and its investment manager affiliates manage equity assets for various in</w:t>
            </w:r>
            <w:r>
              <w:rPr>
                <w:rFonts w:ascii="Helvetica" w:hAnsi="Helvetica" w:cs="Helvetica"/>
                <w:color w:val="000000"/>
                <w:sz w:val="20"/>
                <w:szCs w:val="20"/>
              </w:rPr>
              <w:t>vestment companies through three divisions, Capital Research Global Investors, Capital International Investors and Capital World Investors. CRMC is the parent company of Capital Group International, Inc. (”CGII”), which in turn is the parent company of fou</w:t>
            </w:r>
            <w:r>
              <w:rPr>
                <w:rFonts w:ascii="Helvetica" w:hAnsi="Helvetica" w:cs="Helvetica"/>
                <w:color w:val="000000"/>
                <w:sz w:val="20"/>
                <w:szCs w:val="20"/>
              </w:rPr>
              <w:t xml:space="preserve">r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w:t>
            </w:r>
            <w:r>
              <w:rPr>
                <w:rFonts w:ascii="Helvetica" w:hAnsi="Helvetica" w:cs="Helvetica"/>
                <w:color w:val="000000"/>
                <w:sz w:val="20"/>
                <w:szCs w:val="20"/>
              </w:rPr>
              <w:t>à</w:t>
            </w:r>
            <w:r>
              <w:rPr>
                <w:rFonts w:ascii="Helvetica" w:hAnsi="Helvetica" w:cs="Helvetica"/>
                <w:color w:val="000000"/>
                <w:sz w:val="20"/>
                <w:szCs w:val="20"/>
              </w:rPr>
              <w:t>rl</w:t>
            </w:r>
            <w:proofErr w:type="spellEnd"/>
            <w:r>
              <w:rPr>
                <w:rFonts w:ascii="Helvetica" w:hAnsi="Helvetica" w:cs="Helvetica"/>
                <w:color w:val="000000"/>
                <w:sz w:val="20"/>
                <w:szCs w:val="20"/>
              </w:rPr>
              <w:t xml:space="preserve"> and Capital International K.K. CGII management companies and CB&amp;T primarily serve as investment managers</w:t>
            </w:r>
            <w:r>
              <w:rPr>
                <w:rFonts w:ascii="Helvetica" w:hAnsi="Helvetica" w:cs="Helvetica"/>
                <w:color w:val="000000"/>
                <w:sz w:val="20"/>
                <w:szCs w:val="20"/>
              </w:rPr>
              <w:t xml:space="preserve"> to institutional and high net worth clients. CB&amp;T is a U.S.-based investment management company that is a registered investment adviser and an affiliated federally chartered bank.</w:t>
            </w:r>
          </w:p>
          <w:p w:rsidR="00000000" w:rsidRDefault="00036149">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the Issuer for its own </w:t>
            </w:r>
            <w:r>
              <w:rPr>
                <w:rFonts w:ascii="Helvetica" w:hAnsi="Helvetica" w:cs="Helvetica"/>
                <w:color w:val="000000"/>
                <w:sz w:val="20"/>
                <w:szCs w:val="20"/>
              </w:rPr>
              <w:t>account. Rather, the shares reported on this Notification are owned by accounts under the discretionary investment management of one or more of the investment management companies described above.</w:t>
            </w:r>
          </w:p>
          <w:p w:rsidR="00000000" w:rsidRDefault="00036149">
            <w:pPr>
              <w:widowControl w:val="0"/>
              <w:autoSpaceDE w:val="0"/>
              <w:autoSpaceDN w:val="0"/>
              <w:adjustRightInd w:val="0"/>
              <w:spacing w:before="240"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rsidR="00000000" w:rsidRDefault="00036149">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rsidR="00000000" w:rsidRDefault="00036149">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16 Nov 2020.</w:t>
            </w:r>
          </w:p>
        </w:tc>
      </w:tr>
    </w:tbl>
    <w:p w:rsidR="00000000" w:rsidRDefault="00036149">
      <w:pPr>
        <w:widowControl w:val="0"/>
        <w:autoSpaceDE w:val="0"/>
        <w:autoSpaceDN w:val="0"/>
        <w:adjustRightInd w:val="0"/>
        <w:spacing w:after="0" w:line="240" w:lineRule="auto"/>
        <w:rPr>
          <w:rFonts w:ascii="Arial" w:hAnsi="Arial" w:cs="Arial"/>
          <w:sz w:val="24"/>
          <w:szCs w:val="24"/>
        </w:rPr>
        <w:sectPr w:rsidR="00000000">
          <w:pgSz w:w="11905" w:h="16837"/>
          <w:pgMar w:top="1587" w:right="1020" w:bottom="1587" w:left="1020" w:header="720" w:footer="720" w:gutter="0"/>
          <w:cols w:space="720"/>
          <w:noEndnote/>
        </w:sectPr>
      </w:pPr>
    </w:p>
    <w:p w:rsidR="00000000" w:rsidRDefault="00036149">
      <w:pPr>
        <w:widowControl w:val="0"/>
        <w:autoSpaceDE w:val="0"/>
        <w:autoSpaceDN w:val="0"/>
        <w:adjustRightInd w:val="0"/>
        <w:spacing w:after="0" w:line="240" w:lineRule="auto"/>
        <w:rPr>
          <w:rFonts w:ascii="Arial" w:hAnsi="Arial" w:cs="Arial"/>
          <w:sz w:val="24"/>
          <w:szCs w:val="24"/>
        </w:rPr>
      </w:pPr>
      <w:bookmarkStart w:id="0" w:name="_GoBack"/>
      <w:bookmarkEnd w:id="0"/>
    </w:p>
    <w:sectPr w:rsidR="00000000">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5C"/>
    <w:rsid w:val="00036149"/>
    <w:rsid w:val="0046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08E30"/>
  <w14:defaultImageDpi w14:val="0"/>
  <w15:docId w15:val="{0788028B-97D2-4051-B0FA-52195377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2020-11-17T09:24:43+00:00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6844277-538B-4C57-8707-F8972B8EE15F}"/>
</file>

<file path=customXml/itemProps2.xml><?xml version="1.0" encoding="utf-8"?>
<ds:datastoreItem xmlns:ds="http://schemas.openxmlformats.org/officeDocument/2006/customXml" ds:itemID="{613058BF-D4F3-4D2F-ADB8-B33920943460}"/>
</file>

<file path=customXml/itemProps3.xml><?xml version="1.0" encoding="utf-8"?>
<ds:datastoreItem xmlns:ds="http://schemas.openxmlformats.org/officeDocument/2006/customXml" ds:itemID="{5776EF16-F3E5-4677-8B39-624AFADC8E6C}"/>
</file>

<file path=docProps/app.xml><?xml version="1.0" encoding="utf-8"?>
<Properties xmlns="http://schemas.openxmlformats.org/officeDocument/2006/extended-properties" xmlns:vt="http://schemas.openxmlformats.org/officeDocument/2006/docPropsVTypes">
  <Template>Normal</Template>
  <TotalTime>3</TotalTime>
  <Pages>4</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Harris (DKH)</dc:creator>
  <cp:keywords/>
  <dc:description/>
  <cp:lastModifiedBy>Danielle Harris (DKH)</cp:lastModifiedBy>
  <cp:revision>2</cp:revision>
  <dcterms:created xsi:type="dcterms:W3CDTF">2020-11-16T08:58:00Z</dcterms:created>
  <dcterms:modified xsi:type="dcterms:W3CDTF">2020-11-16T08:58:00Z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169202800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