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7D1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3E621EF7" w14:textId="77777777" w:rsidR="00307D0A" w:rsidRDefault="00307D0A" w:rsidP="00307D0A">
      <w:pPr>
        <w:spacing w:after="0"/>
        <w:rPr>
          <w:sz w:val="20"/>
          <w:szCs w:val="20"/>
        </w:rPr>
      </w:pPr>
    </w:p>
    <w:p w14:paraId="554AB422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DED645A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24647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72FAF09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B5A93A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6CE068E1" w14:textId="77777777" w:rsidR="00092A71" w:rsidRDefault="00092A71"/>
        </w:tc>
      </w:tr>
      <w:tr w:rsidR="00C27DA6" w14:paraId="61EC62EB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2E21B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CF204D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16E8C3" w14:textId="77777777" w:rsidR="00E35BAE" w:rsidRPr="00307D0A" w:rsidRDefault="00400975" w:rsidP="00DF4D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307EC8"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 xml:space="preserve">he </w:t>
            </w:r>
            <w:proofErr w:type="spellStart"/>
            <w:r w:rsidR="00187EF2">
              <w:rPr>
                <w:i/>
                <w:sz w:val="20"/>
                <w:szCs w:val="20"/>
              </w:rPr>
              <w:t>Gigginstow</w:t>
            </w:r>
            <w:r w:rsidR="00B70325">
              <w:rPr>
                <w:i/>
                <w:sz w:val="20"/>
                <w:szCs w:val="20"/>
              </w:rPr>
              <w:t>n</w:t>
            </w:r>
            <w:proofErr w:type="spellEnd"/>
            <w:r>
              <w:rPr>
                <w:i/>
                <w:sz w:val="20"/>
                <w:szCs w:val="20"/>
              </w:rPr>
              <w:t xml:space="preserve"> Settlement Charity</w:t>
            </w:r>
            <w:r w:rsidR="00384715">
              <w:rPr>
                <w:i/>
                <w:sz w:val="20"/>
                <w:szCs w:val="20"/>
              </w:rPr>
              <w:t xml:space="preserve"> (acting by its trustees from time to time)</w:t>
            </w:r>
            <w:r>
              <w:rPr>
                <w:i/>
                <w:sz w:val="20"/>
                <w:szCs w:val="20"/>
              </w:rPr>
              <w:t xml:space="preserve">.   </w:t>
            </w:r>
            <w:r w:rsidR="00647E8D" w:rsidRPr="00647E8D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27DA6" w14:paraId="00A2E359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9BC8A8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6DB57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6D7674E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025467C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F86FC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CE5D43A" w14:textId="77777777" w:rsidR="00C27DA6" w:rsidRDefault="00C27DA6">
            <w:r w:rsidRPr="00C27DA6">
              <w:t>Reason for the notification</w:t>
            </w:r>
          </w:p>
          <w:p w14:paraId="480BA8B8" w14:textId="77777777" w:rsidR="00092A71" w:rsidRDefault="00092A71"/>
        </w:tc>
      </w:tr>
      <w:tr w:rsidR="00C27DA6" w14:paraId="62EA878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1EC57D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8B3815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36F26" w14:textId="77777777" w:rsidR="00C27DA6" w:rsidRPr="00307D0A" w:rsidRDefault="00DF4DAF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Gigginstown</w:t>
            </w:r>
            <w:proofErr w:type="spellEnd"/>
            <w:r>
              <w:rPr>
                <w:i/>
                <w:sz w:val="20"/>
                <w:szCs w:val="20"/>
              </w:rPr>
              <w:t xml:space="preserve"> Settlement Charity </w:t>
            </w:r>
            <w:r w:rsidR="00CA1179">
              <w:rPr>
                <w:i/>
                <w:sz w:val="20"/>
                <w:szCs w:val="20"/>
              </w:rPr>
              <w:t xml:space="preserve">is deemed </w:t>
            </w:r>
            <w:r w:rsidR="00643997">
              <w:rPr>
                <w:i/>
                <w:sz w:val="20"/>
                <w:szCs w:val="20"/>
              </w:rPr>
              <w:t xml:space="preserve">to </w:t>
            </w:r>
            <w:r w:rsidR="00CA1179">
              <w:rPr>
                <w:i/>
                <w:sz w:val="20"/>
                <w:szCs w:val="20"/>
              </w:rPr>
              <w:t>be a</w:t>
            </w:r>
            <w:r>
              <w:rPr>
                <w:i/>
                <w:sz w:val="20"/>
                <w:szCs w:val="20"/>
              </w:rPr>
              <w:t xml:space="preserve"> p</w:t>
            </w:r>
            <w:r w:rsidR="00307EC8">
              <w:rPr>
                <w:i/>
                <w:sz w:val="20"/>
                <w:szCs w:val="20"/>
              </w:rPr>
              <w:t xml:space="preserve">erson closely associated with Michael O’Leary, </w:t>
            </w:r>
            <w:r w:rsidR="00400975">
              <w:rPr>
                <w:i/>
                <w:sz w:val="20"/>
                <w:szCs w:val="20"/>
              </w:rPr>
              <w:t xml:space="preserve">Group </w:t>
            </w:r>
            <w:r w:rsidR="00647E8D">
              <w:rPr>
                <w:i/>
                <w:sz w:val="20"/>
                <w:szCs w:val="20"/>
              </w:rPr>
              <w:t>CEO</w:t>
            </w:r>
            <w:r>
              <w:rPr>
                <w:i/>
                <w:sz w:val="20"/>
                <w:szCs w:val="20"/>
              </w:rPr>
              <w:t xml:space="preserve"> of </w:t>
            </w:r>
            <w:r w:rsidR="00A7352F">
              <w:rPr>
                <w:i/>
                <w:sz w:val="20"/>
                <w:szCs w:val="20"/>
              </w:rPr>
              <w:t>the issuer</w:t>
            </w:r>
            <w:r w:rsidR="00384715">
              <w:rPr>
                <w:i/>
                <w:sz w:val="20"/>
                <w:szCs w:val="20"/>
              </w:rPr>
              <w:t xml:space="preserve">. </w:t>
            </w:r>
            <w:r w:rsidR="00A1123D">
              <w:rPr>
                <w:i/>
                <w:sz w:val="20"/>
                <w:szCs w:val="20"/>
              </w:rPr>
              <w:t xml:space="preserve">As at the date of this notice, </w:t>
            </w:r>
            <w:r w:rsidR="00384715">
              <w:rPr>
                <w:i/>
                <w:sz w:val="20"/>
                <w:szCs w:val="20"/>
              </w:rPr>
              <w:t xml:space="preserve"> Michael O’Leary and his wife, Anita O’Leary, are two of the five trustees of The </w:t>
            </w:r>
            <w:proofErr w:type="spellStart"/>
            <w:r w:rsidR="00384715">
              <w:rPr>
                <w:i/>
                <w:sz w:val="20"/>
                <w:szCs w:val="20"/>
              </w:rPr>
              <w:t>Gigginstown</w:t>
            </w:r>
            <w:proofErr w:type="spellEnd"/>
            <w:r w:rsidR="00384715">
              <w:rPr>
                <w:i/>
                <w:sz w:val="20"/>
                <w:szCs w:val="20"/>
              </w:rPr>
              <w:t xml:space="preserve"> Settlement Charity</w:t>
            </w:r>
            <w:r w:rsidR="00C15753">
              <w:rPr>
                <w:i/>
                <w:sz w:val="20"/>
                <w:szCs w:val="20"/>
              </w:rPr>
              <w:t>.</w:t>
            </w:r>
          </w:p>
          <w:p w14:paraId="66FBBF66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DD282F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5EB104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9D844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AA588" w14:textId="77777777" w:rsidR="00E35BAE" w:rsidRDefault="00DB273B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C27DA6" w:rsidRPr="00307D0A">
              <w:rPr>
                <w:i/>
                <w:sz w:val="20"/>
                <w:szCs w:val="20"/>
              </w:rPr>
              <w:t xml:space="preserve">nitial notification </w:t>
            </w:r>
          </w:p>
          <w:p w14:paraId="769D43EB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A4395B2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1001663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F610A5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E97384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6827EF0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C49D1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68A2FA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4138AC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6E9B657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09E9DC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5D829A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71DB5" w14:textId="6E5690EE" w:rsidR="00E35BAE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</w:tc>
      </w:tr>
      <w:tr w:rsidR="00120C18" w14:paraId="3D928990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8FA532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C166D3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4195B24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B43C25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742152" w14:textId="77777777" w:rsidR="00E35BAE" w:rsidRDefault="00E35BAE" w:rsidP="00E35BAE">
            <w:r>
              <w:t xml:space="preserve">Description of the financial  instrument, </w:t>
            </w:r>
          </w:p>
          <w:p w14:paraId="4C2F2460" w14:textId="77777777" w:rsidR="00E35BAE" w:rsidRDefault="00E35BAE" w:rsidP="00E35BAE">
            <w:r>
              <w:t>type  of</w:t>
            </w:r>
          </w:p>
          <w:p w14:paraId="47934BB2" w14:textId="77777777" w:rsidR="00E35BAE" w:rsidRDefault="00E35BAE" w:rsidP="00E35BAE">
            <w:r>
              <w:t>instrument</w:t>
            </w:r>
          </w:p>
          <w:p w14:paraId="78CBB6D0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3150E2" w14:textId="77777777" w:rsidR="00E35BAE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 w:rsidR="00D84C48"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10F8C9BE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3360371F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0D2F637A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E07F02C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</w:tc>
      </w:tr>
      <w:tr w:rsidR="00120C18" w14:paraId="46A8F00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E650F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BC425B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4A9339" w14:textId="19D3C412" w:rsidR="00DF4DAF" w:rsidRDefault="00DF4DAF" w:rsidP="00DF4DAF">
            <w:pPr>
              <w:jc w:val="both"/>
              <w:rPr>
                <w:i/>
                <w:sz w:val="20"/>
                <w:szCs w:val="20"/>
              </w:rPr>
            </w:pPr>
            <w:r w:rsidRPr="00C15753">
              <w:rPr>
                <w:i/>
                <w:sz w:val="20"/>
                <w:szCs w:val="20"/>
              </w:rPr>
              <w:t xml:space="preserve">The </w:t>
            </w:r>
            <w:r w:rsidR="00FE27BB">
              <w:rPr>
                <w:i/>
                <w:sz w:val="20"/>
                <w:szCs w:val="20"/>
              </w:rPr>
              <w:t>sale</w:t>
            </w:r>
            <w:r w:rsidRPr="00C15753">
              <w:rPr>
                <w:i/>
                <w:sz w:val="20"/>
                <w:szCs w:val="20"/>
              </w:rPr>
              <w:t xml:space="preserve"> of ordinary shares in the issuer by the five trustees (which include Michael O’Leary and Anita O’Leary</w:t>
            </w:r>
            <w:r w:rsidR="00403C11" w:rsidRPr="00C15753">
              <w:rPr>
                <w:i/>
                <w:sz w:val="20"/>
                <w:szCs w:val="20"/>
              </w:rPr>
              <w:t xml:space="preserve"> (</w:t>
            </w:r>
            <w:r w:rsidR="00384715">
              <w:rPr>
                <w:i/>
                <w:sz w:val="20"/>
                <w:szCs w:val="20"/>
              </w:rPr>
              <w:t xml:space="preserve">the wife of and so </w:t>
            </w:r>
            <w:r w:rsidR="00403C11" w:rsidRPr="00C15753">
              <w:rPr>
                <w:i/>
                <w:sz w:val="20"/>
                <w:szCs w:val="20"/>
              </w:rPr>
              <w:t>a person closely associated with Michael O’Leary</w:t>
            </w:r>
            <w:r w:rsidRPr="00C15753">
              <w:rPr>
                <w:i/>
                <w:sz w:val="20"/>
                <w:szCs w:val="20"/>
              </w:rPr>
              <w:t>)</w:t>
            </w:r>
            <w:r w:rsidR="00403C11" w:rsidRPr="00C15753">
              <w:rPr>
                <w:i/>
                <w:sz w:val="20"/>
                <w:szCs w:val="20"/>
              </w:rPr>
              <w:t>)</w:t>
            </w:r>
            <w:r w:rsidRPr="00C15753">
              <w:rPr>
                <w:i/>
                <w:sz w:val="20"/>
                <w:szCs w:val="20"/>
              </w:rPr>
              <w:t xml:space="preserve"> of The </w:t>
            </w:r>
            <w:proofErr w:type="spellStart"/>
            <w:r w:rsidRPr="00C15753">
              <w:rPr>
                <w:i/>
                <w:sz w:val="20"/>
                <w:szCs w:val="20"/>
              </w:rPr>
              <w:t>Gigginstown</w:t>
            </w:r>
            <w:proofErr w:type="spellEnd"/>
            <w:r w:rsidRPr="00C15753">
              <w:rPr>
                <w:i/>
                <w:sz w:val="20"/>
                <w:szCs w:val="20"/>
              </w:rPr>
              <w:t xml:space="preserve"> Settlement Charity to be applied for the main objects of the charity.</w:t>
            </w:r>
          </w:p>
          <w:p w14:paraId="00FEB66C" w14:textId="77777777" w:rsidR="00DF4DAF" w:rsidRPr="00307D0A" w:rsidRDefault="00DF4DAF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6B1C149C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0C14A1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80479F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485E28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08835D6C" w14:textId="77777777" w:rsidTr="00307D0A">
              <w:tc>
                <w:tcPr>
                  <w:tcW w:w="3384" w:type="dxa"/>
                </w:tcPr>
                <w:p w14:paraId="7350CB44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D92EC62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24CB8996" w14:textId="77777777" w:rsidTr="00307D0A">
              <w:tc>
                <w:tcPr>
                  <w:tcW w:w="3384" w:type="dxa"/>
                </w:tcPr>
                <w:p w14:paraId="32A3A86A" w14:textId="6C1594C4" w:rsidR="00647E8D" w:rsidRPr="00307D0A" w:rsidRDefault="00400975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FE27BB">
                    <w:rPr>
                      <w:i/>
                      <w:sz w:val="20"/>
                      <w:szCs w:val="20"/>
                    </w:rPr>
                    <w:t>15.60</w:t>
                  </w:r>
                </w:p>
              </w:tc>
              <w:tc>
                <w:tcPr>
                  <w:tcW w:w="3385" w:type="dxa"/>
                </w:tcPr>
                <w:p w14:paraId="4B80BC7B" w14:textId="77777777" w:rsidR="00647E8D" w:rsidRPr="00307D0A" w:rsidRDefault="00400975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1,409,691</w:t>
                  </w:r>
                </w:p>
              </w:tc>
            </w:tr>
          </w:tbl>
          <w:p w14:paraId="2F69FD3C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1024B40D" w14:textId="77777777" w:rsidR="00092A71" w:rsidRPr="00C27DA6" w:rsidRDefault="00092A71" w:rsidP="00647E8D">
            <w:pPr>
              <w:jc w:val="both"/>
            </w:pPr>
          </w:p>
        </w:tc>
      </w:tr>
      <w:tr w:rsidR="00120C18" w14:paraId="354083F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FA639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8B4CC" w14:textId="77777777" w:rsidR="00E35BAE" w:rsidRDefault="00E35BAE" w:rsidP="00E35BAE">
            <w:r>
              <w:t>Aggregated information</w:t>
            </w:r>
          </w:p>
          <w:p w14:paraId="6C2CB2A6" w14:textId="77777777" w:rsidR="00E35BAE" w:rsidRDefault="00E35BAE" w:rsidP="00E35BAE">
            <w:r>
              <w:t>— Aggregated volume</w:t>
            </w:r>
          </w:p>
          <w:p w14:paraId="09CE8185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4B7E7E" w14:textId="77777777" w:rsidR="00E35BAE" w:rsidRPr="00C27DA6" w:rsidRDefault="00400975" w:rsidP="00647E8D">
            <w:pPr>
              <w:jc w:val="both"/>
            </w:pPr>
            <w:r>
              <w:t>n/a</w:t>
            </w:r>
          </w:p>
        </w:tc>
      </w:tr>
      <w:tr w:rsidR="00E35BAE" w:rsidRPr="00307D0A" w14:paraId="435B597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1251B4" w14:textId="77777777" w:rsidR="00E35BAE" w:rsidRDefault="00E35BAE">
            <w:r>
              <w:lastRenderedPageBreak/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D50CC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5721F3" w14:textId="7385AC1B" w:rsidR="00E35BAE" w:rsidRPr="00307D0A" w:rsidRDefault="0007258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2020-12-15</w:t>
            </w:r>
          </w:p>
          <w:p w14:paraId="15BE5F51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0FAF991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83855E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A032E7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CD93E5" w14:textId="479A8619" w:rsidR="00E35BAE" w:rsidRPr="00307D0A" w:rsidRDefault="00DD6209" w:rsidP="00DD6209">
            <w:pPr>
              <w:jc w:val="both"/>
              <w:rPr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Dublin, Ireland</w:t>
            </w:r>
            <w:r w:rsidR="00307EC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F70DC" w:rsidRPr="00307D0A" w14:paraId="257C625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90426B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50FEE0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4EC8D1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67AD3E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120979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65598C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D291ED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D90BC7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49A774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4DE76B2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FD51E49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5D2D6" w14:textId="77777777" w:rsidR="00B953F6" w:rsidRDefault="00B953F6" w:rsidP="00950D9B">
      <w:pPr>
        <w:spacing w:after="0" w:line="240" w:lineRule="auto"/>
      </w:pPr>
      <w:r>
        <w:separator/>
      </w:r>
    </w:p>
  </w:endnote>
  <w:endnote w:type="continuationSeparator" w:id="0">
    <w:p w14:paraId="04F12BE8" w14:textId="77777777" w:rsidR="00B953F6" w:rsidRDefault="00B953F6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8220D" w14:textId="6E286EDF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3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F2764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57BB" w14:textId="77777777" w:rsidR="00B953F6" w:rsidRDefault="00B953F6" w:rsidP="00950D9B">
      <w:pPr>
        <w:spacing w:after="0" w:line="240" w:lineRule="auto"/>
      </w:pPr>
      <w:r>
        <w:separator/>
      </w:r>
    </w:p>
  </w:footnote>
  <w:footnote w:type="continuationSeparator" w:id="0">
    <w:p w14:paraId="4E03AC50" w14:textId="77777777" w:rsidR="00B953F6" w:rsidRDefault="00B953F6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B8F0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23730"/>
    <w:rsid w:val="000700D6"/>
    <w:rsid w:val="00072586"/>
    <w:rsid w:val="00092A71"/>
    <w:rsid w:val="00120C18"/>
    <w:rsid w:val="0012685A"/>
    <w:rsid w:val="00187EF2"/>
    <w:rsid w:val="001F7DE4"/>
    <w:rsid w:val="002E03FC"/>
    <w:rsid w:val="00307D0A"/>
    <w:rsid w:val="00307EC8"/>
    <w:rsid w:val="00367B98"/>
    <w:rsid w:val="00384715"/>
    <w:rsid w:val="003F581E"/>
    <w:rsid w:val="00400975"/>
    <w:rsid w:val="00403C11"/>
    <w:rsid w:val="004B5237"/>
    <w:rsid w:val="004B653E"/>
    <w:rsid w:val="00587C01"/>
    <w:rsid w:val="005E5746"/>
    <w:rsid w:val="00643997"/>
    <w:rsid w:val="00647E8D"/>
    <w:rsid w:val="006B269E"/>
    <w:rsid w:val="007044B3"/>
    <w:rsid w:val="00710CBE"/>
    <w:rsid w:val="00733509"/>
    <w:rsid w:val="007423B4"/>
    <w:rsid w:val="007942A9"/>
    <w:rsid w:val="007A0E65"/>
    <w:rsid w:val="00826A5D"/>
    <w:rsid w:val="008E418E"/>
    <w:rsid w:val="00950D9B"/>
    <w:rsid w:val="009A0262"/>
    <w:rsid w:val="00A1123D"/>
    <w:rsid w:val="00A7352F"/>
    <w:rsid w:val="00B03A06"/>
    <w:rsid w:val="00B70325"/>
    <w:rsid w:val="00B953F6"/>
    <w:rsid w:val="00C11C7D"/>
    <w:rsid w:val="00C15753"/>
    <w:rsid w:val="00C27DA6"/>
    <w:rsid w:val="00C3340A"/>
    <w:rsid w:val="00CA1179"/>
    <w:rsid w:val="00CF70DC"/>
    <w:rsid w:val="00D316E1"/>
    <w:rsid w:val="00D84C48"/>
    <w:rsid w:val="00DA5BFA"/>
    <w:rsid w:val="00DA6F5B"/>
    <w:rsid w:val="00DB273B"/>
    <w:rsid w:val="00DD6209"/>
    <w:rsid w:val="00DF4DAF"/>
    <w:rsid w:val="00E108EB"/>
    <w:rsid w:val="00E20925"/>
    <w:rsid w:val="00E35BAE"/>
    <w:rsid w:val="00F74917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4FFB52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33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2020-12-17T18:26:04+00:00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348C8-3B8A-4AC4-BEFC-F09446F84A6A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17A919C7-BFB1-4A7A-A3FD-9DA0016E8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McNamara, Thomas</cp:lastModifiedBy>
  <cp:revision>2</cp:revision>
  <cp:lastPrinted>2020-09-08T16:08:00Z</cp:lastPrinted>
  <dcterms:created xsi:type="dcterms:W3CDTF">2020-12-17T12:26:00Z</dcterms:created>
  <dcterms:modified xsi:type="dcterms:W3CDTF">2020-12-17T12:26:00Z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ACDocRef">
    <vt:lpwstr>AC#37279781.1</vt:lpwstr>
  </property>
  <property fmtid="{D5CDD505-2E9C-101B-9397-08002B2CF9AE}" pid="9" name="ACDocType">
    <vt:lpwstr>DOCUMENT</vt:lpwstr>
  </property>
  <property fmtid="{D5CDD505-2E9C-101B-9397-08002B2CF9AE}" pid="10" name="ACMatter">
    <vt:lpwstr>RY069/048/</vt:lpwstr>
  </property>
  <property fmtid="{D5CDD505-2E9C-101B-9397-08002B2CF9AE}" pid="11" name="IssuerName">
    <vt:lpwstr/>
  </property>
  <property fmtid="{D5CDD505-2E9C-101B-9397-08002B2CF9AE}" pid="12" name="MigrateFolderIssueDetected">
    <vt:bool>false</vt:bool>
  </property>
  <property fmtid="{D5CDD505-2E9C-101B-9397-08002B2CF9AE}" pid="13" name="Order">
    <vt:r8>169735600</vt:r8>
  </property>
  <property fmtid="{D5CDD505-2E9C-101B-9397-08002B2CF9AE}" pid="14" name="IssuerID">
    <vt:lpwstr/>
  </property>
  <property fmtid="{D5CDD505-2E9C-101B-9397-08002B2CF9AE}" pid="15" name="SendToWeb">
    <vt:bool>false</vt:bool>
  </property>
  <property fmtid="{D5CDD505-2E9C-101B-9397-08002B2CF9AE}" pid="16" name="JobContentType">
    <vt:lpwstr/>
  </property>
  <property fmtid="{D5CDD505-2E9C-101B-9397-08002B2CF9AE}" pid="17" name="Organisation">
    <vt:lpwstr/>
  </property>
  <property fmtid="{D5CDD505-2E9C-101B-9397-08002B2CF9AE}" pid="18" name="Contact">
    <vt:lpwstr/>
  </property>
  <property fmtid="{D5CDD505-2E9C-101B-9397-08002B2CF9AE}" pid="19" name="MigrateFolderIssueDetected0">
    <vt:bool>false</vt:bool>
  </property>
  <property fmtid="{D5CDD505-2E9C-101B-9397-08002B2CF9AE}" pid="20" name="JobType">
    <vt:lpwstr/>
  </property>
</Properties>
</file>