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165B" w14:textId="4128DD9F" w:rsidR="00B06D81" w:rsidRDefault="00B06D81" w:rsidP="00B06D81">
      <w:pPr>
        <w:pStyle w:val="NoSpacing"/>
        <w:rPr>
          <w:rFonts w:ascii="Times New Roman" w:hAnsi="Times New Roman"/>
          <w:b/>
          <w:sz w:val="28"/>
          <w:szCs w:val="28"/>
        </w:rPr>
      </w:pPr>
      <w:r w:rsidRPr="003F42A2">
        <w:rPr>
          <w:rFonts w:ascii="Times New Roman" w:hAnsi="Times New Roman"/>
          <w:b/>
          <w:sz w:val="28"/>
          <w:szCs w:val="28"/>
        </w:rPr>
        <w:t xml:space="preserve">RYANAIR </w:t>
      </w:r>
      <w:r>
        <w:rPr>
          <w:rFonts w:ascii="Times New Roman" w:hAnsi="Times New Roman"/>
          <w:b/>
          <w:sz w:val="28"/>
          <w:szCs w:val="28"/>
        </w:rPr>
        <w:t>REPORTS Q3 NET</w:t>
      </w:r>
      <w:r w:rsidRPr="003F42A2">
        <w:rPr>
          <w:rFonts w:ascii="Times New Roman" w:hAnsi="Times New Roman"/>
          <w:b/>
          <w:sz w:val="28"/>
          <w:szCs w:val="28"/>
        </w:rPr>
        <w:t xml:space="preserve"> PROFIT</w:t>
      </w:r>
      <w:r>
        <w:rPr>
          <w:rFonts w:ascii="Times New Roman" w:hAnsi="Times New Roman"/>
          <w:b/>
          <w:sz w:val="28"/>
          <w:szCs w:val="28"/>
        </w:rPr>
        <w:t xml:space="preserve"> OF €88M </w:t>
      </w:r>
    </w:p>
    <w:p w14:paraId="1544A011" w14:textId="77777777" w:rsidR="00B06D81" w:rsidRDefault="00B06D81" w:rsidP="00B06D81">
      <w:pPr>
        <w:pStyle w:val="NoSpacing"/>
        <w:rPr>
          <w:rFonts w:ascii="Times New Roman" w:hAnsi="Times New Roman"/>
          <w:b/>
          <w:sz w:val="28"/>
          <w:szCs w:val="28"/>
        </w:rPr>
      </w:pPr>
      <w:r>
        <w:rPr>
          <w:rFonts w:ascii="Times New Roman" w:hAnsi="Times New Roman"/>
          <w:b/>
          <w:sz w:val="28"/>
          <w:szCs w:val="28"/>
        </w:rPr>
        <w:t>DUE TO STRONGER CHRISTMAS/NEW YEAR TRAFFIC</w:t>
      </w:r>
      <w:r w:rsidRPr="003F42A2">
        <w:rPr>
          <w:rFonts w:ascii="Times New Roman" w:hAnsi="Times New Roman"/>
          <w:b/>
          <w:sz w:val="28"/>
          <w:szCs w:val="28"/>
        </w:rPr>
        <w:t>.</w:t>
      </w:r>
    </w:p>
    <w:p w14:paraId="0D57E14E" w14:textId="77777777" w:rsidR="004411E1" w:rsidRPr="003F42A2" w:rsidRDefault="004411E1" w:rsidP="004411E1">
      <w:pPr>
        <w:pStyle w:val="NoSpacing"/>
        <w:jc w:val="center"/>
        <w:rPr>
          <w:rFonts w:ascii="Times New Roman" w:hAnsi="Times New Roman"/>
          <w:b/>
          <w:sz w:val="28"/>
          <w:szCs w:val="28"/>
        </w:rPr>
      </w:pPr>
    </w:p>
    <w:p w14:paraId="70A1C0DF" w14:textId="21C418F0" w:rsidR="00B06D81" w:rsidRDefault="00B06D81" w:rsidP="00B06D81">
      <w:pPr>
        <w:pStyle w:val="NoSpacing"/>
        <w:jc w:val="both"/>
        <w:rPr>
          <w:rFonts w:ascii="Times New Roman" w:hAnsi="Times New Roman"/>
        </w:rPr>
      </w:pPr>
      <w:r w:rsidRPr="003F42A2">
        <w:rPr>
          <w:rFonts w:ascii="Times New Roman" w:hAnsi="Times New Roman"/>
        </w:rPr>
        <w:t>Ryanair Holdings plc today (</w:t>
      </w:r>
      <w:r>
        <w:rPr>
          <w:rFonts w:ascii="Times New Roman" w:hAnsi="Times New Roman"/>
        </w:rPr>
        <w:t>3 Feb</w:t>
      </w:r>
      <w:r w:rsidRPr="003F42A2">
        <w:rPr>
          <w:rFonts w:ascii="Times New Roman" w:hAnsi="Times New Roman"/>
        </w:rPr>
        <w:t>.) reported a</w:t>
      </w:r>
      <w:r>
        <w:rPr>
          <w:rFonts w:ascii="Times New Roman" w:hAnsi="Times New Roman"/>
        </w:rPr>
        <w:t xml:space="preserve"> Q3 </w:t>
      </w:r>
      <w:r w:rsidRPr="003F42A2">
        <w:rPr>
          <w:rFonts w:ascii="Times New Roman" w:hAnsi="Times New Roman"/>
        </w:rPr>
        <w:t xml:space="preserve">profit </w:t>
      </w:r>
      <w:r>
        <w:rPr>
          <w:rFonts w:ascii="Times New Roman" w:hAnsi="Times New Roman"/>
        </w:rPr>
        <w:t>of</w:t>
      </w:r>
      <w:r w:rsidRPr="003F42A2">
        <w:rPr>
          <w:rFonts w:ascii="Times New Roman" w:hAnsi="Times New Roman"/>
        </w:rPr>
        <w:t xml:space="preserve"> €</w:t>
      </w:r>
      <w:r>
        <w:rPr>
          <w:rFonts w:ascii="Times New Roman" w:hAnsi="Times New Roman"/>
        </w:rPr>
        <w:t>88m, compared to a €66m loss in the same quarter last year. Highlights include:</w:t>
      </w:r>
    </w:p>
    <w:p w14:paraId="7AFD6D73" w14:textId="77777777" w:rsidR="00B06D81" w:rsidRPr="003F42A2" w:rsidRDefault="00B06D81" w:rsidP="00B06D81">
      <w:pPr>
        <w:pStyle w:val="NoSpacing"/>
        <w:jc w:val="both"/>
        <w:rPr>
          <w:rFonts w:ascii="Times New Roman" w:hAnsi="Times New Roman"/>
        </w:rPr>
      </w:pPr>
    </w:p>
    <w:p w14:paraId="087129A6" w14:textId="77777777" w:rsidR="00B06D81" w:rsidRDefault="00B06D81" w:rsidP="00B06D81">
      <w:pPr>
        <w:pStyle w:val="NoSpacing"/>
        <w:numPr>
          <w:ilvl w:val="0"/>
          <w:numId w:val="25"/>
        </w:numPr>
        <w:jc w:val="both"/>
        <w:textAlignment w:val="baseline"/>
        <w:rPr>
          <w:rFonts w:ascii="Times New Roman" w:hAnsi="Times New Roman"/>
        </w:rPr>
      </w:pPr>
      <w:r>
        <w:rPr>
          <w:rFonts w:ascii="Times New Roman" w:hAnsi="Times New Roman"/>
        </w:rPr>
        <w:t>Traffic grew 6% to 3</w:t>
      </w:r>
      <w:r w:rsidRPr="00673BF9">
        <w:rPr>
          <w:rFonts w:ascii="Times New Roman" w:hAnsi="Times New Roman"/>
        </w:rPr>
        <w:t>6m guests.</w:t>
      </w:r>
    </w:p>
    <w:p w14:paraId="78576871" w14:textId="77777777" w:rsidR="00B06D81" w:rsidRDefault="00B06D81" w:rsidP="00B06D81">
      <w:pPr>
        <w:pStyle w:val="NoSpacing"/>
        <w:numPr>
          <w:ilvl w:val="0"/>
          <w:numId w:val="25"/>
        </w:numPr>
        <w:jc w:val="both"/>
        <w:textAlignment w:val="baseline"/>
        <w:rPr>
          <w:rFonts w:ascii="Times New Roman" w:hAnsi="Times New Roman"/>
        </w:rPr>
      </w:pPr>
      <w:r w:rsidRPr="003F42A2">
        <w:rPr>
          <w:rFonts w:ascii="Times New Roman" w:hAnsi="Times New Roman"/>
        </w:rPr>
        <w:t xml:space="preserve">Revenue </w:t>
      </w:r>
      <w:r>
        <w:rPr>
          <w:rFonts w:ascii="Times New Roman" w:hAnsi="Times New Roman"/>
        </w:rPr>
        <w:t>per guest rose 13% (9% higher fares; ancillary rev. up 21%).</w:t>
      </w:r>
    </w:p>
    <w:p w14:paraId="4C4EBE85" w14:textId="77777777" w:rsidR="00B06D81" w:rsidRPr="00673BF9" w:rsidRDefault="00B06D81" w:rsidP="00B06D81">
      <w:pPr>
        <w:pStyle w:val="NoSpacing"/>
        <w:numPr>
          <w:ilvl w:val="0"/>
          <w:numId w:val="25"/>
        </w:numPr>
        <w:jc w:val="both"/>
        <w:textAlignment w:val="baseline"/>
        <w:rPr>
          <w:rFonts w:ascii="Times New Roman" w:hAnsi="Times New Roman"/>
        </w:rPr>
      </w:pPr>
      <w:r>
        <w:rPr>
          <w:rFonts w:ascii="Times New Roman" w:hAnsi="Times New Roman"/>
        </w:rPr>
        <w:t xml:space="preserve">Over 90% of flights arrived on-time (excl. ATC delays). </w:t>
      </w:r>
    </w:p>
    <w:p w14:paraId="03EFDDBF" w14:textId="77777777" w:rsidR="00B06D81" w:rsidRPr="003F42A2" w:rsidRDefault="00B06D81" w:rsidP="00B06D81">
      <w:pPr>
        <w:pStyle w:val="NoSpacing"/>
        <w:numPr>
          <w:ilvl w:val="0"/>
          <w:numId w:val="25"/>
        </w:numPr>
        <w:jc w:val="both"/>
        <w:textAlignment w:val="baseline"/>
        <w:rPr>
          <w:rFonts w:ascii="Times New Roman" w:hAnsi="Times New Roman"/>
        </w:rPr>
      </w:pPr>
      <w:r>
        <w:rPr>
          <w:rFonts w:ascii="Times New Roman" w:hAnsi="Times New Roman"/>
        </w:rPr>
        <w:t>111 new routes announced for S.20.</w:t>
      </w:r>
    </w:p>
    <w:p w14:paraId="241A8B4E" w14:textId="77777777" w:rsidR="00B06D81" w:rsidRPr="003F42A2" w:rsidRDefault="00B06D81" w:rsidP="00B06D81">
      <w:pPr>
        <w:pStyle w:val="NoSpacing"/>
        <w:numPr>
          <w:ilvl w:val="0"/>
          <w:numId w:val="25"/>
        </w:numPr>
        <w:jc w:val="both"/>
        <w:textAlignment w:val="baseline"/>
        <w:rPr>
          <w:rFonts w:ascii="Times New Roman" w:hAnsi="Times New Roman"/>
        </w:rPr>
      </w:pPr>
      <w:r>
        <w:rPr>
          <w:rFonts w:ascii="Times New Roman" w:hAnsi="Times New Roman"/>
        </w:rPr>
        <w:t xml:space="preserve">Director of Sustainability appointed to drive our Environmental Policy. </w:t>
      </w:r>
    </w:p>
    <w:p w14:paraId="295EFB8A" w14:textId="77777777" w:rsidR="00B06D81" w:rsidRPr="00673BF9" w:rsidRDefault="00B06D81" w:rsidP="00B06D81">
      <w:pPr>
        <w:pStyle w:val="NoSpacing"/>
        <w:numPr>
          <w:ilvl w:val="0"/>
          <w:numId w:val="25"/>
        </w:numPr>
        <w:jc w:val="both"/>
        <w:textAlignment w:val="baseline"/>
        <w:rPr>
          <w:rFonts w:ascii="Times New Roman" w:hAnsi="Times New Roman"/>
        </w:rPr>
      </w:pPr>
      <w:r>
        <w:rPr>
          <w:rFonts w:ascii="Times New Roman" w:hAnsi="Times New Roman"/>
        </w:rPr>
        <w:t>Over €44</w:t>
      </w:r>
      <w:r w:rsidRPr="00673BF9">
        <w:rPr>
          <w:rFonts w:ascii="Times New Roman" w:hAnsi="Times New Roman"/>
        </w:rPr>
        <w:t>0m returned to shareholders under €700m buyback programme.</w:t>
      </w:r>
    </w:p>
    <w:p w14:paraId="3BE4AC8F" w14:textId="77777777" w:rsidR="00B06D81" w:rsidRDefault="00B06D81" w:rsidP="00B06D81">
      <w:pPr>
        <w:pStyle w:val="NoSpacing"/>
        <w:ind w:left="720"/>
        <w:jc w:val="both"/>
        <w:rPr>
          <w:rFonts w:ascii="Times New Roman" w:hAnsi="Times New Roman"/>
        </w:rPr>
      </w:pPr>
    </w:p>
    <w:tbl>
      <w:tblPr>
        <w:tblStyle w:val="TableGrid"/>
        <w:tblW w:w="0" w:type="auto"/>
        <w:tblLook w:val="04A0" w:firstRow="1" w:lastRow="0" w:firstColumn="1" w:lastColumn="0" w:noHBand="0" w:noVBand="1"/>
      </w:tblPr>
      <w:tblGrid>
        <w:gridCol w:w="2254"/>
        <w:gridCol w:w="2254"/>
        <w:gridCol w:w="2254"/>
        <w:gridCol w:w="2254"/>
      </w:tblGrid>
      <w:tr w:rsidR="00B06D81" w:rsidRPr="003F42A2" w14:paraId="0D2FE188" w14:textId="77777777" w:rsidTr="00B06D81">
        <w:tc>
          <w:tcPr>
            <w:tcW w:w="2254" w:type="dxa"/>
          </w:tcPr>
          <w:p w14:paraId="4EBCB21B" w14:textId="77777777" w:rsidR="00B06D81" w:rsidRPr="003F42A2" w:rsidRDefault="00B06D81" w:rsidP="00B06D81">
            <w:pPr>
              <w:pStyle w:val="NoSpacing"/>
              <w:rPr>
                <w:b/>
              </w:rPr>
            </w:pPr>
            <w:r>
              <w:rPr>
                <w:b/>
              </w:rPr>
              <w:t>Q3</w:t>
            </w:r>
            <w:r w:rsidRPr="003F42A2">
              <w:rPr>
                <w:b/>
              </w:rPr>
              <w:t xml:space="preserve"> (IFRS)</w:t>
            </w:r>
            <w:r>
              <w:rPr>
                <w:b/>
              </w:rPr>
              <w:t xml:space="preserve"> - Group</w:t>
            </w:r>
          </w:p>
        </w:tc>
        <w:tc>
          <w:tcPr>
            <w:tcW w:w="2254" w:type="dxa"/>
          </w:tcPr>
          <w:p w14:paraId="38098C94" w14:textId="77777777" w:rsidR="00B06D81" w:rsidRPr="003F42A2" w:rsidRDefault="00B06D81" w:rsidP="00B06D81">
            <w:pPr>
              <w:pStyle w:val="NoSpacing"/>
              <w:jc w:val="center"/>
              <w:rPr>
                <w:b/>
              </w:rPr>
            </w:pPr>
            <w:r>
              <w:rPr>
                <w:b/>
              </w:rPr>
              <w:t>31 Dec</w:t>
            </w:r>
            <w:r w:rsidRPr="003F42A2">
              <w:rPr>
                <w:b/>
              </w:rPr>
              <w:t>.</w:t>
            </w:r>
            <w:r>
              <w:rPr>
                <w:b/>
              </w:rPr>
              <w:t xml:space="preserve"> </w:t>
            </w:r>
            <w:r w:rsidRPr="003F42A2">
              <w:rPr>
                <w:b/>
              </w:rPr>
              <w:t>2018</w:t>
            </w:r>
          </w:p>
        </w:tc>
        <w:tc>
          <w:tcPr>
            <w:tcW w:w="2254" w:type="dxa"/>
          </w:tcPr>
          <w:p w14:paraId="6162CA47" w14:textId="77777777" w:rsidR="00B06D81" w:rsidRPr="003F42A2" w:rsidRDefault="00B06D81" w:rsidP="00B06D81">
            <w:pPr>
              <w:pStyle w:val="NoSpacing"/>
              <w:jc w:val="center"/>
              <w:rPr>
                <w:b/>
              </w:rPr>
            </w:pPr>
            <w:r>
              <w:rPr>
                <w:b/>
              </w:rPr>
              <w:t xml:space="preserve">31 Dec. </w:t>
            </w:r>
            <w:r w:rsidRPr="003F42A2">
              <w:rPr>
                <w:b/>
              </w:rPr>
              <w:t>2019</w:t>
            </w:r>
          </w:p>
        </w:tc>
        <w:tc>
          <w:tcPr>
            <w:tcW w:w="2254" w:type="dxa"/>
          </w:tcPr>
          <w:p w14:paraId="25F6EEB2" w14:textId="77777777" w:rsidR="00B06D81" w:rsidRPr="003F42A2" w:rsidRDefault="00B06D81" w:rsidP="00B06D81">
            <w:pPr>
              <w:pStyle w:val="NoSpacing"/>
              <w:jc w:val="center"/>
              <w:rPr>
                <w:b/>
              </w:rPr>
            </w:pPr>
            <w:r w:rsidRPr="003F42A2">
              <w:rPr>
                <w:b/>
              </w:rPr>
              <w:t>Change</w:t>
            </w:r>
          </w:p>
        </w:tc>
      </w:tr>
      <w:tr w:rsidR="00B06D81" w:rsidRPr="003F42A2" w14:paraId="62D20A32" w14:textId="77777777" w:rsidTr="00B06D81">
        <w:tc>
          <w:tcPr>
            <w:tcW w:w="2254" w:type="dxa"/>
          </w:tcPr>
          <w:p w14:paraId="00EBE119" w14:textId="77777777" w:rsidR="00B06D81" w:rsidRPr="003F42A2" w:rsidRDefault="00B06D81" w:rsidP="00B06D81">
            <w:pPr>
              <w:pStyle w:val="NoSpacing"/>
              <w:jc w:val="both"/>
            </w:pPr>
            <w:r w:rsidRPr="003F42A2">
              <w:t>Guests</w:t>
            </w:r>
          </w:p>
        </w:tc>
        <w:tc>
          <w:tcPr>
            <w:tcW w:w="2254" w:type="dxa"/>
          </w:tcPr>
          <w:p w14:paraId="74272284" w14:textId="77777777" w:rsidR="00B06D81" w:rsidRPr="003F42A2" w:rsidRDefault="00B06D81" w:rsidP="00B06D81">
            <w:pPr>
              <w:pStyle w:val="NoSpacing"/>
              <w:jc w:val="center"/>
            </w:pPr>
            <w:r>
              <w:t>33.8m</w:t>
            </w:r>
          </w:p>
        </w:tc>
        <w:tc>
          <w:tcPr>
            <w:tcW w:w="2254" w:type="dxa"/>
          </w:tcPr>
          <w:p w14:paraId="1C642921" w14:textId="77777777" w:rsidR="00B06D81" w:rsidRPr="003F42A2" w:rsidRDefault="00B06D81" w:rsidP="00B06D81">
            <w:pPr>
              <w:pStyle w:val="NoSpacing"/>
              <w:jc w:val="center"/>
            </w:pPr>
            <w:r>
              <w:t>35.9m</w:t>
            </w:r>
          </w:p>
        </w:tc>
        <w:tc>
          <w:tcPr>
            <w:tcW w:w="2254" w:type="dxa"/>
          </w:tcPr>
          <w:p w14:paraId="498A89B7" w14:textId="77777777" w:rsidR="00B06D81" w:rsidRPr="003F42A2" w:rsidRDefault="00B06D81" w:rsidP="00B06D81">
            <w:pPr>
              <w:pStyle w:val="NoSpacing"/>
              <w:jc w:val="center"/>
            </w:pPr>
            <w:r>
              <w:t>+6%</w:t>
            </w:r>
          </w:p>
        </w:tc>
      </w:tr>
      <w:tr w:rsidR="00B06D81" w:rsidRPr="003F42A2" w14:paraId="5FDEBC52" w14:textId="77777777" w:rsidTr="00B06D81">
        <w:tc>
          <w:tcPr>
            <w:tcW w:w="2254" w:type="dxa"/>
          </w:tcPr>
          <w:p w14:paraId="2EDDFC67" w14:textId="77777777" w:rsidR="00B06D81" w:rsidRPr="003F42A2" w:rsidRDefault="00B06D81" w:rsidP="00B06D81">
            <w:pPr>
              <w:pStyle w:val="NoSpacing"/>
              <w:jc w:val="both"/>
            </w:pPr>
            <w:r w:rsidRPr="003F42A2">
              <w:t>Load Factor</w:t>
            </w:r>
          </w:p>
        </w:tc>
        <w:tc>
          <w:tcPr>
            <w:tcW w:w="2254" w:type="dxa"/>
          </w:tcPr>
          <w:p w14:paraId="1528C5E6" w14:textId="77777777" w:rsidR="00B06D81" w:rsidRPr="003F42A2" w:rsidRDefault="00B06D81" w:rsidP="00B06D81">
            <w:pPr>
              <w:pStyle w:val="NoSpacing"/>
              <w:jc w:val="center"/>
            </w:pPr>
            <w:r>
              <w:t>95%</w:t>
            </w:r>
          </w:p>
        </w:tc>
        <w:tc>
          <w:tcPr>
            <w:tcW w:w="2254" w:type="dxa"/>
          </w:tcPr>
          <w:p w14:paraId="583CD129" w14:textId="77777777" w:rsidR="00B06D81" w:rsidRPr="003F42A2" w:rsidRDefault="00B06D81" w:rsidP="00B06D81">
            <w:pPr>
              <w:pStyle w:val="NoSpacing"/>
              <w:jc w:val="center"/>
            </w:pPr>
            <w:r>
              <w:t>96%</w:t>
            </w:r>
          </w:p>
        </w:tc>
        <w:tc>
          <w:tcPr>
            <w:tcW w:w="2254" w:type="dxa"/>
          </w:tcPr>
          <w:p w14:paraId="3030EC1C" w14:textId="77777777" w:rsidR="00B06D81" w:rsidRPr="003F42A2" w:rsidRDefault="00B06D81" w:rsidP="00B06D81">
            <w:pPr>
              <w:pStyle w:val="NoSpacing"/>
              <w:jc w:val="center"/>
            </w:pPr>
            <w:r>
              <w:t>+1pt</w:t>
            </w:r>
          </w:p>
        </w:tc>
      </w:tr>
      <w:tr w:rsidR="00B06D81" w:rsidRPr="003F42A2" w14:paraId="3E7CF845" w14:textId="77777777" w:rsidTr="00B06D81">
        <w:tc>
          <w:tcPr>
            <w:tcW w:w="2254" w:type="dxa"/>
          </w:tcPr>
          <w:p w14:paraId="7EEB80EF" w14:textId="77777777" w:rsidR="00B06D81" w:rsidRPr="003F42A2" w:rsidRDefault="00B06D81" w:rsidP="00B06D81">
            <w:pPr>
              <w:pStyle w:val="NoSpacing"/>
              <w:jc w:val="both"/>
            </w:pPr>
            <w:r w:rsidRPr="003F42A2">
              <w:t>Revenue</w:t>
            </w:r>
          </w:p>
        </w:tc>
        <w:tc>
          <w:tcPr>
            <w:tcW w:w="2254" w:type="dxa"/>
          </w:tcPr>
          <w:p w14:paraId="2BBE474A" w14:textId="77777777" w:rsidR="00B06D81" w:rsidRPr="003F42A2" w:rsidRDefault="00B06D81" w:rsidP="00B06D81">
            <w:pPr>
              <w:pStyle w:val="NoSpacing"/>
              <w:jc w:val="center"/>
            </w:pPr>
            <w:r w:rsidRPr="003F42A2">
              <w:t>€</w:t>
            </w:r>
            <w:r>
              <w:t>1.58bn</w:t>
            </w:r>
          </w:p>
        </w:tc>
        <w:tc>
          <w:tcPr>
            <w:tcW w:w="2254" w:type="dxa"/>
          </w:tcPr>
          <w:p w14:paraId="3DC19C1A" w14:textId="77777777" w:rsidR="00B06D81" w:rsidRPr="003F42A2" w:rsidRDefault="00B06D81" w:rsidP="00B06D81">
            <w:pPr>
              <w:pStyle w:val="NoSpacing"/>
              <w:jc w:val="center"/>
            </w:pPr>
            <w:r>
              <w:t>€1.91bn</w:t>
            </w:r>
          </w:p>
        </w:tc>
        <w:tc>
          <w:tcPr>
            <w:tcW w:w="2254" w:type="dxa"/>
          </w:tcPr>
          <w:p w14:paraId="478E7074" w14:textId="77777777" w:rsidR="00B06D81" w:rsidRPr="003F42A2" w:rsidRDefault="00B06D81" w:rsidP="00B06D81">
            <w:pPr>
              <w:pStyle w:val="NoSpacing"/>
              <w:jc w:val="center"/>
            </w:pPr>
            <w:r>
              <w:t>+21</w:t>
            </w:r>
            <w:r w:rsidRPr="003F42A2">
              <w:t>%</w:t>
            </w:r>
          </w:p>
        </w:tc>
      </w:tr>
      <w:tr w:rsidR="00B06D81" w:rsidRPr="003F42A2" w14:paraId="756B9D07" w14:textId="77777777" w:rsidTr="00B06D81">
        <w:tc>
          <w:tcPr>
            <w:tcW w:w="2254" w:type="dxa"/>
          </w:tcPr>
          <w:p w14:paraId="5B4D38A5" w14:textId="77777777" w:rsidR="00B06D81" w:rsidRPr="003F42A2" w:rsidRDefault="00B06D81" w:rsidP="00B06D81">
            <w:pPr>
              <w:pStyle w:val="NoSpacing"/>
              <w:jc w:val="both"/>
            </w:pPr>
            <w:r>
              <w:t>(Net loss)/</w:t>
            </w:r>
            <w:r w:rsidRPr="003F42A2">
              <w:t>PAT</w:t>
            </w:r>
          </w:p>
        </w:tc>
        <w:tc>
          <w:tcPr>
            <w:tcW w:w="2254" w:type="dxa"/>
          </w:tcPr>
          <w:p w14:paraId="3C82FA04" w14:textId="77777777" w:rsidR="00B06D81" w:rsidRPr="003F42A2" w:rsidRDefault="00B06D81" w:rsidP="00B06D81">
            <w:pPr>
              <w:pStyle w:val="NoSpacing"/>
              <w:jc w:val="center"/>
            </w:pPr>
            <w:r>
              <w:t>(€66m)</w:t>
            </w:r>
          </w:p>
        </w:tc>
        <w:tc>
          <w:tcPr>
            <w:tcW w:w="2254" w:type="dxa"/>
          </w:tcPr>
          <w:p w14:paraId="07BE50C3" w14:textId="77777777" w:rsidR="00B06D81" w:rsidRPr="003F42A2" w:rsidRDefault="00B06D81" w:rsidP="00B06D81">
            <w:pPr>
              <w:pStyle w:val="NoSpacing"/>
              <w:jc w:val="center"/>
            </w:pPr>
            <w:r>
              <w:t>€88m</w:t>
            </w:r>
          </w:p>
        </w:tc>
        <w:tc>
          <w:tcPr>
            <w:tcW w:w="2254" w:type="dxa"/>
          </w:tcPr>
          <w:p w14:paraId="2B2CEC22" w14:textId="77777777" w:rsidR="00B06D81" w:rsidRPr="003F42A2" w:rsidRDefault="00B06D81" w:rsidP="00B06D81">
            <w:pPr>
              <w:pStyle w:val="NoSpacing"/>
              <w:jc w:val="center"/>
            </w:pPr>
            <w:r>
              <w:t>-</w:t>
            </w:r>
          </w:p>
        </w:tc>
      </w:tr>
      <w:tr w:rsidR="00B06D81" w:rsidRPr="003F42A2" w14:paraId="3C18AAFF" w14:textId="77777777" w:rsidTr="00B06D81">
        <w:tc>
          <w:tcPr>
            <w:tcW w:w="2254" w:type="dxa"/>
          </w:tcPr>
          <w:p w14:paraId="3C741D17" w14:textId="77777777" w:rsidR="00B06D81" w:rsidRPr="003F42A2" w:rsidRDefault="00B06D81" w:rsidP="00B06D81">
            <w:pPr>
              <w:pStyle w:val="NoSpacing"/>
              <w:jc w:val="both"/>
            </w:pPr>
            <w:r>
              <w:t>Basic EPS</w:t>
            </w:r>
          </w:p>
        </w:tc>
        <w:tc>
          <w:tcPr>
            <w:tcW w:w="2254" w:type="dxa"/>
          </w:tcPr>
          <w:p w14:paraId="4D8CC576" w14:textId="77777777" w:rsidR="00B06D81" w:rsidRPr="003F42A2" w:rsidRDefault="00B06D81" w:rsidP="00B06D81">
            <w:pPr>
              <w:pStyle w:val="NoSpacing"/>
              <w:jc w:val="center"/>
            </w:pPr>
            <w:r>
              <w:t>(€0.06)</w:t>
            </w:r>
          </w:p>
        </w:tc>
        <w:tc>
          <w:tcPr>
            <w:tcW w:w="2254" w:type="dxa"/>
          </w:tcPr>
          <w:p w14:paraId="2C800BFF" w14:textId="77777777" w:rsidR="00B06D81" w:rsidRPr="003F42A2" w:rsidRDefault="00B06D81" w:rsidP="00B06D81">
            <w:pPr>
              <w:pStyle w:val="NoSpacing"/>
              <w:jc w:val="center"/>
            </w:pPr>
            <w:r>
              <w:t>+€0.08</w:t>
            </w:r>
          </w:p>
        </w:tc>
        <w:tc>
          <w:tcPr>
            <w:tcW w:w="2254" w:type="dxa"/>
          </w:tcPr>
          <w:p w14:paraId="4758FE18" w14:textId="77777777" w:rsidR="00B06D81" w:rsidRPr="003F42A2" w:rsidRDefault="00B06D81" w:rsidP="00B06D81">
            <w:pPr>
              <w:pStyle w:val="NoSpacing"/>
              <w:jc w:val="center"/>
            </w:pPr>
            <w:r>
              <w:t>-</w:t>
            </w:r>
          </w:p>
        </w:tc>
      </w:tr>
    </w:tbl>
    <w:p w14:paraId="1964CF08" w14:textId="77777777" w:rsidR="00B06D81" w:rsidRDefault="00B06D81" w:rsidP="00B06D81">
      <w:pPr>
        <w:pStyle w:val="NoSpacing"/>
        <w:jc w:val="both"/>
        <w:rPr>
          <w:rFonts w:ascii="Times New Roman" w:hAnsi="Times New Roman"/>
          <w:u w:val="single"/>
        </w:rPr>
      </w:pPr>
    </w:p>
    <w:p w14:paraId="4B6729F1" w14:textId="77777777" w:rsidR="00B06D81" w:rsidRPr="005F77BE" w:rsidRDefault="00B06D81" w:rsidP="00B06D81">
      <w:pPr>
        <w:pStyle w:val="NoSpacing"/>
        <w:jc w:val="both"/>
        <w:rPr>
          <w:rFonts w:ascii="Times New Roman" w:hAnsi="Times New Roman"/>
          <w:b/>
        </w:rPr>
      </w:pPr>
      <w:r>
        <w:rPr>
          <w:rFonts w:ascii="Times New Roman" w:hAnsi="Times New Roman"/>
          <w:b/>
        </w:rPr>
        <w:t>EUROPE’S</w:t>
      </w:r>
      <w:r w:rsidRPr="005F77BE">
        <w:rPr>
          <w:rFonts w:ascii="Times New Roman" w:hAnsi="Times New Roman"/>
          <w:b/>
        </w:rPr>
        <w:t xml:space="preserve"> </w:t>
      </w:r>
      <w:r>
        <w:rPr>
          <w:rFonts w:ascii="Times New Roman" w:hAnsi="Times New Roman"/>
          <w:b/>
        </w:rPr>
        <w:t xml:space="preserve">GREENEST, </w:t>
      </w:r>
      <w:r w:rsidRPr="005F77BE">
        <w:rPr>
          <w:rFonts w:ascii="Times New Roman" w:hAnsi="Times New Roman"/>
          <w:b/>
        </w:rPr>
        <w:t>CLEANEST AIRLINE</w:t>
      </w:r>
      <w:r>
        <w:rPr>
          <w:rFonts w:ascii="Times New Roman" w:hAnsi="Times New Roman"/>
          <w:b/>
        </w:rPr>
        <w:t>:</w:t>
      </w:r>
    </w:p>
    <w:p w14:paraId="4FC0D9B1" w14:textId="77777777" w:rsidR="00B06D81" w:rsidRPr="00B11F74" w:rsidRDefault="00B06D81" w:rsidP="00B06D81">
      <w:pPr>
        <w:pStyle w:val="NoSpacing"/>
        <w:jc w:val="both"/>
        <w:rPr>
          <w:rFonts w:ascii="Times New Roman" w:hAnsi="Times New Roman"/>
          <w:b/>
          <w:u w:val="single"/>
        </w:rPr>
      </w:pPr>
    </w:p>
    <w:p w14:paraId="346C3EA8" w14:textId="77777777" w:rsidR="00B06D81" w:rsidRDefault="00B06D81" w:rsidP="00B06D81">
      <w:pPr>
        <w:pStyle w:val="NoSpacing"/>
        <w:jc w:val="both"/>
        <w:rPr>
          <w:rFonts w:ascii="Times New Roman" w:hAnsi="Times New Roman"/>
        </w:rPr>
      </w:pPr>
      <w:r>
        <w:rPr>
          <w:rFonts w:ascii="Times New Roman" w:hAnsi="Times New Roman"/>
        </w:rPr>
        <w:t xml:space="preserve">The future of our planet is of vital importance to our customers and all our people. </w:t>
      </w:r>
      <w:r w:rsidRPr="003F42A2">
        <w:rPr>
          <w:rFonts w:ascii="Times New Roman" w:hAnsi="Times New Roman"/>
        </w:rPr>
        <w:t xml:space="preserve">Ryanair </w:t>
      </w:r>
      <w:r>
        <w:rPr>
          <w:rFonts w:ascii="Times New Roman" w:hAnsi="Times New Roman"/>
        </w:rPr>
        <w:t>has the lowest carbon emissions of any major EU airline at just</w:t>
      </w:r>
      <w:r w:rsidRPr="003F42A2">
        <w:rPr>
          <w:rFonts w:ascii="Times New Roman" w:hAnsi="Times New Roman"/>
        </w:rPr>
        <w:t xml:space="preserve"> 66</w:t>
      </w:r>
      <w:r>
        <w:rPr>
          <w:rFonts w:ascii="Times New Roman" w:hAnsi="Times New Roman"/>
        </w:rPr>
        <w:t xml:space="preserve"> </w:t>
      </w:r>
      <w:r w:rsidRPr="003F42A2">
        <w:rPr>
          <w:rFonts w:ascii="Times New Roman" w:hAnsi="Times New Roman"/>
        </w:rPr>
        <w:t>g</w:t>
      </w:r>
      <w:r>
        <w:rPr>
          <w:rFonts w:ascii="Times New Roman" w:hAnsi="Times New Roman"/>
        </w:rPr>
        <w:t xml:space="preserve">rams of CO₂ </w:t>
      </w:r>
      <w:r w:rsidRPr="003F42A2">
        <w:rPr>
          <w:rFonts w:ascii="Times New Roman" w:hAnsi="Times New Roman"/>
        </w:rPr>
        <w:t>per passenger km</w:t>
      </w:r>
      <w:r>
        <w:rPr>
          <w:rFonts w:ascii="Times New Roman" w:hAnsi="Times New Roman"/>
        </w:rPr>
        <w:t xml:space="preserve">. </w:t>
      </w:r>
      <w:r w:rsidRPr="00F10BFB">
        <w:rPr>
          <w:rFonts w:ascii="Times New Roman" w:hAnsi="Times New Roman"/>
        </w:rPr>
        <w:t xml:space="preserve">Passengers switching to Ryanair can halve their CO₂ emissions compared to other major EU </w:t>
      </w:r>
      <w:r>
        <w:rPr>
          <w:rFonts w:ascii="Times New Roman" w:hAnsi="Times New Roman"/>
        </w:rPr>
        <w:t>airline</w:t>
      </w:r>
      <w:r w:rsidRPr="00F10BFB">
        <w:rPr>
          <w:rFonts w:ascii="Times New Roman" w:hAnsi="Times New Roman"/>
        </w:rPr>
        <w:t>s.</w:t>
      </w:r>
      <w:r w:rsidRPr="00F41544">
        <w:rPr>
          <w:rFonts w:ascii="Times New Roman" w:hAnsi="Times New Roman"/>
          <w:b/>
        </w:rPr>
        <w:t xml:space="preserve"> </w:t>
      </w:r>
      <w:r>
        <w:rPr>
          <w:rFonts w:ascii="Times New Roman" w:hAnsi="Times New Roman"/>
        </w:rPr>
        <w:t xml:space="preserve">In Dec. 2019, Ryanair appointed a Director of Sustainability to deliver the Group’s ambitious sustainability targets. </w:t>
      </w:r>
    </w:p>
    <w:p w14:paraId="37AC8754" w14:textId="77777777" w:rsidR="00B06D81" w:rsidRDefault="00B06D81" w:rsidP="00B06D81">
      <w:pPr>
        <w:pStyle w:val="NoSpacing"/>
        <w:jc w:val="both"/>
        <w:rPr>
          <w:rFonts w:ascii="Times New Roman" w:hAnsi="Times New Roman"/>
        </w:rPr>
      </w:pPr>
    </w:p>
    <w:p w14:paraId="70D06240" w14:textId="77777777" w:rsidR="00B06D81" w:rsidRDefault="00B06D81" w:rsidP="00B06D81">
      <w:pPr>
        <w:pStyle w:val="NoSpacing"/>
        <w:jc w:val="both"/>
        <w:rPr>
          <w:rFonts w:ascii="Times New Roman" w:hAnsi="Times New Roman"/>
        </w:rPr>
      </w:pPr>
      <w:r w:rsidRPr="00DE2DB5">
        <w:rPr>
          <w:rFonts w:ascii="Times New Roman" w:hAnsi="Times New Roman"/>
        </w:rPr>
        <w:t>Ryanair operates the youngest fleet,</w:t>
      </w:r>
      <w:r>
        <w:rPr>
          <w:rFonts w:ascii="Times New Roman" w:hAnsi="Times New Roman"/>
        </w:rPr>
        <w:t xml:space="preserve"> with </w:t>
      </w:r>
      <w:r w:rsidRPr="00DE2DB5">
        <w:rPr>
          <w:rFonts w:ascii="Times New Roman" w:hAnsi="Times New Roman"/>
        </w:rPr>
        <w:t xml:space="preserve">the </w:t>
      </w:r>
      <w:r>
        <w:rPr>
          <w:rFonts w:ascii="Times New Roman" w:hAnsi="Times New Roman"/>
        </w:rPr>
        <w:t>highest load factors, and newer more</w:t>
      </w:r>
      <w:r w:rsidRPr="00DE2DB5">
        <w:rPr>
          <w:rFonts w:ascii="Times New Roman" w:hAnsi="Times New Roman"/>
        </w:rPr>
        <w:t xml:space="preserve"> fuel-efficient engines.</w:t>
      </w:r>
      <w:r>
        <w:rPr>
          <w:rFonts w:ascii="Times New Roman" w:hAnsi="Times New Roman"/>
        </w:rPr>
        <w:t xml:space="preserve"> Our Environmental Policy commits us to:  </w:t>
      </w:r>
    </w:p>
    <w:p w14:paraId="05562F0F" w14:textId="77777777" w:rsidR="00B06D81" w:rsidRDefault="00B06D81" w:rsidP="00B06D81">
      <w:pPr>
        <w:pStyle w:val="NoSpacing"/>
        <w:numPr>
          <w:ilvl w:val="0"/>
          <w:numId w:val="27"/>
        </w:numPr>
        <w:jc w:val="both"/>
        <w:textAlignment w:val="baseline"/>
        <w:rPr>
          <w:rFonts w:ascii="Times New Roman" w:hAnsi="Times New Roman"/>
        </w:rPr>
      </w:pPr>
      <w:r>
        <w:rPr>
          <w:rFonts w:ascii="Times New Roman" w:hAnsi="Times New Roman"/>
        </w:rPr>
        <w:t>Be plastic free in 5 years;</w:t>
      </w:r>
    </w:p>
    <w:p w14:paraId="56580506" w14:textId="77777777" w:rsidR="00B06D81" w:rsidRDefault="00B06D81" w:rsidP="00B06D81">
      <w:pPr>
        <w:pStyle w:val="NoSpacing"/>
        <w:numPr>
          <w:ilvl w:val="0"/>
          <w:numId w:val="26"/>
        </w:numPr>
        <w:jc w:val="both"/>
        <w:textAlignment w:val="baseline"/>
        <w:rPr>
          <w:rFonts w:ascii="Times New Roman" w:hAnsi="Times New Roman"/>
        </w:rPr>
      </w:pPr>
      <w:r>
        <w:rPr>
          <w:rFonts w:ascii="Times New Roman" w:hAnsi="Times New Roman"/>
        </w:rPr>
        <w:t>Cut noise emissions by up to 40% per seat;</w:t>
      </w:r>
    </w:p>
    <w:p w14:paraId="09C5A853" w14:textId="77777777" w:rsidR="00B06D81" w:rsidRDefault="00B06D81" w:rsidP="00B06D81">
      <w:pPr>
        <w:pStyle w:val="NoSpacing"/>
        <w:numPr>
          <w:ilvl w:val="0"/>
          <w:numId w:val="26"/>
        </w:numPr>
        <w:jc w:val="both"/>
        <w:textAlignment w:val="baseline"/>
        <w:rPr>
          <w:rFonts w:ascii="Times New Roman" w:hAnsi="Times New Roman"/>
        </w:rPr>
      </w:pPr>
      <w:r>
        <w:rPr>
          <w:rFonts w:ascii="Times New Roman" w:hAnsi="Times New Roman"/>
        </w:rPr>
        <w:t>Cut CO₂ emissions by 10% by 2030 (up to 50% lower than other major EU airlines);</w:t>
      </w:r>
    </w:p>
    <w:p w14:paraId="7ED73644" w14:textId="77777777" w:rsidR="00B06D81" w:rsidRDefault="00B06D81" w:rsidP="00B06D81">
      <w:pPr>
        <w:pStyle w:val="NoSpacing"/>
        <w:numPr>
          <w:ilvl w:val="0"/>
          <w:numId w:val="26"/>
        </w:numPr>
        <w:jc w:val="both"/>
        <w:textAlignment w:val="baseline"/>
        <w:rPr>
          <w:rFonts w:ascii="Times New Roman" w:hAnsi="Times New Roman"/>
        </w:rPr>
      </w:pPr>
      <w:r>
        <w:rPr>
          <w:rFonts w:ascii="Times New Roman" w:hAnsi="Times New Roman"/>
        </w:rPr>
        <w:t>Encourage guests to support our voluntary carbon offset programme;</w:t>
      </w:r>
    </w:p>
    <w:p w14:paraId="2149BECC" w14:textId="77777777" w:rsidR="00B06D81" w:rsidRDefault="00B06D81" w:rsidP="00B06D81">
      <w:pPr>
        <w:pStyle w:val="NoSpacing"/>
        <w:numPr>
          <w:ilvl w:val="0"/>
          <w:numId w:val="26"/>
        </w:numPr>
        <w:jc w:val="both"/>
        <w:textAlignment w:val="baseline"/>
        <w:rPr>
          <w:rFonts w:ascii="Times New Roman" w:hAnsi="Times New Roman"/>
        </w:rPr>
      </w:pPr>
      <w:r>
        <w:rPr>
          <w:rFonts w:ascii="Times New Roman" w:hAnsi="Times New Roman"/>
        </w:rPr>
        <w:t>Work with environmental partners to improve our environment in Europe.</w:t>
      </w:r>
    </w:p>
    <w:p w14:paraId="252967C3" w14:textId="77777777" w:rsidR="00B06D81" w:rsidRDefault="00B06D81" w:rsidP="00B06D81">
      <w:pPr>
        <w:pStyle w:val="NoSpacing"/>
        <w:jc w:val="both"/>
        <w:rPr>
          <w:rFonts w:ascii="Times New Roman" w:hAnsi="Times New Roman"/>
        </w:rPr>
      </w:pPr>
    </w:p>
    <w:p w14:paraId="407E5A8A" w14:textId="3DD988DC" w:rsidR="00B06D81" w:rsidRPr="009C191C" w:rsidRDefault="00B06D81" w:rsidP="00B06D81">
      <w:pPr>
        <w:pStyle w:val="NoSpacing"/>
        <w:jc w:val="both"/>
        <w:rPr>
          <w:rFonts w:ascii="Times New Roman" w:hAnsi="Times New Roman"/>
        </w:rPr>
      </w:pPr>
      <w:r>
        <w:rPr>
          <w:rFonts w:ascii="Times New Roman" w:hAnsi="Times New Roman"/>
        </w:rPr>
        <w:t>While aviation generates</w:t>
      </w:r>
      <w:r w:rsidR="00C017B8">
        <w:rPr>
          <w:rFonts w:ascii="Times New Roman" w:hAnsi="Times New Roman"/>
        </w:rPr>
        <w:t xml:space="preserve"> </w:t>
      </w:r>
      <w:r>
        <w:rPr>
          <w:rFonts w:ascii="Times New Roman" w:hAnsi="Times New Roman"/>
        </w:rPr>
        <w:t xml:space="preserve">just 2% of Europe’s </w:t>
      </w:r>
      <w:r w:rsidRPr="007F7FB2">
        <w:rPr>
          <w:rFonts w:ascii="Times New Roman" w:hAnsi="Times New Roman"/>
        </w:rPr>
        <w:t>CO₂</w:t>
      </w:r>
      <w:r>
        <w:rPr>
          <w:rFonts w:ascii="Times New Roman" w:hAnsi="Times New Roman"/>
        </w:rPr>
        <w:t xml:space="preserve">, our industry must work harder to further cut these low emissions. EU airlines already pay excessive environmental taxes – Ryanair will pay over €630m in such taxes this year. For further info. click here: </w:t>
      </w:r>
      <w:hyperlink r:id="rId8" w:history="1">
        <w:r w:rsidRPr="00DF1899">
          <w:rPr>
            <w:rStyle w:val="Hyperlink"/>
            <w:rFonts w:ascii="Times New Roman" w:hAnsi="Times New Roman"/>
          </w:rPr>
          <w:t>www.ryanair.com/environment</w:t>
        </w:r>
      </w:hyperlink>
      <w:r>
        <w:rPr>
          <w:rFonts w:ascii="Times New Roman" w:hAnsi="Times New Roman"/>
        </w:rPr>
        <w:t>.</w:t>
      </w:r>
    </w:p>
    <w:p w14:paraId="4A642A89" w14:textId="77777777" w:rsidR="00B06D81" w:rsidRDefault="00B06D81" w:rsidP="00B06D81">
      <w:pPr>
        <w:pStyle w:val="NoSpacing"/>
        <w:jc w:val="both"/>
        <w:rPr>
          <w:rFonts w:ascii="Times New Roman" w:hAnsi="Times New Roman"/>
          <w:b/>
        </w:rPr>
      </w:pPr>
    </w:p>
    <w:p w14:paraId="7FC0B1C4" w14:textId="77777777" w:rsidR="00B06D81" w:rsidRDefault="00B06D81" w:rsidP="00B06D81">
      <w:pPr>
        <w:pStyle w:val="NoSpacing"/>
        <w:jc w:val="both"/>
        <w:rPr>
          <w:rFonts w:ascii="Times New Roman" w:hAnsi="Times New Roman"/>
          <w:b/>
        </w:rPr>
      </w:pPr>
      <w:r>
        <w:rPr>
          <w:rFonts w:ascii="Times New Roman" w:hAnsi="Times New Roman"/>
          <w:b/>
        </w:rPr>
        <w:t>BUSINESS REVIEW:</w:t>
      </w:r>
    </w:p>
    <w:p w14:paraId="1E70B0E7" w14:textId="77777777" w:rsidR="00B06D81" w:rsidRDefault="00B06D81" w:rsidP="00B06D81">
      <w:pPr>
        <w:pStyle w:val="NoSpacing"/>
        <w:jc w:val="both"/>
        <w:rPr>
          <w:rFonts w:ascii="Times New Roman" w:hAnsi="Times New Roman"/>
          <w:b/>
        </w:rPr>
      </w:pPr>
    </w:p>
    <w:p w14:paraId="643F5BC4" w14:textId="77777777" w:rsidR="00B06D81" w:rsidRPr="00B11F74" w:rsidRDefault="00B06D81" w:rsidP="00B06D81">
      <w:pPr>
        <w:pStyle w:val="NoSpacing"/>
        <w:jc w:val="both"/>
        <w:rPr>
          <w:rFonts w:ascii="Times New Roman" w:hAnsi="Times New Roman"/>
          <w:b/>
          <w:u w:val="single"/>
        </w:rPr>
      </w:pPr>
      <w:r w:rsidRPr="00B11F74">
        <w:rPr>
          <w:rFonts w:ascii="Times New Roman" w:hAnsi="Times New Roman"/>
          <w:b/>
          <w:u w:val="single"/>
        </w:rPr>
        <w:t>Revenues</w:t>
      </w:r>
    </w:p>
    <w:p w14:paraId="6DB063D7" w14:textId="77777777" w:rsidR="00B06D81" w:rsidRDefault="00B06D81" w:rsidP="00B06D81">
      <w:pPr>
        <w:pStyle w:val="NoSpacing"/>
        <w:jc w:val="both"/>
        <w:rPr>
          <w:rFonts w:ascii="Times New Roman" w:hAnsi="Times New Roman"/>
        </w:rPr>
      </w:pPr>
      <w:r>
        <w:rPr>
          <w:rFonts w:ascii="Times New Roman" w:hAnsi="Times New Roman"/>
        </w:rPr>
        <w:t xml:space="preserve">Sales grew 21% to €1.91bn.  Better than expected Christmas and New Year bookings, at higher fares, led to a 16% increase in Scheduled Revenue to €1.19bn as </w:t>
      </w:r>
      <w:r w:rsidRPr="003F42A2">
        <w:rPr>
          <w:rFonts w:ascii="Times New Roman" w:hAnsi="Times New Roman"/>
        </w:rPr>
        <w:t xml:space="preserve">we carried </w:t>
      </w:r>
      <w:r>
        <w:rPr>
          <w:rFonts w:ascii="Times New Roman" w:hAnsi="Times New Roman"/>
        </w:rPr>
        <w:t>36</w:t>
      </w:r>
      <w:r w:rsidRPr="003F42A2">
        <w:rPr>
          <w:rFonts w:ascii="Times New Roman" w:hAnsi="Times New Roman"/>
        </w:rPr>
        <w:t xml:space="preserve">m </w:t>
      </w:r>
      <w:r>
        <w:rPr>
          <w:rFonts w:ascii="Times New Roman" w:hAnsi="Times New Roman"/>
        </w:rPr>
        <w:t>guests</w:t>
      </w:r>
      <w:r w:rsidRPr="003F42A2">
        <w:rPr>
          <w:rFonts w:ascii="Times New Roman" w:hAnsi="Times New Roman"/>
        </w:rPr>
        <w:t xml:space="preserve"> </w:t>
      </w:r>
      <w:r>
        <w:rPr>
          <w:rFonts w:ascii="Times New Roman" w:hAnsi="Times New Roman"/>
        </w:rPr>
        <w:t xml:space="preserve">at 9% higher </w:t>
      </w:r>
      <w:r w:rsidRPr="003F42A2">
        <w:rPr>
          <w:rFonts w:ascii="Times New Roman" w:hAnsi="Times New Roman"/>
        </w:rPr>
        <w:t xml:space="preserve">fares. Ancillary Revenue </w:t>
      </w:r>
      <w:r>
        <w:rPr>
          <w:rFonts w:ascii="Times New Roman" w:hAnsi="Times New Roman"/>
        </w:rPr>
        <w:t>increased by</w:t>
      </w:r>
      <w:r w:rsidRPr="003F42A2">
        <w:rPr>
          <w:rFonts w:ascii="Times New Roman" w:hAnsi="Times New Roman"/>
        </w:rPr>
        <w:t xml:space="preserve"> </w:t>
      </w:r>
      <w:r>
        <w:rPr>
          <w:rFonts w:ascii="Times New Roman" w:hAnsi="Times New Roman"/>
        </w:rPr>
        <w:t>28</w:t>
      </w:r>
      <w:r w:rsidRPr="003F42A2">
        <w:rPr>
          <w:rFonts w:ascii="Times New Roman" w:hAnsi="Times New Roman"/>
        </w:rPr>
        <w:t>% to €</w:t>
      </w:r>
      <w:r>
        <w:rPr>
          <w:rFonts w:ascii="Times New Roman" w:hAnsi="Times New Roman"/>
        </w:rPr>
        <w:t>0.72bn as more guests choose</w:t>
      </w:r>
      <w:r w:rsidRPr="003F42A2">
        <w:rPr>
          <w:rFonts w:ascii="Times New Roman" w:hAnsi="Times New Roman"/>
        </w:rPr>
        <w:t xml:space="preserve"> Priority Boarding and </w:t>
      </w:r>
      <w:r>
        <w:rPr>
          <w:rFonts w:ascii="Times New Roman" w:hAnsi="Times New Roman"/>
        </w:rPr>
        <w:t>Preferred Seat services</w:t>
      </w:r>
      <w:r w:rsidRPr="003F42A2">
        <w:rPr>
          <w:rFonts w:ascii="Times New Roman" w:hAnsi="Times New Roman"/>
        </w:rPr>
        <w:t>.</w:t>
      </w:r>
      <w:r>
        <w:rPr>
          <w:rFonts w:ascii="Times New Roman" w:hAnsi="Times New Roman"/>
        </w:rPr>
        <w:t xml:space="preserve"> In Oct., Ryanair Labs launched a new digital platform with improved, personalised, guest offers. Labs are now focused on improving penetration across key ancillary products over the coming quarters. Rentalcars.com became our new car hire partner in late 2019 and will help grow car hire penetration and revenue over the next 3 years. </w:t>
      </w:r>
    </w:p>
    <w:p w14:paraId="22F30FB1" w14:textId="77777777" w:rsidR="00B06D81" w:rsidRDefault="00B06D81" w:rsidP="00B06D81">
      <w:pPr>
        <w:pStyle w:val="NoSpacing"/>
        <w:jc w:val="both"/>
        <w:rPr>
          <w:rFonts w:ascii="Times New Roman" w:hAnsi="Times New Roman"/>
          <w:b/>
        </w:rPr>
      </w:pPr>
    </w:p>
    <w:p w14:paraId="61ADB205" w14:textId="77777777" w:rsidR="00B06D81" w:rsidRPr="00B11F74" w:rsidRDefault="00B06D81" w:rsidP="00B06D81">
      <w:pPr>
        <w:pStyle w:val="NoSpacing"/>
        <w:jc w:val="both"/>
        <w:rPr>
          <w:rFonts w:ascii="Times New Roman" w:hAnsi="Times New Roman"/>
          <w:b/>
          <w:u w:val="single"/>
        </w:rPr>
      </w:pPr>
      <w:r w:rsidRPr="00B11F74">
        <w:rPr>
          <w:rFonts w:ascii="Times New Roman" w:hAnsi="Times New Roman"/>
          <w:b/>
          <w:u w:val="single"/>
        </w:rPr>
        <w:t>Costs</w:t>
      </w:r>
    </w:p>
    <w:p w14:paraId="5F9356E9" w14:textId="77777777" w:rsidR="00B06D81" w:rsidRDefault="00B06D81" w:rsidP="00B06D81">
      <w:pPr>
        <w:pStyle w:val="NoSpacing"/>
        <w:jc w:val="both"/>
        <w:rPr>
          <w:rFonts w:ascii="Times New Roman" w:hAnsi="Times New Roman"/>
        </w:rPr>
      </w:pPr>
      <w:r w:rsidRPr="003F42A2">
        <w:rPr>
          <w:rFonts w:ascii="Times New Roman" w:hAnsi="Times New Roman"/>
        </w:rPr>
        <w:t xml:space="preserve">Our fuel bill rose </w:t>
      </w:r>
      <w:r>
        <w:rPr>
          <w:rFonts w:ascii="Times New Roman" w:hAnsi="Times New Roman"/>
        </w:rPr>
        <w:t>14% (+</w:t>
      </w:r>
      <w:r w:rsidRPr="003F42A2">
        <w:rPr>
          <w:rFonts w:ascii="Times New Roman" w:hAnsi="Times New Roman"/>
        </w:rPr>
        <w:t>€</w:t>
      </w:r>
      <w:r>
        <w:rPr>
          <w:rFonts w:ascii="Times New Roman" w:hAnsi="Times New Roman"/>
        </w:rPr>
        <w:t>83</w:t>
      </w:r>
      <w:r w:rsidRPr="003F42A2">
        <w:rPr>
          <w:rFonts w:ascii="Times New Roman" w:hAnsi="Times New Roman"/>
        </w:rPr>
        <w:t>m</w:t>
      </w:r>
      <w:r>
        <w:rPr>
          <w:rFonts w:ascii="Times New Roman" w:hAnsi="Times New Roman"/>
        </w:rPr>
        <w:t>)</w:t>
      </w:r>
      <w:r w:rsidRPr="003F42A2">
        <w:rPr>
          <w:rFonts w:ascii="Times New Roman" w:hAnsi="Times New Roman"/>
        </w:rPr>
        <w:t xml:space="preserve"> to €</w:t>
      </w:r>
      <w:r>
        <w:rPr>
          <w:rFonts w:ascii="Times New Roman" w:hAnsi="Times New Roman"/>
        </w:rPr>
        <w:t xml:space="preserve">0.7bn </w:t>
      </w:r>
      <w:r w:rsidRPr="003F42A2">
        <w:rPr>
          <w:rFonts w:ascii="Times New Roman" w:hAnsi="Times New Roman"/>
        </w:rPr>
        <w:t xml:space="preserve">due to </w:t>
      </w:r>
      <w:r>
        <w:rPr>
          <w:rFonts w:ascii="Times New Roman" w:hAnsi="Times New Roman"/>
        </w:rPr>
        <w:t xml:space="preserve">higher </w:t>
      </w:r>
      <w:r w:rsidRPr="003F42A2">
        <w:rPr>
          <w:rFonts w:ascii="Times New Roman" w:hAnsi="Times New Roman"/>
        </w:rPr>
        <w:t>price</w:t>
      </w:r>
      <w:r>
        <w:rPr>
          <w:rFonts w:ascii="Times New Roman" w:hAnsi="Times New Roman"/>
        </w:rPr>
        <w:t>s and 6% traffic growth</w:t>
      </w:r>
      <w:r w:rsidRPr="003F42A2">
        <w:rPr>
          <w:rFonts w:ascii="Times New Roman" w:hAnsi="Times New Roman"/>
        </w:rPr>
        <w:t xml:space="preserve">. Ex-fuel unit costs </w:t>
      </w:r>
      <w:r>
        <w:rPr>
          <w:rFonts w:ascii="Times New Roman" w:hAnsi="Times New Roman"/>
        </w:rPr>
        <w:t>rose by 1% due to higher staff (increased pilot pay, higher crew ratios as pilot resignations have slowed to almost zero) and maintenance costs (older aircraft longer in the fleet due to the Boeing MAX delivery delays), offset by falling EU261 costs due to improved punctuality</w:t>
      </w:r>
      <w:r w:rsidRPr="003F42A2">
        <w:rPr>
          <w:rFonts w:ascii="Times New Roman" w:hAnsi="Times New Roman"/>
        </w:rPr>
        <w:t>.</w:t>
      </w:r>
      <w:r>
        <w:rPr>
          <w:rFonts w:ascii="Times New Roman" w:hAnsi="Times New Roman"/>
        </w:rPr>
        <w:t xml:space="preserve"> Our fuel is 90% hedged for FY20 at $71bbl and 90% of our FY21 fuel is now hedged at $61bbl, delivering over €100m fuel savings into FY21. We continue to negotiate attractive growth deals as airports compet</w:t>
      </w:r>
      <w:bookmarkStart w:id="0" w:name="_GoBack"/>
      <w:bookmarkEnd w:id="0"/>
      <w:r>
        <w:rPr>
          <w:rFonts w:ascii="Times New Roman" w:hAnsi="Times New Roman"/>
        </w:rPr>
        <w:t>e to win Ryanair’s very limited traffic growth.</w:t>
      </w:r>
    </w:p>
    <w:p w14:paraId="327A1478" w14:textId="77777777" w:rsidR="00B06D81" w:rsidRDefault="00B06D81" w:rsidP="00B06D81">
      <w:pPr>
        <w:pStyle w:val="NoSpacing"/>
        <w:jc w:val="both"/>
        <w:rPr>
          <w:rFonts w:ascii="Times New Roman" w:hAnsi="Times New Roman"/>
        </w:rPr>
      </w:pPr>
    </w:p>
    <w:p w14:paraId="107001AF" w14:textId="77777777" w:rsidR="00B06D81" w:rsidRPr="002D1D75" w:rsidRDefault="00B06D81" w:rsidP="00B06D81">
      <w:pPr>
        <w:pStyle w:val="NoSpacing"/>
        <w:jc w:val="both"/>
        <w:rPr>
          <w:rFonts w:ascii="Times New Roman" w:hAnsi="Times New Roman"/>
          <w:b/>
          <w:u w:val="single"/>
        </w:rPr>
      </w:pPr>
      <w:r w:rsidRPr="00AA68E5">
        <w:rPr>
          <w:rFonts w:ascii="Times New Roman" w:hAnsi="Times New Roman"/>
          <w:b/>
          <w:u w:val="single"/>
        </w:rPr>
        <w:t>Group Airline</w:t>
      </w:r>
      <w:r>
        <w:rPr>
          <w:rFonts w:ascii="Times New Roman" w:hAnsi="Times New Roman"/>
          <w:b/>
          <w:u w:val="single"/>
        </w:rPr>
        <w:t>s</w:t>
      </w:r>
    </w:p>
    <w:p w14:paraId="33FD51FE" w14:textId="77777777" w:rsidR="00B06D81" w:rsidRDefault="00B06D81" w:rsidP="00B06D81">
      <w:pPr>
        <w:pStyle w:val="NoSpacing"/>
        <w:jc w:val="both"/>
        <w:rPr>
          <w:rFonts w:ascii="Times New Roman" w:hAnsi="Times New Roman"/>
        </w:rPr>
      </w:pPr>
      <w:r>
        <w:rPr>
          <w:rFonts w:ascii="Times New Roman" w:hAnsi="Times New Roman"/>
        </w:rPr>
        <w:t xml:space="preserve">The Group airlines continue to grow. In Q3 Buzz increased its fleet to 32 B737s and expanded outside Poland with new bases in Prague and Budapest. Buzz will grow its fleet to 50 B737s for S.20, with 7 aircraft in Polish charter operations and 43 operating scheduled flying for Ryanair.  </w:t>
      </w:r>
    </w:p>
    <w:p w14:paraId="183F58B0" w14:textId="77777777" w:rsidR="00B06D81" w:rsidRDefault="00B06D81" w:rsidP="00B06D81">
      <w:pPr>
        <w:pStyle w:val="NoSpacing"/>
        <w:jc w:val="both"/>
        <w:rPr>
          <w:rFonts w:ascii="Times New Roman" w:hAnsi="Times New Roman"/>
        </w:rPr>
      </w:pPr>
    </w:p>
    <w:p w14:paraId="513A227E" w14:textId="77777777" w:rsidR="00B06D81" w:rsidRDefault="00B06D81" w:rsidP="00B06D81">
      <w:pPr>
        <w:pStyle w:val="NoSpacing"/>
        <w:jc w:val="both"/>
        <w:rPr>
          <w:rFonts w:ascii="Times New Roman" w:hAnsi="Times New Roman"/>
        </w:rPr>
      </w:pPr>
      <w:r>
        <w:rPr>
          <w:rFonts w:ascii="Times New Roman" w:hAnsi="Times New Roman"/>
        </w:rPr>
        <w:t xml:space="preserve">Lauda continues to underperform with fares much lower than expected, despite strong traffic growth and high load factors. As announced on 10 Jan., this is a direct result of intense price competition with Lufthansa subsidiaries in both Germany and Austria. While Lauda will now carry 6.5m guests in FY20, average fares are well below those of other Group airlines. Lauda’s management is implementing a new cost cutting plan and is improving penetration on ancillary products. Lauda will grow its fleet from 23 to 38 A320s by S.20 with increased capacity in Vienna and a new base in Zadar. </w:t>
      </w:r>
    </w:p>
    <w:p w14:paraId="3E4A0B59" w14:textId="77777777" w:rsidR="00B06D81" w:rsidRDefault="00B06D81" w:rsidP="00B06D81">
      <w:pPr>
        <w:pStyle w:val="NoSpacing"/>
        <w:jc w:val="both"/>
        <w:rPr>
          <w:rFonts w:ascii="Times New Roman" w:hAnsi="Times New Roman"/>
        </w:rPr>
      </w:pPr>
    </w:p>
    <w:p w14:paraId="39A22B6D" w14:textId="77777777" w:rsidR="00B06D81" w:rsidRDefault="00B06D81" w:rsidP="00B06D81">
      <w:pPr>
        <w:pStyle w:val="NoSpacing"/>
        <w:jc w:val="both"/>
        <w:rPr>
          <w:rFonts w:ascii="Times New Roman" w:hAnsi="Times New Roman"/>
        </w:rPr>
      </w:pPr>
      <w:r>
        <w:rPr>
          <w:rFonts w:ascii="Times New Roman" w:hAnsi="Times New Roman"/>
        </w:rPr>
        <w:t>Malta Air continues to grow strongly and has taken over the Group’s</w:t>
      </w:r>
      <w:r w:rsidRPr="003F42A2">
        <w:rPr>
          <w:rFonts w:ascii="Times New Roman" w:hAnsi="Times New Roman"/>
        </w:rPr>
        <w:t xml:space="preserve"> French, German</w:t>
      </w:r>
      <w:r>
        <w:rPr>
          <w:rFonts w:ascii="Times New Roman" w:hAnsi="Times New Roman"/>
        </w:rPr>
        <w:t>,</w:t>
      </w:r>
      <w:r w:rsidRPr="003F42A2">
        <w:rPr>
          <w:rFonts w:ascii="Times New Roman" w:hAnsi="Times New Roman"/>
        </w:rPr>
        <w:t xml:space="preserve"> Italian</w:t>
      </w:r>
      <w:r>
        <w:rPr>
          <w:rFonts w:ascii="Times New Roman" w:hAnsi="Times New Roman"/>
        </w:rPr>
        <w:t xml:space="preserve"> and Maltese </w:t>
      </w:r>
      <w:r w:rsidRPr="003F42A2">
        <w:rPr>
          <w:rFonts w:ascii="Times New Roman" w:hAnsi="Times New Roman"/>
        </w:rPr>
        <w:t>base</w:t>
      </w:r>
      <w:r>
        <w:rPr>
          <w:rFonts w:ascii="Times New Roman" w:hAnsi="Times New Roman"/>
        </w:rPr>
        <w:t>s</w:t>
      </w:r>
      <w:r w:rsidRPr="003F42A2">
        <w:rPr>
          <w:rFonts w:ascii="Times New Roman" w:hAnsi="Times New Roman"/>
        </w:rPr>
        <w:t xml:space="preserve">. </w:t>
      </w:r>
      <w:r>
        <w:rPr>
          <w:rFonts w:ascii="Times New Roman" w:hAnsi="Times New Roman"/>
        </w:rPr>
        <w:t>Its fleet will grow to 120 aircraft by S.20.</w:t>
      </w:r>
    </w:p>
    <w:p w14:paraId="1D68C320" w14:textId="77777777" w:rsidR="00B06D81" w:rsidRDefault="00B06D81" w:rsidP="00B06D81">
      <w:pPr>
        <w:pStyle w:val="NoSpacing"/>
        <w:jc w:val="both"/>
        <w:rPr>
          <w:rFonts w:ascii="Times New Roman" w:hAnsi="Times New Roman"/>
        </w:rPr>
      </w:pPr>
    </w:p>
    <w:p w14:paraId="571263E3" w14:textId="77777777" w:rsidR="00B06D81" w:rsidRDefault="00B06D81" w:rsidP="00B06D81">
      <w:pPr>
        <w:pStyle w:val="NoSpacing"/>
        <w:jc w:val="both"/>
        <w:rPr>
          <w:rFonts w:ascii="Times New Roman" w:hAnsi="Times New Roman"/>
        </w:rPr>
      </w:pPr>
      <w:r>
        <w:rPr>
          <w:rFonts w:ascii="Times New Roman" w:hAnsi="Times New Roman"/>
        </w:rPr>
        <w:t xml:space="preserve">Ryanair DAC saw its fleet reduced to 360 B737s in Q3 as both Buzz and Malta Air took over more flight operations for the Group. Armenia became the newest destination in Jan. Regrettably the Boeing MAX delivery delays mean that Ryanair DAC had to close </w:t>
      </w:r>
      <w:r w:rsidRPr="00C4677B">
        <w:rPr>
          <w:rFonts w:ascii="Times New Roman" w:hAnsi="Times New Roman"/>
        </w:rPr>
        <w:t>a number of loss</w:t>
      </w:r>
      <w:r>
        <w:rPr>
          <w:rFonts w:ascii="Times New Roman" w:hAnsi="Times New Roman"/>
        </w:rPr>
        <w:t>-</w:t>
      </w:r>
      <w:r w:rsidRPr="00C4677B">
        <w:rPr>
          <w:rFonts w:ascii="Times New Roman" w:hAnsi="Times New Roman"/>
        </w:rPr>
        <w:t xml:space="preserve">making </w:t>
      </w:r>
      <w:r>
        <w:rPr>
          <w:rFonts w:ascii="Times New Roman" w:hAnsi="Times New Roman"/>
        </w:rPr>
        <w:t xml:space="preserve">winter </w:t>
      </w:r>
      <w:r w:rsidRPr="00C4677B">
        <w:rPr>
          <w:rFonts w:ascii="Times New Roman" w:hAnsi="Times New Roman"/>
        </w:rPr>
        <w:t>bases leading to some crew redundancies</w:t>
      </w:r>
      <w:r>
        <w:rPr>
          <w:rFonts w:ascii="Times New Roman" w:hAnsi="Times New Roman"/>
        </w:rPr>
        <w:t xml:space="preserve"> in Spain, Germany and Sweden</w:t>
      </w:r>
      <w:r w:rsidRPr="00C4677B">
        <w:rPr>
          <w:rFonts w:ascii="Times New Roman" w:hAnsi="Times New Roman"/>
        </w:rPr>
        <w:t>. We have endeavoured to minimise job losses through base transfers &amp; seasonal bases and continue to work with our people, their unions and our airports to finalise this process</w:t>
      </w:r>
      <w:r>
        <w:rPr>
          <w:rFonts w:ascii="Times New Roman" w:hAnsi="Times New Roman"/>
        </w:rPr>
        <w:t xml:space="preserve">. </w:t>
      </w:r>
    </w:p>
    <w:p w14:paraId="778EDD51" w14:textId="77777777" w:rsidR="00B06D81" w:rsidRDefault="00B06D81" w:rsidP="00B06D81">
      <w:pPr>
        <w:pStyle w:val="NoSpacing"/>
        <w:jc w:val="both"/>
        <w:rPr>
          <w:rFonts w:ascii="Times New Roman" w:hAnsi="Times New Roman"/>
        </w:rPr>
      </w:pPr>
      <w:r>
        <w:rPr>
          <w:rFonts w:ascii="Times New Roman" w:hAnsi="Times New Roman"/>
        </w:rPr>
        <w:t xml:space="preserve"> </w:t>
      </w:r>
    </w:p>
    <w:p w14:paraId="3ECD752C" w14:textId="77777777" w:rsidR="00B06D81" w:rsidRPr="00D325C0" w:rsidRDefault="00B06D81" w:rsidP="00B06D81">
      <w:pPr>
        <w:pStyle w:val="NoSpacing"/>
        <w:jc w:val="both"/>
        <w:rPr>
          <w:rFonts w:ascii="Times New Roman" w:hAnsi="Times New Roman"/>
          <w:b/>
          <w:u w:val="single"/>
        </w:rPr>
      </w:pPr>
      <w:r w:rsidRPr="00D325C0">
        <w:rPr>
          <w:rFonts w:ascii="Times New Roman" w:hAnsi="Times New Roman"/>
          <w:b/>
          <w:u w:val="single"/>
        </w:rPr>
        <w:t>Boeing MAX update</w:t>
      </w:r>
    </w:p>
    <w:p w14:paraId="6B14DF7D" w14:textId="77777777" w:rsidR="00B06D81" w:rsidRDefault="00B06D81" w:rsidP="00B06D81">
      <w:pPr>
        <w:pStyle w:val="NoSpacing"/>
        <w:jc w:val="both"/>
        <w:rPr>
          <w:rFonts w:ascii="Times New Roman" w:hAnsi="Times New Roman"/>
        </w:rPr>
      </w:pPr>
      <w:r>
        <w:rPr>
          <w:rFonts w:ascii="Times New Roman" w:hAnsi="Times New Roman"/>
        </w:rPr>
        <w:t xml:space="preserve">Delivery of the Group’s first Boeing 737-MAX-200 aircraft has been repeatedly delayed from Q2 2019. It is now likely that our first MAX aircraft will not deliver until Sept. or Oct. 2020. The requirement for MAX simulator training will also slow down the delivery of backlogged aircraft and new deliveries. But </w:t>
      </w:r>
      <w:r>
        <w:rPr>
          <w:rFonts w:ascii="Times New Roman" w:hAnsi="Times New Roman"/>
        </w:rPr>
        <w:lastRenderedPageBreak/>
        <w:t xml:space="preserve">we believe that these “gamechanger” aircraft (with 4% more seats, burn 16% less fuel), when delivered, will transform our cost base and our business for the next decade. Due to these delivery delays, we won’t see any of these cost savings until late FY21. As a direct result of these delivery delays, we plan to extend our 200m p.a. passenger target by at least one or two years to FY25 or FY26.  </w:t>
      </w:r>
    </w:p>
    <w:p w14:paraId="1ACEBBB1" w14:textId="77777777" w:rsidR="00B06D81" w:rsidRPr="003F42A2" w:rsidRDefault="00B06D81" w:rsidP="00B06D81">
      <w:pPr>
        <w:pStyle w:val="NoSpacing"/>
        <w:jc w:val="both"/>
        <w:rPr>
          <w:rFonts w:ascii="Times New Roman" w:hAnsi="Times New Roman"/>
        </w:rPr>
      </w:pPr>
    </w:p>
    <w:p w14:paraId="080343C1" w14:textId="77777777" w:rsidR="00B06D81" w:rsidRPr="00D325C0" w:rsidRDefault="00B06D81" w:rsidP="00B06D81">
      <w:pPr>
        <w:pStyle w:val="NoSpacing"/>
        <w:jc w:val="both"/>
        <w:rPr>
          <w:rFonts w:ascii="Times New Roman" w:hAnsi="Times New Roman"/>
          <w:b/>
          <w:u w:val="single"/>
        </w:rPr>
      </w:pPr>
      <w:r w:rsidRPr="00D325C0">
        <w:rPr>
          <w:rFonts w:ascii="Times New Roman" w:hAnsi="Times New Roman"/>
          <w:b/>
          <w:u w:val="single"/>
        </w:rPr>
        <w:t>Balance Sheet &amp; Shareholder Returns</w:t>
      </w:r>
    </w:p>
    <w:p w14:paraId="004AFD69" w14:textId="77777777" w:rsidR="00B06D81" w:rsidRDefault="00B06D81" w:rsidP="00B06D81">
      <w:pPr>
        <w:pStyle w:val="NoSpacing"/>
        <w:jc w:val="both"/>
        <w:rPr>
          <w:rFonts w:ascii="Times New Roman" w:hAnsi="Times New Roman"/>
        </w:rPr>
      </w:pPr>
      <w:r>
        <w:rPr>
          <w:rFonts w:ascii="Times New Roman" w:hAnsi="Times New Roman"/>
        </w:rPr>
        <w:t>Ryanair’s BBB+ rated balance sheet is</w:t>
      </w:r>
      <w:r w:rsidRPr="003F42A2">
        <w:rPr>
          <w:rFonts w:ascii="Times New Roman" w:hAnsi="Times New Roman"/>
        </w:rPr>
        <w:t xml:space="preserve"> one of the </w:t>
      </w:r>
      <w:r>
        <w:rPr>
          <w:rFonts w:ascii="Times New Roman" w:hAnsi="Times New Roman"/>
        </w:rPr>
        <w:t>strongest in the industry. 70</w:t>
      </w:r>
      <w:r w:rsidRPr="003F42A2">
        <w:rPr>
          <w:rFonts w:ascii="Times New Roman" w:hAnsi="Times New Roman"/>
        </w:rPr>
        <w:t xml:space="preserve">% of our </w:t>
      </w:r>
      <w:r>
        <w:rPr>
          <w:rFonts w:ascii="Times New Roman" w:hAnsi="Times New Roman"/>
        </w:rPr>
        <w:t>aircraft are debt free. T</w:t>
      </w:r>
      <w:r w:rsidRPr="003F42A2">
        <w:rPr>
          <w:rFonts w:ascii="Times New Roman" w:hAnsi="Times New Roman"/>
        </w:rPr>
        <w:t>his allows us to grow while weak</w:t>
      </w:r>
      <w:r>
        <w:rPr>
          <w:rFonts w:ascii="Times New Roman" w:hAnsi="Times New Roman"/>
        </w:rPr>
        <w:t>er</w:t>
      </w:r>
      <w:r w:rsidRPr="003F42A2">
        <w:rPr>
          <w:rFonts w:ascii="Times New Roman" w:hAnsi="Times New Roman"/>
        </w:rPr>
        <w:t xml:space="preserve"> airlines collapse</w:t>
      </w:r>
      <w:r>
        <w:rPr>
          <w:rFonts w:ascii="Times New Roman" w:hAnsi="Times New Roman"/>
        </w:rPr>
        <w:t>, sell</w:t>
      </w:r>
      <w:r w:rsidRPr="003F42A2">
        <w:rPr>
          <w:rFonts w:ascii="Times New Roman" w:hAnsi="Times New Roman"/>
        </w:rPr>
        <w:t xml:space="preserve"> or retrench in the</w:t>
      </w:r>
      <w:r>
        <w:rPr>
          <w:rFonts w:ascii="Times New Roman" w:hAnsi="Times New Roman"/>
        </w:rPr>
        <w:t xml:space="preserve"> current challenging</w:t>
      </w:r>
      <w:r w:rsidRPr="003F42A2">
        <w:rPr>
          <w:rFonts w:ascii="Times New Roman" w:hAnsi="Times New Roman"/>
        </w:rPr>
        <w:t xml:space="preserve"> market. We </w:t>
      </w:r>
      <w:r>
        <w:rPr>
          <w:rFonts w:ascii="Times New Roman" w:hAnsi="Times New Roman"/>
        </w:rPr>
        <w:t xml:space="preserve">have </w:t>
      </w:r>
      <w:r w:rsidRPr="003F42A2">
        <w:rPr>
          <w:rFonts w:ascii="Times New Roman" w:hAnsi="Times New Roman"/>
        </w:rPr>
        <w:t>returned €</w:t>
      </w:r>
      <w:r>
        <w:rPr>
          <w:rFonts w:ascii="Times New Roman" w:hAnsi="Times New Roman"/>
        </w:rPr>
        <w:t>440</w:t>
      </w:r>
      <w:r w:rsidRPr="003F42A2">
        <w:rPr>
          <w:rFonts w:ascii="Times New Roman" w:hAnsi="Times New Roman"/>
        </w:rPr>
        <w:t xml:space="preserve">m </w:t>
      </w:r>
      <w:r>
        <w:rPr>
          <w:rFonts w:ascii="Times New Roman" w:hAnsi="Times New Roman"/>
        </w:rPr>
        <w:t xml:space="preserve">to shareholders under our current €700m share buyback programme. </w:t>
      </w:r>
      <w:r w:rsidRPr="003F42A2">
        <w:rPr>
          <w:rFonts w:ascii="Times New Roman" w:hAnsi="Times New Roman"/>
        </w:rPr>
        <w:t>Despite the share buyback and the impact of IFRS</w:t>
      </w:r>
      <w:r>
        <w:rPr>
          <w:rFonts w:ascii="Times New Roman" w:hAnsi="Times New Roman"/>
        </w:rPr>
        <w:t xml:space="preserve"> </w:t>
      </w:r>
      <w:r w:rsidRPr="003F42A2">
        <w:rPr>
          <w:rFonts w:ascii="Times New Roman" w:hAnsi="Times New Roman"/>
        </w:rPr>
        <w:t>16</w:t>
      </w:r>
      <w:r>
        <w:rPr>
          <w:rFonts w:ascii="Times New Roman" w:hAnsi="Times New Roman"/>
        </w:rPr>
        <w:t xml:space="preserve"> (€230m)</w:t>
      </w:r>
      <w:r w:rsidRPr="003F42A2">
        <w:rPr>
          <w:rFonts w:ascii="Times New Roman" w:hAnsi="Times New Roman"/>
        </w:rPr>
        <w:t>, net debt was</w:t>
      </w:r>
      <w:r>
        <w:rPr>
          <w:rFonts w:ascii="Times New Roman" w:hAnsi="Times New Roman"/>
        </w:rPr>
        <w:t xml:space="preserve"> just</w:t>
      </w:r>
      <w:r w:rsidRPr="003F42A2">
        <w:rPr>
          <w:rFonts w:ascii="Times New Roman" w:hAnsi="Times New Roman"/>
        </w:rPr>
        <w:t xml:space="preserve"> </w:t>
      </w:r>
      <w:r>
        <w:rPr>
          <w:rFonts w:ascii="Times New Roman" w:hAnsi="Times New Roman"/>
        </w:rPr>
        <w:t>over €700m</w:t>
      </w:r>
      <w:r w:rsidRPr="003F42A2">
        <w:rPr>
          <w:rFonts w:ascii="Times New Roman" w:hAnsi="Times New Roman"/>
        </w:rPr>
        <w:t xml:space="preserve"> at period end.</w:t>
      </w:r>
      <w:r w:rsidRPr="00C4677B">
        <w:t xml:space="preserve"> </w:t>
      </w:r>
      <w:r w:rsidRPr="00C4677B">
        <w:rPr>
          <w:rFonts w:ascii="Times New Roman" w:hAnsi="Times New Roman"/>
        </w:rPr>
        <w:t xml:space="preserve">Due to the uncertainty </w:t>
      </w:r>
      <w:r>
        <w:rPr>
          <w:rFonts w:ascii="Times New Roman" w:hAnsi="Times New Roman"/>
        </w:rPr>
        <w:t>surrounding</w:t>
      </w:r>
      <w:r w:rsidRPr="00C4677B">
        <w:rPr>
          <w:rFonts w:ascii="Times New Roman" w:hAnsi="Times New Roman"/>
        </w:rPr>
        <w:t xml:space="preserve"> </w:t>
      </w:r>
      <w:r>
        <w:rPr>
          <w:rFonts w:ascii="Times New Roman" w:hAnsi="Times New Roman"/>
        </w:rPr>
        <w:t>the Boeing</w:t>
      </w:r>
      <w:r w:rsidRPr="00C4677B">
        <w:rPr>
          <w:rFonts w:ascii="Times New Roman" w:hAnsi="Times New Roman"/>
        </w:rPr>
        <w:t xml:space="preserve"> MAX aircraft deliveries, peak Capex and maturing bonds in 2021, the Board has decided to extend the current €700m buyback programme until </w:t>
      </w:r>
      <w:r>
        <w:rPr>
          <w:rFonts w:ascii="Times New Roman" w:hAnsi="Times New Roman"/>
        </w:rPr>
        <w:t>the end of July</w:t>
      </w:r>
      <w:r w:rsidRPr="00C4677B">
        <w:rPr>
          <w:rFonts w:ascii="Times New Roman" w:hAnsi="Times New Roman"/>
        </w:rPr>
        <w:t>.</w:t>
      </w:r>
    </w:p>
    <w:p w14:paraId="57E864C2" w14:textId="77777777" w:rsidR="00B06D81" w:rsidRDefault="00B06D81" w:rsidP="00B06D81">
      <w:pPr>
        <w:pStyle w:val="NoSpacing"/>
        <w:jc w:val="both"/>
        <w:rPr>
          <w:rFonts w:ascii="Times New Roman" w:hAnsi="Times New Roman"/>
          <w:b/>
          <w:u w:val="single"/>
        </w:rPr>
      </w:pPr>
    </w:p>
    <w:p w14:paraId="096E487D" w14:textId="77777777" w:rsidR="00B06D81" w:rsidRPr="00D8383F" w:rsidRDefault="00B06D81" w:rsidP="00B06D81">
      <w:pPr>
        <w:pStyle w:val="NoSpacing"/>
        <w:jc w:val="both"/>
        <w:rPr>
          <w:rFonts w:ascii="Times New Roman" w:hAnsi="Times New Roman"/>
          <w:b/>
          <w:u w:val="single"/>
        </w:rPr>
      </w:pPr>
      <w:r w:rsidRPr="00D8383F">
        <w:rPr>
          <w:rFonts w:ascii="Times New Roman" w:hAnsi="Times New Roman"/>
          <w:b/>
          <w:u w:val="single"/>
        </w:rPr>
        <w:t>Outlook</w:t>
      </w:r>
    </w:p>
    <w:p w14:paraId="66DF9563" w14:textId="77777777" w:rsidR="00B06D81" w:rsidRDefault="00B06D81" w:rsidP="00B06D81">
      <w:pPr>
        <w:jc w:val="both"/>
        <w:rPr>
          <w:rFonts w:eastAsia="Calibri"/>
          <w:lang w:val="en-GB"/>
        </w:rPr>
      </w:pPr>
      <w:r>
        <w:rPr>
          <w:rFonts w:eastAsia="Calibri"/>
          <w:lang w:val="en-GB"/>
        </w:rPr>
        <w:t>As announced on 10 Jan., Ryanair’s FY20 PAT guidance has risen to a range of €0.95bn to €1.05bn thanks to stronger Christmas and New Year travel bookings, at better than expected fares. Q4 forward bookings are 1% ahead of this time last year at slightly better than expected average fares and we now expect full year traffic to grow by 8% to 154</w:t>
      </w:r>
      <w:r w:rsidRPr="00D501F6">
        <w:rPr>
          <w:rFonts w:eastAsia="Calibri"/>
          <w:lang w:val="en-GB"/>
        </w:rPr>
        <w:t>m</w:t>
      </w:r>
      <w:r>
        <w:rPr>
          <w:rFonts w:eastAsia="Calibri"/>
          <w:lang w:val="en-GB"/>
        </w:rPr>
        <w:t xml:space="preserve"> guests. Ancillary revenues continue to grow, but at a slower rate having annualised the cabin bag changes in Nov. This will support</w:t>
      </w:r>
      <w:r w:rsidRPr="00D501F6">
        <w:rPr>
          <w:rFonts w:eastAsia="Calibri"/>
          <w:lang w:val="en-GB"/>
        </w:rPr>
        <w:t xml:space="preserve"> full-ye</w:t>
      </w:r>
      <w:r>
        <w:rPr>
          <w:rFonts w:eastAsia="Calibri"/>
          <w:lang w:val="en-GB"/>
        </w:rPr>
        <w:t>ar revenue per guest growth of between +3% to +4</w:t>
      </w:r>
      <w:r w:rsidRPr="00D501F6">
        <w:rPr>
          <w:rFonts w:eastAsia="Calibri"/>
          <w:lang w:val="en-GB"/>
        </w:rPr>
        <w:t xml:space="preserve">%. </w:t>
      </w:r>
      <w:r>
        <w:rPr>
          <w:rFonts w:eastAsia="Calibri"/>
          <w:lang w:val="en-GB"/>
        </w:rPr>
        <w:t>The</w:t>
      </w:r>
      <w:r w:rsidRPr="005F3582">
        <w:rPr>
          <w:rFonts w:eastAsia="Calibri"/>
          <w:lang w:val="en-GB"/>
        </w:rPr>
        <w:t xml:space="preserve"> full</w:t>
      </w:r>
      <w:r>
        <w:rPr>
          <w:rFonts w:eastAsia="Calibri"/>
          <w:lang w:val="en-GB"/>
        </w:rPr>
        <w:t xml:space="preserve"> year fuel bill will rise by €44</w:t>
      </w:r>
      <w:r w:rsidRPr="005F3582">
        <w:rPr>
          <w:rFonts w:eastAsia="Calibri"/>
          <w:lang w:val="en-GB"/>
        </w:rPr>
        <w:t xml:space="preserve">0m </w:t>
      </w:r>
      <w:r>
        <w:rPr>
          <w:rFonts w:eastAsia="Calibri"/>
          <w:lang w:val="en-GB"/>
        </w:rPr>
        <w:t>and e</w:t>
      </w:r>
      <w:r w:rsidRPr="00D501F6">
        <w:rPr>
          <w:rFonts w:eastAsia="Calibri"/>
          <w:lang w:val="en-GB"/>
        </w:rPr>
        <w:t>x-fuel un</w:t>
      </w:r>
      <w:r>
        <w:rPr>
          <w:rFonts w:eastAsia="Calibri"/>
          <w:lang w:val="en-GB"/>
        </w:rPr>
        <w:t>it costs will increase by approx. 2%</w:t>
      </w:r>
      <w:r w:rsidRPr="00D501F6">
        <w:rPr>
          <w:rFonts w:eastAsia="Calibri"/>
          <w:lang w:val="en-GB"/>
        </w:rPr>
        <w:t xml:space="preserve">. </w:t>
      </w:r>
      <w:r>
        <w:rPr>
          <w:rFonts w:eastAsia="Calibri"/>
          <w:lang w:val="en-GB"/>
        </w:rPr>
        <w:t>On the basis of current trading, Ryanair expects to finish close to the mid-point of the new PAT guidance range.</w:t>
      </w:r>
      <w:r w:rsidRPr="00D501F6">
        <w:rPr>
          <w:rFonts w:eastAsia="Calibri"/>
          <w:lang w:val="en-GB"/>
        </w:rPr>
        <w:t xml:space="preserve">  This guidance is </w:t>
      </w:r>
      <w:r>
        <w:rPr>
          <w:rFonts w:eastAsia="Calibri"/>
          <w:lang w:val="en-GB"/>
        </w:rPr>
        <w:t>heavily dependent on close-in Q4 fares</w:t>
      </w:r>
      <w:r w:rsidRPr="00D501F6">
        <w:rPr>
          <w:rFonts w:eastAsia="Calibri"/>
          <w:lang w:val="en-GB"/>
        </w:rPr>
        <w:t xml:space="preserve"> and the absence of any security events</w:t>
      </w:r>
      <w:r>
        <w:rPr>
          <w:rFonts w:eastAsia="Calibri"/>
          <w:lang w:val="en-GB"/>
        </w:rPr>
        <w:t>.</w:t>
      </w:r>
    </w:p>
    <w:p w14:paraId="2A72D6BA" w14:textId="77777777" w:rsidR="00B06D81" w:rsidRPr="00D501F6" w:rsidRDefault="00B06D81" w:rsidP="00B06D81">
      <w:pPr>
        <w:jc w:val="both"/>
        <w:rPr>
          <w:rFonts w:eastAsia="Calibri"/>
          <w:lang w:val="en-GB"/>
        </w:rPr>
      </w:pPr>
    </w:p>
    <w:p w14:paraId="12A4564B" w14:textId="77777777" w:rsidR="00B06D81" w:rsidRDefault="00B06D81" w:rsidP="00B06D81">
      <w:pPr>
        <w:pStyle w:val="NoSpacing"/>
        <w:jc w:val="both"/>
        <w:rPr>
          <w:rFonts w:ascii="Times New Roman" w:hAnsi="Times New Roman"/>
          <w:b/>
        </w:rPr>
      </w:pPr>
      <w:r w:rsidRPr="003F42A2">
        <w:rPr>
          <w:rFonts w:ascii="Times New Roman" w:hAnsi="Times New Roman"/>
          <w:b/>
        </w:rPr>
        <w:t>ENDS</w:t>
      </w:r>
    </w:p>
    <w:p w14:paraId="458F41FA" w14:textId="77777777" w:rsidR="00B06D81" w:rsidRPr="00225561" w:rsidRDefault="00B06D81" w:rsidP="00B06D81">
      <w:pPr>
        <w:pStyle w:val="NoSpacing"/>
        <w:jc w:val="both"/>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5"/>
        <w:gridCol w:w="3005"/>
      </w:tblGrid>
      <w:tr w:rsidR="00B06D81" w:rsidRPr="003F42A2" w14:paraId="251B6A4C" w14:textId="77777777" w:rsidTr="00B06D81">
        <w:tc>
          <w:tcPr>
            <w:tcW w:w="3006" w:type="dxa"/>
          </w:tcPr>
          <w:p w14:paraId="23E2FFA5" w14:textId="77777777" w:rsidR="00B06D81" w:rsidRPr="003F42A2" w:rsidRDefault="00B06D81" w:rsidP="00B06D81">
            <w:pPr>
              <w:pStyle w:val="NoSpacing"/>
              <w:jc w:val="both"/>
            </w:pPr>
            <w:r w:rsidRPr="003F42A2">
              <w:t>For further information</w:t>
            </w:r>
          </w:p>
          <w:p w14:paraId="56761F07" w14:textId="77777777" w:rsidR="00B06D81" w:rsidRPr="003F42A2" w:rsidRDefault="00B06D81" w:rsidP="00B06D81">
            <w:pPr>
              <w:pStyle w:val="NoSpacing"/>
              <w:jc w:val="both"/>
            </w:pPr>
            <w:r w:rsidRPr="003F42A2">
              <w:t>please contact:</w:t>
            </w:r>
          </w:p>
          <w:p w14:paraId="0C913154" w14:textId="77777777" w:rsidR="00B06D81" w:rsidRPr="003F42A2" w:rsidRDefault="00C017B8" w:rsidP="00B06D81">
            <w:pPr>
              <w:pStyle w:val="NoSpacing"/>
              <w:jc w:val="both"/>
            </w:pPr>
            <w:hyperlink r:id="rId9" w:history="1">
              <w:r w:rsidR="00B06D81" w:rsidRPr="00DF1899">
                <w:rPr>
                  <w:rStyle w:val="Hyperlink"/>
                </w:rPr>
                <w:t>www.ryanair.com</w:t>
              </w:r>
            </w:hyperlink>
            <w:r w:rsidR="00B06D81">
              <w:t xml:space="preserve"> </w:t>
            </w:r>
          </w:p>
        </w:tc>
        <w:tc>
          <w:tcPr>
            <w:tcW w:w="3005" w:type="dxa"/>
          </w:tcPr>
          <w:p w14:paraId="391E1891" w14:textId="77777777" w:rsidR="00B06D81" w:rsidRDefault="00B06D81" w:rsidP="00B06D81">
            <w:pPr>
              <w:pStyle w:val="NoSpacing"/>
              <w:jc w:val="both"/>
            </w:pPr>
            <w:r>
              <w:t>Neil Sorahan</w:t>
            </w:r>
          </w:p>
          <w:p w14:paraId="52A13D3B" w14:textId="77777777" w:rsidR="00B06D81" w:rsidRDefault="00B06D81" w:rsidP="00B06D81">
            <w:pPr>
              <w:pStyle w:val="NoSpacing"/>
              <w:jc w:val="both"/>
            </w:pPr>
            <w:r>
              <w:t>Ryanair Holdings plc</w:t>
            </w:r>
          </w:p>
          <w:p w14:paraId="0EB6D003" w14:textId="77777777" w:rsidR="00B06D81" w:rsidRPr="003F42A2" w:rsidRDefault="00B06D81" w:rsidP="00B06D81">
            <w:pPr>
              <w:pStyle w:val="NoSpacing"/>
              <w:jc w:val="both"/>
              <w:rPr>
                <w:b/>
              </w:rPr>
            </w:pPr>
            <w:r w:rsidRPr="003F42A2">
              <w:rPr>
                <w:b/>
              </w:rPr>
              <w:t>Tel: +353-1-9451212</w:t>
            </w:r>
          </w:p>
        </w:tc>
        <w:tc>
          <w:tcPr>
            <w:tcW w:w="3005" w:type="dxa"/>
          </w:tcPr>
          <w:p w14:paraId="1656B2D2" w14:textId="77777777" w:rsidR="00B06D81" w:rsidRDefault="00B06D81" w:rsidP="00B06D81">
            <w:pPr>
              <w:pStyle w:val="NoSpacing"/>
              <w:jc w:val="both"/>
            </w:pPr>
            <w:r>
              <w:t>Piaras Kelly</w:t>
            </w:r>
          </w:p>
          <w:p w14:paraId="1716F0D1" w14:textId="77777777" w:rsidR="00B06D81" w:rsidRDefault="00B06D81" w:rsidP="00B06D81">
            <w:pPr>
              <w:pStyle w:val="NoSpacing"/>
              <w:jc w:val="both"/>
            </w:pPr>
            <w:r>
              <w:t>Edelman</w:t>
            </w:r>
          </w:p>
          <w:p w14:paraId="3267825E" w14:textId="77777777" w:rsidR="00B06D81" w:rsidRDefault="00B06D81" w:rsidP="00B06D81">
            <w:pPr>
              <w:pStyle w:val="NoSpacing"/>
              <w:jc w:val="both"/>
              <w:rPr>
                <w:b/>
              </w:rPr>
            </w:pPr>
            <w:r w:rsidRPr="003F42A2">
              <w:rPr>
                <w:b/>
              </w:rPr>
              <w:t>Tel: +353-1-6789333</w:t>
            </w:r>
          </w:p>
          <w:p w14:paraId="66214330" w14:textId="67AEA7C8" w:rsidR="006E13ED" w:rsidRPr="003F42A2" w:rsidRDefault="006E13ED" w:rsidP="00B06D81">
            <w:pPr>
              <w:pStyle w:val="NoSpacing"/>
              <w:jc w:val="both"/>
              <w:rPr>
                <w:b/>
              </w:rPr>
            </w:pPr>
          </w:p>
        </w:tc>
      </w:tr>
    </w:tbl>
    <w:p w14:paraId="27C9A1A1" w14:textId="77777777" w:rsidR="00B06D81" w:rsidRDefault="00B06D81" w:rsidP="00B06D81">
      <w:pPr>
        <w:pStyle w:val="NoSpacing"/>
        <w:jc w:val="both"/>
        <w:rPr>
          <w:rFonts w:ascii="Times New Roman" w:hAnsi="Times New Roman"/>
        </w:rPr>
      </w:pPr>
    </w:p>
    <w:p w14:paraId="0F7B5896" w14:textId="77777777" w:rsidR="006E13ED" w:rsidRPr="00AA0B5C" w:rsidRDefault="006E13ED" w:rsidP="006E13ED">
      <w:pPr>
        <w:jc w:val="both"/>
        <w:rPr>
          <w:i/>
          <w:iCs/>
          <w:sz w:val="20"/>
          <w:szCs w:val="20"/>
        </w:rPr>
      </w:pPr>
      <w:r>
        <w:rPr>
          <w:i/>
          <w:iCs/>
          <w:sz w:val="20"/>
          <w:szCs w:val="20"/>
        </w:rPr>
        <w:t>Ryanair Holdings p</w:t>
      </w:r>
      <w:r w:rsidRPr="00EF72E0">
        <w:rPr>
          <w:i/>
          <w:iCs/>
          <w:sz w:val="20"/>
          <w:szCs w:val="20"/>
        </w:rPr>
        <w:t xml:space="preserve">lc, Europe’s largest airline group, is the parent company of </w:t>
      </w:r>
      <w:r>
        <w:rPr>
          <w:i/>
          <w:iCs/>
          <w:sz w:val="20"/>
          <w:szCs w:val="20"/>
        </w:rPr>
        <w:t>Buzz, Lauda, Malta Air &amp; Ryanair DAC. Carrying 154</w:t>
      </w:r>
      <w:r w:rsidRPr="00EF72E0">
        <w:rPr>
          <w:i/>
          <w:iCs/>
          <w:sz w:val="20"/>
          <w:szCs w:val="20"/>
        </w:rPr>
        <w:t xml:space="preserve">m guests p.a. on more </w:t>
      </w:r>
      <w:r>
        <w:rPr>
          <w:i/>
          <w:iCs/>
          <w:sz w:val="20"/>
          <w:szCs w:val="20"/>
        </w:rPr>
        <w:t>than 2,400 daily flights from 82</w:t>
      </w:r>
      <w:r w:rsidRPr="00EF72E0">
        <w:rPr>
          <w:i/>
          <w:iCs/>
          <w:sz w:val="20"/>
          <w:szCs w:val="20"/>
        </w:rPr>
        <w:t xml:space="preserve"> bases, the group connects over 200 destinations in </w:t>
      </w:r>
      <w:r>
        <w:rPr>
          <w:i/>
          <w:iCs/>
          <w:sz w:val="20"/>
          <w:szCs w:val="20"/>
        </w:rPr>
        <w:t>40</w:t>
      </w:r>
      <w:r w:rsidRPr="00EF72E0">
        <w:rPr>
          <w:i/>
          <w:iCs/>
          <w:sz w:val="20"/>
          <w:szCs w:val="20"/>
        </w:rPr>
        <w:t xml:space="preserve"> </w:t>
      </w:r>
      <w:r>
        <w:rPr>
          <w:i/>
          <w:iCs/>
          <w:sz w:val="20"/>
          <w:szCs w:val="20"/>
        </w:rPr>
        <w:t>countrie</w:t>
      </w:r>
      <w:r w:rsidRPr="00EF72E0">
        <w:rPr>
          <w:i/>
          <w:iCs/>
          <w:sz w:val="20"/>
          <w:szCs w:val="20"/>
        </w:rPr>
        <w:t>s on a fleet of over 4</w:t>
      </w:r>
      <w:r>
        <w:rPr>
          <w:i/>
          <w:iCs/>
          <w:sz w:val="20"/>
          <w:szCs w:val="20"/>
        </w:rPr>
        <w:t>70</w:t>
      </w:r>
      <w:r w:rsidRPr="00EF72E0">
        <w:rPr>
          <w:i/>
          <w:iCs/>
          <w:sz w:val="20"/>
          <w:szCs w:val="20"/>
        </w:rPr>
        <w:t xml:space="preserve"> aircraft, with a further 210 Boeing 737s on order, which will enable </w:t>
      </w:r>
      <w:r>
        <w:rPr>
          <w:i/>
          <w:iCs/>
          <w:sz w:val="20"/>
          <w:szCs w:val="20"/>
        </w:rPr>
        <w:t>the Ryanair Group</w:t>
      </w:r>
      <w:r w:rsidRPr="00EF72E0">
        <w:rPr>
          <w:i/>
          <w:iCs/>
          <w:sz w:val="20"/>
          <w:szCs w:val="20"/>
        </w:rPr>
        <w:t xml:space="preserve"> to lower fares and g</w:t>
      </w:r>
      <w:r>
        <w:rPr>
          <w:i/>
          <w:iCs/>
          <w:sz w:val="20"/>
          <w:szCs w:val="20"/>
        </w:rPr>
        <w:t>row traffic to 200m p.a. by FY25</w:t>
      </w:r>
      <w:r w:rsidRPr="00EF72E0">
        <w:rPr>
          <w:i/>
          <w:iCs/>
          <w:sz w:val="20"/>
          <w:szCs w:val="20"/>
        </w:rPr>
        <w:t xml:space="preserve">. Ryanair has a team of </w:t>
      </w:r>
      <w:r>
        <w:rPr>
          <w:i/>
          <w:iCs/>
          <w:sz w:val="20"/>
          <w:szCs w:val="20"/>
        </w:rPr>
        <w:t>over</w:t>
      </w:r>
      <w:r w:rsidRPr="00EF72E0">
        <w:rPr>
          <w:i/>
          <w:iCs/>
          <w:sz w:val="20"/>
          <w:szCs w:val="20"/>
        </w:rPr>
        <w:t xml:space="preserve"> 19,000 highly skilled aviation professionals delivering Europe’s No.1 on-time performance, and an industry leading 34-year safety record.</w:t>
      </w:r>
      <w:r>
        <w:rPr>
          <w:i/>
          <w:iCs/>
          <w:sz w:val="20"/>
          <w:szCs w:val="20"/>
        </w:rPr>
        <w:t xml:space="preserve"> Ryanair is Europe’s greenest cleanest airline group and customers switching to fly Ryanair can reduce their </w:t>
      </w:r>
      <w:r w:rsidRPr="00CF64CF">
        <w:rPr>
          <w:i/>
          <w:iCs/>
          <w:sz w:val="20"/>
          <w:szCs w:val="20"/>
        </w:rPr>
        <w:t>CO₂</w:t>
      </w:r>
      <w:r>
        <w:rPr>
          <w:i/>
          <w:iCs/>
          <w:sz w:val="20"/>
          <w:szCs w:val="20"/>
        </w:rPr>
        <w:t xml:space="preserve"> emissions by up to 50% compared to the other Big 4 EU major airlines.</w:t>
      </w:r>
    </w:p>
    <w:p w14:paraId="7D4A63EB" w14:textId="42C43EBD" w:rsidR="00B06D81" w:rsidRPr="003F42A2" w:rsidRDefault="00B06D81" w:rsidP="00B06D81">
      <w:pPr>
        <w:pStyle w:val="NoSpacing"/>
        <w:jc w:val="both"/>
        <w:rPr>
          <w:rFonts w:ascii="Times New Roman" w:hAnsi="Times New Roman"/>
        </w:rPr>
      </w:pPr>
    </w:p>
    <w:p w14:paraId="29E824AF" w14:textId="77777777" w:rsidR="00B06D81" w:rsidRPr="003F42A2" w:rsidRDefault="00B06D81" w:rsidP="00B06D81">
      <w:pPr>
        <w:pStyle w:val="NoSpacing"/>
        <w:jc w:val="both"/>
        <w:rPr>
          <w:rFonts w:ascii="Times New Roman" w:hAnsi="Times New Roman"/>
        </w:rPr>
      </w:pPr>
      <w:r w:rsidRPr="003F42A2">
        <w:rPr>
          <w:rFonts w:ascii="Times New Roman" w:hAnsi="Times New Roman"/>
        </w:rPr>
        <w:br/>
      </w:r>
      <w:r w:rsidRPr="003F42A2">
        <w:rPr>
          <w:rFonts w:ascii="Times New Roman" w:hAnsi="Times New Roman"/>
        </w:rPr>
        <w:br/>
      </w:r>
      <w:r w:rsidRPr="003F42A2">
        <w:rPr>
          <w:rFonts w:ascii="Times New Roman" w:hAnsi="Times New Roman"/>
        </w:rPr>
        <w:br/>
      </w:r>
    </w:p>
    <w:p w14:paraId="49D42038" w14:textId="77777777" w:rsidR="00B06D81" w:rsidRPr="003F42A2" w:rsidRDefault="00B06D81" w:rsidP="00B06D81">
      <w:pPr>
        <w:pStyle w:val="NoSpacing"/>
        <w:jc w:val="both"/>
        <w:rPr>
          <w:rFonts w:ascii="Times New Roman" w:eastAsia="Times New Roman" w:hAnsi="Times New Roman"/>
          <w:bCs/>
        </w:rPr>
      </w:pPr>
    </w:p>
    <w:p w14:paraId="69E4EB98" w14:textId="77777777" w:rsidR="00B06D81" w:rsidRPr="003F42A2" w:rsidRDefault="00B06D81" w:rsidP="00B06D81">
      <w:pPr>
        <w:pStyle w:val="NoSpacing"/>
        <w:jc w:val="both"/>
        <w:rPr>
          <w:rFonts w:ascii="Times New Roman" w:eastAsia="Times New Roman" w:hAnsi="Times New Roman"/>
          <w:bCs/>
        </w:rPr>
      </w:pPr>
    </w:p>
    <w:p w14:paraId="0E2F0B9A" w14:textId="77777777" w:rsidR="00B06D81" w:rsidRPr="003F42A2" w:rsidRDefault="00B06D81" w:rsidP="00B06D81">
      <w:pPr>
        <w:pStyle w:val="NoSpacing"/>
        <w:jc w:val="both"/>
        <w:rPr>
          <w:rFonts w:ascii="Times New Roman" w:eastAsia="Times New Roman" w:hAnsi="Times New Roman"/>
          <w:bCs/>
        </w:rPr>
      </w:pPr>
    </w:p>
    <w:p w14:paraId="3DDCBD35" w14:textId="77777777" w:rsidR="00B06D81" w:rsidRDefault="00B06D81" w:rsidP="00B06D81">
      <w:pPr>
        <w:pStyle w:val="NoSpacing"/>
        <w:jc w:val="both"/>
        <w:rPr>
          <w:rFonts w:ascii="Times New Roman" w:eastAsia="Times New Roman" w:hAnsi="Times New Roman"/>
          <w:b/>
          <w:bCs/>
          <w:i/>
          <w:sz w:val="16"/>
          <w:szCs w:val="16"/>
        </w:rPr>
      </w:pPr>
    </w:p>
    <w:p w14:paraId="58535ED0" w14:textId="77777777" w:rsidR="00B06D81" w:rsidRDefault="00B06D81" w:rsidP="00B06D81">
      <w:pPr>
        <w:pStyle w:val="NoSpacing"/>
        <w:jc w:val="both"/>
        <w:rPr>
          <w:rFonts w:ascii="Times New Roman" w:eastAsia="Times New Roman" w:hAnsi="Times New Roman"/>
          <w:b/>
          <w:bCs/>
          <w:i/>
          <w:sz w:val="16"/>
          <w:szCs w:val="16"/>
        </w:rPr>
      </w:pPr>
    </w:p>
    <w:p w14:paraId="1169331F" w14:textId="77777777" w:rsidR="00B06D81" w:rsidRPr="003F42A2" w:rsidRDefault="00B06D81" w:rsidP="00B06D81">
      <w:pPr>
        <w:pStyle w:val="NoSpacing"/>
        <w:jc w:val="both"/>
        <w:rPr>
          <w:rFonts w:ascii="Times New Roman" w:eastAsia="Times New Roman" w:hAnsi="Times New Roman"/>
          <w:b/>
          <w:i/>
          <w:sz w:val="16"/>
          <w:szCs w:val="16"/>
        </w:rPr>
      </w:pPr>
      <w:r w:rsidRPr="003F42A2">
        <w:rPr>
          <w:rFonts w:ascii="Times New Roman" w:eastAsia="Times New Roman" w:hAnsi="Times New Roman"/>
          <w:b/>
          <w:bCs/>
          <w:i/>
          <w:sz w:val="16"/>
          <w:szCs w:val="16"/>
        </w:rPr>
        <w:t>Certain of the information included in this release is forward looking and is subject to important risks and uncertainties that could cause actual results to differ materially.  It is not reasonably possible to itemise all of the many factors and specific events that could affect the outlook and results of an airline operating in the European economy.  Among the factors that are subject to change and could significantly impact Ryanair’s expected results are the airline pricing environment, fuel costs, competition from new and existing carriers, market prices for the replacement of aircraft, costs associated with environmental, safety and security measures, actions of the Irish, U.K., European Union (“EU”) and other governments and their respective regulatory agencies, uncertainties surrounding Brexit, weather related disruptions, ATC strikes and staffing related disruptions, delays in the delivery of contracted aircraft, fluctuations in currency exchange rates and interest rates, airport access and charges, labour relations, the economic environment of the airline industry, the general economic environment in Ireland, the UK and Continental Europe, the general willingness of passengers to travel and other economics, social and political factors and unforeseen security events.</w:t>
      </w:r>
    </w:p>
    <w:p w14:paraId="0BDAF2C6" w14:textId="77777777" w:rsidR="00B06D81" w:rsidRPr="003F42A2" w:rsidRDefault="00B06D81" w:rsidP="00B06D81">
      <w:pPr>
        <w:pStyle w:val="NoSpacing"/>
        <w:jc w:val="both"/>
        <w:rPr>
          <w:rFonts w:ascii="Times New Roman" w:hAnsi="Times New Roman"/>
          <w:b/>
          <w:i/>
          <w:sz w:val="16"/>
          <w:szCs w:val="16"/>
        </w:rPr>
      </w:pPr>
    </w:p>
    <w:p w14:paraId="78D6DB1B" w14:textId="77777777" w:rsidR="00FF2ED7" w:rsidRDefault="00FF2ED7" w:rsidP="00CB5813">
      <w:pPr>
        <w:tabs>
          <w:tab w:val="left" w:pos="7433"/>
        </w:tabs>
        <w:autoSpaceDE w:val="0"/>
        <w:autoSpaceDN w:val="0"/>
        <w:adjustRightInd w:val="0"/>
        <w:ind w:left="38"/>
        <w:rPr>
          <w:rFonts w:asciiTheme="minorHAnsi" w:hAnsiTheme="minorHAnsi" w:cstheme="minorHAnsi"/>
          <w:b/>
          <w:bCs/>
          <w:color w:val="000000"/>
        </w:rPr>
      </w:pPr>
    </w:p>
    <w:p w14:paraId="5452FE3C" w14:textId="77777777" w:rsidR="00F575E1" w:rsidRDefault="00F575E1" w:rsidP="00CB5813">
      <w:pPr>
        <w:tabs>
          <w:tab w:val="left" w:pos="7433"/>
        </w:tabs>
        <w:autoSpaceDE w:val="0"/>
        <w:autoSpaceDN w:val="0"/>
        <w:adjustRightInd w:val="0"/>
        <w:ind w:left="38"/>
        <w:rPr>
          <w:rFonts w:asciiTheme="minorHAnsi" w:hAnsiTheme="minorHAnsi" w:cstheme="minorHAnsi"/>
          <w:b/>
          <w:bCs/>
          <w:color w:val="000000"/>
        </w:rPr>
      </w:pPr>
    </w:p>
    <w:p w14:paraId="65A0813C" w14:textId="6DA0C408" w:rsidR="00CB5813" w:rsidRPr="00677316" w:rsidRDefault="00CB5813" w:rsidP="00CB5813">
      <w:pPr>
        <w:tabs>
          <w:tab w:val="left" w:pos="7433"/>
        </w:tabs>
        <w:autoSpaceDE w:val="0"/>
        <w:autoSpaceDN w:val="0"/>
        <w:adjustRightInd w:val="0"/>
        <w:ind w:left="38"/>
        <w:rPr>
          <w:rFonts w:asciiTheme="minorHAnsi" w:hAnsiTheme="minorHAnsi" w:cstheme="minorHAnsi"/>
          <w:b/>
          <w:bCs/>
          <w:i/>
          <w:iCs/>
          <w:color w:val="000000"/>
        </w:rPr>
      </w:pPr>
      <w:r w:rsidRPr="00677316">
        <w:rPr>
          <w:rFonts w:asciiTheme="minorHAnsi" w:hAnsiTheme="minorHAnsi" w:cstheme="minorHAnsi"/>
          <w:b/>
          <w:bCs/>
          <w:color w:val="000000"/>
        </w:rPr>
        <w:t>Ryanair Holdings plc and Subsidiaries</w:t>
      </w:r>
    </w:p>
    <w:p w14:paraId="598AC053" w14:textId="51F796C6" w:rsidR="00CB5813" w:rsidRDefault="009A7633" w:rsidP="00CB5813">
      <w:r w:rsidRPr="00DB22BA">
        <w:rPr>
          <w:rFonts w:ascii="Calibri" w:hAnsi="Calibri" w:cs="Calibri"/>
          <w:b/>
          <w:bCs/>
          <w:i/>
          <w:iCs/>
          <w:color w:val="000000"/>
        </w:rPr>
        <w:t xml:space="preserve">Condensed Consolidated </w:t>
      </w:r>
      <w:r>
        <w:rPr>
          <w:rFonts w:ascii="Calibri" w:hAnsi="Calibri" w:cs="Calibri"/>
          <w:b/>
          <w:bCs/>
          <w:i/>
          <w:iCs/>
          <w:color w:val="000000"/>
        </w:rPr>
        <w:t xml:space="preserve">Interim </w:t>
      </w:r>
      <w:r w:rsidRPr="00DB22BA">
        <w:rPr>
          <w:rFonts w:ascii="Calibri" w:hAnsi="Calibri" w:cs="Calibri"/>
          <w:b/>
          <w:bCs/>
          <w:i/>
          <w:iCs/>
          <w:color w:val="000000"/>
        </w:rPr>
        <w:t xml:space="preserve">Balance Sheet as at </w:t>
      </w:r>
      <w:r w:rsidR="00A215CF">
        <w:rPr>
          <w:rFonts w:ascii="Calibri" w:hAnsi="Calibri" w:cs="Calibri"/>
          <w:b/>
          <w:bCs/>
          <w:i/>
          <w:iCs/>
          <w:color w:val="000000"/>
        </w:rPr>
        <w:t>December 31</w:t>
      </w:r>
      <w:r w:rsidRPr="00DB22BA">
        <w:rPr>
          <w:rFonts w:ascii="Calibri" w:hAnsi="Calibri" w:cs="Calibri"/>
          <w:b/>
          <w:bCs/>
          <w:i/>
          <w:iCs/>
          <w:color w:val="000000"/>
        </w:rPr>
        <w:t>, 201</w:t>
      </w:r>
      <w:r>
        <w:rPr>
          <w:rFonts w:ascii="Calibri" w:hAnsi="Calibri" w:cs="Calibri"/>
          <w:b/>
          <w:bCs/>
          <w:i/>
          <w:iCs/>
          <w:color w:val="000000"/>
        </w:rPr>
        <w:t>9</w:t>
      </w:r>
      <w:r w:rsidRPr="00DB22BA">
        <w:rPr>
          <w:rFonts w:ascii="Calibri" w:hAnsi="Calibri" w:cs="Calibri"/>
          <w:b/>
          <w:bCs/>
          <w:i/>
          <w:iCs/>
          <w:color w:val="000000"/>
        </w:rPr>
        <w:t xml:space="preserve"> (unaudited)</w:t>
      </w:r>
    </w:p>
    <w:tbl>
      <w:tblPr>
        <w:tblpPr w:leftFromText="180" w:rightFromText="180" w:vertAnchor="text" w:tblpY="1"/>
        <w:tblOverlap w:val="never"/>
        <w:tblW w:w="10546" w:type="dxa"/>
        <w:tblLayout w:type="fixed"/>
        <w:tblLook w:val="0000" w:firstRow="0" w:lastRow="0" w:firstColumn="0" w:lastColumn="0" w:noHBand="0" w:noVBand="0"/>
      </w:tblPr>
      <w:tblGrid>
        <w:gridCol w:w="5268"/>
        <w:gridCol w:w="2101"/>
        <w:gridCol w:w="694"/>
        <w:gridCol w:w="1293"/>
        <w:gridCol w:w="1190"/>
      </w:tblGrid>
      <w:tr w:rsidR="001B44AF" w:rsidRPr="00677316" w14:paraId="6787A962" w14:textId="77777777" w:rsidTr="00B5644E">
        <w:trPr>
          <w:trHeight w:val="259"/>
        </w:trPr>
        <w:tc>
          <w:tcPr>
            <w:tcW w:w="3494" w:type="pct"/>
            <w:gridSpan w:val="2"/>
            <w:shd w:val="solid" w:color="FFFFFF" w:fill="auto"/>
          </w:tcPr>
          <w:p w14:paraId="3B010EB6" w14:textId="77777777" w:rsidR="00DE7410" w:rsidRPr="00677316" w:rsidRDefault="00DE7410" w:rsidP="00CD73B1">
            <w:pPr>
              <w:autoSpaceDE w:val="0"/>
              <w:autoSpaceDN w:val="0"/>
              <w:adjustRightInd w:val="0"/>
              <w:ind w:left="38"/>
              <w:rPr>
                <w:rFonts w:asciiTheme="minorHAnsi" w:hAnsiTheme="minorHAnsi" w:cstheme="minorHAnsi"/>
                <w:b/>
                <w:bCs/>
                <w:i/>
                <w:iCs/>
                <w:color w:val="000000"/>
                <w:sz w:val="22"/>
                <w:szCs w:val="22"/>
              </w:rPr>
            </w:pPr>
          </w:p>
        </w:tc>
        <w:tc>
          <w:tcPr>
            <w:tcW w:w="329" w:type="pct"/>
          </w:tcPr>
          <w:p w14:paraId="329E3ECD"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7BDBFA69" w14:textId="1633C22A" w:rsidR="00DE7410" w:rsidRPr="007711AB" w:rsidRDefault="00DE7410" w:rsidP="00CD73B1">
            <w:pPr>
              <w:autoSpaceDE w:val="0"/>
              <w:autoSpaceDN w:val="0"/>
              <w:adjustRightInd w:val="0"/>
              <w:jc w:val="right"/>
              <w:rPr>
                <w:rFonts w:asciiTheme="minorHAnsi" w:hAnsiTheme="minorHAnsi" w:cstheme="minorHAnsi"/>
                <w:b/>
                <w:bCs/>
                <w:color w:val="000000"/>
                <w:sz w:val="22"/>
                <w:szCs w:val="22"/>
              </w:rPr>
            </w:pPr>
            <w:r w:rsidRPr="007711AB">
              <w:rPr>
                <w:rFonts w:asciiTheme="minorHAnsi" w:hAnsiTheme="minorHAnsi" w:cstheme="minorHAnsi"/>
                <w:b/>
                <w:bCs/>
                <w:color w:val="000000"/>
                <w:sz w:val="22"/>
                <w:szCs w:val="22"/>
              </w:rPr>
              <w:t>At</w:t>
            </w:r>
            <w:r w:rsidR="00C95FC7">
              <w:rPr>
                <w:rFonts w:asciiTheme="minorHAnsi" w:hAnsiTheme="minorHAnsi" w:cstheme="minorHAnsi"/>
                <w:b/>
                <w:bCs/>
                <w:color w:val="000000"/>
                <w:sz w:val="22"/>
                <w:szCs w:val="22"/>
              </w:rPr>
              <w:t xml:space="preserve"> </w:t>
            </w:r>
            <w:r w:rsidR="00A215CF">
              <w:rPr>
                <w:rFonts w:asciiTheme="minorHAnsi" w:hAnsiTheme="minorHAnsi" w:cstheme="minorHAnsi"/>
                <w:b/>
                <w:bCs/>
                <w:color w:val="000000"/>
                <w:sz w:val="22"/>
                <w:szCs w:val="22"/>
              </w:rPr>
              <w:t>Dec</w:t>
            </w:r>
            <w:r w:rsidR="00B5644E">
              <w:rPr>
                <w:rFonts w:asciiTheme="minorHAnsi" w:hAnsiTheme="minorHAnsi" w:cstheme="minorHAnsi"/>
                <w:b/>
                <w:bCs/>
                <w:color w:val="000000"/>
                <w:sz w:val="22"/>
                <w:szCs w:val="22"/>
              </w:rPr>
              <w:t xml:space="preserve"> 3</w:t>
            </w:r>
            <w:r w:rsidR="00C95FC7">
              <w:rPr>
                <w:rFonts w:asciiTheme="minorHAnsi" w:hAnsiTheme="minorHAnsi" w:cstheme="minorHAnsi"/>
                <w:b/>
                <w:bCs/>
                <w:color w:val="000000"/>
                <w:sz w:val="22"/>
                <w:szCs w:val="22"/>
              </w:rPr>
              <w:t>1</w:t>
            </w:r>
            <w:r w:rsidRPr="007711AB">
              <w:rPr>
                <w:rFonts w:asciiTheme="minorHAnsi" w:hAnsiTheme="minorHAnsi" w:cstheme="minorHAnsi"/>
                <w:b/>
                <w:bCs/>
                <w:color w:val="000000"/>
                <w:sz w:val="22"/>
                <w:szCs w:val="22"/>
              </w:rPr>
              <w:t>,</w:t>
            </w:r>
          </w:p>
        </w:tc>
        <w:tc>
          <w:tcPr>
            <w:tcW w:w="564" w:type="pct"/>
          </w:tcPr>
          <w:p w14:paraId="41229A56" w14:textId="203C9C51" w:rsidR="00DE7410" w:rsidRPr="00677316" w:rsidRDefault="00DE7410" w:rsidP="00CD73B1">
            <w:pPr>
              <w:autoSpaceDE w:val="0"/>
              <w:autoSpaceDN w:val="0"/>
              <w:adjustRightInd w:val="0"/>
              <w:jc w:val="right"/>
              <w:rPr>
                <w:rFonts w:asciiTheme="minorHAnsi" w:hAnsiTheme="minorHAnsi" w:cstheme="minorHAnsi"/>
                <w:bCs/>
                <w:color w:val="000000"/>
                <w:sz w:val="22"/>
                <w:szCs w:val="22"/>
              </w:rPr>
            </w:pPr>
            <w:r w:rsidRPr="00677316">
              <w:rPr>
                <w:rFonts w:asciiTheme="minorHAnsi" w:hAnsiTheme="minorHAnsi" w:cstheme="minorHAnsi"/>
                <w:bCs/>
                <w:color w:val="000000"/>
                <w:sz w:val="22"/>
                <w:szCs w:val="22"/>
              </w:rPr>
              <w:t xml:space="preserve">At </w:t>
            </w:r>
            <w:r w:rsidR="00A215CF">
              <w:rPr>
                <w:rFonts w:asciiTheme="minorHAnsi" w:hAnsiTheme="minorHAnsi" w:cstheme="minorHAnsi"/>
                <w:bCs/>
                <w:color w:val="000000"/>
                <w:sz w:val="22"/>
                <w:szCs w:val="22"/>
              </w:rPr>
              <w:t>Mar</w:t>
            </w:r>
            <w:r w:rsidR="00FF7990" w:rsidRPr="00677316">
              <w:rPr>
                <w:rFonts w:asciiTheme="minorHAnsi" w:hAnsiTheme="minorHAnsi" w:cstheme="minorHAnsi"/>
                <w:bCs/>
                <w:color w:val="000000"/>
                <w:sz w:val="22"/>
                <w:szCs w:val="22"/>
              </w:rPr>
              <w:t xml:space="preserve"> </w:t>
            </w:r>
            <w:r w:rsidR="00CD687B">
              <w:rPr>
                <w:rFonts w:asciiTheme="minorHAnsi" w:hAnsiTheme="minorHAnsi" w:cstheme="minorHAnsi"/>
                <w:bCs/>
                <w:color w:val="000000"/>
                <w:sz w:val="22"/>
                <w:szCs w:val="22"/>
              </w:rPr>
              <w:t>31</w:t>
            </w:r>
            <w:r w:rsidRPr="00677316">
              <w:rPr>
                <w:rFonts w:asciiTheme="minorHAnsi" w:hAnsiTheme="minorHAnsi" w:cstheme="minorHAnsi"/>
                <w:bCs/>
                <w:color w:val="000000"/>
                <w:sz w:val="22"/>
                <w:szCs w:val="22"/>
              </w:rPr>
              <w:t>,</w:t>
            </w:r>
          </w:p>
        </w:tc>
      </w:tr>
      <w:tr w:rsidR="001B44AF" w:rsidRPr="00677316" w14:paraId="31769A8F" w14:textId="77777777" w:rsidTr="00B5644E">
        <w:trPr>
          <w:trHeight w:val="259"/>
        </w:trPr>
        <w:tc>
          <w:tcPr>
            <w:tcW w:w="3494" w:type="pct"/>
            <w:gridSpan w:val="2"/>
            <w:shd w:val="solid" w:color="FFFFFF" w:fill="auto"/>
          </w:tcPr>
          <w:p w14:paraId="5A7A1421" w14:textId="77777777" w:rsidR="00DE7410" w:rsidRPr="00677316" w:rsidRDefault="00DE7410" w:rsidP="00CD73B1">
            <w:pPr>
              <w:autoSpaceDE w:val="0"/>
              <w:autoSpaceDN w:val="0"/>
              <w:adjustRightInd w:val="0"/>
              <w:ind w:left="38"/>
              <w:rPr>
                <w:rFonts w:asciiTheme="minorHAnsi" w:hAnsiTheme="minorHAnsi" w:cstheme="minorHAnsi"/>
                <w:b/>
                <w:bCs/>
                <w:i/>
                <w:iCs/>
                <w:color w:val="000000"/>
                <w:sz w:val="22"/>
                <w:szCs w:val="22"/>
              </w:rPr>
            </w:pPr>
          </w:p>
        </w:tc>
        <w:tc>
          <w:tcPr>
            <w:tcW w:w="329" w:type="pct"/>
          </w:tcPr>
          <w:p w14:paraId="186315AD"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2C433F9A" w14:textId="77777777" w:rsidR="00DE7410" w:rsidRPr="007711AB" w:rsidRDefault="00CD687B" w:rsidP="00CD73B1">
            <w:pPr>
              <w:autoSpaceDE w:val="0"/>
              <w:autoSpaceDN w:val="0"/>
              <w:adjustRightInd w:val="0"/>
              <w:jc w:val="right"/>
              <w:rPr>
                <w:rFonts w:asciiTheme="minorHAnsi" w:hAnsiTheme="minorHAnsi" w:cstheme="minorHAnsi"/>
                <w:b/>
                <w:bCs/>
                <w:color w:val="000000"/>
                <w:sz w:val="22"/>
                <w:szCs w:val="22"/>
              </w:rPr>
            </w:pPr>
            <w:r w:rsidRPr="007711AB">
              <w:rPr>
                <w:rFonts w:asciiTheme="minorHAnsi" w:hAnsiTheme="minorHAnsi" w:cstheme="minorHAnsi"/>
                <w:b/>
                <w:bCs/>
                <w:color w:val="000000"/>
                <w:sz w:val="22"/>
                <w:szCs w:val="22"/>
              </w:rPr>
              <w:t>201</w:t>
            </w:r>
            <w:r w:rsidR="00A077F4">
              <w:rPr>
                <w:rFonts w:asciiTheme="minorHAnsi" w:hAnsiTheme="minorHAnsi" w:cstheme="minorHAnsi"/>
                <w:b/>
                <w:bCs/>
                <w:color w:val="000000"/>
                <w:sz w:val="22"/>
                <w:szCs w:val="22"/>
              </w:rPr>
              <w:t>9</w:t>
            </w:r>
          </w:p>
        </w:tc>
        <w:tc>
          <w:tcPr>
            <w:tcW w:w="564" w:type="pct"/>
            <w:shd w:val="solid" w:color="FFFFFF" w:fill="auto"/>
          </w:tcPr>
          <w:p w14:paraId="2AEBC1CD" w14:textId="77777777" w:rsidR="00DE7410" w:rsidRPr="00677316" w:rsidRDefault="007127E2"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2019</w:t>
            </w:r>
          </w:p>
        </w:tc>
      </w:tr>
      <w:tr w:rsidR="001B44AF" w:rsidRPr="00677316" w14:paraId="72B49CFB" w14:textId="77777777" w:rsidTr="00B5644E">
        <w:trPr>
          <w:trHeight w:val="211"/>
        </w:trPr>
        <w:tc>
          <w:tcPr>
            <w:tcW w:w="3494" w:type="pct"/>
            <w:gridSpan w:val="2"/>
          </w:tcPr>
          <w:p w14:paraId="2E14258F" w14:textId="77777777" w:rsidR="00DE7410" w:rsidRPr="00677316" w:rsidRDefault="00DE7410" w:rsidP="00CD73B1">
            <w:pPr>
              <w:autoSpaceDE w:val="0"/>
              <w:autoSpaceDN w:val="0"/>
              <w:adjustRightInd w:val="0"/>
              <w:ind w:left="38"/>
              <w:rPr>
                <w:rFonts w:asciiTheme="minorHAnsi" w:hAnsiTheme="minorHAnsi" w:cstheme="minorHAnsi"/>
                <w:b/>
                <w:color w:val="000000"/>
                <w:sz w:val="22"/>
                <w:szCs w:val="22"/>
              </w:rPr>
            </w:pPr>
          </w:p>
        </w:tc>
        <w:tc>
          <w:tcPr>
            <w:tcW w:w="329" w:type="pct"/>
          </w:tcPr>
          <w:p w14:paraId="55F1AEF9"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Note</w:t>
            </w:r>
          </w:p>
        </w:tc>
        <w:tc>
          <w:tcPr>
            <w:tcW w:w="613" w:type="pct"/>
            <w:shd w:val="clear" w:color="auto" w:fill="auto"/>
          </w:tcPr>
          <w:p w14:paraId="33D25FFF" w14:textId="77777777" w:rsidR="00DE7410" w:rsidRPr="007711AB" w:rsidRDefault="00DE7410" w:rsidP="00CD73B1">
            <w:pPr>
              <w:autoSpaceDE w:val="0"/>
              <w:autoSpaceDN w:val="0"/>
              <w:adjustRightInd w:val="0"/>
              <w:jc w:val="right"/>
              <w:rPr>
                <w:rFonts w:asciiTheme="minorHAnsi" w:hAnsiTheme="minorHAnsi" w:cstheme="minorHAnsi"/>
                <w:b/>
                <w:bCs/>
                <w:color w:val="000000"/>
                <w:sz w:val="22"/>
                <w:szCs w:val="22"/>
                <w:u w:val="single"/>
              </w:rPr>
            </w:pPr>
            <w:r w:rsidRPr="007711AB">
              <w:rPr>
                <w:rFonts w:asciiTheme="minorHAnsi" w:hAnsiTheme="minorHAnsi" w:cstheme="minorHAnsi"/>
                <w:b/>
                <w:bCs/>
                <w:color w:val="000000"/>
                <w:sz w:val="22"/>
                <w:szCs w:val="22"/>
                <w:u w:val="single"/>
              </w:rPr>
              <w:t>€</w:t>
            </w:r>
            <w:r w:rsidR="00FE7CA2" w:rsidRPr="007711AB">
              <w:rPr>
                <w:rFonts w:asciiTheme="minorHAnsi" w:hAnsiTheme="minorHAnsi" w:cstheme="minorHAnsi"/>
                <w:b/>
                <w:bCs/>
                <w:color w:val="000000"/>
                <w:sz w:val="22"/>
                <w:szCs w:val="22"/>
                <w:u w:val="single"/>
              </w:rPr>
              <w:t>M</w:t>
            </w:r>
          </w:p>
        </w:tc>
        <w:tc>
          <w:tcPr>
            <w:tcW w:w="564" w:type="pct"/>
            <w:shd w:val="solid" w:color="FFFFFF" w:fill="auto"/>
          </w:tcPr>
          <w:p w14:paraId="28B995CD" w14:textId="77777777" w:rsidR="00DE7410" w:rsidRPr="00677316" w:rsidRDefault="00DE7410" w:rsidP="00CD73B1">
            <w:pPr>
              <w:autoSpaceDE w:val="0"/>
              <w:autoSpaceDN w:val="0"/>
              <w:adjustRightInd w:val="0"/>
              <w:jc w:val="right"/>
              <w:rPr>
                <w:rFonts w:asciiTheme="minorHAnsi" w:hAnsiTheme="minorHAnsi" w:cstheme="minorHAnsi"/>
                <w:color w:val="000000"/>
                <w:sz w:val="22"/>
                <w:szCs w:val="22"/>
                <w:u w:val="single"/>
              </w:rPr>
            </w:pPr>
            <w:r w:rsidRPr="00677316">
              <w:rPr>
                <w:rFonts w:asciiTheme="minorHAnsi" w:hAnsiTheme="minorHAnsi" w:cstheme="minorHAnsi"/>
                <w:color w:val="000000"/>
                <w:sz w:val="22"/>
                <w:szCs w:val="22"/>
                <w:u w:val="single"/>
              </w:rPr>
              <w:t>€</w:t>
            </w:r>
            <w:r w:rsidR="00FE7CA2">
              <w:rPr>
                <w:rFonts w:asciiTheme="minorHAnsi" w:hAnsiTheme="minorHAnsi" w:cstheme="minorHAnsi"/>
                <w:color w:val="000000"/>
                <w:sz w:val="22"/>
                <w:szCs w:val="22"/>
                <w:u w:val="single"/>
              </w:rPr>
              <w:t>M</w:t>
            </w:r>
          </w:p>
        </w:tc>
      </w:tr>
      <w:tr w:rsidR="001B44AF" w:rsidRPr="00677316" w14:paraId="2BAAD406" w14:textId="77777777" w:rsidTr="00B5644E">
        <w:trPr>
          <w:trHeight w:val="80"/>
        </w:trPr>
        <w:tc>
          <w:tcPr>
            <w:tcW w:w="3494" w:type="pct"/>
            <w:gridSpan w:val="2"/>
          </w:tcPr>
          <w:p w14:paraId="15F73C47" w14:textId="77777777" w:rsidR="00DE7410" w:rsidRPr="00677316" w:rsidRDefault="00DE7410" w:rsidP="00CD73B1">
            <w:pPr>
              <w:autoSpaceDE w:val="0"/>
              <w:autoSpaceDN w:val="0"/>
              <w:adjustRightInd w:val="0"/>
              <w:ind w:left="38"/>
              <w:rPr>
                <w:rFonts w:asciiTheme="minorHAnsi" w:hAnsiTheme="minorHAnsi" w:cstheme="minorHAnsi"/>
                <w:b/>
                <w:color w:val="000000"/>
                <w:sz w:val="22"/>
                <w:szCs w:val="22"/>
              </w:rPr>
            </w:pPr>
            <w:r w:rsidRPr="00677316">
              <w:rPr>
                <w:rFonts w:asciiTheme="minorHAnsi" w:hAnsiTheme="minorHAnsi" w:cstheme="minorHAnsi"/>
                <w:b/>
                <w:color w:val="000000"/>
                <w:sz w:val="22"/>
                <w:szCs w:val="22"/>
              </w:rPr>
              <w:t>Non-current assets</w:t>
            </w:r>
          </w:p>
        </w:tc>
        <w:tc>
          <w:tcPr>
            <w:tcW w:w="329" w:type="pct"/>
          </w:tcPr>
          <w:p w14:paraId="48D02345"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u w:val="single"/>
              </w:rPr>
            </w:pPr>
          </w:p>
        </w:tc>
        <w:tc>
          <w:tcPr>
            <w:tcW w:w="613" w:type="pct"/>
            <w:shd w:val="clear" w:color="auto" w:fill="auto"/>
          </w:tcPr>
          <w:p w14:paraId="73E5DFBC" w14:textId="77777777" w:rsidR="00DE7410" w:rsidRPr="007711AB" w:rsidRDefault="00DE7410" w:rsidP="00CD73B1">
            <w:pPr>
              <w:autoSpaceDE w:val="0"/>
              <w:autoSpaceDN w:val="0"/>
              <w:adjustRightInd w:val="0"/>
              <w:jc w:val="right"/>
              <w:rPr>
                <w:rFonts w:asciiTheme="minorHAnsi" w:hAnsiTheme="minorHAnsi" w:cstheme="minorHAnsi"/>
                <w:b/>
                <w:bCs/>
                <w:color w:val="000000"/>
                <w:sz w:val="22"/>
                <w:szCs w:val="22"/>
                <w:u w:val="single"/>
              </w:rPr>
            </w:pPr>
          </w:p>
        </w:tc>
        <w:tc>
          <w:tcPr>
            <w:tcW w:w="564" w:type="pct"/>
            <w:shd w:val="solid" w:color="FFFFFF" w:fill="auto"/>
          </w:tcPr>
          <w:p w14:paraId="54C52F0C" w14:textId="77777777" w:rsidR="00DE7410" w:rsidRPr="00677316" w:rsidRDefault="00DE7410" w:rsidP="00CD73B1">
            <w:pPr>
              <w:autoSpaceDE w:val="0"/>
              <w:autoSpaceDN w:val="0"/>
              <w:adjustRightInd w:val="0"/>
              <w:jc w:val="right"/>
              <w:rPr>
                <w:rFonts w:asciiTheme="minorHAnsi" w:hAnsiTheme="minorHAnsi" w:cstheme="minorHAnsi"/>
                <w:color w:val="000000"/>
                <w:sz w:val="22"/>
                <w:szCs w:val="22"/>
                <w:u w:val="single"/>
              </w:rPr>
            </w:pPr>
          </w:p>
        </w:tc>
      </w:tr>
      <w:tr w:rsidR="001B44AF" w:rsidRPr="00677316" w14:paraId="3D166DBA" w14:textId="77777777" w:rsidTr="00B5644E">
        <w:trPr>
          <w:trHeight w:val="211"/>
        </w:trPr>
        <w:tc>
          <w:tcPr>
            <w:tcW w:w="3494" w:type="pct"/>
            <w:gridSpan w:val="2"/>
            <w:shd w:val="solid" w:color="FFFFFF" w:fill="auto"/>
          </w:tcPr>
          <w:p w14:paraId="5394BCE6"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Property, plant and equipment</w:t>
            </w:r>
          </w:p>
        </w:tc>
        <w:tc>
          <w:tcPr>
            <w:tcW w:w="329" w:type="pct"/>
          </w:tcPr>
          <w:p w14:paraId="0C1FB1C7" w14:textId="77777777" w:rsidR="00DE7410" w:rsidRPr="00677316" w:rsidRDefault="000622BA"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10</w:t>
            </w:r>
          </w:p>
        </w:tc>
        <w:tc>
          <w:tcPr>
            <w:tcW w:w="613" w:type="pct"/>
            <w:shd w:val="clear" w:color="auto" w:fill="auto"/>
          </w:tcPr>
          <w:p w14:paraId="36F3DA30" w14:textId="55A59305" w:rsidR="00DE7410" w:rsidRPr="007711AB" w:rsidRDefault="00A077F4"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r w:rsidR="008E3644">
              <w:rPr>
                <w:rFonts w:asciiTheme="minorHAnsi" w:hAnsiTheme="minorHAnsi" w:cstheme="minorHAnsi"/>
                <w:b/>
                <w:bCs/>
                <w:color w:val="000000"/>
                <w:sz w:val="22"/>
                <w:szCs w:val="22"/>
              </w:rPr>
              <w:t>,</w:t>
            </w:r>
            <w:r w:rsidR="00A215CF">
              <w:rPr>
                <w:rFonts w:asciiTheme="minorHAnsi" w:hAnsiTheme="minorHAnsi" w:cstheme="minorHAnsi"/>
                <w:b/>
                <w:bCs/>
                <w:color w:val="000000"/>
                <w:sz w:val="22"/>
                <w:szCs w:val="22"/>
              </w:rPr>
              <w:t>777.3</w:t>
            </w:r>
          </w:p>
        </w:tc>
        <w:tc>
          <w:tcPr>
            <w:tcW w:w="564" w:type="pct"/>
            <w:shd w:val="solid" w:color="FFFFFF" w:fill="auto"/>
          </w:tcPr>
          <w:p w14:paraId="4406346F" w14:textId="77777777" w:rsidR="00DE7410" w:rsidRPr="00677316" w:rsidRDefault="007127E2"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9,029.6</w:t>
            </w:r>
          </w:p>
        </w:tc>
      </w:tr>
      <w:tr w:rsidR="007127E2" w:rsidRPr="00677316" w14:paraId="108B21F5" w14:textId="77777777" w:rsidTr="00B5644E">
        <w:trPr>
          <w:trHeight w:val="211"/>
        </w:trPr>
        <w:tc>
          <w:tcPr>
            <w:tcW w:w="3494" w:type="pct"/>
            <w:gridSpan w:val="2"/>
            <w:shd w:val="solid" w:color="FFFFFF" w:fill="auto"/>
          </w:tcPr>
          <w:p w14:paraId="207C4586" w14:textId="77777777" w:rsidR="007127E2" w:rsidRPr="00677316" w:rsidRDefault="007127E2" w:rsidP="00CD73B1">
            <w:pPr>
              <w:autoSpaceDE w:val="0"/>
              <w:autoSpaceDN w:val="0"/>
              <w:adjustRightInd w:val="0"/>
              <w:ind w:left="38"/>
              <w:rPr>
                <w:rFonts w:asciiTheme="minorHAnsi" w:hAnsiTheme="minorHAnsi" w:cstheme="minorHAnsi"/>
                <w:color w:val="000000"/>
                <w:sz w:val="22"/>
                <w:szCs w:val="22"/>
              </w:rPr>
            </w:pPr>
            <w:r>
              <w:rPr>
                <w:rFonts w:asciiTheme="minorHAnsi" w:hAnsiTheme="minorHAnsi" w:cstheme="minorHAnsi"/>
                <w:color w:val="000000"/>
                <w:sz w:val="22"/>
                <w:szCs w:val="22"/>
              </w:rPr>
              <w:t>Right-of-use-asset</w:t>
            </w:r>
          </w:p>
        </w:tc>
        <w:tc>
          <w:tcPr>
            <w:tcW w:w="329" w:type="pct"/>
          </w:tcPr>
          <w:p w14:paraId="5A83EE0F" w14:textId="77777777" w:rsidR="007127E2" w:rsidRDefault="007B7A52"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p>
        </w:tc>
        <w:tc>
          <w:tcPr>
            <w:tcW w:w="613" w:type="pct"/>
            <w:shd w:val="clear" w:color="auto" w:fill="auto"/>
          </w:tcPr>
          <w:p w14:paraId="1250A120" w14:textId="04F655A9" w:rsidR="007127E2" w:rsidRDefault="009A7633"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w:t>
            </w:r>
            <w:r w:rsidR="00A215CF">
              <w:rPr>
                <w:rFonts w:asciiTheme="minorHAnsi" w:hAnsiTheme="minorHAnsi" w:cstheme="minorHAnsi"/>
                <w:b/>
                <w:bCs/>
                <w:color w:val="000000"/>
                <w:sz w:val="22"/>
                <w:szCs w:val="22"/>
              </w:rPr>
              <w:t>24.4</w:t>
            </w:r>
          </w:p>
        </w:tc>
        <w:tc>
          <w:tcPr>
            <w:tcW w:w="564" w:type="pct"/>
            <w:shd w:val="solid" w:color="FFFFFF" w:fill="auto"/>
          </w:tcPr>
          <w:p w14:paraId="3A41FCC7" w14:textId="77777777" w:rsidR="007127E2" w:rsidRDefault="007127E2"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B44AF" w:rsidRPr="00677316" w14:paraId="7E56883F" w14:textId="77777777" w:rsidTr="00B5644E">
        <w:trPr>
          <w:trHeight w:val="211"/>
        </w:trPr>
        <w:tc>
          <w:tcPr>
            <w:tcW w:w="3494" w:type="pct"/>
            <w:gridSpan w:val="2"/>
            <w:shd w:val="solid" w:color="FFFFFF" w:fill="auto"/>
          </w:tcPr>
          <w:p w14:paraId="44A2684E" w14:textId="77777777" w:rsidR="008E3644" w:rsidRPr="00677316" w:rsidRDefault="00DE7410" w:rsidP="008F003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 xml:space="preserve">Intangible assets </w:t>
            </w:r>
          </w:p>
        </w:tc>
        <w:tc>
          <w:tcPr>
            <w:tcW w:w="329" w:type="pct"/>
          </w:tcPr>
          <w:p w14:paraId="258849EF" w14:textId="5BE59F44" w:rsidR="008E3644" w:rsidRPr="00677316" w:rsidRDefault="008E3644" w:rsidP="00204448">
            <w:pPr>
              <w:autoSpaceDE w:val="0"/>
              <w:autoSpaceDN w:val="0"/>
              <w:adjustRightInd w:val="0"/>
              <w:jc w:val="center"/>
              <w:rPr>
                <w:rFonts w:asciiTheme="minorHAnsi" w:hAnsiTheme="minorHAnsi" w:cstheme="minorHAnsi"/>
                <w:b/>
                <w:bCs/>
                <w:color w:val="000000"/>
                <w:sz w:val="22"/>
                <w:szCs w:val="22"/>
              </w:rPr>
            </w:pPr>
          </w:p>
        </w:tc>
        <w:tc>
          <w:tcPr>
            <w:tcW w:w="613" w:type="pct"/>
            <w:shd w:val="clear" w:color="auto" w:fill="auto"/>
          </w:tcPr>
          <w:p w14:paraId="7889283E" w14:textId="4BB5948B" w:rsidR="008E3644" w:rsidRPr="007711AB" w:rsidRDefault="008F0032" w:rsidP="008F003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E8594C" w:rsidRPr="007711AB">
              <w:rPr>
                <w:rFonts w:asciiTheme="minorHAnsi" w:hAnsiTheme="minorHAnsi" w:cstheme="minorHAnsi"/>
                <w:b/>
                <w:bCs/>
                <w:color w:val="000000"/>
                <w:sz w:val="22"/>
                <w:szCs w:val="22"/>
              </w:rPr>
              <w:t>46.</w:t>
            </w:r>
            <w:r w:rsidR="00A215CF">
              <w:rPr>
                <w:rFonts w:asciiTheme="minorHAnsi" w:hAnsiTheme="minorHAnsi" w:cstheme="minorHAnsi"/>
                <w:b/>
                <w:bCs/>
                <w:color w:val="000000"/>
                <w:sz w:val="22"/>
                <w:szCs w:val="22"/>
              </w:rPr>
              <w:t>4</w:t>
            </w:r>
          </w:p>
        </w:tc>
        <w:tc>
          <w:tcPr>
            <w:tcW w:w="564" w:type="pct"/>
            <w:shd w:val="solid" w:color="FFFFFF" w:fill="auto"/>
          </w:tcPr>
          <w:p w14:paraId="40D9CB3C" w14:textId="77777777" w:rsidR="008E3644" w:rsidRPr="00677316" w:rsidRDefault="007127E2" w:rsidP="008F0032">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146.4</w:t>
            </w:r>
          </w:p>
        </w:tc>
      </w:tr>
      <w:tr w:rsidR="00B75A6A" w:rsidRPr="00677316" w14:paraId="69D59046" w14:textId="77777777" w:rsidTr="00B5644E">
        <w:trPr>
          <w:trHeight w:val="211"/>
        </w:trPr>
        <w:tc>
          <w:tcPr>
            <w:tcW w:w="3494" w:type="pct"/>
            <w:gridSpan w:val="2"/>
            <w:shd w:val="solid" w:color="FFFFFF" w:fill="auto"/>
          </w:tcPr>
          <w:p w14:paraId="58B5D5B7" w14:textId="77777777" w:rsidR="00B75A6A" w:rsidRPr="00677316" w:rsidRDefault="00B75A6A" w:rsidP="008F0032">
            <w:pPr>
              <w:autoSpaceDE w:val="0"/>
              <w:autoSpaceDN w:val="0"/>
              <w:adjustRightInd w:val="0"/>
              <w:ind w:left="38"/>
              <w:rPr>
                <w:rFonts w:asciiTheme="minorHAnsi" w:hAnsiTheme="minorHAnsi" w:cstheme="minorHAnsi"/>
                <w:color w:val="000000"/>
                <w:sz w:val="22"/>
                <w:szCs w:val="22"/>
              </w:rPr>
            </w:pPr>
            <w:r>
              <w:rPr>
                <w:rFonts w:asciiTheme="minorHAnsi" w:hAnsiTheme="minorHAnsi" w:cstheme="minorHAnsi"/>
                <w:color w:val="000000"/>
                <w:sz w:val="22"/>
                <w:szCs w:val="22"/>
              </w:rPr>
              <w:t>Derivative financial instruments</w:t>
            </w:r>
          </w:p>
        </w:tc>
        <w:tc>
          <w:tcPr>
            <w:tcW w:w="329" w:type="pct"/>
          </w:tcPr>
          <w:p w14:paraId="52D4BEFF" w14:textId="2D10F4C2" w:rsidR="00B75A6A" w:rsidRDefault="009A7633" w:rsidP="008F003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w:t>
            </w:r>
          </w:p>
        </w:tc>
        <w:tc>
          <w:tcPr>
            <w:tcW w:w="613" w:type="pct"/>
            <w:shd w:val="clear" w:color="auto" w:fill="auto"/>
          </w:tcPr>
          <w:p w14:paraId="46B01D98" w14:textId="41B7F961" w:rsidR="00B75A6A" w:rsidRDefault="00A215CF" w:rsidP="008F003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255.8</w:t>
            </w:r>
          </w:p>
        </w:tc>
        <w:tc>
          <w:tcPr>
            <w:tcW w:w="564" w:type="pct"/>
            <w:shd w:val="solid" w:color="FFFFFF" w:fill="auto"/>
          </w:tcPr>
          <w:p w14:paraId="6D6C2BB4" w14:textId="77777777" w:rsidR="00B75A6A" w:rsidRDefault="007127E2" w:rsidP="008F0032">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227.5</w:t>
            </w:r>
          </w:p>
        </w:tc>
      </w:tr>
      <w:tr w:rsidR="000622BA" w:rsidRPr="00677316" w14:paraId="1F22D71C" w14:textId="77777777" w:rsidTr="00B5644E">
        <w:trPr>
          <w:trHeight w:val="223"/>
        </w:trPr>
        <w:tc>
          <w:tcPr>
            <w:tcW w:w="3494" w:type="pct"/>
            <w:gridSpan w:val="2"/>
            <w:shd w:val="solid" w:color="FFFFFF" w:fill="auto"/>
          </w:tcPr>
          <w:p w14:paraId="410CBF3F" w14:textId="77777777" w:rsidR="000622BA" w:rsidRPr="00677316" w:rsidRDefault="000622BA" w:rsidP="00CD73B1">
            <w:pPr>
              <w:autoSpaceDE w:val="0"/>
              <w:autoSpaceDN w:val="0"/>
              <w:adjustRightInd w:val="0"/>
              <w:ind w:left="38"/>
              <w:rPr>
                <w:rFonts w:asciiTheme="minorHAnsi" w:hAnsiTheme="minorHAnsi" w:cstheme="minorHAnsi"/>
                <w:bCs/>
                <w:color w:val="000000"/>
                <w:sz w:val="22"/>
                <w:szCs w:val="22"/>
              </w:rPr>
            </w:pPr>
            <w:r w:rsidRPr="00677316">
              <w:rPr>
                <w:rFonts w:asciiTheme="minorHAnsi" w:hAnsiTheme="minorHAnsi" w:cstheme="minorHAnsi"/>
                <w:bCs/>
                <w:color w:val="000000"/>
                <w:sz w:val="22"/>
                <w:szCs w:val="22"/>
              </w:rPr>
              <w:t>De</w:t>
            </w:r>
            <w:r w:rsidR="00B75A6A">
              <w:rPr>
                <w:rFonts w:asciiTheme="minorHAnsi" w:hAnsiTheme="minorHAnsi" w:cstheme="minorHAnsi"/>
                <w:bCs/>
                <w:color w:val="000000"/>
                <w:sz w:val="22"/>
                <w:szCs w:val="22"/>
              </w:rPr>
              <w:t>ferred tax</w:t>
            </w:r>
          </w:p>
        </w:tc>
        <w:tc>
          <w:tcPr>
            <w:tcW w:w="329" w:type="pct"/>
          </w:tcPr>
          <w:p w14:paraId="2111AA5B" w14:textId="7E8A8346" w:rsidR="000622BA" w:rsidRPr="00677316" w:rsidRDefault="009A7633"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p>
        </w:tc>
        <w:tc>
          <w:tcPr>
            <w:tcW w:w="613" w:type="pct"/>
            <w:tcBorders>
              <w:bottom w:val="single" w:sz="4" w:space="0" w:color="auto"/>
            </w:tcBorders>
            <w:shd w:val="clear" w:color="auto" w:fill="auto"/>
          </w:tcPr>
          <w:p w14:paraId="3DC13010" w14:textId="72E2A4D3" w:rsidR="000622BA" w:rsidRPr="007711AB"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88.</w:t>
            </w:r>
            <w:r w:rsidR="005E443C">
              <w:rPr>
                <w:rFonts w:asciiTheme="minorHAnsi" w:hAnsiTheme="minorHAnsi" w:cstheme="minorHAnsi"/>
                <w:b/>
                <w:bCs/>
                <w:color w:val="000000"/>
                <w:sz w:val="22"/>
                <w:szCs w:val="22"/>
              </w:rPr>
              <w:t>7</w:t>
            </w:r>
          </w:p>
        </w:tc>
        <w:tc>
          <w:tcPr>
            <w:tcW w:w="564" w:type="pct"/>
            <w:tcBorders>
              <w:bottom w:val="single" w:sz="4" w:space="0" w:color="auto"/>
            </w:tcBorders>
            <w:shd w:val="solid" w:color="FFFFFF" w:fill="auto"/>
          </w:tcPr>
          <w:p w14:paraId="375DA8D5" w14:textId="77777777" w:rsidR="000622BA" w:rsidRPr="00677316" w:rsidRDefault="007127E2"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43.2</w:t>
            </w:r>
          </w:p>
        </w:tc>
      </w:tr>
      <w:tr w:rsidR="000622BA" w:rsidRPr="00677316" w14:paraId="48139180" w14:textId="77777777" w:rsidTr="00B5644E">
        <w:trPr>
          <w:trHeight w:val="223"/>
        </w:trPr>
        <w:tc>
          <w:tcPr>
            <w:tcW w:w="3494" w:type="pct"/>
            <w:gridSpan w:val="2"/>
            <w:shd w:val="solid" w:color="FFFFFF" w:fill="auto"/>
          </w:tcPr>
          <w:p w14:paraId="16A31DF3" w14:textId="77777777" w:rsidR="000622BA" w:rsidRPr="00677316" w:rsidRDefault="000622BA" w:rsidP="00CD73B1">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Total non-current assets</w:t>
            </w:r>
          </w:p>
        </w:tc>
        <w:tc>
          <w:tcPr>
            <w:tcW w:w="329" w:type="pct"/>
          </w:tcPr>
          <w:p w14:paraId="0AC09F6A" w14:textId="77777777" w:rsidR="000622BA" w:rsidRPr="00677316" w:rsidRDefault="000622BA"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bottom w:val="single" w:sz="4" w:space="0" w:color="auto"/>
            </w:tcBorders>
            <w:shd w:val="clear" w:color="auto" w:fill="auto"/>
          </w:tcPr>
          <w:p w14:paraId="1AB05876" w14:textId="04A9DC25" w:rsidR="000622BA" w:rsidRPr="007711AB"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10,492.6</w:t>
            </w:r>
          </w:p>
        </w:tc>
        <w:tc>
          <w:tcPr>
            <w:tcW w:w="564" w:type="pct"/>
            <w:tcBorders>
              <w:top w:val="single" w:sz="4" w:space="0" w:color="auto"/>
              <w:bottom w:val="single" w:sz="4" w:space="0" w:color="auto"/>
            </w:tcBorders>
            <w:shd w:val="solid" w:color="FFFFFF" w:fill="auto"/>
          </w:tcPr>
          <w:p w14:paraId="7A3E6E1F" w14:textId="77777777" w:rsidR="000622BA" w:rsidRPr="00677316" w:rsidRDefault="007127E2"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9,446.7</w:t>
            </w:r>
          </w:p>
        </w:tc>
      </w:tr>
      <w:tr w:rsidR="00C6668E" w:rsidRPr="00677316" w14:paraId="4A2EE1E6" w14:textId="77777777" w:rsidTr="00B5644E">
        <w:trPr>
          <w:trHeight w:val="211"/>
        </w:trPr>
        <w:tc>
          <w:tcPr>
            <w:tcW w:w="2498" w:type="pct"/>
            <w:shd w:val="solid" w:color="FFFFFF" w:fill="auto"/>
          </w:tcPr>
          <w:p w14:paraId="31C1A741" w14:textId="77777777" w:rsidR="00DE7410" w:rsidRPr="00677316" w:rsidRDefault="00DE7410" w:rsidP="00CD73B1">
            <w:pPr>
              <w:autoSpaceDE w:val="0"/>
              <w:autoSpaceDN w:val="0"/>
              <w:adjustRightInd w:val="0"/>
              <w:ind w:left="38"/>
              <w:jc w:val="right"/>
              <w:rPr>
                <w:rFonts w:asciiTheme="minorHAnsi" w:hAnsiTheme="minorHAnsi" w:cstheme="minorHAnsi"/>
                <w:b/>
                <w:bCs/>
                <w:color w:val="000000"/>
                <w:sz w:val="22"/>
                <w:szCs w:val="22"/>
              </w:rPr>
            </w:pPr>
          </w:p>
        </w:tc>
        <w:tc>
          <w:tcPr>
            <w:tcW w:w="996" w:type="pct"/>
            <w:shd w:val="solid" w:color="FFFFFF" w:fill="auto"/>
          </w:tcPr>
          <w:p w14:paraId="6D3A3497" w14:textId="77777777" w:rsidR="00DE7410" w:rsidRPr="00677316" w:rsidRDefault="00DE7410" w:rsidP="00CD73B1">
            <w:pPr>
              <w:autoSpaceDE w:val="0"/>
              <w:autoSpaceDN w:val="0"/>
              <w:adjustRightInd w:val="0"/>
              <w:ind w:left="38"/>
              <w:jc w:val="right"/>
              <w:rPr>
                <w:rFonts w:asciiTheme="minorHAnsi" w:hAnsiTheme="minorHAnsi" w:cstheme="minorHAnsi"/>
                <w:color w:val="000000"/>
                <w:sz w:val="22"/>
                <w:szCs w:val="22"/>
              </w:rPr>
            </w:pPr>
          </w:p>
        </w:tc>
        <w:tc>
          <w:tcPr>
            <w:tcW w:w="329" w:type="pct"/>
          </w:tcPr>
          <w:p w14:paraId="6D0065BC"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tcBorders>
            <w:shd w:val="clear" w:color="auto" w:fill="auto"/>
          </w:tcPr>
          <w:p w14:paraId="434BD841"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564" w:type="pct"/>
            <w:tcBorders>
              <w:top w:val="single" w:sz="4" w:space="0" w:color="auto"/>
            </w:tcBorders>
            <w:shd w:val="solid" w:color="FFFFFF" w:fill="auto"/>
          </w:tcPr>
          <w:p w14:paraId="4FB4124D" w14:textId="77777777" w:rsidR="00DE7410" w:rsidRPr="00677316" w:rsidRDefault="00DE7410" w:rsidP="00CD73B1">
            <w:pPr>
              <w:autoSpaceDE w:val="0"/>
              <w:autoSpaceDN w:val="0"/>
              <w:adjustRightInd w:val="0"/>
              <w:jc w:val="right"/>
              <w:rPr>
                <w:rFonts w:asciiTheme="minorHAnsi" w:hAnsiTheme="minorHAnsi" w:cstheme="minorHAnsi"/>
                <w:color w:val="000000"/>
                <w:sz w:val="22"/>
                <w:szCs w:val="22"/>
              </w:rPr>
            </w:pPr>
          </w:p>
        </w:tc>
      </w:tr>
      <w:tr w:rsidR="001B44AF" w:rsidRPr="00677316" w14:paraId="7D4F5071" w14:textId="77777777" w:rsidTr="00B5644E">
        <w:trPr>
          <w:trHeight w:val="211"/>
        </w:trPr>
        <w:tc>
          <w:tcPr>
            <w:tcW w:w="3494" w:type="pct"/>
            <w:gridSpan w:val="2"/>
            <w:shd w:val="solid" w:color="FFFFFF" w:fill="auto"/>
          </w:tcPr>
          <w:p w14:paraId="039D0ACD" w14:textId="77777777" w:rsidR="00DE7410" w:rsidRPr="00677316" w:rsidRDefault="00DE7410" w:rsidP="00CD73B1">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Current assets</w:t>
            </w:r>
          </w:p>
        </w:tc>
        <w:tc>
          <w:tcPr>
            <w:tcW w:w="329" w:type="pct"/>
          </w:tcPr>
          <w:p w14:paraId="3AB41092"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28EC906D" w14:textId="77777777" w:rsidR="00DE7410" w:rsidRPr="00DF0D83" w:rsidRDefault="00DE7410" w:rsidP="00CD73B1">
            <w:pPr>
              <w:autoSpaceDE w:val="0"/>
              <w:autoSpaceDN w:val="0"/>
              <w:adjustRightInd w:val="0"/>
              <w:jc w:val="right"/>
              <w:rPr>
                <w:rFonts w:asciiTheme="minorHAnsi" w:hAnsiTheme="minorHAnsi" w:cstheme="minorHAnsi"/>
                <w:b/>
                <w:bCs/>
                <w:color w:val="000000"/>
                <w:sz w:val="22"/>
                <w:szCs w:val="22"/>
              </w:rPr>
            </w:pPr>
          </w:p>
        </w:tc>
        <w:tc>
          <w:tcPr>
            <w:tcW w:w="564" w:type="pct"/>
            <w:shd w:val="solid" w:color="FFFFFF" w:fill="auto"/>
          </w:tcPr>
          <w:p w14:paraId="166D61D8" w14:textId="77777777" w:rsidR="00DE7410" w:rsidRPr="00677316" w:rsidRDefault="00DE7410" w:rsidP="00CD73B1">
            <w:pPr>
              <w:autoSpaceDE w:val="0"/>
              <w:autoSpaceDN w:val="0"/>
              <w:adjustRightInd w:val="0"/>
              <w:jc w:val="right"/>
              <w:rPr>
                <w:rFonts w:asciiTheme="minorHAnsi" w:hAnsiTheme="minorHAnsi" w:cstheme="minorHAnsi"/>
                <w:color w:val="000000"/>
                <w:sz w:val="22"/>
                <w:szCs w:val="22"/>
              </w:rPr>
            </w:pPr>
          </w:p>
        </w:tc>
      </w:tr>
      <w:tr w:rsidR="001B44AF" w:rsidRPr="00677316" w14:paraId="66D39D93" w14:textId="77777777" w:rsidTr="00B5644E">
        <w:trPr>
          <w:trHeight w:val="223"/>
        </w:trPr>
        <w:tc>
          <w:tcPr>
            <w:tcW w:w="3494" w:type="pct"/>
            <w:gridSpan w:val="2"/>
            <w:shd w:val="solid" w:color="FFFFFF" w:fill="auto"/>
          </w:tcPr>
          <w:p w14:paraId="66CDE8FF"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Inventories</w:t>
            </w:r>
          </w:p>
        </w:tc>
        <w:tc>
          <w:tcPr>
            <w:tcW w:w="329" w:type="pct"/>
          </w:tcPr>
          <w:p w14:paraId="047078D9"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69D8DA1F" w14:textId="04DA9340" w:rsidR="00DE7410" w:rsidRPr="00DF0D83"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5.1</w:t>
            </w:r>
          </w:p>
        </w:tc>
        <w:tc>
          <w:tcPr>
            <w:tcW w:w="564" w:type="pct"/>
            <w:shd w:val="solid" w:color="FFFFFF" w:fill="auto"/>
          </w:tcPr>
          <w:p w14:paraId="3F34C76E" w14:textId="77777777" w:rsidR="00DE7410" w:rsidRPr="00677316" w:rsidRDefault="007127E2"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2.9</w:t>
            </w:r>
          </w:p>
        </w:tc>
      </w:tr>
      <w:tr w:rsidR="001B44AF" w:rsidRPr="00677316" w14:paraId="288721D1" w14:textId="77777777" w:rsidTr="00B5644E">
        <w:trPr>
          <w:trHeight w:val="277"/>
        </w:trPr>
        <w:tc>
          <w:tcPr>
            <w:tcW w:w="3494" w:type="pct"/>
            <w:gridSpan w:val="2"/>
            <w:shd w:val="solid" w:color="FFFFFF" w:fill="auto"/>
          </w:tcPr>
          <w:p w14:paraId="5F510FB4" w14:textId="77777777" w:rsidR="005F045F" w:rsidRPr="00677316" w:rsidRDefault="00613B47" w:rsidP="00CD73B1">
            <w:pPr>
              <w:autoSpaceDE w:val="0"/>
              <w:autoSpaceDN w:val="0"/>
              <w:adjustRightInd w:val="0"/>
              <w:ind w:left="38"/>
              <w:rPr>
                <w:rFonts w:asciiTheme="minorHAnsi" w:hAnsiTheme="minorHAnsi" w:cstheme="minorHAnsi"/>
                <w:color w:val="000000"/>
                <w:sz w:val="22"/>
                <w:szCs w:val="22"/>
              </w:rPr>
            </w:pPr>
            <w:r>
              <w:rPr>
                <w:rFonts w:asciiTheme="minorHAnsi" w:hAnsiTheme="minorHAnsi" w:cstheme="minorHAnsi"/>
                <w:color w:val="000000"/>
                <w:sz w:val="22"/>
                <w:szCs w:val="22"/>
              </w:rPr>
              <w:t>Other assets</w:t>
            </w:r>
          </w:p>
        </w:tc>
        <w:tc>
          <w:tcPr>
            <w:tcW w:w="329" w:type="pct"/>
          </w:tcPr>
          <w:p w14:paraId="43D45D88"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45150EE3" w14:textId="095CBCAB" w:rsidR="00742D53" w:rsidRPr="00DF0D83" w:rsidRDefault="00564BE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w:t>
            </w:r>
            <w:r w:rsidR="00A215CF">
              <w:rPr>
                <w:rFonts w:asciiTheme="minorHAnsi" w:hAnsiTheme="minorHAnsi" w:cstheme="minorHAnsi"/>
                <w:b/>
                <w:bCs/>
                <w:color w:val="000000"/>
                <w:sz w:val="22"/>
                <w:szCs w:val="22"/>
              </w:rPr>
              <w:t>96.4</w:t>
            </w:r>
          </w:p>
        </w:tc>
        <w:tc>
          <w:tcPr>
            <w:tcW w:w="564" w:type="pct"/>
            <w:shd w:val="solid" w:color="FFFFFF" w:fill="auto"/>
          </w:tcPr>
          <w:p w14:paraId="53E8E432" w14:textId="77777777" w:rsidR="005F045F" w:rsidRPr="00677316" w:rsidRDefault="007127E2"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238.0</w:t>
            </w:r>
          </w:p>
        </w:tc>
      </w:tr>
      <w:tr w:rsidR="007127E2" w:rsidRPr="00677316" w14:paraId="5A2AE2A7" w14:textId="77777777" w:rsidTr="00B5644E">
        <w:trPr>
          <w:trHeight w:val="277"/>
        </w:trPr>
        <w:tc>
          <w:tcPr>
            <w:tcW w:w="3494" w:type="pct"/>
            <w:gridSpan w:val="2"/>
            <w:shd w:val="solid" w:color="FFFFFF" w:fill="auto"/>
          </w:tcPr>
          <w:p w14:paraId="6329059F" w14:textId="77777777" w:rsidR="007127E2" w:rsidRDefault="007127E2" w:rsidP="00CD73B1">
            <w:pPr>
              <w:autoSpaceDE w:val="0"/>
              <w:autoSpaceDN w:val="0"/>
              <w:adjustRightInd w:val="0"/>
              <w:ind w:left="38"/>
              <w:rPr>
                <w:rFonts w:asciiTheme="minorHAnsi" w:hAnsiTheme="minorHAnsi" w:cstheme="minorHAnsi"/>
                <w:color w:val="000000"/>
                <w:sz w:val="22"/>
                <w:szCs w:val="22"/>
              </w:rPr>
            </w:pPr>
            <w:r>
              <w:rPr>
                <w:rFonts w:asciiTheme="minorHAnsi" w:hAnsiTheme="minorHAnsi" w:cstheme="minorHAnsi"/>
                <w:color w:val="000000"/>
                <w:sz w:val="22"/>
                <w:szCs w:val="22"/>
              </w:rPr>
              <w:t>Assets held for sale</w:t>
            </w:r>
          </w:p>
        </w:tc>
        <w:tc>
          <w:tcPr>
            <w:tcW w:w="329" w:type="pct"/>
          </w:tcPr>
          <w:p w14:paraId="37C99588" w14:textId="77777777" w:rsidR="007127E2" w:rsidRPr="00677316" w:rsidRDefault="00E470CC"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11</w:t>
            </w:r>
          </w:p>
        </w:tc>
        <w:tc>
          <w:tcPr>
            <w:tcW w:w="613" w:type="pct"/>
            <w:shd w:val="clear" w:color="auto" w:fill="auto"/>
          </w:tcPr>
          <w:p w14:paraId="4B7A440B" w14:textId="2C7B57A4" w:rsidR="007127E2"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98.7</w:t>
            </w:r>
          </w:p>
        </w:tc>
        <w:tc>
          <w:tcPr>
            <w:tcW w:w="564" w:type="pct"/>
            <w:shd w:val="solid" w:color="FFFFFF" w:fill="auto"/>
          </w:tcPr>
          <w:p w14:paraId="2C913855" w14:textId="77777777" w:rsidR="007127E2" w:rsidRDefault="007127E2"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B44AF" w:rsidRPr="00677316" w14:paraId="4F2A0190" w14:textId="77777777" w:rsidTr="00B5644E">
        <w:trPr>
          <w:trHeight w:val="197"/>
        </w:trPr>
        <w:tc>
          <w:tcPr>
            <w:tcW w:w="3494" w:type="pct"/>
            <w:gridSpan w:val="2"/>
            <w:shd w:val="solid" w:color="FFFFFF" w:fill="auto"/>
          </w:tcPr>
          <w:p w14:paraId="3A460F56"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Trade receivables</w:t>
            </w:r>
          </w:p>
        </w:tc>
        <w:tc>
          <w:tcPr>
            <w:tcW w:w="329" w:type="pct"/>
          </w:tcPr>
          <w:p w14:paraId="2CC73AF3"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722D348C" w14:textId="5FACEB3B" w:rsidR="00DE7410" w:rsidRPr="00DF0D83" w:rsidRDefault="00564BE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w:t>
            </w:r>
            <w:r w:rsidR="00A215CF">
              <w:rPr>
                <w:rFonts w:asciiTheme="minorHAnsi" w:hAnsiTheme="minorHAnsi" w:cstheme="minorHAnsi"/>
                <w:b/>
                <w:bCs/>
                <w:color w:val="000000"/>
                <w:sz w:val="22"/>
                <w:szCs w:val="22"/>
              </w:rPr>
              <w:t>4.6</w:t>
            </w:r>
          </w:p>
        </w:tc>
        <w:tc>
          <w:tcPr>
            <w:tcW w:w="564" w:type="pct"/>
            <w:shd w:val="solid" w:color="FFFFFF" w:fill="auto"/>
          </w:tcPr>
          <w:p w14:paraId="4B45C882" w14:textId="77777777" w:rsidR="00DE7410" w:rsidRPr="00677316" w:rsidRDefault="007127E2"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59.5</w:t>
            </w:r>
          </w:p>
        </w:tc>
      </w:tr>
      <w:tr w:rsidR="001B44AF" w:rsidRPr="00677316" w14:paraId="47996821" w14:textId="77777777" w:rsidTr="00B5644E">
        <w:trPr>
          <w:trHeight w:val="223"/>
        </w:trPr>
        <w:tc>
          <w:tcPr>
            <w:tcW w:w="3494" w:type="pct"/>
            <w:gridSpan w:val="2"/>
            <w:shd w:val="solid" w:color="FFFFFF" w:fill="auto"/>
          </w:tcPr>
          <w:p w14:paraId="198ABF17"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Derivative financial instruments</w:t>
            </w:r>
          </w:p>
        </w:tc>
        <w:tc>
          <w:tcPr>
            <w:tcW w:w="329" w:type="pct"/>
          </w:tcPr>
          <w:p w14:paraId="7AD19DA8" w14:textId="327458F7" w:rsidR="00DE7410" w:rsidRPr="00677316" w:rsidRDefault="00564BE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w:t>
            </w:r>
          </w:p>
        </w:tc>
        <w:tc>
          <w:tcPr>
            <w:tcW w:w="613" w:type="pct"/>
            <w:tcBorders>
              <w:bottom w:val="single" w:sz="4" w:space="0" w:color="auto"/>
            </w:tcBorders>
            <w:shd w:val="clear" w:color="auto" w:fill="auto"/>
          </w:tcPr>
          <w:p w14:paraId="569A4119" w14:textId="2890C023" w:rsidR="00DE7410" w:rsidRPr="00DF0D83"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281.6</w:t>
            </w:r>
          </w:p>
        </w:tc>
        <w:tc>
          <w:tcPr>
            <w:tcW w:w="564" w:type="pct"/>
            <w:tcBorders>
              <w:bottom w:val="single" w:sz="4" w:space="0" w:color="auto"/>
            </w:tcBorders>
            <w:shd w:val="solid" w:color="FFFFFF" w:fill="auto"/>
          </w:tcPr>
          <w:p w14:paraId="76C03AB7" w14:textId="77777777" w:rsidR="00DE7410" w:rsidRPr="00677316" w:rsidRDefault="007127E2"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308.7</w:t>
            </w:r>
          </w:p>
        </w:tc>
      </w:tr>
      <w:tr w:rsidR="001B44AF" w:rsidRPr="00677316" w14:paraId="5675C4EA" w14:textId="77777777" w:rsidTr="00B5644E">
        <w:trPr>
          <w:trHeight w:val="211"/>
        </w:trPr>
        <w:tc>
          <w:tcPr>
            <w:tcW w:w="3494" w:type="pct"/>
            <w:gridSpan w:val="2"/>
            <w:shd w:val="solid" w:color="FFFFFF" w:fill="auto"/>
          </w:tcPr>
          <w:p w14:paraId="633C9852"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Restricted cash</w:t>
            </w:r>
          </w:p>
        </w:tc>
        <w:tc>
          <w:tcPr>
            <w:tcW w:w="329" w:type="pct"/>
            <w:tcBorders>
              <w:right w:val="single" w:sz="4" w:space="0" w:color="auto"/>
            </w:tcBorders>
          </w:tcPr>
          <w:p w14:paraId="26AC75EE"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left w:val="single" w:sz="4" w:space="0" w:color="auto"/>
            </w:tcBorders>
            <w:shd w:val="clear" w:color="auto" w:fill="auto"/>
          </w:tcPr>
          <w:p w14:paraId="4134F3C4" w14:textId="77777777" w:rsidR="00DE7410" w:rsidRPr="00DF0D83" w:rsidRDefault="007127E2"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34.4</w:t>
            </w:r>
          </w:p>
        </w:tc>
        <w:tc>
          <w:tcPr>
            <w:tcW w:w="564" w:type="pct"/>
            <w:tcBorders>
              <w:top w:val="single" w:sz="4" w:space="0" w:color="auto"/>
              <w:right w:val="single" w:sz="4" w:space="0" w:color="auto"/>
            </w:tcBorders>
            <w:shd w:val="solid" w:color="FFFFFF" w:fill="auto"/>
          </w:tcPr>
          <w:p w14:paraId="27788AE9" w14:textId="77777777" w:rsidR="00DE7410" w:rsidRPr="00677316" w:rsidRDefault="007127E2"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34.9</w:t>
            </w:r>
          </w:p>
        </w:tc>
      </w:tr>
      <w:tr w:rsidR="001B44AF" w:rsidRPr="00677316" w14:paraId="5D5EB99B" w14:textId="77777777" w:rsidTr="00B5644E">
        <w:trPr>
          <w:trHeight w:val="223"/>
        </w:trPr>
        <w:tc>
          <w:tcPr>
            <w:tcW w:w="3494" w:type="pct"/>
            <w:gridSpan w:val="2"/>
            <w:shd w:val="solid" w:color="FFFFFF" w:fill="auto"/>
          </w:tcPr>
          <w:p w14:paraId="7F102EA7"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 xml:space="preserve">Financial assets: cash &gt; </w:t>
            </w:r>
            <w:r w:rsidR="00ED04B5">
              <w:rPr>
                <w:rFonts w:asciiTheme="minorHAnsi" w:hAnsiTheme="minorHAnsi" w:cstheme="minorHAnsi"/>
                <w:color w:val="000000"/>
                <w:sz w:val="22"/>
                <w:szCs w:val="22"/>
              </w:rPr>
              <w:t xml:space="preserve">3 </w:t>
            </w:r>
            <w:r w:rsidRPr="00677316">
              <w:rPr>
                <w:rFonts w:asciiTheme="minorHAnsi" w:hAnsiTheme="minorHAnsi" w:cstheme="minorHAnsi"/>
                <w:color w:val="000000"/>
                <w:sz w:val="22"/>
                <w:szCs w:val="22"/>
              </w:rPr>
              <w:t>months</w:t>
            </w:r>
          </w:p>
        </w:tc>
        <w:tc>
          <w:tcPr>
            <w:tcW w:w="329" w:type="pct"/>
            <w:tcBorders>
              <w:right w:val="single" w:sz="4" w:space="0" w:color="auto"/>
            </w:tcBorders>
          </w:tcPr>
          <w:p w14:paraId="2ADAC138"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left w:val="single" w:sz="4" w:space="0" w:color="auto"/>
            </w:tcBorders>
            <w:shd w:val="clear" w:color="auto" w:fill="auto"/>
          </w:tcPr>
          <w:p w14:paraId="25334142" w14:textId="4BA099CF" w:rsidR="00DE7410" w:rsidRPr="00DF0D83" w:rsidRDefault="00564BE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A215CF">
              <w:rPr>
                <w:rFonts w:asciiTheme="minorHAnsi" w:hAnsiTheme="minorHAnsi" w:cstheme="minorHAnsi"/>
                <w:b/>
                <w:bCs/>
                <w:color w:val="000000"/>
                <w:sz w:val="22"/>
                <w:szCs w:val="22"/>
              </w:rPr>
              <w:t>,421.0</w:t>
            </w:r>
          </w:p>
        </w:tc>
        <w:tc>
          <w:tcPr>
            <w:tcW w:w="564" w:type="pct"/>
            <w:tcBorders>
              <w:right w:val="single" w:sz="4" w:space="0" w:color="auto"/>
            </w:tcBorders>
            <w:shd w:val="solid" w:color="FFFFFF" w:fill="auto"/>
          </w:tcPr>
          <w:p w14:paraId="3A5B587E"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1,484.4</w:t>
            </w:r>
          </w:p>
        </w:tc>
      </w:tr>
      <w:tr w:rsidR="001B44AF" w:rsidRPr="00677316" w14:paraId="6B9A71DD" w14:textId="77777777" w:rsidTr="00B5644E">
        <w:trPr>
          <w:trHeight w:val="223"/>
        </w:trPr>
        <w:tc>
          <w:tcPr>
            <w:tcW w:w="3494" w:type="pct"/>
            <w:gridSpan w:val="2"/>
            <w:shd w:val="solid" w:color="FFFFFF" w:fill="auto"/>
          </w:tcPr>
          <w:p w14:paraId="1603555D"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Cash and cash equivalents</w:t>
            </w:r>
          </w:p>
        </w:tc>
        <w:tc>
          <w:tcPr>
            <w:tcW w:w="329" w:type="pct"/>
            <w:tcBorders>
              <w:right w:val="single" w:sz="4" w:space="0" w:color="auto"/>
            </w:tcBorders>
          </w:tcPr>
          <w:p w14:paraId="18EE9366"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left w:val="single" w:sz="4" w:space="0" w:color="auto"/>
              <w:bottom w:val="single" w:sz="4" w:space="0" w:color="auto"/>
            </w:tcBorders>
            <w:shd w:val="clear" w:color="auto" w:fill="auto"/>
          </w:tcPr>
          <w:p w14:paraId="139975E4" w14:textId="7508AC1A" w:rsidR="00DE7410" w:rsidRPr="00DF0D83" w:rsidRDefault="00E470CC"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w:t>
            </w:r>
            <w:r w:rsidR="00A215CF">
              <w:rPr>
                <w:rFonts w:asciiTheme="minorHAnsi" w:hAnsiTheme="minorHAnsi" w:cstheme="minorHAnsi"/>
                <w:b/>
                <w:bCs/>
                <w:color w:val="000000"/>
                <w:sz w:val="22"/>
                <w:szCs w:val="22"/>
              </w:rPr>
              <w:t>156.6</w:t>
            </w:r>
          </w:p>
        </w:tc>
        <w:tc>
          <w:tcPr>
            <w:tcW w:w="564" w:type="pct"/>
            <w:tcBorders>
              <w:bottom w:val="single" w:sz="4" w:space="0" w:color="auto"/>
              <w:right w:val="single" w:sz="4" w:space="0" w:color="auto"/>
            </w:tcBorders>
            <w:shd w:val="solid" w:color="FFFFFF" w:fill="auto"/>
          </w:tcPr>
          <w:p w14:paraId="014C6A66"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1,675.6</w:t>
            </w:r>
          </w:p>
        </w:tc>
      </w:tr>
      <w:tr w:rsidR="001B44AF" w:rsidRPr="00677316" w14:paraId="2C715D27" w14:textId="77777777" w:rsidTr="00B5644E">
        <w:trPr>
          <w:trHeight w:val="223"/>
        </w:trPr>
        <w:tc>
          <w:tcPr>
            <w:tcW w:w="3494" w:type="pct"/>
            <w:gridSpan w:val="2"/>
            <w:shd w:val="solid" w:color="FFFFFF" w:fill="auto"/>
          </w:tcPr>
          <w:p w14:paraId="1F0F2EF0" w14:textId="77777777" w:rsidR="00DE7410" w:rsidRPr="00677316" w:rsidRDefault="00DE7410" w:rsidP="00CD73B1">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lastRenderedPageBreak/>
              <w:t>Total current assets</w:t>
            </w:r>
          </w:p>
        </w:tc>
        <w:tc>
          <w:tcPr>
            <w:tcW w:w="329" w:type="pct"/>
          </w:tcPr>
          <w:p w14:paraId="248871C0"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bottom w:val="single" w:sz="4" w:space="0" w:color="auto"/>
            </w:tcBorders>
            <w:shd w:val="clear" w:color="auto" w:fill="auto"/>
          </w:tcPr>
          <w:p w14:paraId="21808DF2" w14:textId="3FEEFE2E" w:rsidR="00DE7410" w:rsidRPr="00DF0D83" w:rsidRDefault="00E470CC"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A215CF">
              <w:rPr>
                <w:rFonts w:asciiTheme="minorHAnsi" w:hAnsiTheme="minorHAnsi" w:cstheme="minorHAnsi"/>
                <w:b/>
                <w:bCs/>
                <w:color w:val="000000"/>
                <w:sz w:val="22"/>
                <w:szCs w:val="22"/>
              </w:rPr>
              <w:t>368.4</w:t>
            </w:r>
          </w:p>
        </w:tc>
        <w:tc>
          <w:tcPr>
            <w:tcW w:w="564" w:type="pct"/>
            <w:tcBorders>
              <w:top w:val="single" w:sz="4" w:space="0" w:color="auto"/>
              <w:bottom w:val="single" w:sz="4" w:space="0" w:color="auto"/>
            </w:tcBorders>
            <w:shd w:val="solid" w:color="FFFFFF" w:fill="auto"/>
          </w:tcPr>
          <w:p w14:paraId="5BD2436C"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3,804.0</w:t>
            </w:r>
          </w:p>
        </w:tc>
      </w:tr>
      <w:tr w:rsidR="00C6668E" w:rsidRPr="00677316" w14:paraId="6EAA9413" w14:textId="77777777" w:rsidTr="00B5644E">
        <w:trPr>
          <w:trHeight w:val="223"/>
        </w:trPr>
        <w:tc>
          <w:tcPr>
            <w:tcW w:w="2498" w:type="pct"/>
          </w:tcPr>
          <w:p w14:paraId="140F6F9F" w14:textId="77777777" w:rsidR="00DE7410" w:rsidRPr="00677316" w:rsidRDefault="00DE7410" w:rsidP="00CD73B1">
            <w:pPr>
              <w:autoSpaceDE w:val="0"/>
              <w:autoSpaceDN w:val="0"/>
              <w:adjustRightInd w:val="0"/>
              <w:ind w:left="38"/>
              <w:jc w:val="right"/>
              <w:rPr>
                <w:rFonts w:asciiTheme="minorHAnsi" w:hAnsiTheme="minorHAnsi" w:cstheme="minorHAnsi"/>
                <w:color w:val="000000"/>
                <w:sz w:val="22"/>
                <w:szCs w:val="22"/>
              </w:rPr>
            </w:pPr>
          </w:p>
        </w:tc>
        <w:tc>
          <w:tcPr>
            <w:tcW w:w="996" w:type="pct"/>
            <w:shd w:val="solid" w:color="FFFFFF" w:fill="auto"/>
          </w:tcPr>
          <w:p w14:paraId="2F39E10F" w14:textId="77777777" w:rsidR="00DE7410" w:rsidRPr="00677316" w:rsidRDefault="00DE7410" w:rsidP="00CD73B1">
            <w:pPr>
              <w:autoSpaceDE w:val="0"/>
              <w:autoSpaceDN w:val="0"/>
              <w:adjustRightInd w:val="0"/>
              <w:ind w:left="38"/>
              <w:jc w:val="right"/>
              <w:rPr>
                <w:rFonts w:asciiTheme="minorHAnsi" w:hAnsiTheme="minorHAnsi" w:cstheme="minorHAnsi"/>
                <w:color w:val="000000"/>
                <w:sz w:val="22"/>
                <w:szCs w:val="22"/>
              </w:rPr>
            </w:pPr>
          </w:p>
        </w:tc>
        <w:tc>
          <w:tcPr>
            <w:tcW w:w="329" w:type="pct"/>
          </w:tcPr>
          <w:p w14:paraId="5A7BBC10" w14:textId="77777777" w:rsidR="00DE7410" w:rsidRPr="00677316" w:rsidRDefault="00DE7410" w:rsidP="00CD73B1">
            <w:pPr>
              <w:autoSpaceDE w:val="0"/>
              <w:autoSpaceDN w:val="0"/>
              <w:adjustRightInd w:val="0"/>
              <w:jc w:val="center"/>
              <w:rPr>
                <w:rFonts w:asciiTheme="minorHAnsi" w:hAnsiTheme="minorHAnsi" w:cstheme="minorHAnsi"/>
                <w:b/>
                <w:bCs/>
                <w:i/>
                <w:iCs/>
                <w:color w:val="000000"/>
                <w:sz w:val="22"/>
                <w:szCs w:val="22"/>
              </w:rPr>
            </w:pPr>
          </w:p>
        </w:tc>
        <w:tc>
          <w:tcPr>
            <w:tcW w:w="613" w:type="pct"/>
            <w:tcBorders>
              <w:top w:val="single" w:sz="4" w:space="0" w:color="auto"/>
            </w:tcBorders>
            <w:shd w:val="clear" w:color="auto" w:fill="auto"/>
          </w:tcPr>
          <w:p w14:paraId="57EA93D1" w14:textId="77777777" w:rsidR="00DE7410" w:rsidRPr="00DF0D83" w:rsidRDefault="00DE7410" w:rsidP="00CD73B1">
            <w:pPr>
              <w:autoSpaceDE w:val="0"/>
              <w:autoSpaceDN w:val="0"/>
              <w:adjustRightInd w:val="0"/>
              <w:jc w:val="center"/>
              <w:rPr>
                <w:rFonts w:asciiTheme="minorHAnsi" w:hAnsiTheme="minorHAnsi" w:cstheme="minorHAnsi"/>
                <w:b/>
                <w:bCs/>
                <w:i/>
                <w:iCs/>
                <w:color w:val="000000"/>
                <w:sz w:val="22"/>
                <w:szCs w:val="22"/>
              </w:rPr>
            </w:pPr>
          </w:p>
        </w:tc>
        <w:tc>
          <w:tcPr>
            <w:tcW w:w="564" w:type="pct"/>
            <w:tcBorders>
              <w:top w:val="single" w:sz="4" w:space="0" w:color="auto"/>
            </w:tcBorders>
          </w:tcPr>
          <w:p w14:paraId="5D35A93E" w14:textId="77777777" w:rsidR="00DE7410" w:rsidRPr="00677316" w:rsidRDefault="00DE7410" w:rsidP="00CD73B1">
            <w:pPr>
              <w:autoSpaceDE w:val="0"/>
              <w:autoSpaceDN w:val="0"/>
              <w:adjustRightInd w:val="0"/>
              <w:jc w:val="right"/>
              <w:rPr>
                <w:rFonts w:asciiTheme="minorHAnsi" w:hAnsiTheme="minorHAnsi" w:cstheme="minorHAnsi"/>
                <w:color w:val="000000"/>
                <w:sz w:val="22"/>
                <w:szCs w:val="22"/>
              </w:rPr>
            </w:pPr>
          </w:p>
        </w:tc>
      </w:tr>
      <w:tr w:rsidR="001B44AF" w:rsidRPr="00677316" w14:paraId="7CBF1BEC" w14:textId="77777777" w:rsidTr="00B5644E">
        <w:trPr>
          <w:trHeight w:val="223"/>
        </w:trPr>
        <w:tc>
          <w:tcPr>
            <w:tcW w:w="3494" w:type="pct"/>
            <w:gridSpan w:val="2"/>
            <w:shd w:val="solid" w:color="FFFFFF" w:fill="auto"/>
          </w:tcPr>
          <w:p w14:paraId="20FF93F7" w14:textId="77777777" w:rsidR="00DE7410" w:rsidRPr="00677316" w:rsidRDefault="00DE7410" w:rsidP="00CD73B1">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Total assets</w:t>
            </w:r>
          </w:p>
        </w:tc>
        <w:tc>
          <w:tcPr>
            <w:tcW w:w="329" w:type="pct"/>
          </w:tcPr>
          <w:p w14:paraId="07DC3656"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bottom w:val="single" w:sz="4" w:space="0" w:color="auto"/>
            </w:tcBorders>
            <w:shd w:val="clear" w:color="auto" w:fill="auto"/>
          </w:tcPr>
          <w:p w14:paraId="261D3F49" w14:textId="0508DEE3" w:rsidR="00DE7410" w:rsidRPr="00DF0D83" w:rsidRDefault="00E8594C" w:rsidP="00CD73B1">
            <w:pPr>
              <w:autoSpaceDE w:val="0"/>
              <w:autoSpaceDN w:val="0"/>
              <w:adjustRightInd w:val="0"/>
              <w:jc w:val="right"/>
              <w:rPr>
                <w:rFonts w:asciiTheme="minorHAnsi" w:hAnsiTheme="minorHAnsi" w:cstheme="minorHAnsi"/>
                <w:b/>
                <w:bCs/>
                <w:color w:val="000000"/>
                <w:sz w:val="22"/>
                <w:szCs w:val="22"/>
              </w:rPr>
            </w:pPr>
            <w:r w:rsidRPr="00DF0D83">
              <w:rPr>
                <w:rFonts w:asciiTheme="minorHAnsi" w:hAnsiTheme="minorHAnsi" w:cstheme="minorHAnsi"/>
                <w:b/>
                <w:bCs/>
                <w:color w:val="000000"/>
                <w:sz w:val="22"/>
                <w:szCs w:val="22"/>
              </w:rPr>
              <w:t>1</w:t>
            </w:r>
            <w:r w:rsidR="00E470CC">
              <w:rPr>
                <w:rFonts w:asciiTheme="minorHAnsi" w:hAnsiTheme="minorHAnsi" w:cstheme="minorHAnsi"/>
                <w:b/>
                <w:bCs/>
                <w:color w:val="000000"/>
                <w:sz w:val="22"/>
                <w:szCs w:val="22"/>
              </w:rPr>
              <w:t>4,</w:t>
            </w:r>
            <w:r w:rsidR="00A215CF">
              <w:rPr>
                <w:rFonts w:asciiTheme="minorHAnsi" w:hAnsiTheme="minorHAnsi" w:cstheme="minorHAnsi"/>
                <w:b/>
                <w:bCs/>
                <w:color w:val="000000"/>
                <w:sz w:val="22"/>
                <w:szCs w:val="22"/>
              </w:rPr>
              <w:t>861.0</w:t>
            </w:r>
          </w:p>
        </w:tc>
        <w:tc>
          <w:tcPr>
            <w:tcW w:w="564" w:type="pct"/>
            <w:tcBorders>
              <w:bottom w:val="single" w:sz="4" w:space="0" w:color="auto"/>
            </w:tcBorders>
            <w:shd w:val="solid" w:color="FFFFFF" w:fill="auto"/>
          </w:tcPr>
          <w:p w14:paraId="4B119648" w14:textId="77777777" w:rsidR="00DE7410" w:rsidRPr="00677316" w:rsidRDefault="00B5644E"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w:t>
            </w:r>
            <w:r w:rsidR="00E470CC">
              <w:rPr>
                <w:rFonts w:asciiTheme="minorHAnsi" w:hAnsiTheme="minorHAnsi" w:cstheme="minorHAnsi"/>
                <w:color w:val="000000"/>
                <w:sz w:val="22"/>
                <w:szCs w:val="22"/>
              </w:rPr>
              <w:t>3</w:t>
            </w:r>
            <w:r>
              <w:rPr>
                <w:rFonts w:asciiTheme="minorHAnsi" w:hAnsiTheme="minorHAnsi" w:cstheme="minorHAnsi"/>
                <w:color w:val="000000"/>
                <w:sz w:val="22"/>
                <w:szCs w:val="22"/>
              </w:rPr>
              <w:t>,</w:t>
            </w:r>
            <w:r w:rsidR="00E470CC">
              <w:rPr>
                <w:rFonts w:asciiTheme="minorHAnsi" w:hAnsiTheme="minorHAnsi" w:cstheme="minorHAnsi"/>
                <w:color w:val="000000"/>
                <w:sz w:val="22"/>
                <w:szCs w:val="22"/>
              </w:rPr>
              <w:t>250.7</w:t>
            </w:r>
          </w:p>
        </w:tc>
      </w:tr>
      <w:tr w:rsidR="00C6668E" w:rsidRPr="00677316" w14:paraId="18A79502" w14:textId="77777777" w:rsidTr="00B5644E">
        <w:trPr>
          <w:trHeight w:val="223"/>
        </w:trPr>
        <w:tc>
          <w:tcPr>
            <w:tcW w:w="2498" w:type="pct"/>
            <w:shd w:val="solid" w:color="FFFFFF" w:fill="auto"/>
          </w:tcPr>
          <w:p w14:paraId="4A9F2FC9" w14:textId="77777777" w:rsidR="00DE7410" w:rsidRPr="00677316" w:rsidRDefault="00DE7410" w:rsidP="00CD73B1">
            <w:pPr>
              <w:autoSpaceDE w:val="0"/>
              <w:autoSpaceDN w:val="0"/>
              <w:adjustRightInd w:val="0"/>
              <w:ind w:left="38"/>
              <w:jc w:val="right"/>
              <w:rPr>
                <w:rFonts w:asciiTheme="minorHAnsi" w:hAnsiTheme="minorHAnsi" w:cstheme="minorHAnsi"/>
                <w:color w:val="000000"/>
                <w:sz w:val="22"/>
                <w:szCs w:val="22"/>
              </w:rPr>
            </w:pPr>
          </w:p>
        </w:tc>
        <w:tc>
          <w:tcPr>
            <w:tcW w:w="996" w:type="pct"/>
            <w:shd w:val="solid" w:color="FFFFFF" w:fill="auto"/>
          </w:tcPr>
          <w:p w14:paraId="57F90005" w14:textId="77777777" w:rsidR="00DE7410" w:rsidRPr="00677316" w:rsidRDefault="00DE7410" w:rsidP="00CD73B1">
            <w:pPr>
              <w:autoSpaceDE w:val="0"/>
              <w:autoSpaceDN w:val="0"/>
              <w:adjustRightInd w:val="0"/>
              <w:ind w:left="38"/>
              <w:jc w:val="right"/>
              <w:rPr>
                <w:rFonts w:asciiTheme="minorHAnsi" w:hAnsiTheme="minorHAnsi" w:cstheme="minorHAnsi"/>
                <w:color w:val="000000"/>
                <w:sz w:val="22"/>
                <w:szCs w:val="22"/>
              </w:rPr>
            </w:pPr>
          </w:p>
        </w:tc>
        <w:tc>
          <w:tcPr>
            <w:tcW w:w="329" w:type="pct"/>
          </w:tcPr>
          <w:p w14:paraId="06829D08"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5BCEEDE2" w14:textId="77777777" w:rsidR="00DE7410" w:rsidRPr="00DF0D83" w:rsidRDefault="00DE7410" w:rsidP="00CD73B1">
            <w:pPr>
              <w:autoSpaceDE w:val="0"/>
              <w:autoSpaceDN w:val="0"/>
              <w:adjustRightInd w:val="0"/>
              <w:jc w:val="right"/>
              <w:rPr>
                <w:rFonts w:asciiTheme="minorHAnsi" w:hAnsiTheme="minorHAnsi" w:cstheme="minorHAnsi"/>
                <w:b/>
                <w:bCs/>
                <w:color w:val="000000"/>
                <w:sz w:val="22"/>
                <w:szCs w:val="22"/>
              </w:rPr>
            </w:pPr>
          </w:p>
        </w:tc>
        <w:tc>
          <w:tcPr>
            <w:tcW w:w="564" w:type="pct"/>
            <w:tcBorders>
              <w:top w:val="single" w:sz="4" w:space="0" w:color="auto"/>
            </w:tcBorders>
            <w:shd w:val="solid" w:color="FFFFFF" w:fill="auto"/>
          </w:tcPr>
          <w:p w14:paraId="2C88D6DD" w14:textId="77777777" w:rsidR="00DE7410" w:rsidRPr="00677316" w:rsidRDefault="00DE7410" w:rsidP="00CD73B1">
            <w:pPr>
              <w:autoSpaceDE w:val="0"/>
              <w:autoSpaceDN w:val="0"/>
              <w:adjustRightInd w:val="0"/>
              <w:jc w:val="right"/>
              <w:rPr>
                <w:rFonts w:asciiTheme="minorHAnsi" w:hAnsiTheme="minorHAnsi" w:cstheme="minorHAnsi"/>
                <w:color w:val="000000"/>
                <w:sz w:val="22"/>
                <w:szCs w:val="22"/>
              </w:rPr>
            </w:pPr>
          </w:p>
        </w:tc>
      </w:tr>
      <w:tr w:rsidR="001B44AF" w:rsidRPr="00677316" w14:paraId="31D5F5E0" w14:textId="77777777" w:rsidTr="00B5644E">
        <w:trPr>
          <w:trHeight w:val="211"/>
        </w:trPr>
        <w:tc>
          <w:tcPr>
            <w:tcW w:w="3494" w:type="pct"/>
            <w:gridSpan w:val="2"/>
            <w:shd w:val="solid" w:color="FFFFFF" w:fill="auto"/>
          </w:tcPr>
          <w:p w14:paraId="700C3475" w14:textId="77777777" w:rsidR="00DE7410" w:rsidRPr="00677316" w:rsidRDefault="00DE7410" w:rsidP="00CD73B1">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Current liabilities</w:t>
            </w:r>
          </w:p>
        </w:tc>
        <w:tc>
          <w:tcPr>
            <w:tcW w:w="329" w:type="pct"/>
          </w:tcPr>
          <w:p w14:paraId="1F455854"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425A50AD" w14:textId="77777777" w:rsidR="00DE7410" w:rsidRPr="00DF0D83" w:rsidRDefault="00DE7410" w:rsidP="00CD73B1">
            <w:pPr>
              <w:autoSpaceDE w:val="0"/>
              <w:autoSpaceDN w:val="0"/>
              <w:adjustRightInd w:val="0"/>
              <w:jc w:val="right"/>
              <w:rPr>
                <w:rFonts w:asciiTheme="minorHAnsi" w:hAnsiTheme="minorHAnsi" w:cstheme="minorHAnsi"/>
                <w:b/>
                <w:bCs/>
                <w:color w:val="000000"/>
                <w:sz w:val="22"/>
                <w:szCs w:val="22"/>
              </w:rPr>
            </w:pPr>
          </w:p>
        </w:tc>
        <w:tc>
          <w:tcPr>
            <w:tcW w:w="564" w:type="pct"/>
            <w:shd w:val="solid" w:color="FFFFFF" w:fill="auto"/>
          </w:tcPr>
          <w:p w14:paraId="1DD5E59A" w14:textId="77777777" w:rsidR="00DE7410" w:rsidRPr="00677316" w:rsidRDefault="00DE7410" w:rsidP="00CD73B1">
            <w:pPr>
              <w:autoSpaceDE w:val="0"/>
              <w:autoSpaceDN w:val="0"/>
              <w:adjustRightInd w:val="0"/>
              <w:jc w:val="right"/>
              <w:rPr>
                <w:rFonts w:asciiTheme="minorHAnsi" w:hAnsiTheme="minorHAnsi" w:cstheme="minorHAnsi"/>
                <w:color w:val="000000"/>
                <w:sz w:val="22"/>
                <w:szCs w:val="22"/>
              </w:rPr>
            </w:pPr>
          </w:p>
        </w:tc>
      </w:tr>
      <w:tr w:rsidR="00564BEF" w:rsidRPr="00677316" w14:paraId="5386C8A8" w14:textId="77777777" w:rsidTr="00B5644E">
        <w:trPr>
          <w:trHeight w:val="211"/>
        </w:trPr>
        <w:tc>
          <w:tcPr>
            <w:tcW w:w="3494" w:type="pct"/>
            <w:gridSpan w:val="2"/>
            <w:shd w:val="solid" w:color="FFFFFF" w:fill="auto"/>
          </w:tcPr>
          <w:p w14:paraId="13B6AADA" w14:textId="1913D8D5" w:rsidR="00564BEF" w:rsidRPr="00564BEF" w:rsidRDefault="00564BEF" w:rsidP="00CD73B1">
            <w:pPr>
              <w:autoSpaceDE w:val="0"/>
              <w:autoSpaceDN w:val="0"/>
              <w:adjustRightInd w:val="0"/>
              <w:ind w:left="38"/>
              <w:rPr>
                <w:rFonts w:asciiTheme="minorHAnsi" w:hAnsiTheme="minorHAnsi" w:cstheme="minorHAnsi"/>
                <w:color w:val="000000"/>
                <w:sz w:val="22"/>
                <w:szCs w:val="22"/>
              </w:rPr>
            </w:pPr>
            <w:r w:rsidRPr="00564BEF">
              <w:rPr>
                <w:rFonts w:asciiTheme="minorHAnsi" w:hAnsiTheme="minorHAnsi" w:cstheme="minorHAnsi"/>
                <w:color w:val="000000"/>
                <w:sz w:val="22"/>
                <w:szCs w:val="22"/>
              </w:rPr>
              <w:t>Provisions</w:t>
            </w:r>
          </w:p>
        </w:tc>
        <w:tc>
          <w:tcPr>
            <w:tcW w:w="329" w:type="pct"/>
          </w:tcPr>
          <w:p w14:paraId="61C5186D" w14:textId="77777777" w:rsidR="00564BEF" w:rsidRPr="00677316" w:rsidRDefault="00564BEF"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61470661" w14:textId="6D894E40" w:rsidR="00564BEF" w:rsidRPr="00DF0D83"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54.6</w:t>
            </w:r>
          </w:p>
        </w:tc>
        <w:tc>
          <w:tcPr>
            <w:tcW w:w="564" w:type="pct"/>
            <w:shd w:val="solid" w:color="FFFFFF" w:fill="auto"/>
          </w:tcPr>
          <w:p w14:paraId="7CCCAFF2" w14:textId="45E3AC6D" w:rsidR="00564BEF" w:rsidRPr="00677316" w:rsidRDefault="00A215CF"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B44AF" w:rsidRPr="00677316" w14:paraId="38FBC810" w14:textId="77777777" w:rsidTr="00B5644E">
        <w:trPr>
          <w:trHeight w:val="211"/>
        </w:trPr>
        <w:tc>
          <w:tcPr>
            <w:tcW w:w="3494" w:type="pct"/>
            <w:gridSpan w:val="2"/>
            <w:shd w:val="solid" w:color="FFFFFF" w:fill="auto"/>
          </w:tcPr>
          <w:p w14:paraId="78465D4D"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Trade payables</w:t>
            </w:r>
          </w:p>
        </w:tc>
        <w:tc>
          <w:tcPr>
            <w:tcW w:w="329" w:type="pct"/>
          </w:tcPr>
          <w:p w14:paraId="3E764563"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5A50CEE4" w14:textId="7971AA06" w:rsidR="00DE7410" w:rsidRPr="00677316" w:rsidRDefault="00564BE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A215CF">
              <w:rPr>
                <w:rFonts w:asciiTheme="minorHAnsi" w:hAnsiTheme="minorHAnsi" w:cstheme="minorHAnsi"/>
                <w:b/>
                <w:bCs/>
                <w:color w:val="000000"/>
                <w:sz w:val="22"/>
                <w:szCs w:val="22"/>
              </w:rPr>
              <w:t>601.8</w:t>
            </w:r>
          </w:p>
        </w:tc>
        <w:tc>
          <w:tcPr>
            <w:tcW w:w="564" w:type="pct"/>
            <w:shd w:val="solid" w:color="FFFFFF" w:fill="auto"/>
          </w:tcPr>
          <w:p w14:paraId="691DD831"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573.8</w:t>
            </w:r>
          </w:p>
        </w:tc>
      </w:tr>
      <w:tr w:rsidR="001B44AF" w:rsidRPr="00677316" w14:paraId="32928DD9" w14:textId="77777777" w:rsidTr="00B5644E">
        <w:trPr>
          <w:trHeight w:val="211"/>
        </w:trPr>
        <w:tc>
          <w:tcPr>
            <w:tcW w:w="3494" w:type="pct"/>
            <w:gridSpan w:val="2"/>
            <w:shd w:val="solid" w:color="FFFFFF" w:fill="auto"/>
          </w:tcPr>
          <w:p w14:paraId="2E36D5BF"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Accrued expenses and other liabilities</w:t>
            </w:r>
          </w:p>
        </w:tc>
        <w:tc>
          <w:tcPr>
            <w:tcW w:w="329" w:type="pct"/>
          </w:tcPr>
          <w:p w14:paraId="08B2C241"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4CD2DE20" w14:textId="328657CA" w:rsidR="00DE7410" w:rsidRPr="00677316"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1,963.1</w:t>
            </w:r>
          </w:p>
        </w:tc>
        <w:tc>
          <w:tcPr>
            <w:tcW w:w="564" w:type="pct"/>
            <w:shd w:val="solid" w:color="FFFFFF" w:fill="auto"/>
          </w:tcPr>
          <w:p w14:paraId="50A05966"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2,992.1</w:t>
            </w:r>
          </w:p>
        </w:tc>
      </w:tr>
      <w:tr w:rsidR="00E470CC" w:rsidRPr="00677316" w14:paraId="3EB1B399" w14:textId="77777777" w:rsidTr="00B5644E">
        <w:trPr>
          <w:trHeight w:val="211"/>
        </w:trPr>
        <w:tc>
          <w:tcPr>
            <w:tcW w:w="3494" w:type="pct"/>
            <w:gridSpan w:val="2"/>
            <w:shd w:val="solid" w:color="FFFFFF" w:fill="auto"/>
          </w:tcPr>
          <w:p w14:paraId="3B5897F9" w14:textId="77777777" w:rsidR="00E470CC" w:rsidRPr="00677316" w:rsidRDefault="00E470CC" w:rsidP="00CD73B1">
            <w:pPr>
              <w:autoSpaceDE w:val="0"/>
              <w:autoSpaceDN w:val="0"/>
              <w:adjustRightInd w:val="0"/>
              <w:ind w:left="38"/>
              <w:rPr>
                <w:rFonts w:asciiTheme="minorHAnsi" w:hAnsiTheme="minorHAnsi" w:cstheme="minorHAnsi"/>
                <w:color w:val="000000"/>
                <w:sz w:val="22"/>
                <w:szCs w:val="22"/>
              </w:rPr>
            </w:pPr>
            <w:r>
              <w:rPr>
                <w:rFonts w:asciiTheme="minorHAnsi" w:hAnsiTheme="minorHAnsi" w:cstheme="minorHAnsi"/>
                <w:color w:val="000000"/>
                <w:sz w:val="22"/>
                <w:szCs w:val="22"/>
              </w:rPr>
              <w:t>Current lease liability</w:t>
            </w:r>
          </w:p>
        </w:tc>
        <w:tc>
          <w:tcPr>
            <w:tcW w:w="329" w:type="pct"/>
          </w:tcPr>
          <w:p w14:paraId="50CAF2A3" w14:textId="77777777" w:rsidR="00E470CC" w:rsidRPr="00677316" w:rsidRDefault="007B7A52"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p>
        </w:tc>
        <w:tc>
          <w:tcPr>
            <w:tcW w:w="613" w:type="pct"/>
            <w:shd w:val="clear" w:color="auto" w:fill="auto"/>
          </w:tcPr>
          <w:p w14:paraId="14CB467C" w14:textId="296EDA56" w:rsidR="00E470CC"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71.6</w:t>
            </w:r>
          </w:p>
        </w:tc>
        <w:tc>
          <w:tcPr>
            <w:tcW w:w="564" w:type="pct"/>
            <w:shd w:val="solid" w:color="FFFFFF" w:fill="auto"/>
          </w:tcPr>
          <w:p w14:paraId="555BD2C5" w14:textId="77777777" w:rsidR="00E470CC"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B44AF" w:rsidRPr="00677316" w14:paraId="6341B58F" w14:textId="77777777" w:rsidTr="00B5644E">
        <w:trPr>
          <w:trHeight w:val="211"/>
        </w:trPr>
        <w:tc>
          <w:tcPr>
            <w:tcW w:w="3494" w:type="pct"/>
            <w:gridSpan w:val="2"/>
            <w:shd w:val="solid" w:color="FFFFFF" w:fill="auto"/>
          </w:tcPr>
          <w:p w14:paraId="4243BADD"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Current maturities of debt</w:t>
            </w:r>
          </w:p>
        </w:tc>
        <w:tc>
          <w:tcPr>
            <w:tcW w:w="329" w:type="pct"/>
          </w:tcPr>
          <w:p w14:paraId="3B6498A9"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1D416636" w14:textId="4CA1D796" w:rsidR="00DE7410" w:rsidRPr="00677316" w:rsidRDefault="00E470CC"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w:t>
            </w:r>
            <w:r w:rsidR="00A215CF">
              <w:rPr>
                <w:rFonts w:asciiTheme="minorHAnsi" w:hAnsiTheme="minorHAnsi" w:cstheme="minorHAnsi"/>
                <w:b/>
                <w:bCs/>
                <w:color w:val="000000"/>
                <w:sz w:val="22"/>
                <w:szCs w:val="22"/>
              </w:rPr>
              <w:t>55.3</w:t>
            </w:r>
          </w:p>
        </w:tc>
        <w:tc>
          <w:tcPr>
            <w:tcW w:w="564" w:type="pct"/>
            <w:shd w:val="solid" w:color="FFFFFF" w:fill="auto"/>
          </w:tcPr>
          <w:p w14:paraId="70FADEC9"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309.4</w:t>
            </w:r>
          </w:p>
        </w:tc>
      </w:tr>
      <w:tr w:rsidR="001B44AF" w:rsidRPr="00677316" w14:paraId="622549D8" w14:textId="77777777" w:rsidTr="00B5644E">
        <w:trPr>
          <w:trHeight w:val="211"/>
        </w:trPr>
        <w:tc>
          <w:tcPr>
            <w:tcW w:w="3494" w:type="pct"/>
            <w:gridSpan w:val="2"/>
            <w:shd w:val="solid" w:color="FFFFFF" w:fill="auto"/>
          </w:tcPr>
          <w:p w14:paraId="6ADF288E" w14:textId="77777777" w:rsidR="00010D54" w:rsidRPr="00677316" w:rsidRDefault="00010D54"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Derivative financial instruments</w:t>
            </w:r>
          </w:p>
        </w:tc>
        <w:tc>
          <w:tcPr>
            <w:tcW w:w="329" w:type="pct"/>
          </w:tcPr>
          <w:p w14:paraId="0E23C839" w14:textId="32C7FDEF" w:rsidR="00010D54" w:rsidRPr="00677316" w:rsidRDefault="00564BE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w:t>
            </w:r>
          </w:p>
        </w:tc>
        <w:tc>
          <w:tcPr>
            <w:tcW w:w="613" w:type="pct"/>
            <w:shd w:val="clear" w:color="auto" w:fill="auto"/>
          </w:tcPr>
          <w:p w14:paraId="0DC4F745" w14:textId="57781726" w:rsidR="00010D54" w:rsidRPr="00677316"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16.4</w:t>
            </w:r>
          </w:p>
        </w:tc>
        <w:tc>
          <w:tcPr>
            <w:tcW w:w="564" w:type="pct"/>
            <w:shd w:val="solid" w:color="FFFFFF" w:fill="auto"/>
          </w:tcPr>
          <w:p w14:paraId="584ECD42" w14:textId="77777777" w:rsidR="00010D54"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189.7</w:t>
            </w:r>
          </w:p>
        </w:tc>
      </w:tr>
      <w:tr w:rsidR="001B44AF" w:rsidRPr="00677316" w14:paraId="369592BB" w14:textId="77777777" w:rsidTr="00B5644E">
        <w:trPr>
          <w:trHeight w:val="211"/>
        </w:trPr>
        <w:tc>
          <w:tcPr>
            <w:tcW w:w="3494" w:type="pct"/>
            <w:gridSpan w:val="2"/>
            <w:shd w:val="solid" w:color="FFFFFF" w:fill="auto"/>
          </w:tcPr>
          <w:p w14:paraId="4B8EE0C0" w14:textId="77777777" w:rsidR="005A5328" w:rsidRPr="00677316" w:rsidRDefault="005A5328"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Current tax</w:t>
            </w:r>
          </w:p>
        </w:tc>
        <w:tc>
          <w:tcPr>
            <w:tcW w:w="329" w:type="pct"/>
          </w:tcPr>
          <w:p w14:paraId="4350F433" w14:textId="3D657565" w:rsidR="005A5328" w:rsidRPr="00677316" w:rsidRDefault="00564BE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p>
        </w:tc>
        <w:tc>
          <w:tcPr>
            <w:tcW w:w="613" w:type="pct"/>
            <w:shd w:val="clear" w:color="auto" w:fill="auto"/>
          </w:tcPr>
          <w:p w14:paraId="13B52930" w14:textId="01FECA95" w:rsidR="005A5328" w:rsidRPr="00677316" w:rsidRDefault="009A786A"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A215CF">
              <w:rPr>
                <w:rFonts w:asciiTheme="minorHAnsi" w:hAnsiTheme="minorHAnsi" w:cstheme="minorHAnsi"/>
                <w:b/>
                <w:bCs/>
                <w:color w:val="000000"/>
                <w:sz w:val="22"/>
                <w:szCs w:val="22"/>
              </w:rPr>
              <w:t>01.5</w:t>
            </w:r>
          </w:p>
        </w:tc>
        <w:tc>
          <w:tcPr>
            <w:tcW w:w="564" w:type="pct"/>
            <w:shd w:val="solid" w:color="FFFFFF" w:fill="auto"/>
          </w:tcPr>
          <w:p w14:paraId="27F9D60E" w14:textId="77777777" w:rsidR="005A5328"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31.6</w:t>
            </w:r>
          </w:p>
        </w:tc>
      </w:tr>
      <w:tr w:rsidR="001B44AF" w:rsidRPr="00677316" w14:paraId="48F9791E" w14:textId="77777777" w:rsidTr="00B5644E">
        <w:trPr>
          <w:trHeight w:val="223"/>
        </w:trPr>
        <w:tc>
          <w:tcPr>
            <w:tcW w:w="3494" w:type="pct"/>
            <w:gridSpan w:val="2"/>
            <w:shd w:val="solid" w:color="FFFFFF" w:fill="auto"/>
          </w:tcPr>
          <w:p w14:paraId="232AD9E4" w14:textId="77777777" w:rsidR="00DE7410" w:rsidRPr="00677316" w:rsidRDefault="00DE7410" w:rsidP="00CD73B1">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Total current liabilities</w:t>
            </w:r>
          </w:p>
        </w:tc>
        <w:tc>
          <w:tcPr>
            <w:tcW w:w="329" w:type="pct"/>
          </w:tcPr>
          <w:p w14:paraId="3DF5BE05"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bottom w:val="single" w:sz="4" w:space="0" w:color="auto"/>
            </w:tcBorders>
            <w:shd w:val="clear" w:color="auto" w:fill="auto"/>
          </w:tcPr>
          <w:p w14:paraId="17879684" w14:textId="36AB2F17" w:rsidR="00DE7410" w:rsidRPr="00677316"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4,064.3</w:t>
            </w:r>
          </w:p>
        </w:tc>
        <w:tc>
          <w:tcPr>
            <w:tcW w:w="564" w:type="pct"/>
            <w:tcBorders>
              <w:top w:val="single" w:sz="4" w:space="0" w:color="auto"/>
              <w:bottom w:val="single" w:sz="4" w:space="0" w:color="auto"/>
            </w:tcBorders>
            <w:shd w:val="solid" w:color="FFFFFF" w:fill="auto"/>
          </w:tcPr>
          <w:p w14:paraId="47A6117B" w14:textId="749612A0"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w:t>
            </w:r>
            <w:r w:rsidR="00A215CF">
              <w:rPr>
                <w:rFonts w:asciiTheme="minorHAnsi" w:hAnsiTheme="minorHAnsi" w:cstheme="minorHAnsi"/>
                <w:color w:val="000000"/>
                <w:sz w:val="22"/>
                <w:szCs w:val="22"/>
              </w:rPr>
              <w:t>096.6</w:t>
            </w:r>
          </w:p>
        </w:tc>
      </w:tr>
      <w:tr w:rsidR="001B44AF" w:rsidRPr="00677316" w14:paraId="18DCB592" w14:textId="77777777" w:rsidTr="00B5644E">
        <w:trPr>
          <w:trHeight w:val="223"/>
        </w:trPr>
        <w:tc>
          <w:tcPr>
            <w:tcW w:w="3494" w:type="pct"/>
            <w:gridSpan w:val="2"/>
            <w:shd w:val="solid" w:color="FFFFFF" w:fill="auto"/>
          </w:tcPr>
          <w:p w14:paraId="25A86125" w14:textId="77777777" w:rsidR="00DE7410" w:rsidRPr="00677316" w:rsidRDefault="00DE7410" w:rsidP="00CD73B1">
            <w:pPr>
              <w:autoSpaceDE w:val="0"/>
              <w:autoSpaceDN w:val="0"/>
              <w:adjustRightInd w:val="0"/>
              <w:ind w:left="38"/>
              <w:rPr>
                <w:rFonts w:asciiTheme="minorHAnsi" w:hAnsiTheme="minorHAnsi" w:cstheme="minorHAnsi"/>
                <w:b/>
                <w:bCs/>
                <w:color w:val="000000"/>
                <w:sz w:val="22"/>
                <w:szCs w:val="22"/>
              </w:rPr>
            </w:pPr>
          </w:p>
        </w:tc>
        <w:tc>
          <w:tcPr>
            <w:tcW w:w="329" w:type="pct"/>
          </w:tcPr>
          <w:p w14:paraId="47A39BD6"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tcBorders>
            <w:shd w:val="clear" w:color="auto" w:fill="auto"/>
          </w:tcPr>
          <w:p w14:paraId="6A9E40F3"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564" w:type="pct"/>
            <w:tcBorders>
              <w:top w:val="single" w:sz="4" w:space="0" w:color="auto"/>
            </w:tcBorders>
            <w:shd w:val="solid" w:color="FFFFFF" w:fill="auto"/>
          </w:tcPr>
          <w:p w14:paraId="542E8CCF" w14:textId="77777777" w:rsidR="00DE7410" w:rsidRPr="00677316" w:rsidRDefault="00DE7410" w:rsidP="00CD73B1">
            <w:pPr>
              <w:autoSpaceDE w:val="0"/>
              <w:autoSpaceDN w:val="0"/>
              <w:adjustRightInd w:val="0"/>
              <w:jc w:val="right"/>
              <w:rPr>
                <w:rFonts w:asciiTheme="minorHAnsi" w:hAnsiTheme="minorHAnsi" w:cstheme="minorHAnsi"/>
                <w:color w:val="000000"/>
                <w:sz w:val="22"/>
                <w:szCs w:val="22"/>
              </w:rPr>
            </w:pPr>
          </w:p>
        </w:tc>
      </w:tr>
      <w:tr w:rsidR="001B44AF" w:rsidRPr="00677316" w14:paraId="00B3613F" w14:textId="77777777" w:rsidTr="00B5644E">
        <w:trPr>
          <w:trHeight w:val="211"/>
        </w:trPr>
        <w:tc>
          <w:tcPr>
            <w:tcW w:w="3494" w:type="pct"/>
            <w:gridSpan w:val="2"/>
            <w:shd w:val="solid" w:color="FFFFFF" w:fill="auto"/>
          </w:tcPr>
          <w:p w14:paraId="662E69BE" w14:textId="77777777" w:rsidR="00DE7410" w:rsidRPr="00677316" w:rsidRDefault="00DE7410" w:rsidP="00CD73B1">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Non-current liabilities</w:t>
            </w:r>
          </w:p>
        </w:tc>
        <w:tc>
          <w:tcPr>
            <w:tcW w:w="329" w:type="pct"/>
          </w:tcPr>
          <w:p w14:paraId="1D9B97B6"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7517D3FE" w14:textId="77777777" w:rsidR="00DE7410" w:rsidRPr="00DE40D4" w:rsidRDefault="00DE7410" w:rsidP="00CD73B1">
            <w:pPr>
              <w:autoSpaceDE w:val="0"/>
              <w:autoSpaceDN w:val="0"/>
              <w:adjustRightInd w:val="0"/>
              <w:jc w:val="right"/>
              <w:rPr>
                <w:rFonts w:asciiTheme="minorHAnsi" w:hAnsiTheme="minorHAnsi" w:cstheme="minorHAnsi"/>
                <w:b/>
                <w:bCs/>
                <w:color w:val="000000"/>
                <w:sz w:val="22"/>
                <w:szCs w:val="22"/>
              </w:rPr>
            </w:pPr>
          </w:p>
        </w:tc>
        <w:tc>
          <w:tcPr>
            <w:tcW w:w="564" w:type="pct"/>
            <w:shd w:val="solid" w:color="FFFFFF" w:fill="auto"/>
          </w:tcPr>
          <w:p w14:paraId="2E2C9DED" w14:textId="77777777" w:rsidR="00DE7410" w:rsidRPr="00677316" w:rsidRDefault="00DE7410" w:rsidP="00CD73B1">
            <w:pPr>
              <w:autoSpaceDE w:val="0"/>
              <w:autoSpaceDN w:val="0"/>
              <w:adjustRightInd w:val="0"/>
              <w:jc w:val="right"/>
              <w:rPr>
                <w:rFonts w:asciiTheme="minorHAnsi" w:hAnsiTheme="minorHAnsi" w:cstheme="minorHAnsi"/>
                <w:color w:val="000000"/>
                <w:sz w:val="22"/>
                <w:szCs w:val="22"/>
              </w:rPr>
            </w:pPr>
          </w:p>
        </w:tc>
      </w:tr>
      <w:tr w:rsidR="001B44AF" w:rsidRPr="00677316" w14:paraId="7070C15A" w14:textId="77777777" w:rsidTr="00B5644E">
        <w:trPr>
          <w:trHeight w:val="211"/>
        </w:trPr>
        <w:tc>
          <w:tcPr>
            <w:tcW w:w="3494" w:type="pct"/>
            <w:gridSpan w:val="2"/>
            <w:shd w:val="solid" w:color="FFFFFF" w:fill="auto"/>
          </w:tcPr>
          <w:p w14:paraId="7CA660AF"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Provisions</w:t>
            </w:r>
          </w:p>
        </w:tc>
        <w:tc>
          <w:tcPr>
            <w:tcW w:w="329" w:type="pct"/>
          </w:tcPr>
          <w:p w14:paraId="15D81FA0" w14:textId="4746166A"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1F41FA7E" w14:textId="4C762FFC" w:rsidR="00DE7410" w:rsidRPr="00DE40D4"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54.4</w:t>
            </w:r>
          </w:p>
        </w:tc>
        <w:tc>
          <w:tcPr>
            <w:tcW w:w="564" w:type="pct"/>
            <w:shd w:val="solid" w:color="FFFFFF" w:fill="auto"/>
          </w:tcPr>
          <w:p w14:paraId="4133848C" w14:textId="09A828F4" w:rsidR="00DE7410" w:rsidRPr="00677316" w:rsidRDefault="00A215CF"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135.6</w:t>
            </w:r>
          </w:p>
        </w:tc>
      </w:tr>
      <w:tr w:rsidR="001B44AF" w:rsidRPr="00677316" w14:paraId="6EAD99E3" w14:textId="77777777" w:rsidTr="00B5644E">
        <w:trPr>
          <w:trHeight w:val="211"/>
        </w:trPr>
        <w:tc>
          <w:tcPr>
            <w:tcW w:w="3494" w:type="pct"/>
            <w:gridSpan w:val="2"/>
            <w:shd w:val="solid" w:color="FFFFFF" w:fill="auto"/>
          </w:tcPr>
          <w:p w14:paraId="30B69960" w14:textId="77777777" w:rsidR="00DE7410" w:rsidRPr="00677316" w:rsidRDefault="00DE7410" w:rsidP="00CD73B1">
            <w:pPr>
              <w:tabs>
                <w:tab w:val="left" w:pos="4080"/>
              </w:tabs>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Derivative financial instruments</w:t>
            </w:r>
            <w:r w:rsidRPr="00677316">
              <w:rPr>
                <w:rFonts w:asciiTheme="minorHAnsi" w:hAnsiTheme="minorHAnsi" w:cstheme="minorHAnsi"/>
                <w:color w:val="000000"/>
                <w:sz w:val="22"/>
                <w:szCs w:val="22"/>
              </w:rPr>
              <w:tab/>
            </w:r>
          </w:p>
        </w:tc>
        <w:tc>
          <w:tcPr>
            <w:tcW w:w="329" w:type="pct"/>
          </w:tcPr>
          <w:p w14:paraId="6826BF21" w14:textId="597DBA0F" w:rsidR="00DE7410" w:rsidRPr="00677316" w:rsidRDefault="009A786A"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w:t>
            </w:r>
          </w:p>
        </w:tc>
        <w:tc>
          <w:tcPr>
            <w:tcW w:w="613" w:type="pct"/>
            <w:shd w:val="clear" w:color="auto" w:fill="auto"/>
          </w:tcPr>
          <w:p w14:paraId="317F4B3A" w14:textId="6127161E" w:rsidR="00DE7410" w:rsidRPr="00DE40D4"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5.7</w:t>
            </w:r>
          </w:p>
        </w:tc>
        <w:tc>
          <w:tcPr>
            <w:tcW w:w="564" w:type="pct"/>
            <w:shd w:val="solid" w:color="FFFFFF" w:fill="auto"/>
          </w:tcPr>
          <w:p w14:paraId="7B75BBAB"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8.0</w:t>
            </w:r>
          </w:p>
        </w:tc>
      </w:tr>
      <w:tr w:rsidR="001B44AF" w:rsidRPr="00677316" w14:paraId="2A53C2EF" w14:textId="77777777" w:rsidTr="00B5644E">
        <w:trPr>
          <w:trHeight w:val="211"/>
        </w:trPr>
        <w:tc>
          <w:tcPr>
            <w:tcW w:w="3494" w:type="pct"/>
            <w:gridSpan w:val="2"/>
            <w:shd w:val="solid" w:color="FFFFFF" w:fill="auto"/>
          </w:tcPr>
          <w:p w14:paraId="14F58298"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Deferred tax</w:t>
            </w:r>
          </w:p>
        </w:tc>
        <w:tc>
          <w:tcPr>
            <w:tcW w:w="329" w:type="pct"/>
          </w:tcPr>
          <w:p w14:paraId="299FAEB4" w14:textId="4757BCBF" w:rsidR="00DE7410" w:rsidRPr="00677316" w:rsidRDefault="009A786A"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p>
        </w:tc>
        <w:tc>
          <w:tcPr>
            <w:tcW w:w="613" w:type="pct"/>
            <w:shd w:val="clear" w:color="auto" w:fill="auto"/>
          </w:tcPr>
          <w:p w14:paraId="6DFDECAE" w14:textId="27CF3076" w:rsidR="00DE7410" w:rsidRPr="00DE40D4" w:rsidRDefault="00E470CC"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A215CF">
              <w:rPr>
                <w:rFonts w:asciiTheme="minorHAnsi" w:hAnsiTheme="minorHAnsi" w:cstheme="minorHAnsi"/>
                <w:b/>
                <w:bCs/>
                <w:color w:val="000000"/>
                <w:sz w:val="22"/>
                <w:szCs w:val="22"/>
              </w:rPr>
              <w:t>82.7</w:t>
            </w:r>
          </w:p>
        </w:tc>
        <w:tc>
          <w:tcPr>
            <w:tcW w:w="564" w:type="pct"/>
            <w:shd w:val="solid" w:color="FFFFFF" w:fill="auto"/>
          </w:tcPr>
          <w:p w14:paraId="416DBF61"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460.6</w:t>
            </w:r>
          </w:p>
        </w:tc>
      </w:tr>
      <w:tr w:rsidR="001B44AF" w:rsidRPr="00677316" w14:paraId="673219D5" w14:textId="77777777" w:rsidTr="00B5644E">
        <w:trPr>
          <w:trHeight w:val="211"/>
        </w:trPr>
        <w:tc>
          <w:tcPr>
            <w:tcW w:w="3494" w:type="pct"/>
            <w:gridSpan w:val="2"/>
          </w:tcPr>
          <w:p w14:paraId="6A6A045E" w14:textId="77777777" w:rsidR="00DE7410" w:rsidRPr="00677316" w:rsidRDefault="00E470CC" w:rsidP="00CD73B1">
            <w:pPr>
              <w:autoSpaceDE w:val="0"/>
              <w:autoSpaceDN w:val="0"/>
              <w:adjustRightInd w:val="0"/>
              <w:ind w:left="38"/>
              <w:rPr>
                <w:rFonts w:asciiTheme="minorHAnsi" w:hAnsiTheme="minorHAnsi" w:cstheme="minorHAnsi"/>
                <w:color w:val="000000"/>
                <w:sz w:val="22"/>
                <w:szCs w:val="22"/>
              </w:rPr>
            </w:pPr>
            <w:r>
              <w:rPr>
                <w:rFonts w:asciiTheme="minorHAnsi" w:hAnsiTheme="minorHAnsi" w:cstheme="minorHAnsi"/>
                <w:color w:val="000000"/>
                <w:sz w:val="22"/>
                <w:szCs w:val="22"/>
              </w:rPr>
              <w:t>Non-current lease liability</w:t>
            </w:r>
          </w:p>
        </w:tc>
        <w:tc>
          <w:tcPr>
            <w:tcW w:w="329" w:type="pct"/>
          </w:tcPr>
          <w:p w14:paraId="0036772C" w14:textId="77777777" w:rsidR="00DE7410" w:rsidRPr="00677316" w:rsidRDefault="007B7A52"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p>
        </w:tc>
        <w:tc>
          <w:tcPr>
            <w:tcW w:w="613" w:type="pct"/>
            <w:shd w:val="clear" w:color="auto" w:fill="auto"/>
          </w:tcPr>
          <w:p w14:paraId="4486917A" w14:textId="42029E2D" w:rsidR="00DE7410" w:rsidRPr="00DE40D4" w:rsidRDefault="00A215C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159.3</w:t>
            </w:r>
          </w:p>
        </w:tc>
        <w:tc>
          <w:tcPr>
            <w:tcW w:w="564" w:type="pct"/>
            <w:shd w:val="solid" w:color="FFFFFF" w:fill="auto"/>
          </w:tcPr>
          <w:p w14:paraId="7987BB87"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B44AF" w:rsidRPr="00677316" w14:paraId="042A18D3" w14:textId="77777777" w:rsidTr="00B5644E">
        <w:trPr>
          <w:trHeight w:val="223"/>
        </w:trPr>
        <w:tc>
          <w:tcPr>
            <w:tcW w:w="3494" w:type="pct"/>
            <w:gridSpan w:val="2"/>
            <w:shd w:val="solid" w:color="FFFFFF" w:fill="auto"/>
          </w:tcPr>
          <w:p w14:paraId="081600E2"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Non-current maturities of debt</w:t>
            </w:r>
          </w:p>
        </w:tc>
        <w:tc>
          <w:tcPr>
            <w:tcW w:w="329" w:type="pct"/>
          </w:tcPr>
          <w:p w14:paraId="4F2CA548"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bottom w:val="single" w:sz="4" w:space="0" w:color="auto"/>
            </w:tcBorders>
            <w:shd w:val="clear" w:color="auto" w:fill="auto"/>
          </w:tcPr>
          <w:p w14:paraId="7ECDAA6C" w14:textId="060B7429" w:rsidR="00DE7410" w:rsidRPr="00DE40D4" w:rsidRDefault="00564BE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w:t>
            </w:r>
            <w:r w:rsidR="00E470CC">
              <w:rPr>
                <w:rFonts w:asciiTheme="minorHAnsi" w:hAnsiTheme="minorHAnsi" w:cstheme="minorHAnsi"/>
                <w:b/>
                <w:bCs/>
                <w:color w:val="000000"/>
                <w:sz w:val="22"/>
                <w:szCs w:val="22"/>
              </w:rPr>
              <w:t>,</w:t>
            </w:r>
            <w:r w:rsidR="00A215CF">
              <w:rPr>
                <w:rFonts w:asciiTheme="minorHAnsi" w:hAnsiTheme="minorHAnsi" w:cstheme="minorHAnsi"/>
                <w:b/>
                <w:bCs/>
                <w:color w:val="000000"/>
                <w:sz w:val="22"/>
                <w:szCs w:val="22"/>
              </w:rPr>
              <w:t>836.9</w:t>
            </w:r>
          </w:p>
        </w:tc>
        <w:tc>
          <w:tcPr>
            <w:tcW w:w="564" w:type="pct"/>
            <w:tcBorders>
              <w:bottom w:val="single" w:sz="4" w:space="0" w:color="auto"/>
            </w:tcBorders>
            <w:shd w:val="solid" w:color="FFFFFF" w:fill="auto"/>
          </w:tcPr>
          <w:p w14:paraId="330FE753"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3,335.0</w:t>
            </w:r>
          </w:p>
        </w:tc>
      </w:tr>
      <w:tr w:rsidR="001B44AF" w:rsidRPr="00677316" w14:paraId="63CB4754" w14:textId="77777777" w:rsidTr="00B5644E">
        <w:trPr>
          <w:trHeight w:val="223"/>
        </w:trPr>
        <w:tc>
          <w:tcPr>
            <w:tcW w:w="3494" w:type="pct"/>
            <w:gridSpan w:val="2"/>
            <w:shd w:val="solid" w:color="FFFFFF" w:fill="auto"/>
          </w:tcPr>
          <w:p w14:paraId="5E06F692" w14:textId="77777777" w:rsidR="00DE7410" w:rsidRPr="00677316" w:rsidRDefault="00DE7410" w:rsidP="00CD73B1">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Total non-current liabilities</w:t>
            </w:r>
          </w:p>
        </w:tc>
        <w:tc>
          <w:tcPr>
            <w:tcW w:w="329" w:type="pct"/>
          </w:tcPr>
          <w:p w14:paraId="4C2E276A"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bottom w:val="single" w:sz="4" w:space="0" w:color="auto"/>
            </w:tcBorders>
            <w:shd w:val="clear" w:color="auto" w:fill="auto"/>
          </w:tcPr>
          <w:p w14:paraId="21AAE853" w14:textId="43324DBF" w:rsidR="00DE7410" w:rsidRPr="00DE40D4" w:rsidRDefault="00E470CC"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A215CF">
              <w:rPr>
                <w:rFonts w:asciiTheme="minorHAnsi" w:hAnsiTheme="minorHAnsi" w:cstheme="minorHAnsi"/>
                <w:b/>
                <w:bCs/>
                <w:color w:val="000000"/>
                <w:sz w:val="22"/>
                <w:szCs w:val="22"/>
              </w:rPr>
              <w:t>539.0</w:t>
            </w:r>
          </w:p>
        </w:tc>
        <w:tc>
          <w:tcPr>
            <w:tcW w:w="564" w:type="pct"/>
            <w:tcBorders>
              <w:top w:val="single" w:sz="4" w:space="0" w:color="auto"/>
              <w:bottom w:val="single" w:sz="4" w:space="0" w:color="auto"/>
            </w:tcBorders>
            <w:shd w:val="solid" w:color="FFFFFF" w:fill="auto"/>
          </w:tcPr>
          <w:p w14:paraId="349F7153" w14:textId="06C3131B"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w:t>
            </w:r>
            <w:r w:rsidR="00A215CF">
              <w:rPr>
                <w:rFonts w:asciiTheme="minorHAnsi" w:hAnsiTheme="minorHAnsi" w:cstheme="minorHAnsi"/>
                <w:color w:val="000000"/>
                <w:sz w:val="22"/>
                <w:szCs w:val="22"/>
              </w:rPr>
              <w:t>939.2</w:t>
            </w:r>
          </w:p>
        </w:tc>
      </w:tr>
      <w:tr w:rsidR="00C6668E" w:rsidRPr="00677316" w14:paraId="3F6206C5" w14:textId="77777777" w:rsidTr="00B5644E">
        <w:trPr>
          <w:trHeight w:val="211"/>
        </w:trPr>
        <w:tc>
          <w:tcPr>
            <w:tcW w:w="2498" w:type="pct"/>
            <w:shd w:val="solid" w:color="FFFFFF" w:fill="auto"/>
          </w:tcPr>
          <w:p w14:paraId="087C5AFA" w14:textId="77777777" w:rsidR="00DE7410" w:rsidRPr="00677316" w:rsidRDefault="00DE7410" w:rsidP="00CD73B1">
            <w:pPr>
              <w:autoSpaceDE w:val="0"/>
              <w:autoSpaceDN w:val="0"/>
              <w:adjustRightInd w:val="0"/>
              <w:ind w:left="38"/>
              <w:jc w:val="right"/>
              <w:rPr>
                <w:rFonts w:asciiTheme="minorHAnsi" w:hAnsiTheme="minorHAnsi" w:cstheme="minorHAnsi"/>
                <w:color w:val="000000"/>
                <w:sz w:val="22"/>
                <w:szCs w:val="22"/>
              </w:rPr>
            </w:pPr>
          </w:p>
        </w:tc>
        <w:tc>
          <w:tcPr>
            <w:tcW w:w="996" w:type="pct"/>
            <w:shd w:val="solid" w:color="FFFFFF" w:fill="auto"/>
          </w:tcPr>
          <w:p w14:paraId="25BAED28" w14:textId="77777777" w:rsidR="00DE7410" w:rsidRPr="00677316" w:rsidRDefault="00DE7410" w:rsidP="00CD73B1">
            <w:pPr>
              <w:autoSpaceDE w:val="0"/>
              <w:autoSpaceDN w:val="0"/>
              <w:adjustRightInd w:val="0"/>
              <w:ind w:left="38"/>
              <w:jc w:val="right"/>
              <w:rPr>
                <w:rFonts w:asciiTheme="minorHAnsi" w:hAnsiTheme="minorHAnsi" w:cstheme="minorHAnsi"/>
                <w:color w:val="000000"/>
                <w:sz w:val="22"/>
                <w:szCs w:val="22"/>
              </w:rPr>
            </w:pPr>
          </w:p>
        </w:tc>
        <w:tc>
          <w:tcPr>
            <w:tcW w:w="329" w:type="pct"/>
          </w:tcPr>
          <w:p w14:paraId="0F28E430" w14:textId="77777777" w:rsidR="00DE7410" w:rsidRPr="00677316" w:rsidRDefault="00DE7410" w:rsidP="00CD73B1">
            <w:pPr>
              <w:autoSpaceDE w:val="0"/>
              <w:autoSpaceDN w:val="0"/>
              <w:adjustRightInd w:val="0"/>
              <w:rPr>
                <w:rFonts w:asciiTheme="minorHAnsi" w:hAnsiTheme="minorHAnsi" w:cstheme="minorHAnsi"/>
                <w:b/>
                <w:bCs/>
                <w:color w:val="000000"/>
                <w:sz w:val="22"/>
                <w:szCs w:val="22"/>
              </w:rPr>
            </w:pPr>
          </w:p>
        </w:tc>
        <w:tc>
          <w:tcPr>
            <w:tcW w:w="613" w:type="pct"/>
            <w:tcBorders>
              <w:top w:val="single" w:sz="4" w:space="0" w:color="auto"/>
            </w:tcBorders>
            <w:shd w:val="clear" w:color="auto" w:fill="auto"/>
          </w:tcPr>
          <w:p w14:paraId="2EC6B1F2" w14:textId="77777777" w:rsidR="00DE7410" w:rsidRPr="00DE40D4" w:rsidRDefault="00DE7410" w:rsidP="00CD73B1">
            <w:pPr>
              <w:autoSpaceDE w:val="0"/>
              <w:autoSpaceDN w:val="0"/>
              <w:adjustRightInd w:val="0"/>
              <w:rPr>
                <w:rFonts w:asciiTheme="minorHAnsi" w:hAnsiTheme="minorHAnsi" w:cstheme="minorHAnsi"/>
                <w:b/>
                <w:bCs/>
                <w:color w:val="000000"/>
                <w:sz w:val="22"/>
                <w:szCs w:val="22"/>
              </w:rPr>
            </w:pPr>
          </w:p>
        </w:tc>
        <w:tc>
          <w:tcPr>
            <w:tcW w:w="564" w:type="pct"/>
            <w:tcBorders>
              <w:top w:val="single" w:sz="4" w:space="0" w:color="auto"/>
            </w:tcBorders>
            <w:shd w:val="solid" w:color="FFFFFF" w:fill="auto"/>
          </w:tcPr>
          <w:p w14:paraId="17A566B6" w14:textId="77777777" w:rsidR="00DE7410" w:rsidRPr="00677316" w:rsidRDefault="00DE7410" w:rsidP="00CD73B1">
            <w:pPr>
              <w:autoSpaceDE w:val="0"/>
              <w:autoSpaceDN w:val="0"/>
              <w:adjustRightInd w:val="0"/>
              <w:rPr>
                <w:rFonts w:asciiTheme="minorHAnsi" w:hAnsiTheme="minorHAnsi" w:cstheme="minorHAnsi"/>
                <w:color w:val="000000"/>
                <w:sz w:val="22"/>
                <w:szCs w:val="22"/>
              </w:rPr>
            </w:pPr>
          </w:p>
        </w:tc>
      </w:tr>
      <w:tr w:rsidR="001B44AF" w:rsidRPr="00677316" w14:paraId="2D9BBCC1" w14:textId="77777777" w:rsidTr="00B5644E">
        <w:trPr>
          <w:trHeight w:val="80"/>
        </w:trPr>
        <w:tc>
          <w:tcPr>
            <w:tcW w:w="3494" w:type="pct"/>
            <w:gridSpan w:val="2"/>
            <w:shd w:val="solid" w:color="FFFFFF" w:fill="auto"/>
          </w:tcPr>
          <w:p w14:paraId="2EAA8551" w14:textId="77777777" w:rsidR="00DE7410" w:rsidRPr="00677316" w:rsidRDefault="00DE7410" w:rsidP="00CD73B1">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Shareholders' equity</w:t>
            </w:r>
          </w:p>
        </w:tc>
        <w:tc>
          <w:tcPr>
            <w:tcW w:w="329" w:type="pct"/>
          </w:tcPr>
          <w:p w14:paraId="5EC92E6B"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6706AF56" w14:textId="77777777" w:rsidR="00DE7410" w:rsidRPr="00DE40D4" w:rsidRDefault="00DE7410" w:rsidP="00CD73B1">
            <w:pPr>
              <w:autoSpaceDE w:val="0"/>
              <w:autoSpaceDN w:val="0"/>
              <w:adjustRightInd w:val="0"/>
              <w:jc w:val="right"/>
              <w:rPr>
                <w:rFonts w:asciiTheme="minorHAnsi" w:hAnsiTheme="minorHAnsi" w:cstheme="minorHAnsi"/>
                <w:b/>
                <w:bCs/>
                <w:color w:val="000000"/>
                <w:sz w:val="22"/>
                <w:szCs w:val="22"/>
              </w:rPr>
            </w:pPr>
          </w:p>
        </w:tc>
        <w:tc>
          <w:tcPr>
            <w:tcW w:w="564" w:type="pct"/>
            <w:shd w:val="solid" w:color="FFFFFF" w:fill="auto"/>
          </w:tcPr>
          <w:p w14:paraId="068168BD" w14:textId="77777777" w:rsidR="00DE7410" w:rsidRPr="00677316" w:rsidRDefault="00DE7410" w:rsidP="00CD73B1">
            <w:pPr>
              <w:autoSpaceDE w:val="0"/>
              <w:autoSpaceDN w:val="0"/>
              <w:adjustRightInd w:val="0"/>
              <w:jc w:val="right"/>
              <w:rPr>
                <w:rFonts w:asciiTheme="minorHAnsi" w:hAnsiTheme="minorHAnsi" w:cstheme="minorHAnsi"/>
                <w:color w:val="000000"/>
                <w:sz w:val="22"/>
                <w:szCs w:val="22"/>
              </w:rPr>
            </w:pPr>
          </w:p>
        </w:tc>
      </w:tr>
      <w:tr w:rsidR="001B44AF" w:rsidRPr="00677316" w14:paraId="6418DD1D" w14:textId="77777777" w:rsidTr="00B5644E">
        <w:trPr>
          <w:trHeight w:val="211"/>
        </w:trPr>
        <w:tc>
          <w:tcPr>
            <w:tcW w:w="3494" w:type="pct"/>
            <w:gridSpan w:val="2"/>
            <w:shd w:val="solid" w:color="FFFFFF" w:fill="auto"/>
          </w:tcPr>
          <w:p w14:paraId="4AA50464"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Issued share capital</w:t>
            </w:r>
          </w:p>
        </w:tc>
        <w:tc>
          <w:tcPr>
            <w:tcW w:w="329" w:type="pct"/>
          </w:tcPr>
          <w:p w14:paraId="37A646B9" w14:textId="77777777" w:rsidR="00DE7410" w:rsidRPr="00677316" w:rsidRDefault="00613B47"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4E3273">
              <w:rPr>
                <w:rFonts w:asciiTheme="minorHAnsi" w:hAnsiTheme="minorHAnsi" w:cstheme="minorHAnsi"/>
                <w:b/>
                <w:bCs/>
                <w:color w:val="000000"/>
                <w:sz w:val="22"/>
                <w:szCs w:val="22"/>
              </w:rPr>
              <w:t>3</w:t>
            </w:r>
          </w:p>
        </w:tc>
        <w:tc>
          <w:tcPr>
            <w:tcW w:w="613" w:type="pct"/>
            <w:shd w:val="clear" w:color="auto" w:fill="auto"/>
          </w:tcPr>
          <w:p w14:paraId="00F3EB3F" w14:textId="6EBAC48D" w:rsidR="00DE7410" w:rsidRPr="00A871EC" w:rsidRDefault="00BF433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w:t>
            </w:r>
            <w:r w:rsidR="00A215CF">
              <w:rPr>
                <w:rFonts w:asciiTheme="minorHAnsi" w:hAnsiTheme="minorHAnsi" w:cstheme="minorHAnsi"/>
                <w:b/>
                <w:bCs/>
                <w:color w:val="000000"/>
                <w:sz w:val="22"/>
                <w:szCs w:val="22"/>
              </w:rPr>
              <w:t>6</w:t>
            </w:r>
          </w:p>
        </w:tc>
        <w:tc>
          <w:tcPr>
            <w:tcW w:w="564" w:type="pct"/>
            <w:shd w:val="clear" w:color="auto" w:fill="auto"/>
          </w:tcPr>
          <w:p w14:paraId="289480AB"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6.8</w:t>
            </w:r>
          </w:p>
        </w:tc>
      </w:tr>
      <w:tr w:rsidR="001B44AF" w:rsidRPr="00677316" w14:paraId="148CB203" w14:textId="77777777" w:rsidTr="00B5644E">
        <w:trPr>
          <w:trHeight w:val="211"/>
        </w:trPr>
        <w:tc>
          <w:tcPr>
            <w:tcW w:w="3494" w:type="pct"/>
            <w:gridSpan w:val="2"/>
            <w:shd w:val="solid" w:color="FFFFFF" w:fill="auto"/>
          </w:tcPr>
          <w:p w14:paraId="28E78155"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Share premium account</w:t>
            </w:r>
          </w:p>
        </w:tc>
        <w:tc>
          <w:tcPr>
            <w:tcW w:w="329" w:type="pct"/>
          </w:tcPr>
          <w:p w14:paraId="5459694D"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auto"/>
          </w:tcPr>
          <w:p w14:paraId="05299D7F" w14:textId="16289858" w:rsidR="00DE7410" w:rsidRPr="00A871EC" w:rsidRDefault="00E470CC"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w:t>
            </w:r>
            <w:r w:rsidR="00A215CF">
              <w:rPr>
                <w:rFonts w:asciiTheme="minorHAnsi" w:hAnsiTheme="minorHAnsi" w:cstheme="minorHAnsi"/>
                <w:b/>
                <w:bCs/>
                <w:color w:val="000000"/>
                <w:sz w:val="22"/>
                <w:szCs w:val="22"/>
              </w:rPr>
              <w:t>31.4</w:t>
            </w:r>
          </w:p>
        </w:tc>
        <w:tc>
          <w:tcPr>
            <w:tcW w:w="564" w:type="pct"/>
            <w:shd w:val="clear" w:color="auto" w:fill="auto"/>
          </w:tcPr>
          <w:p w14:paraId="288BC18B" w14:textId="77777777" w:rsidR="00DE7410" w:rsidRPr="00677316" w:rsidRDefault="00613B47"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719.4</w:t>
            </w:r>
          </w:p>
        </w:tc>
      </w:tr>
      <w:tr w:rsidR="001B44AF" w:rsidRPr="00677316" w14:paraId="2ABD6F23" w14:textId="77777777" w:rsidTr="00B5644E">
        <w:trPr>
          <w:trHeight w:val="211"/>
        </w:trPr>
        <w:tc>
          <w:tcPr>
            <w:tcW w:w="3494" w:type="pct"/>
            <w:gridSpan w:val="2"/>
            <w:shd w:val="solid" w:color="FFFFFF" w:fill="auto"/>
          </w:tcPr>
          <w:p w14:paraId="7495DFA0" w14:textId="77777777" w:rsidR="00DE7410" w:rsidRPr="00677316" w:rsidRDefault="00010C77" w:rsidP="00CD73B1">
            <w:pPr>
              <w:autoSpaceDE w:val="0"/>
              <w:autoSpaceDN w:val="0"/>
              <w:adjustRightInd w:val="0"/>
              <w:ind w:left="38"/>
              <w:rPr>
                <w:rFonts w:asciiTheme="minorHAnsi" w:hAnsiTheme="minorHAnsi" w:cstheme="minorHAnsi"/>
                <w:color w:val="000000"/>
                <w:sz w:val="22"/>
                <w:szCs w:val="22"/>
              </w:rPr>
            </w:pPr>
            <w:r>
              <w:rPr>
                <w:rFonts w:asciiTheme="minorHAnsi" w:hAnsiTheme="minorHAnsi" w:cstheme="minorHAnsi"/>
                <w:color w:val="000000"/>
                <w:sz w:val="22"/>
                <w:szCs w:val="22"/>
              </w:rPr>
              <w:t xml:space="preserve">Other </w:t>
            </w:r>
            <w:proofErr w:type="spellStart"/>
            <w:r>
              <w:rPr>
                <w:rFonts w:asciiTheme="minorHAnsi" w:hAnsiTheme="minorHAnsi" w:cstheme="minorHAnsi"/>
                <w:color w:val="000000"/>
                <w:sz w:val="22"/>
                <w:szCs w:val="22"/>
              </w:rPr>
              <w:t>undenominated</w:t>
            </w:r>
            <w:proofErr w:type="spellEnd"/>
            <w:r>
              <w:rPr>
                <w:rFonts w:asciiTheme="minorHAnsi" w:hAnsiTheme="minorHAnsi" w:cstheme="minorHAnsi"/>
                <w:color w:val="000000"/>
                <w:sz w:val="22"/>
                <w:szCs w:val="22"/>
              </w:rPr>
              <w:t xml:space="preserve"> capital</w:t>
            </w:r>
          </w:p>
        </w:tc>
        <w:tc>
          <w:tcPr>
            <w:tcW w:w="329" w:type="pct"/>
          </w:tcPr>
          <w:p w14:paraId="34B0E25B" w14:textId="77777777" w:rsidR="00DE7410" w:rsidRPr="00677316" w:rsidRDefault="00613B47"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4E3273">
              <w:rPr>
                <w:rFonts w:asciiTheme="minorHAnsi" w:hAnsiTheme="minorHAnsi" w:cstheme="minorHAnsi"/>
                <w:b/>
                <w:bCs/>
                <w:color w:val="000000"/>
                <w:sz w:val="22"/>
                <w:szCs w:val="22"/>
              </w:rPr>
              <w:t>3</w:t>
            </w:r>
          </w:p>
        </w:tc>
        <w:tc>
          <w:tcPr>
            <w:tcW w:w="613" w:type="pct"/>
            <w:shd w:val="clear" w:color="auto" w:fill="auto"/>
          </w:tcPr>
          <w:p w14:paraId="00E87FD3" w14:textId="1103F974" w:rsidR="00DE7410" w:rsidRPr="00A871EC" w:rsidRDefault="00BF433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w:t>
            </w:r>
            <w:r w:rsidR="00A215CF">
              <w:rPr>
                <w:rFonts w:asciiTheme="minorHAnsi" w:hAnsiTheme="minorHAnsi" w:cstheme="minorHAnsi"/>
                <w:b/>
                <w:bCs/>
                <w:color w:val="000000"/>
                <w:sz w:val="22"/>
                <w:szCs w:val="22"/>
              </w:rPr>
              <w:t>4</w:t>
            </w:r>
          </w:p>
        </w:tc>
        <w:tc>
          <w:tcPr>
            <w:tcW w:w="564" w:type="pct"/>
            <w:shd w:val="clear" w:color="auto" w:fill="auto"/>
          </w:tcPr>
          <w:p w14:paraId="727C6F0E"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3.2</w:t>
            </w:r>
          </w:p>
        </w:tc>
      </w:tr>
      <w:tr w:rsidR="001B44AF" w:rsidRPr="00677316" w14:paraId="311BE227" w14:textId="77777777" w:rsidTr="00B5644E">
        <w:trPr>
          <w:trHeight w:val="211"/>
        </w:trPr>
        <w:tc>
          <w:tcPr>
            <w:tcW w:w="3494" w:type="pct"/>
            <w:gridSpan w:val="2"/>
            <w:shd w:val="solid" w:color="FFFFFF" w:fill="auto"/>
          </w:tcPr>
          <w:p w14:paraId="405D6B41"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Retained earnings</w:t>
            </w:r>
          </w:p>
        </w:tc>
        <w:tc>
          <w:tcPr>
            <w:tcW w:w="329" w:type="pct"/>
          </w:tcPr>
          <w:p w14:paraId="5AE878C6" w14:textId="77777777" w:rsidR="00DE7410" w:rsidRPr="00677316" w:rsidRDefault="00613B47"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4E3273">
              <w:rPr>
                <w:rFonts w:asciiTheme="minorHAnsi" w:hAnsiTheme="minorHAnsi" w:cstheme="minorHAnsi"/>
                <w:b/>
                <w:bCs/>
                <w:color w:val="000000"/>
                <w:sz w:val="22"/>
                <w:szCs w:val="22"/>
              </w:rPr>
              <w:t>3</w:t>
            </w:r>
          </w:p>
        </w:tc>
        <w:tc>
          <w:tcPr>
            <w:tcW w:w="613" w:type="pct"/>
            <w:shd w:val="clear" w:color="auto" w:fill="auto"/>
          </w:tcPr>
          <w:p w14:paraId="236E2DCE" w14:textId="463C61A4" w:rsidR="00DE7410" w:rsidRPr="00A871EC" w:rsidRDefault="00564BE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w:t>
            </w:r>
            <w:r w:rsidR="00E470CC">
              <w:rPr>
                <w:rFonts w:asciiTheme="minorHAnsi" w:hAnsiTheme="minorHAnsi" w:cstheme="minorHAnsi"/>
                <w:b/>
                <w:bCs/>
                <w:color w:val="000000"/>
                <w:sz w:val="22"/>
                <w:szCs w:val="22"/>
              </w:rPr>
              <w:t>,</w:t>
            </w:r>
            <w:r w:rsidR="00A215CF">
              <w:rPr>
                <w:rFonts w:asciiTheme="minorHAnsi" w:hAnsiTheme="minorHAnsi" w:cstheme="minorHAnsi"/>
                <w:b/>
                <w:bCs/>
                <w:color w:val="000000"/>
                <w:sz w:val="22"/>
                <w:szCs w:val="22"/>
              </w:rPr>
              <w:t>044.4</w:t>
            </w:r>
          </w:p>
        </w:tc>
        <w:tc>
          <w:tcPr>
            <w:tcW w:w="564" w:type="pct"/>
            <w:shd w:val="clear" w:color="auto" w:fill="auto"/>
          </w:tcPr>
          <w:p w14:paraId="54E00490"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4,181.9</w:t>
            </w:r>
          </w:p>
        </w:tc>
      </w:tr>
      <w:tr w:rsidR="001B44AF" w:rsidRPr="00677316" w14:paraId="6BC2F71C" w14:textId="77777777" w:rsidTr="00B5644E">
        <w:trPr>
          <w:trHeight w:val="223"/>
        </w:trPr>
        <w:tc>
          <w:tcPr>
            <w:tcW w:w="3494" w:type="pct"/>
            <w:gridSpan w:val="2"/>
            <w:shd w:val="solid" w:color="FFFFFF" w:fill="auto"/>
          </w:tcPr>
          <w:p w14:paraId="15BFC3D8" w14:textId="77777777" w:rsidR="00DE7410" w:rsidRPr="00677316" w:rsidRDefault="00DE7410" w:rsidP="00CD73B1">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Other reserves</w:t>
            </w:r>
          </w:p>
        </w:tc>
        <w:tc>
          <w:tcPr>
            <w:tcW w:w="329" w:type="pct"/>
          </w:tcPr>
          <w:p w14:paraId="78C8E87E"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bottom w:val="single" w:sz="4" w:space="0" w:color="auto"/>
            </w:tcBorders>
            <w:shd w:val="clear" w:color="auto" w:fill="auto"/>
          </w:tcPr>
          <w:p w14:paraId="4E8C1E5C" w14:textId="683052AC" w:rsidR="00DE7410" w:rsidRPr="00A871EC" w:rsidRDefault="00A54FC4"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A215CF">
              <w:rPr>
                <w:rFonts w:asciiTheme="minorHAnsi" w:hAnsiTheme="minorHAnsi" w:cstheme="minorHAnsi"/>
                <w:b/>
                <w:bCs/>
                <w:color w:val="000000"/>
                <w:sz w:val="22"/>
                <w:szCs w:val="22"/>
              </w:rPr>
              <w:t>71.9</w:t>
            </w:r>
          </w:p>
        </w:tc>
        <w:tc>
          <w:tcPr>
            <w:tcW w:w="564" w:type="pct"/>
            <w:tcBorders>
              <w:bottom w:val="single" w:sz="4" w:space="0" w:color="auto"/>
            </w:tcBorders>
            <w:shd w:val="clear" w:color="auto" w:fill="auto"/>
          </w:tcPr>
          <w:p w14:paraId="7075A189"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303.6</w:t>
            </w:r>
          </w:p>
        </w:tc>
      </w:tr>
      <w:tr w:rsidR="001B44AF" w:rsidRPr="00677316" w14:paraId="317410C6" w14:textId="77777777" w:rsidTr="00B5644E">
        <w:trPr>
          <w:trHeight w:val="223"/>
        </w:trPr>
        <w:tc>
          <w:tcPr>
            <w:tcW w:w="3494" w:type="pct"/>
            <w:gridSpan w:val="2"/>
            <w:shd w:val="solid" w:color="FFFFFF" w:fill="auto"/>
          </w:tcPr>
          <w:p w14:paraId="318ECE35" w14:textId="77777777" w:rsidR="00DE7410" w:rsidRPr="00677316" w:rsidRDefault="00DE7410" w:rsidP="00CD73B1">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Shareholders' equity</w:t>
            </w:r>
          </w:p>
        </w:tc>
        <w:tc>
          <w:tcPr>
            <w:tcW w:w="329" w:type="pct"/>
          </w:tcPr>
          <w:p w14:paraId="4E89836C"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bottom w:val="single" w:sz="4" w:space="0" w:color="auto"/>
            </w:tcBorders>
            <w:shd w:val="clear" w:color="auto" w:fill="auto"/>
          </w:tcPr>
          <w:p w14:paraId="0C839A9B" w14:textId="6A9A23DA" w:rsidR="00DE7410" w:rsidRPr="00A871EC" w:rsidRDefault="00564BEF"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w:t>
            </w:r>
            <w:r w:rsidR="00E470CC">
              <w:rPr>
                <w:rFonts w:asciiTheme="minorHAnsi" w:hAnsiTheme="minorHAnsi" w:cstheme="minorHAnsi"/>
                <w:b/>
                <w:bCs/>
                <w:color w:val="000000"/>
                <w:sz w:val="22"/>
                <w:szCs w:val="22"/>
              </w:rPr>
              <w:t>,</w:t>
            </w:r>
            <w:r w:rsidR="00A215CF">
              <w:rPr>
                <w:rFonts w:asciiTheme="minorHAnsi" w:hAnsiTheme="minorHAnsi" w:cstheme="minorHAnsi"/>
                <w:b/>
                <w:bCs/>
                <w:color w:val="000000"/>
                <w:sz w:val="22"/>
                <w:szCs w:val="22"/>
              </w:rPr>
              <w:t>257.7</w:t>
            </w:r>
          </w:p>
        </w:tc>
        <w:tc>
          <w:tcPr>
            <w:tcW w:w="564" w:type="pct"/>
            <w:tcBorders>
              <w:top w:val="single" w:sz="4" w:space="0" w:color="auto"/>
              <w:bottom w:val="single" w:sz="4" w:space="0" w:color="auto"/>
            </w:tcBorders>
            <w:shd w:val="clear" w:color="auto" w:fill="auto"/>
          </w:tcPr>
          <w:p w14:paraId="2FCEF404" w14:textId="77777777" w:rsidR="00DE7410"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5,214.9</w:t>
            </w:r>
          </w:p>
        </w:tc>
      </w:tr>
      <w:tr w:rsidR="00C6668E" w:rsidRPr="00677316" w14:paraId="5CFFF121" w14:textId="77777777" w:rsidTr="00B5644E">
        <w:trPr>
          <w:trHeight w:val="211"/>
        </w:trPr>
        <w:tc>
          <w:tcPr>
            <w:tcW w:w="2498" w:type="pct"/>
            <w:shd w:val="solid" w:color="FFFFFF" w:fill="auto"/>
          </w:tcPr>
          <w:p w14:paraId="4CB4552B" w14:textId="77777777" w:rsidR="00DE7410" w:rsidRPr="00677316" w:rsidRDefault="00DE7410" w:rsidP="00CD73B1">
            <w:pPr>
              <w:autoSpaceDE w:val="0"/>
              <w:autoSpaceDN w:val="0"/>
              <w:adjustRightInd w:val="0"/>
              <w:ind w:left="38"/>
              <w:jc w:val="right"/>
              <w:rPr>
                <w:rFonts w:asciiTheme="minorHAnsi" w:hAnsiTheme="minorHAnsi" w:cstheme="minorHAnsi"/>
                <w:color w:val="000000"/>
                <w:sz w:val="22"/>
                <w:szCs w:val="22"/>
              </w:rPr>
            </w:pPr>
          </w:p>
        </w:tc>
        <w:tc>
          <w:tcPr>
            <w:tcW w:w="996" w:type="pct"/>
            <w:shd w:val="solid" w:color="FFFFFF" w:fill="auto"/>
          </w:tcPr>
          <w:p w14:paraId="3D343946" w14:textId="77777777" w:rsidR="00DE7410" w:rsidRPr="00677316" w:rsidRDefault="00DE7410" w:rsidP="00CD73B1">
            <w:pPr>
              <w:autoSpaceDE w:val="0"/>
              <w:autoSpaceDN w:val="0"/>
              <w:adjustRightInd w:val="0"/>
              <w:ind w:left="38"/>
              <w:jc w:val="right"/>
              <w:rPr>
                <w:rFonts w:asciiTheme="minorHAnsi" w:hAnsiTheme="minorHAnsi" w:cstheme="minorHAnsi"/>
                <w:color w:val="000000"/>
                <w:sz w:val="22"/>
                <w:szCs w:val="22"/>
              </w:rPr>
            </w:pPr>
          </w:p>
        </w:tc>
        <w:tc>
          <w:tcPr>
            <w:tcW w:w="329" w:type="pct"/>
          </w:tcPr>
          <w:p w14:paraId="1786066D" w14:textId="77777777" w:rsidR="00DE7410" w:rsidRPr="00677316" w:rsidRDefault="00DE7410"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tcBorders>
            <w:shd w:val="clear" w:color="auto" w:fill="auto"/>
          </w:tcPr>
          <w:p w14:paraId="0BB14ED4" w14:textId="77777777" w:rsidR="00DE7410" w:rsidRPr="00A871EC" w:rsidRDefault="00DE7410" w:rsidP="00CD73B1">
            <w:pPr>
              <w:autoSpaceDE w:val="0"/>
              <w:autoSpaceDN w:val="0"/>
              <w:adjustRightInd w:val="0"/>
              <w:jc w:val="right"/>
              <w:rPr>
                <w:rFonts w:asciiTheme="minorHAnsi" w:hAnsiTheme="minorHAnsi" w:cstheme="minorHAnsi"/>
                <w:b/>
                <w:bCs/>
                <w:color w:val="000000"/>
                <w:sz w:val="22"/>
                <w:szCs w:val="22"/>
              </w:rPr>
            </w:pPr>
          </w:p>
        </w:tc>
        <w:tc>
          <w:tcPr>
            <w:tcW w:w="564" w:type="pct"/>
            <w:tcBorders>
              <w:top w:val="single" w:sz="4" w:space="0" w:color="auto"/>
            </w:tcBorders>
            <w:shd w:val="clear" w:color="auto" w:fill="auto"/>
          </w:tcPr>
          <w:p w14:paraId="2C29DC94" w14:textId="77777777" w:rsidR="00DE7410" w:rsidRPr="00677316" w:rsidRDefault="00DE7410" w:rsidP="00CD73B1">
            <w:pPr>
              <w:autoSpaceDE w:val="0"/>
              <w:autoSpaceDN w:val="0"/>
              <w:adjustRightInd w:val="0"/>
              <w:jc w:val="right"/>
              <w:rPr>
                <w:rFonts w:asciiTheme="minorHAnsi" w:hAnsiTheme="minorHAnsi" w:cstheme="minorHAnsi"/>
                <w:color w:val="000000"/>
                <w:sz w:val="22"/>
                <w:szCs w:val="22"/>
              </w:rPr>
            </w:pPr>
          </w:p>
        </w:tc>
      </w:tr>
      <w:tr w:rsidR="00C6668E" w:rsidRPr="00677316" w14:paraId="6C99FD5C" w14:textId="77777777" w:rsidTr="00B5644E">
        <w:trPr>
          <w:trHeight w:val="211"/>
        </w:trPr>
        <w:tc>
          <w:tcPr>
            <w:tcW w:w="2498" w:type="pct"/>
            <w:shd w:val="solid" w:color="FFFFFF" w:fill="auto"/>
          </w:tcPr>
          <w:p w14:paraId="61D2773F" w14:textId="77777777" w:rsidR="00C6668E" w:rsidRPr="00677316" w:rsidRDefault="00C6668E" w:rsidP="00CD73B1">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b/>
                <w:bCs/>
                <w:color w:val="000000"/>
                <w:sz w:val="22"/>
                <w:szCs w:val="22"/>
              </w:rPr>
              <w:t>Total liabilities and shareholders' equity</w:t>
            </w:r>
          </w:p>
        </w:tc>
        <w:tc>
          <w:tcPr>
            <w:tcW w:w="996" w:type="pct"/>
            <w:shd w:val="solid" w:color="FFFFFF" w:fill="auto"/>
          </w:tcPr>
          <w:p w14:paraId="62359A2E" w14:textId="77777777" w:rsidR="00C6668E" w:rsidRPr="00677316" w:rsidRDefault="00C6668E" w:rsidP="00CD73B1">
            <w:pPr>
              <w:autoSpaceDE w:val="0"/>
              <w:autoSpaceDN w:val="0"/>
              <w:adjustRightInd w:val="0"/>
              <w:ind w:left="38"/>
              <w:jc w:val="right"/>
              <w:rPr>
                <w:rFonts w:asciiTheme="minorHAnsi" w:hAnsiTheme="minorHAnsi" w:cstheme="minorHAnsi"/>
                <w:color w:val="000000"/>
                <w:sz w:val="22"/>
                <w:szCs w:val="22"/>
              </w:rPr>
            </w:pPr>
          </w:p>
        </w:tc>
        <w:tc>
          <w:tcPr>
            <w:tcW w:w="329" w:type="pct"/>
          </w:tcPr>
          <w:p w14:paraId="3D68BEF0" w14:textId="77777777" w:rsidR="00C6668E" w:rsidRPr="00677316" w:rsidRDefault="00C6668E" w:rsidP="00CD73B1">
            <w:pPr>
              <w:autoSpaceDE w:val="0"/>
              <w:autoSpaceDN w:val="0"/>
              <w:adjustRightInd w:val="0"/>
              <w:jc w:val="right"/>
              <w:rPr>
                <w:rFonts w:asciiTheme="minorHAnsi" w:hAnsiTheme="minorHAnsi" w:cstheme="minorHAnsi"/>
                <w:b/>
                <w:bCs/>
                <w:color w:val="000000"/>
                <w:sz w:val="22"/>
                <w:szCs w:val="22"/>
              </w:rPr>
            </w:pPr>
          </w:p>
        </w:tc>
        <w:tc>
          <w:tcPr>
            <w:tcW w:w="613" w:type="pct"/>
            <w:tcBorders>
              <w:bottom w:val="single" w:sz="4" w:space="0" w:color="auto"/>
            </w:tcBorders>
            <w:shd w:val="clear" w:color="auto" w:fill="auto"/>
          </w:tcPr>
          <w:p w14:paraId="7671CA10" w14:textId="7944C09C" w:rsidR="00C6668E" w:rsidRPr="00A871EC" w:rsidRDefault="00E470CC" w:rsidP="00CD73B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14,</w:t>
            </w:r>
            <w:r w:rsidR="00A215CF">
              <w:rPr>
                <w:rFonts w:asciiTheme="minorHAnsi" w:hAnsiTheme="minorHAnsi" w:cstheme="minorHAnsi"/>
                <w:b/>
                <w:bCs/>
                <w:color w:val="000000"/>
                <w:sz w:val="22"/>
                <w:szCs w:val="22"/>
              </w:rPr>
              <w:t>861.0</w:t>
            </w:r>
          </w:p>
        </w:tc>
        <w:tc>
          <w:tcPr>
            <w:tcW w:w="564" w:type="pct"/>
            <w:tcBorders>
              <w:bottom w:val="single" w:sz="4" w:space="0" w:color="auto"/>
            </w:tcBorders>
            <w:shd w:val="clear" w:color="auto" w:fill="auto"/>
          </w:tcPr>
          <w:p w14:paraId="0661AF98" w14:textId="77777777" w:rsidR="00C6668E" w:rsidRPr="00677316" w:rsidRDefault="00E470CC" w:rsidP="00CD73B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13,250.7</w:t>
            </w:r>
          </w:p>
        </w:tc>
      </w:tr>
    </w:tbl>
    <w:p w14:paraId="6A999387" w14:textId="77777777" w:rsidR="00CD73B1" w:rsidRDefault="00CD73B1"/>
    <w:p w14:paraId="20BD8B78" w14:textId="77777777" w:rsidR="00CD73B1" w:rsidRPr="00CD73B1" w:rsidRDefault="00CD73B1" w:rsidP="00CD73B1"/>
    <w:p w14:paraId="229C43E0" w14:textId="77777777" w:rsidR="00CD73B1" w:rsidRPr="00CD73B1" w:rsidRDefault="00CD73B1" w:rsidP="00CD73B1"/>
    <w:p w14:paraId="5FE4B493" w14:textId="77777777" w:rsidR="00CD73B1" w:rsidRPr="00CD73B1" w:rsidRDefault="00CD73B1" w:rsidP="00CD73B1"/>
    <w:p w14:paraId="63F06130" w14:textId="77777777" w:rsidR="00CD73B1" w:rsidRDefault="00CD73B1"/>
    <w:p w14:paraId="4767DDD9" w14:textId="6BD78AE4" w:rsidR="00005CC8" w:rsidRDefault="00CD73B1" w:rsidP="00005CC8">
      <w:pPr>
        <w:tabs>
          <w:tab w:val="left" w:pos="2010"/>
        </w:tabs>
      </w:pPr>
      <w:r>
        <w:tab/>
      </w:r>
    </w:p>
    <w:p w14:paraId="46F82BFD" w14:textId="39BC56C3" w:rsidR="00005CC8" w:rsidRDefault="00005CC8" w:rsidP="00005CC8">
      <w:pPr>
        <w:tabs>
          <w:tab w:val="left" w:pos="2010"/>
        </w:tabs>
      </w:pPr>
    </w:p>
    <w:p w14:paraId="0959461E" w14:textId="40E3A71E" w:rsidR="00005CC8" w:rsidRDefault="00005CC8" w:rsidP="00005CC8">
      <w:pPr>
        <w:tabs>
          <w:tab w:val="left" w:pos="2010"/>
        </w:tabs>
      </w:pPr>
    </w:p>
    <w:p w14:paraId="788F08E8" w14:textId="22559269" w:rsidR="00005CC8" w:rsidRDefault="00005CC8" w:rsidP="00005CC8">
      <w:pPr>
        <w:tabs>
          <w:tab w:val="left" w:pos="2010"/>
        </w:tabs>
      </w:pPr>
    </w:p>
    <w:p w14:paraId="47DE8FCD" w14:textId="403F7427" w:rsidR="00005CC8" w:rsidRDefault="00005CC8" w:rsidP="00005CC8">
      <w:pPr>
        <w:tabs>
          <w:tab w:val="left" w:pos="2010"/>
        </w:tabs>
      </w:pPr>
    </w:p>
    <w:p w14:paraId="5D57DD59" w14:textId="0ED38FBA" w:rsidR="00005CC8" w:rsidRDefault="00005CC8" w:rsidP="00005CC8">
      <w:pPr>
        <w:tabs>
          <w:tab w:val="left" w:pos="2010"/>
        </w:tabs>
      </w:pPr>
    </w:p>
    <w:p w14:paraId="653D97BA" w14:textId="06F2AD84" w:rsidR="00005CC8" w:rsidRDefault="00005CC8" w:rsidP="00005CC8">
      <w:pPr>
        <w:tabs>
          <w:tab w:val="left" w:pos="2010"/>
        </w:tabs>
      </w:pPr>
    </w:p>
    <w:p w14:paraId="26F7467E" w14:textId="775829AF" w:rsidR="00005CC8" w:rsidRDefault="00005CC8" w:rsidP="00005CC8">
      <w:pPr>
        <w:tabs>
          <w:tab w:val="left" w:pos="2010"/>
        </w:tabs>
      </w:pPr>
    </w:p>
    <w:p w14:paraId="0C441D95" w14:textId="2C2F8C1C" w:rsidR="00005CC8" w:rsidRDefault="00005CC8" w:rsidP="00005CC8">
      <w:pPr>
        <w:tabs>
          <w:tab w:val="left" w:pos="2010"/>
        </w:tabs>
      </w:pPr>
    </w:p>
    <w:p w14:paraId="371EE3BE" w14:textId="3713B422" w:rsidR="00005CC8" w:rsidRDefault="00005CC8" w:rsidP="00005CC8">
      <w:pPr>
        <w:tabs>
          <w:tab w:val="left" w:pos="2010"/>
        </w:tabs>
      </w:pPr>
    </w:p>
    <w:p w14:paraId="09F25A77" w14:textId="3185401A" w:rsidR="00005CC8" w:rsidRDefault="00005CC8" w:rsidP="00005CC8">
      <w:pPr>
        <w:tabs>
          <w:tab w:val="left" w:pos="2010"/>
        </w:tabs>
      </w:pPr>
    </w:p>
    <w:p w14:paraId="5FF8FA1D" w14:textId="6DA00E1D" w:rsidR="00005CC8" w:rsidRDefault="00005CC8" w:rsidP="00005CC8">
      <w:pPr>
        <w:tabs>
          <w:tab w:val="left" w:pos="2010"/>
        </w:tabs>
      </w:pPr>
    </w:p>
    <w:p w14:paraId="304A57BC" w14:textId="2F14A209" w:rsidR="00005CC8" w:rsidRDefault="00005CC8" w:rsidP="00005CC8">
      <w:pPr>
        <w:tabs>
          <w:tab w:val="left" w:pos="2010"/>
        </w:tabs>
      </w:pPr>
    </w:p>
    <w:p w14:paraId="45990BD6" w14:textId="1B67DF0B" w:rsidR="00005CC8" w:rsidRDefault="00005CC8" w:rsidP="00005CC8">
      <w:pPr>
        <w:tabs>
          <w:tab w:val="left" w:pos="2010"/>
        </w:tabs>
      </w:pPr>
    </w:p>
    <w:p w14:paraId="7AE47BB7" w14:textId="2A6B09B4" w:rsidR="00005CC8" w:rsidRDefault="00005CC8" w:rsidP="00005CC8">
      <w:pPr>
        <w:tabs>
          <w:tab w:val="left" w:pos="2010"/>
        </w:tabs>
      </w:pPr>
    </w:p>
    <w:p w14:paraId="675FF95B" w14:textId="67EE1663" w:rsidR="00005CC8" w:rsidRDefault="00005CC8" w:rsidP="00005CC8">
      <w:pPr>
        <w:tabs>
          <w:tab w:val="left" w:pos="2010"/>
        </w:tabs>
      </w:pPr>
    </w:p>
    <w:p w14:paraId="33DDB73F" w14:textId="77777777" w:rsidR="00005CC8" w:rsidRPr="00005CC8" w:rsidRDefault="00005CC8" w:rsidP="00005CC8">
      <w:pPr>
        <w:tabs>
          <w:tab w:val="left" w:pos="2010"/>
        </w:tabs>
      </w:pPr>
    </w:p>
    <w:p w14:paraId="61491D5A" w14:textId="77777777" w:rsidR="00005CC8" w:rsidRDefault="00005CC8" w:rsidP="00600F83">
      <w:pPr>
        <w:rPr>
          <w:rFonts w:asciiTheme="minorHAnsi" w:hAnsiTheme="minorHAnsi" w:cstheme="minorHAnsi"/>
          <w:b/>
          <w:bCs/>
          <w:color w:val="000000"/>
        </w:rPr>
      </w:pPr>
    </w:p>
    <w:p w14:paraId="5C3EBCD4" w14:textId="77777777" w:rsidR="00005CC8" w:rsidRDefault="00005CC8" w:rsidP="00600F83">
      <w:pPr>
        <w:rPr>
          <w:rFonts w:asciiTheme="minorHAnsi" w:hAnsiTheme="minorHAnsi" w:cstheme="minorHAnsi"/>
          <w:b/>
          <w:bCs/>
          <w:color w:val="000000"/>
        </w:rPr>
      </w:pPr>
    </w:p>
    <w:p w14:paraId="1DADB0AC" w14:textId="77777777" w:rsidR="00005CC8" w:rsidRDefault="00005CC8" w:rsidP="00600F83">
      <w:pPr>
        <w:rPr>
          <w:rFonts w:asciiTheme="minorHAnsi" w:hAnsiTheme="minorHAnsi" w:cstheme="minorHAnsi"/>
          <w:b/>
          <w:bCs/>
          <w:color w:val="000000"/>
        </w:rPr>
      </w:pPr>
    </w:p>
    <w:p w14:paraId="565EADAE" w14:textId="77777777" w:rsidR="00005CC8" w:rsidRDefault="00005CC8" w:rsidP="00600F83">
      <w:pPr>
        <w:rPr>
          <w:rFonts w:asciiTheme="minorHAnsi" w:hAnsiTheme="minorHAnsi" w:cstheme="minorHAnsi"/>
          <w:b/>
          <w:bCs/>
          <w:color w:val="000000"/>
        </w:rPr>
      </w:pPr>
    </w:p>
    <w:p w14:paraId="0852F3B1" w14:textId="77777777" w:rsidR="00005CC8" w:rsidRDefault="00005CC8" w:rsidP="00600F83">
      <w:pPr>
        <w:rPr>
          <w:rFonts w:asciiTheme="minorHAnsi" w:hAnsiTheme="minorHAnsi" w:cstheme="minorHAnsi"/>
          <w:b/>
          <w:bCs/>
          <w:color w:val="000000"/>
        </w:rPr>
      </w:pPr>
    </w:p>
    <w:p w14:paraId="5BCBB936" w14:textId="77777777" w:rsidR="00005CC8" w:rsidRPr="004043D3" w:rsidRDefault="00005CC8" w:rsidP="00005CC8">
      <w:pPr>
        <w:keepNext/>
        <w:pageBreakBefore/>
        <w:autoSpaceDE w:val="0"/>
        <w:autoSpaceDN w:val="0"/>
        <w:adjustRightInd w:val="0"/>
        <w:rPr>
          <w:rFonts w:ascii="Calibri" w:hAnsi="Calibri" w:cs="Calibri"/>
          <w:b/>
          <w:bCs/>
          <w:i/>
          <w:color w:val="000000"/>
        </w:rPr>
      </w:pPr>
      <w:r w:rsidRPr="00DB22BA">
        <w:rPr>
          <w:rFonts w:ascii="Calibri" w:hAnsi="Calibri" w:cs="Calibri"/>
          <w:b/>
          <w:bCs/>
          <w:i/>
          <w:color w:val="000000"/>
        </w:rPr>
        <w:lastRenderedPageBreak/>
        <w:t xml:space="preserve">Condensed Consolidated </w:t>
      </w:r>
      <w:r>
        <w:rPr>
          <w:rFonts w:ascii="Calibri" w:hAnsi="Calibri" w:cs="Calibri"/>
          <w:b/>
          <w:bCs/>
          <w:i/>
          <w:color w:val="000000"/>
        </w:rPr>
        <w:t xml:space="preserve">Interim </w:t>
      </w:r>
      <w:r w:rsidRPr="00DB22BA">
        <w:rPr>
          <w:rFonts w:ascii="Calibri" w:hAnsi="Calibri" w:cs="Calibri"/>
          <w:b/>
          <w:bCs/>
          <w:i/>
          <w:color w:val="000000"/>
        </w:rPr>
        <w:t>Income Statement for the</w:t>
      </w:r>
      <w:r>
        <w:rPr>
          <w:rFonts w:ascii="Calibri" w:hAnsi="Calibri" w:cs="Calibri"/>
          <w:b/>
          <w:bCs/>
          <w:i/>
          <w:color w:val="000000"/>
        </w:rPr>
        <w:t xml:space="preserve"> Quarter </w:t>
      </w:r>
      <w:r w:rsidRPr="00DB22BA">
        <w:rPr>
          <w:rFonts w:ascii="Calibri" w:hAnsi="Calibri" w:cs="Calibri"/>
          <w:b/>
          <w:bCs/>
          <w:i/>
          <w:color w:val="000000"/>
        </w:rPr>
        <w:t xml:space="preserve">ended </w:t>
      </w:r>
      <w:r>
        <w:rPr>
          <w:rFonts w:ascii="Calibri" w:hAnsi="Calibri" w:cs="Calibri"/>
          <w:b/>
          <w:bCs/>
          <w:i/>
          <w:color w:val="000000"/>
        </w:rPr>
        <w:t>December 31</w:t>
      </w:r>
      <w:r w:rsidRPr="00DB22BA">
        <w:rPr>
          <w:rFonts w:ascii="Calibri" w:hAnsi="Calibri" w:cs="Calibri"/>
          <w:b/>
          <w:bCs/>
          <w:i/>
          <w:color w:val="000000"/>
        </w:rPr>
        <w:t>, 201</w:t>
      </w:r>
      <w:r>
        <w:rPr>
          <w:rFonts w:ascii="Calibri" w:hAnsi="Calibri" w:cs="Calibri"/>
          <w:b/>
          <w:bCs/>
          <w:i/>
          <w:color w:val="000000"/>
        </w:rPr>
        <w:t>9</w:t>
      </w:r>
      <w:r w:rsidRPr="00DB22BA">
        <w:rPr>
          <w:rFonts w:ascii="Calibri" w:hAnsi="Calibri" w:cs="Calibri"/>
          <w:b/>
          <w:bCs/>
          <w:i/>
          <w:color w:val="000000"/>
        </w:rPr>
        <w:t xml:space="preserve"> (unaudited)</w:t>
      </w:r>
    </w:p>
    <w:tbl>
      <w:tblPr>
        <w:tblW w:w="10490" w:type="dxa"/>
        <w:tblLayout w:type="fixed"/>
        <w:tblLook w:val="0000" w:firstRow="0" w:lastRow="0" w:firstColumn="0" w:lastColumn="0" w:noHBand="0" w:noVBand="0"/>
      </w:tblPr>
      <w:tblGrid>
        <w:gridCol w:w="258"/>
        <w:gridCol w:w="5838"/>
        <w:gridCol w:w="708"/>
        <w:gridCol w:w="1276"/>
        <w:gridCol w:w="1276"/>
        <w:gridCol w:w="1134"/>
      </w:tblGrid>
      <w:tr w:rsidR="00005CC8" w:rsidRPr="0067660B" w14:paraId="7371FD81" w14:textId="77777777" w:rsidTr="00B06D81">
        <w:trPr>
          <w:trHeight w:val="223"/>
        </w:trPr>
        <w:tc>
          <w:tcPr>
            <w:tcW w:w="258" w:type="dxa"/>
            <w:tcBorders>
              <w:top w:val="nil"/>
              <w:left w:val="nil"/>
              <w:bottom w:val="nil"/>
              <w:right w:val="nil"/>
            </w:tcBorders>
          </w:tcPr>
          <w:p w14:paraId="318D37D7"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11A40A2D"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5D27165F"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tcBorders>
          </w:tcPr>
          <w:p w14:paraId="3F9212ED"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shd w:val="clear" w:color="auto" w:fill="auto"/>
          </w:tcPr>
          <w:p w14:paraId="61ECF4D3" w14:textId="77777777" w:rsidR="00005CC8" w:rsidRPr="00B33E58" w:rsidRDefault="00005CC8" w:rsidP="00B06D81">
            <w:pPr>
              <w:autoSpaceDE w:val="0"/>
              <w:autoSpaceDN w:val="0"/>
              <w:adjustRightInd w:val="0"/>
              <w:jc w:val="center"/>
              <w:rPr>
                <w:rFonts w:asciiTheme="minorHAnsi" w:hAnsiTheme="minorHAnsi" w:cstheme="minorHAnsi"/>
                <w:b/>
                <w:bCs/>
                <w:color w:val="000000"/>
                <w:sz w:val="22"/>
                <w:szCs w:val="22"/>
              </w:rPr>
            </w:pPr>
          </w:p>
        </w:tc>
        <w:tc>
          <w:tcPr>
            <w:tcW w:w="1134" w:type="dxa"/>
            <w:tcBorders>
              <w:left w:val="nil"/>
            </w:tcBorders>
          </w:tcPr>
          <w:p w14:paraId="5A791D9D" w14:textId="77777777" w:rsidR="00005CC8" w:rsidRPr="0067660B" w:rsidRDefault="00005CC8" w:rsidP="00B06D81">
            <w:pPr>
              <w:autoSpaceDE w:val="0"/>
              <w:autoSpaceDN w:val="0"/>
              <w:adjustRightInd w:val="0"/>
              <w:ind w:left="-226" w:firstLine="140"/>
              <w:jc w:val="right"/>
              <w:rPr>
                <w:rFonts w:asciiTheme="minorHAnsi" w:hAnsiTheme="minorHAnsi" w:cstheme="minorHAnsi"/>
                <w:bCs/>
                <w:color w:val="000000"/>
                <w:sz w:val="22"/>
                <w:szCs w:val="22"/>
              </w:rPr>
            </w:pPr>
          </w:p>
        </w:tc>
      </w:tr>
      <w:tr w:rsidR="00005CC8" w:rsidRPr="0067660B" w14:paraId="22204E01" w14:textId="77777777" w:rsidTr="00B06D81">
        <w:trPr>
          <w:trHeight w:val="223"/>
        </w:trPr>
        <w:tc>
          <w:tcPr>
            <w:tcW w:w="258" w:type="dxa"/>
            <w:tcBorders>
              <w:top w:val="nil"/>
              <w:left w:val="nil"/>
              <w:bottom w:val="nil"/>
              <w:right w:val="nil"/>
            </w:tcBorders>
          </w:tcPr>
          <w:p w14:paraId="77172629"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4E1FED1A"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39D7E22D"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tcBorders>
          </w:tcPr>
          <w:p w14:paraId="2A0CA91F"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bottom w:val="single" w:sz="4" w:space="0" w:color="auto"/>
            </w:tcBorders>
            <w:shd w:val="clear" w:color="auto" w:fill="auto"/>
          </w:tcPr>
          <w:p w14:paraId="42C0DCC2" w14:textId="77777777" w:rsidR="00005CC8" w:rsidRDefault="00005CC8" w:rsidP="00B06D81">
            <w:pPr>
              <w:autoSpaceDE w:val="0"/>
              <w:autoSpaceDN w:val="0"/>
              <w:adjustRightInd w:val="0"/>
              <w:jc w:val="right"/>
              <w:rPr>
                <w:rFonts w:asciiTheme="minorHAnsi" w:hAnsiTheme="minorHAnsi" w:cstheme="minorHAnsi"/>
                <w:b/>
                <w:bCs/>
                <w:color w:val="000000"/>
                <w:sz w:val="22"/>
                <w:szCs w:val="22"/>
              </w:rPr>
            </w:pPr>
          </w:p>
        </w:tc>
        <w:tc>
          <w:tcPr>
            <w:tcW w:w="1134" w:type="dxa"/>
            <w:tcBorders>
              <w:left w:val="nil"/>
              <w:bottom w:val="single" w:sz="4" w:space="0" w:color="auto"/>
            </w:tcBorders>
          </w:tcPr>
          <w:p w14:paraId="7BE1D7CA" w14:textId="77777777" w:rsidR="00005CC8" w:rsidRDefault="00005CC8" w:rsidP="00B06D81">
            <w:pPr>
              <w:autoSpaceDE w:val="0"/>
              <w:autoSpaceDN w:val="0"/>
              <w:adjustRightInd w:val="0"/>
              <w:ind w:left="-226" w:firstLine="140"/>
              <w:jc w:val="right"/>
              <w:rPr>
                <w:rFonts w:asciiTheme="minorHAnsi" w:hAnsiTheme="minorHAnsi" w:cstheme="minorHAnsi"/>
                <w:bCs/>
                <w:color w:val="000000"/>
                <w:sz w:val="22"/>
                <w:szCs w:val="22"/>
              </w:rPr>
            </w:pPr>
          </w:p>
        </w:tc>
      </w:tr>
      <w:tr w:rsidR="00005CC8" w:rsidRPr="0067660B" w14:paraId="394B9EF0" w14:textId="77777777" w:rsidTr="00B06D81">
        <w:trPr>
          <w:trHeight w:val="223"/>
        </w:trPr>
        <w:tc>
          <w:tcPr>
            <w:tcW w:w="258" w:type="dxa"/>
            <w:tcBorders>
              <w:top w:val="nil"/>
              <w:left w:val="nil"/>
              <w:bottom w:val="nil"/>
              <w:right w:val="nil"/>
            </w:tcBorders>
          </w:tcPr>
          <w:p w14:paraId="4C5D4C50"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32456BA2"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2C3F0623"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08DB2FDB"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bottom w:val="nil"/>
              <w:right w:val="single" w:sz="4" w:space="0" w:color="auto"/>
            </w:tcBorders>
            <w:shd w:val="clear" w:color="auto" w:fill="auto"/>
          </w:tcPr>
          <w:p w14:paraId="5BC78E71" w14:textId="77777777" w:rsidR="00005CC8" w:rsidRPr="00B33E58" w:rsidRDefault="00005CC8"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IFRS</w:t>
            </w:r>
          </w:p>
        </w:tc>
        <w:tc>
          <w:tcPr>
            <w:tcW w:w="1134" w:type="dxa"/>
            <w:tcBorders>
              <w:top w:val="single" w:sz="4" w:space="0" w:color="auto"/>
              <w:left w:val="single" w:sz="4" w:space="0" w:color="auto"/>
              <w:bottom w:val="nil"/>
              <w:right w:val="single" w:sz="4" w:space="0" w:color="auto"/>
            </w:tcBorders>
          </w:tcPr>
          <w:p w14:paraId="11B07380" w14:textId="77777777" w:rsidR="00005CC8" w:rsidRPr="0067660B" w:rsidRDefault="00005CC8" w:rsidP="00B06D81">
            <w:pPr>
              <w:autoSpaceDE w:val="0"/>
              <w:autoSpaceDN w:val="0"/>
              <w:adjustRightInd w:val="0"/>
              <w:ind w:left="-226" w:firstLine="14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IFRS</w:t>
            </w:r>
          </w:p>
        </w:tc>
      </w:tr>
      <w:tr w:rsidR="00005CC8" w:rsidRPr="0067660B" w14:paraId="2315AC38" w14:textId="77777777" w:rsidTr="00B06D81">
        <w:trPr>
          <w:trHeight w:val="223"/>
        </w:trPr>
        <w:tc>
          <w:tcPr>
            <w:tcW w:w="258" w:type="dxa"/>
            <w:tcBorders>
              <w:top w:val="nil"/>
              <w:left w:val="nil"/>
              <w:bottom w:val="nil"/>
              <w:right w:val="nil"/>
            </w:tcBorders>
          </w:tcPr>
          <w:p w14:paraId="251D21D3"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69A75DD0"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54C6DD50"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6C251D5A"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66E3F6FC" w14:textId="77777777" w:rsidR="00005CC8" w:rsidRPr="00B33E58" w:rsidRDefault="00005CC8"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Q3 Dec 31</w:t>
            </w:r>
          </w:p>
        </w:tc>
        <w:tc>
          <w:tcPr>
            <w:tcW w:w="1134" w:type="dxa"/>
            <w:tcBorders>
              <w:top w:val="nil"/>
              <w:left w:val="single" w:sz="4" w:space="0" w:color="auto"/>
              <w:bottom w:val="nil"/>
              <w:right w:val="single" w:sz="4" w:space="0" w:color="auto"/>
            </w:tcBorders>
          </w:tcPr>
          <w:p w14:paraId="528713F6" w14:textId="77777777" w:rsidR="00005CC8" w:rsidRDefault="00005CC8" w:rsidP="00B06D81">
            <w:pPr>
              <w:autoSpaceDE w:val="0"/>
              <w:autoSpaceDN w:val="0"/>
              <w:adjustRightInd w:val="0"/>
              <w:ind w:left="-226" w:firstLine="14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Q3 Dec 31</w:t>
            </w:r>
          </w:p>
        </w:tc>
      </w:tr>
      <w:tr w:rsidR="00005CC8" w:rsidRPr="0067660B" w14:paraId="55C82393" w14:textId="77777777" w:rsidTr="00B06D81">
        <w:trPr>
          <w:trHeight w:val="223"/>
        </w:trPr>
        <w:tc>
          <w:tcPr>
            <w:tcW w:w="258" w:type="dxa"/>
            <w:tcBorders>
              <w:top w:val="nil"/>
              <w:left w:val="nil"/>
              <w:bottom w:val="nil"/>
              <w:right w:val="nil"/>
            </w:tcBorders>
          </w:tcPr>
          <w:p w14:paraId="117CB0BF"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77953F0A"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33A0508E"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283F1D0C"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184A1773" w14:textId="77777777" w:rsidR="00005CC8" w:rsidRPr="00B33E58" w:rsidRDefault="00005CC8" w:rsidP="00B06D81">
            <w:pPr>
              <w:autoSpaceDE w:val="0"/>
              <w:autoSpaceDN w:val="0"/>
              <w:adjustRightInd w:val="0"/>
              <w:jc w:val="right"/>
              <w:rPr>
                <w:rFonts w:asciiTheme="minorHAnsi" w:hAnsiTheme="minorHAnsi" w:cstheme="minorHAnsi"/>
                <w:b/>
                <w:bCs/>
                <w:color w:val="000000"/>
                <w:sz w:val="22"/>
                <w:szCs w:val="22"/>
              </w:rPr>
            </w:pPr>
          </w:p>
        </w:tc>
        <w:tc>
          <w:tcPr>
            <w:tcW w:w="1134" w:type="dxa"/>
            <w:tcBorders>
              <w:top w:val="nil"/>
              <w:left w:val="single" w:sz="4" w:space="0" w:color="auto"/>
              <w:bottom w:val="nil"/>
              <w:right w:val="single" w:sz="4" w:space="0" w:color="auto"/>
            </w:tcBorders>
          </w:tcPr>
          <w:p w14:paraId="6D725231" w14:textId="77777777" w:rsidR="00005CC8" w:rsidRDefault="00005CC8" w:rsidP="00B06D81">
            <w:pPr>
              <w:autoSpaceDE w:val="0"/>
              <w:autoSpaceDN w:val="0"/>
              <w:adjustRightInd w:val="0"/>
              <w:ind w:left="-226" w:firstLine="140"/>
              <w:jc w:val="right"/>
              <w:rPr>
                <w:rFonts w:asciiTheme="minorHAnsi" w:hAnsiTheme="minorHAnsi" w:cstheme="minorHAnsi"/>
                <w:bCs/>
                <w:color w:val="000000"/>
                <w:sz w:val="22"/>
                <w:szCs w:val="22"/>
              </w:rPr>
            </w:pPr>
          </w:p>
        </w:tc>
      </w:tr>
      <w:tr w:rsidR="00005CC8" w:rsidRPr="0067660B" w14:paraId="04E4249D" w14:textId="77777777" w:rsidTr="00B06D81">
        <w:trPr>
          <w:trHeight w:val="223"/>
        </w:trPr>
        <w:tc>
          <w:tcPr>
            <w:tcW w:w="258" w:type="dxa"/>
            <w:tcBorders>
              <w:top w:val="nil"/>
              <w:left w:val="nil"/>
              <w:bottom w:val="nil"/>
              <w:right w:val="nil"/>
            </w:tcBorders>
          </w:tcPr>
          <w:p w14:paraId="7A09AF51"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6097AC5C"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35BC4207"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123DE302"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r w:rsidRPr="0067660B">
              <w:rPr>
                <w:rFonts w:asciiTheme="minorHAnsi" w:hAnsiTheme="minorHAnsi" w:cstheme="minorHAnsi"/>
                <w:bCs/>
                <w:color w:val="000000"/>
                <w:sz w:val="22"/>
                <w:szCs w:val="22"/>
              </w:rPr>
              <w:t>Change</w:t>
            </w:r>
          </w:p>
        </w:tc>
        <w:tc>
          <w:tcPr>
            <w:tcW w:w="1276" w:type="dxa"/>
            <w:tcBorders>
              <w:top w:val="nil"/>
              <w:bottom w:val="nil"/>
              <w:right w:val="single" w:sz="4" w:space="0" w:color="auto"/>
            </w:tcBorders>
            <w:shd w:val="clear" w:color="auto" w:fill="auto"/>
          </w:tcPr>
          <w:p w14:paraId="6B3A7CBF" w14:textId="77777777" w:rsidR="00005CC8" w:rsidRPr="00B33E58" w:rsidRDefault="00005CC8" w:rsidP="00B06D81">
            <w:pPr>
              <w:autoSpaceDE w:val="0"/>
              <w:autoSpaceDN w:val="0"/>
              <w:adjustRightInd w:val="0"/>
              <w:jc w:val="right"/>
              <w:rPr>
                <w:rFonts w:asciiTheme="minorHAnsi" w:hAnsiTheme="minorHAnsi" w:cstheme="minorHAnsi"/>
                <w:b/>
                <w:bCs/>
                <w:color w:val="000000"/>
                <w:sz w:val="22"/>
                <w:szCs w:val="22"/>
              </w:rPr>
            </w:pPr>
            <w:r w:rsidRPr="00B33E58">
              <w:rPr>
                <w:rFonts w:asciiTheme="minorHAnsi" w:hAnsiTheme="minorHAnsi" w:cstheme="minorHAnsi"/>
                <w:b/>
                <w:bCs/>
                <w:color w:val="000000"/>
                <w:sz w:val="22"/>
                <w:szCs w:val="22"/>
              </w:rPr>
              <w:t>201</w:t>
            </w:r>
            <w:r>
              <w:rPr>
                <w:rFonts w:asciiTheme="minorHAnsi" w:hAnsiTheme="minorHAnsi" w:cstheme="minorHAnsi"/>
                <w:b/>
                <w:bCs/>
                <w:color w:val="000000"/>
                <w:sz w:val="22"/>
                <w:szCs w:val="22"/>
              </w:rPr>
              <w:t>9</w:t>
            </w:r>
          </w:p>
        </w:tc>
        <w:tc>
          <w:tcPr>
            <w:tcW w:w="1134" w:type="dxa"/>
            <w:tcBorders>
              <w:top w:val="nil"/>
              <w:left w:val="single" w:sz="4" w:space="0" w:color="auto"/>
              <w:bottom w:val="nil"/>
              <w:right w:val="single" w:sz="4" w:space="0" w:color="auto"/>
            </w:tcBorders>
          </w:tcPr>
          <w:p w14:paraId="3DD08DFE" w14:textId="77777777" w:rsidR="00005CC8" w:rsidRPr="0067660B" w:rsidRDefault="00005CC8" w:rsidP="00B06D81">
            <w:pPr>
              <w:autoSpaceDE w:val="0"/>
              <w:autoSpaceDN w:val="0"/>
              <w:adjustRightInd w:val="0"/>
              <w:ind w:left="-226" w:firstLine="14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2018</w:t>
            </w:r>
          </w:p>
        </w:tc>
      </w:tr>
      <w:tr w:rsidR="00005CC8" w:rsidRPr="0067660B" w14:paraId="3836843F" w14:textId="77777777" w:rsidTr="00B06D81">
        <w:trPr>
          <w:trHeight w:val="223"/>
        </w:trPr>
        <w:tc>
          <w:tcPr>
            <w:tcW w:w="258" w:type="dxa"/>
            <w:tcBorders>
              <w:top w:val="nil"/>
              <w:left w:val="nil"/>
              <w:bottom w:val="nil"/>
              <w:right w:val="nil"/>
            </w:tcBorders>
          </w:tcPr>
          <w:p w14:paraId="3F5D5E9F"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7C03CD74"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38EDD739" w14:textId="77777777" w:rsidR="00005CC8" w:rsidRPr="000A6725" w:rsidRDefault="00005CC8" w:rsidP="00B06D81">
            <w:pPr>
              <w:autoSpaceDE w:val="0"/>
              <w:autoSpaceDN w:val="0"/>
              <w:adjustRightInd w:val="0"/>
              <w:jc w:val="right"/>
              <w:rPr>
                <w:rFonts w:asciiTheme="minorHAnsi" w:hAnsiTheme="minorHAnsi" w:cstheme="minorHAnsi"/>
                <w:b/>
                <w:bCs/>
                <w:color w:val="000000"/>
                <w:sz w:val="22"/>
                <w:szCs w:val="22"/>
                <w:u w:val="single"/>
              </w:rPr>
            </w:pPr>
            <w:r w:rsidRPr="000A6725">
              <w:rPr>
                <w:rFonts w:asciiTheme="minorHAnsi" w:hAnsiTheme="minorHAnsi" w:cstheme="minorHAnsi"/>
                <w:b/>
                <w:bCs/>
                <w:color w:val="000000"/>
                <w:sz w:val="22"/>
                <w:szCs w:val="22"/>
                <w:u w:val="single"/>
              </w:rPr>
              <w:t>Note</w:t>
            </w:r>
          </w:p>
        </w:tc>
        <w:tc>
          <w:tcPr>
            <w:tcW w:w="1276" w:type="dxa"/>
            <w:tcBorders>
              <w:top w:val="nil"/>
              <w:bottom w:val="nil"/>
              <w:right w:val="single" w:sz="4" w:space="0" w:color="auto"/>
            </w:tcBorders>
            <w:shd w:val="clear" w:color="auto" w:fill="auto"/>
          </w:tcPr>
          <w:p w14:paraId="176677C2"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u w:val="single"/>
              </w:rPr>
            </w:pPr>
            <w:r w:rsidRPr="0067660B">
              <w:rPr>
                <w:rFonts w:asciiTheme="minorHAnsi" w:hAnsiTheme="minorHAnsi" w:cstheme="minorHAnsi"/>
                <w:bCs/>
                <w:color w:val="000000"/>
                <w:sz w:val="22"/>
                <w:szCs w:val="22"/>
                <w:u w:val="single"/>
              </w:rPr>
              <w:t>%</w:t>
            </w:r>
          </w:p>
        </w:tc>
        <w:tc>
          <w:tcPr>
            <w:tcW w:w="1276" w:type="dxa"/>
            <w:tcBorders>
              <w:top w:val="nil"/>
              <w:bottom w:val="nil"/>
              <w:right w:val="single" w:sz="4" w:space="0" w:color="auto"/>
            </w:tcBorders>
            <w:shd w:val="clear" w:color="auto" w:fill="auto"/>
          </w:tcPr>
          <w:p w14:paraId="510CFCFB"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u w:val="single"/>
              </w:rPr>
            </w:pPr>
            <w:r w:rsidRPr="001B62F8">
              <w:rPr>
                <w:rFonts w:asciiTheme="minorHAnsi" w:hAnsiTheme="minorHAnsi" w:cstheme="minorHAnsi"/>
                <w:b/>
                <w:bCs/>
                <w:color w:val="000000"/>
                <w:sz w:val="22"/>
                <w:szCs w:val="22"/>
                <w:u w:val="single"/>
              </w:rPr>
              <w:t>€</w:t>
            </w:r>
            <w:r>
              <w:rPr>
                <w:rFonts w:asciiTheme="minorHAnsi" w:hAnsiTheme="minorHAnsi" w:cstheme="minorHAnsi"/>
                <w:b/>
                <w:bCs/>
                <w:color w:val="000000"/>
                <w:sz w:val="22"/>
                <w:szCs w:val="22"/>
                <w:u w:val="single"/>
              </w:rPr>
              <w:t>M</w:t>
            </w:r>
          </w:p>
        </w:tc>
        <w:tc>
          <w:tcPr>
            <w:tcW w:w="1134" w:type="dxa"/>
            <w:tcBorders>
              <w:top w:val="nil"/>
              <w:left w:val="single" w:sz="4" w:space="0" w:color="auto"/>
              <w:bottom w:val="nil"/>
              <w:right w:val="single" w:sz="4" w:space="0" w:color="auto"/>
            </w:tcBorders>
          </w:tcPr>
          <w:p w14:paraId="7A52092A" w14:textId="77777777" w:rsidR="00005CC8" w:rsidRPr="0067660B" w:rsidRDefault="00005CC8" w:rsidP="00B06D81">
            <w:pPr>
              <w:autoSpaceDE w:val="0"/>
              <w:autoSpaceDN w:val="0"/>
              <w:adjustRightInd w:val="0"/>
              <w:ind w:left="-226"/>
              <w:jc w:val="right"/>
              <w:rPr>
                <w:rFonts w:asciiTheme="minorHAnsi" w:hAnsiTheme="minorHAnsi" w:cstheme="minorHAnsi"/>
                <w:bCs/>
                <w:color w:val="000000"/>
                <w:sz w:val="22"/>
                <w:szCs w:val="22"/>
                <w:u w:val="single"/>
              </w:rPr>
            </w:pPr>
            <w:r w:rsidRPr="0067660B">
              <w:rPr>
                <w:rFonts w:asciiTheme="minorHAnsi" w:hAnsiTheme="minorHAnsi" w:cstheme="minorHAnsi"/>
                <w:bCs/>
                <w:color w:val="000000"/>
                <w:sz w:val="22"/>
                <w:szCs w:val="22"/>
                <w:u w:val="single"/>
              </w:rPr>
              <w:t>€</w:t>
            </w:r>
            <w:r>
              <w:rPr>
                <w:rFonts w:asciiTheme="minorHAnsi" w:hAnsiTheme="minorHAnsi" w:cstheme="minorHAnsi"/>
                <w:bCs/>
                <w:color w:val="000000"/>
                <w:sz w:val="22"/>
                <w:szCs w:val="22"/>
                <w:u w:val="single"/>
              </w:rPr>
              <w:t>M</w:t>
            </w:r>
          </w:p>
        </w:tc>
      </w:tr>
      <w:tr w:rsidR="00005CC8" w:rsidRPr="0067660B" w14:paraId="359EAA98" w14:textId="77777777" w:rsidTr="00B06D81">
        <w:trPr>
          <w:trHeight w:val="223"/>
        </w:trPr>
        <w:tc>
          <w:tcPr>
            <w:tcW w:w="6096" w:type="dxa"/>
            <w:gridSpan w:val="2"/>
            <w:tcBorders>
              <w:top w:val="nil"/>
              <w:left w:val="nil"/>
              <w:bottom w:val="nil"/>
            </w:tcBorders>
          </w:tcPr>
          <w:p w14:paraId="1E7C459F" w14:textId="77777777" w:rsidR="00005CC8" w:rsidRPr="00B86918" w:rsidRDefault="00005CC8" w:rsidP="00B06D81">
            <w:pPr>
              <w:autoSpaceDE w:val="0"/>
              <w:autoSpaceDN w:val="0"/>
              <w:adjustRightInd w:val="0"/>
              <w:rPr>
                <w:rFonts w:asciiTheme="minorHAnsi" w:hAnsiTheme="minorHAnsi" w:cstheme="minorHAnsi"/>
                <w:b/>
                <w:bCs/>
                <w:color w:val="000000"/>
                <w:sz w:val="22"/>
                <w:szCs w:val="22"/>
              </w:rPr>
            </w:pPr>
            <w:r w:rsidRPr="00B86918">
              <w:rPr>
                <w:rFonts w:asciiTheme="minorHAnsi" w:hAnsiTheme="minorHAnsi" w:cstheme="minorHAnsi"/>
                <w:b/>
                <w:bCs/>
                <w:color w:val="000000"/>
                <w:sz w:val="22"/>
                <w:szCs w:val="22"/>
              </w:rPr>
              <w:t>Operating revenues</w:t>
            </w:r>
          </w:p>
        </w:tc>
        <w:tc>
          <w:tcPr>
            <w:tcW w:w="708" w:type="dxa"/>
            <w:tcBorders>
              <w:top w:val="nil"/>
              <w:bottom w:val="nil"/>
            </w:tcBorders>
          </w:tcPr>
          <w:p w14:paraId="2087AB59"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1276" w:type="dxa"/>
            <w:tcBorders>
              <w:top w:val="nil"/>
              <w:bottom w:val="nil"/>
              <w:right w:val="single" w:sz="4" w:space="0" w:color="auto"/>
            </w:tcBorders>
          </w:tcPr>
          <w:p w14:paraId="0FC52CDB"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1276" w:type="dxa"/>
            <w:tcBorders>
              <w:top w:val="nil"/>
              <w:bottom w:val="nil"/>
              <w:right w:val="single" w:sz="4" w:space="0" w:color="auto"/>
            </w:tcBorders>
            <w:shd w:val="clear" w:color="auto" w:fill="auto"/>
          </w:tcPr>
          <w:p w14:paraId="1A5697E4" w14:textId="77777777" w:rsidR="00005CC8" w:rsidRPr="001B62F8" w:rsidRDefault="00005CC8" w:rsidP="00B06D81">
            <w:pPr>
              <w:autoSpaceDE w:val="0"/>
              <w:autoSpaceDN w:val="0"/>
              <w:adjustRightInd w:val="0"/>
              <w:jc w:val="right"/>
              <w:rPr>
                <w:rFonts w:asciiTheme="minorHAnsi" w:hAnsiTheme="minorHAnsi" w:cstheme="minorHAnsi"/>
                <w:b/>
                <w:color w:val="000000"/>
                <w:sz w:val="22"/>
                <w:szCs w:val="22"/>
              </w:rPr>
            </w:pPr>
          </w:p>
        </w:tc>
        <w:tc>
          <w:tcPr>
            <w:tcW w:w="1134" w:type="dxa"/>
            <w:tcBorders>
              <w:top w:val="nil"/>
              <w:left w:val="single" w:sz="4" w:space="0" w:color="auto"/>
              <w:bottom w:val="nil"/>
              <w:right w:val="single" w:sz="4" w:space="0" w:color="auto"/>
            </w:tcBorders>
          </w:tcPr>
          <w:p w14:paraId="070DC080" w14:textId="77777777" w:rsidR="00005CC8" w:rsidRPr="0067660B" w:rsidRDefault="00005CC8" w:rsidP="00B06D81">
            <w:pPr>
              <w:autoSpaceDE w:val="0"/>
              <w:autoSpaceDN w:val="0"/>
              <w:adjustRightInd w:val="0"/>
              <w:ind w:left="-226"/>
              <w:jc w:val="right"/>
              <w:rPr>
                <w:rFonts w:asciiTheme="minorHAnsi" w:hAnsiTheme="minorHAnsi" w:cstheme="minorHAnsi"/>
                <w:color w:val="000000"/>
                <w:sz w:val="22"/>
                <w:szCs w:val="22"/>
              </w:rPr>
            </w:pPr>
          </w:p>
        </w:tc>
      </w:tr>
      <w:tr w:rsidR="00005CC8" w:rsidRPr="0067660B" w14:paraId="72FA4B11" w14:textId="77777777" w:rsidTr="00B06D81">
        <w:trPr>
          <w:trHeight w:val="223"/>
        </w:trPr>
        <w:tc>
          <w:tcPr>
            <w:tcW w:w="258" w:type="dxa"/>
            <w:tcBorders>
              <w:top w:val="nil"/>
              <w:left w:val="nil"/>
              <w:bottom w:val="nil"/>
              <w:right w:val="nil"/>
            </w:tcBorders>
          </w:tcPr>
          <w:p w14:paraId="2303569F"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521EDD97" w14:textId="77777777" w:rsidR="00005CC8" w:rsidRPr="0067660B" w:rsidRDefault="00005CC8" w:rsidP="00B06D81">
            <w:pPr>
              <w:autoSpaceDE w:val="0"/>
              <w:autoSpaceDN w:val="0"/>
              <w:adjustRightInd w:val="0"/>
              <w:ind w:right="-818"/>
              <w:rPr>
                <w:rFonts w:asciiTheme="minorHAnsi" w:hAnsiTheme="minorHAnsi" w:cstheme="minorHAnsi"/>
                <w:color w:val="000000"/>
                <w:sz w:val="22"/>
                <w:szCs w:val="22"/>
              </w:rPr>
            </w:pPr>
            <w:r w:rsidRPr="0067660B">
              <w:rPr>
                <w:rFonts w:asciiTheme="minorHAnsi" w:hAnsiTheme="minorHAnsi" w:cstheme="minorHAnsi"/>
                <w:color w:val="000000"/>
                <w:sz w:val="22"/>
                <w:szCs w:val="22"/>
              </w:rPr>
              <w:t xml:space="preserve">Scheduled revenues </w:t>
            </w:r>
          </w:p>
        </w:tc>
        <w:tc>
          <w:tcPr>
            <w:tcW w:w="708" w:type="dxa"/>
            <w:tcBorders>
              <w:top w:val="nil"/>
            </w:tcBorders>
          </w:tcPr>
          <w:p w14:paraId="0527BCCE"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6082E13B"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r w:rsidRPr="00DB22BA">
              <w:rPr>
                <w:rFonts w:ascii="Calibri" w:hAnsi="Calibri" w:cs="Calibri"/>
                <w:bCs/>
                <w:color w:val="000000"/>
                <w:sz w:val="22"/>
                <w:szCs w:val="22"/>
              </w:rPr>
              <w:t>+</w:t>
            </w:r>
            <w:r>
              <w:rPr>
                <w:rFonts w:ascii="Calibri" w:hAnsi="Calibri" w:cs="Calibri"/>
                <w:bCs/>
                <w:color w:val="000000"/>
                <w:sz w:val="22"/>
                <w:szCs w:val="22"/>
              </w:rPr>
              <w:t>16</w:t>
            </w:r>
            <w:r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18078FB2"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1,186.0</w:t>
            </w:r>
          </w:p>
        </w:tc>
        <w:tc>
          <w:tcPr>
            <w:tcW w:w="1134" w:type="dxa"/>
            <w:tcBorders>
              <w:top w:val="nil"/>
              <w:left w:val="single" w:sz="4" w:space="0" w:color="auto"/>
              <w:right w:val="single" w:sz="4" w:space="0" w:color="auto"/>
            </w:tcBorders>
          </w:tcPr>
          <w:p w14:paraId="75204B6B" w14:textId="77777777" w:rsidR="00005CC8" w:rsidRPr="0067660B" w:rsidRDefault="00005CC8" w:rsidP="00B06D81">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1,020.9</w:t>
            </w:r>
          </w:p>
        </w:tc>
      </w:tr>
      <w:tr w:rsidR="00005CC8" w:rsidRPr="0067660B" w14:paraId="17240A57" w14:textId="77777777" w:rsidTr="00B06D81">
        <w:trPr>
          <w:trHeight w:val="223"/>
        </w:trPr>
        <w:tc>
          <w:tcPr>
            <w:tcW w:w="258" w:type="dxa"/>
            <w:tcBorders>
              <w:top w:val="nil"/>
              <w:left w:val="nil"/>
              <w:bottom w:val="nil"/>
              <w:right w:val="nil"/>
            </w:tcBorders>
          </w:tcPr>
          <w:p w14:paraId="071ECD7B"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43BD965D" w14:textId="77777777" w:rsidR="00005CC8" w:rsidRPr="0067660B" w:rsidRDefault="00005CC8" w:rsidP="00B06D81">
            <w:pPr>
              <w:autoSpaceDE w:val="0"/>
              <w:autoSpaceDN w:val="0"/>
              <w:adjustRightInd w:val="0"/>
              <w:ind w:right="-818"/>
              <w:rPr>
                <w:rFonts w:asciiTheme="minorHAnsi" w:hAnsiTheme="minorHAnsi" w:cstheme="minorHAnsi"/>
                <w:color w:val="000000"/>
                <w:sz w:val="22"/>
                <w:szCs w:val="22"/>
              </w:rPr>
            </w:pPr>
            <w:r w:rsidRPr="0067660B">
              <w:rPr>
                <w:rFonts w:asciiTheme="minorHAnsi" w:hAnsiTheme="minorHAnsi" w:cstheme="minorHAnsi"/>
                <w:color w:val="000000"/>
                <w:sz w:val="22"/>
                <w:szCs w:val="22"/>
              </w:rPr>
              <w:t>Ancillary revenues</w:t>
            </w:r>
          </w:p>
        </w:tc>
        <w:tc>
          <w:tcPr>
            <w:tcW w:w="708" w:type="dxa"/>
            <w:tcBorders>
              <w:top w:val="nil"/>
            </w:tcBorders>
          </w:tcPr>
          <w:p w14:paraId="5B3E4DD8"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single" w:sz="4" w:space="0" w:color="auto"/>
              <w:right w:val="single" w:sz="4" w:space="0" w:color="auto"/>
            </w:tcBorders>
          </w:tcPr>
          <w:p w14:paraId="003D2C11"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r w:rsidRPr="00DB22BA">
              <w:rPr>
                <w:rFonts w:ascii="Calibri" w:hAnsi="Calibri" w:cs="Calibri"/>
                <w:bCs/>
                <w:color w:val="000000"/>
                <w:sz w:val="22"/>
                <w:szCs w:val="22"/>
              </w:rPr>
              <w:t>+</w:t>
            </w:r>
            <w:r>
              <w:rPr>
                <w:rFonts w:ascii="Calibri" w:hAnsi="Calibri" w:cs="Calibri"/>
                <w:bCs/>
                <w:color w:val="000000"/>
                <w:sz w:val="22"/>
                <w:szCs w:val="22"/>
              </w:rPr>
              <w:t>28</w:t>
            </w:r>
            <w:r w:rsidRPr="00DB22BA">
              <w:rPr>
                <w:rFonts w:ascii="Calibri" w:hAnsi="Calibri" w:cs="Calibri"/>
                <w:bCs/>
                <w:color w:val="000000"/>
                <w:sz w:val="22"/>
                <w:szCs w:val="22"/>
              </w:rPr>
              <w:t>%</w:t>
            </w:r>
          </w:p>
        </w:tc>
        <w:tc>
          <w:tcPr>
            <w:tcW w:w="1276" w:type="dxa"/>
            <w:tcBorders>
              <w:top w:val="nil"/>
              <w:bottom w:val="single" w:sz="4" w:space="0" w:color="auto"/>
              <w:right w:val="single" w:sz="4" w:space="0" w:color="auto"/>
            </w:tcBorders>
            <w:shd w:val="clear" w:color="auto" w:fill="auto"/>
          </w:tcPr>
          <w:p w14:paraId="45D03E6D"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720.0</w:t>
            </w:r>
          </w:p>
        </w:tc>
        <w:tc>
          <w:tcPr>
            <w:tcW w:w="1134" w:type="dxa"/>
            <w:tcBorders>
              <w:top w:val="nil"/>
              <w:left w:val="single" w:sz="4" w:space="0" w:color="auto"/>
              <w:bottom w:val="single" w:sz="4" w:space="0" w:color="auto"/>
              <w:right w:val="single" w:sz="4" w:space="0" w:color="auto"/>
            </w:tcBorders>
          </w:tcPr>
          <w:p w14:paraId="60F7A28E" w14:textId="77777777" w:rsidR="00005CC8" w:rsidRPr="0067660B" w:rsidRDefault="00005CC8" w:rsidP="00B06D81">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560.5</w:t>
            </w:r>
          </w:p>
        </w:tc>
      </w:tr>
      <w:tr w:rsidR="00005CC8" w:rsidRPr="0067660B" w14:paraId="56D3FCED" w14:textId="77777777" w:rsidTr="00B06D81">
        <w:trPr>
          <w:trHeight w:val="351"/>
        </w:trPr>
        <w:tc>
          <w:tcPr>
            <w:tcW w:w="6096" w:type="dxa"/>
            <w:gridSpan w:val="2"/>
            <w:tcBorders>
              <w:top w:val="nil"/>
              <w:left w:val="nil"/>
              <w:bottom w:val="nil"/>
            </w:tcBorders>
          </w:tcPr>
          <w:p w14:paraId="5CAD5C88" w14:textId="77777777" w:rsidR="00005CC8" w:rsidRPr="00B86918" w:rsidRDefault="00005CC8" w:rsidP="00B06D81">
            <w:pPr>
              <w:autoSpaceDE w:val="0"/>
              <w:autoSpaceDN w:val="0"/>
              <w:adjustRightInd w:val="0"/>
              <w:ind w:right="-818"/>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Total operating revenues</w:t>
            </w:r>
          </w:p>
        </w:tc>
        <w:tc>
          <w:tcPr>
            <w:tcW w:w="708" w:type="dxa"/>
            <w:tcBorders>
              <w:top w:val="nil"/>
            </w:tcBorders>
          </w:tcPr>
          <w:p w14:paraId="01C3BEB4"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bottom w:val="single" w:sz="4" w:space="0" w:color="auto"/>
              <w:right w:val="single" w:sz="4" w:space="0" w:color="auto"/>
            </w:tcBorders>
          </w:tcPr>
          <w:p w14:paraId="4D77A514"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r w:rsidRPr="00DB22BA">
              <w:rPr>
                <w:rFonts w:ascii="Calibri" w:hAnsi="Calibri" w:cs="Calibri"/>
                <w:bCs/>
                <w:color w:val="000000"/>
                <w:sz w:val="22"/>
                <w:szCs w:val="22"/>
              </w:rPr>
              <w:t>+</w:t>
            </w:r>
            <w:r>
              <w:rPr>
                <w:rFonts w:ascii="Calibri" w:hAnsi="Calibri" w:cs="Calibri"/>
                <w:bCs/>
                <w:color w:val="000000"/>
                <w:sz w:val="22"/>
                <w:szCs w:val="22"/>
              </w:rPr>
              <w:t>21</w:t>
            </w:r>
            <w:r w:rsidRPr="00DB22BA">
              <w:rPr>
                <w:rFonts w:ascii="Calibri" w:hAnsi="Calibri" w:cs="Calibri"/>
                <w:bCs/>
                <w:color w:val="000000"/>
                <w:sz w:val="22"/>
                <w:szCs w:val="22"/>
              </w:rPr>
              <w:t>%</w:t>
            </w:r>
          </w:p>
        </w:tc>
        <w:tc>
          <w:tcPr>
            <w:tcW w:w="1276" w:type="dxa"/>
            <w:tcBorders>
              <w:top w:val="single" w:sz="4" w:space="0" w:color="auto"/>
              <w:bottom w:val="single" w:sz="4" w:space="0" w:color="auto"/>
              <w:right w:val="single" w:sz="4" w:space="0" w:color="auto"/>
            </w:tcBorders>
            <w:shd w:val="clear" w:color="auto" w:fill="auto"/>
          </w:tcPr>
          <w:p w14:paraId="0204D81F"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1,906.0</w:t>
            </w:r>
          </w:p>
        </w:tc>
        <w:tc>
          <w:tcPr>
            <w:tcW w:w="1134" w:type="dxa"/>
            <w:tcBorders>
              <w:top w:val="single" w:sz="4" w:space="0" w:color="auto"/>
              <w:left w:val="single" w:sz="4" w:space="0" w:color="auto"/>
              <w:bottom w:val="single" w:sz="4" w:space="0" w:color="auto"/>
              <w:right w:val="single" w:sz="4" w:space="0" w:color="auto"/>
            </w:tcBorders>
          </w:tcPr>
          <w:p w14:paraId="0EE3DE4E" w14:textId="77777777" w:rsidR="00005CC8" w:rsidRPr="0067660B" w:rsidRDefault="00005CC8" w:rsidP="00B06D81">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1,581.4</w:t>
            </w:r>
          </w:p>
        </w:tc>
      </w:tr>
      <w:tr w:rsidR="00005CC8" w:rsidRPr="0067660B" w14:paraId="68421F57" w14:textId="77777777" w:rsidTr="00B06D81">
        <w:trPr>
          <w:trHeight w:val="223"/>
        </w:trPr>
        <w:tc>
          <w:tcPr>
            <w:tcW w:w="6096" w:type="dxa"/>
            <w:gridSpan w:val="2"/>
            <w:tcBorders>
              <w:top w:val="nil"/>
              <w:left w:val="nil"/>
              <w:bottom w:val="nil"/>
            </w:tcBorders>
          </w:tcPr>
          <w:p w14:paraId="1D9AEF7C" w14:textId="77777777" w:rsidR="00005CC8" w:rsidRPr="0067660B" w:rsidRDefault="00005CC8" w:rsidP="00B06D81">
            <w:pPr>
              <w:autoSpaceDE w:val="0"/>
              <w:autoSpaceDN w:val="0"/>
              <w:adjustRightInd w:val="0"/>
              <w:rPr>
                <w:rFonts w:asciiTheme="minorHAnsi" w:hAnsiTheme="minorHAnsi" w:cstheme="minorHAnsi"/>
                <w:bCs/>
                <w:color w:val="000000"/>
                <w:sz w:val="22"/>
                <w:szCs w:val="22"/>
              </w:rPr>
            </w:pPr>
          </w:p>
        </w:tc>
        <w:tc>
          <w:tcPr>
            <w:tcW w:w="708" w:type="dxa"/>
            <w:tcBorders>
              <w:bottom w:val="nil"/>
            </w:tcBorders>
          </w:tcPr>
          <w:p w14:paraId="5BE2244A"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bottom w:val="nil"/>
              <w:right w:val="single" w:sz="4" w:space="0" w:color="auto"/>
            </w:tcBorders>
          </w:tcPr>
          <w:p w14:paraId="0D970639"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bottom w:val="nil"/>
              <w:right w:val="single" w:sz="4" w:space="0" w:color="auto"/>
            </w:tcBorders>
            <w:shd w:val="clear" w:color="auto" w:fill="auto"/>
          </w:tcPr>
          <w:p w14:paraId="75D67C4A"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p>
        </w:tc>
        <w:tc>
          <w:tcPr>
            <w:tcW w:w="1134" w:type="dxa"/>
            <w:tcBorders>
              <w:top w:val="single" w:sz="4" w:space="0" w:color="auto"/>
              <w:left w:val="single" w:sz="4" w:space="0" w:color="auto"/>
              <w:bottom w:val="nil"/>
              <w:right w:val="single" w:sz="4" w:space="0" w:color="auto"/>
            </w:tcBorders>
          </w:tcPr>
          <w:p w14:paraId="406B1CF1" w14:textId="77777777" w:rsidR="00005CC8" w:rsidRPr="0067660B" w:rsidRDefault="00005CC8" w:rsidP="00B06D81">
            <w:pPr>
              <w:autoSpaceDE w:val="0"/>
              <w:autoSpaceDN w:val="0"/>
              <w:adjustRightInd w:val="0"/>
              <w:ind w:left="-226"/>
              <w:jc w:val="right"/>
              <w:rPr>
                <w:rFonts w:asciiTheme="minorHAnsi" w:hAnsiTheme="minorHAnsi" w:cstheme="minorHAnsi"/>
                <w:bCs/>
                <w:color w:val="000000"/>
                <w:sz w:val="22"/>
                <w:szCs w:val="22"/>
              </w:rPr>
            </w:pPr>
          </w:p>
        </w:tc>
      </w:tr>
      <w:tr w:rsidR="00005CC8" w:rsidRPr="0067660B" w14:paraId="339D34AC" w14:textId="77777777" w:rsidTr="00B06D81">
        <w:trPr>
          <w:trHeight w:val="223"/>
        </w:trPr>
        <w:tc>
          <w:tcPr>
            <w:tcW w:w="6096" w:type="dxa"/>
            <w:gridSpan w:val="2"/>
            <w:tcBorders>
              <w:top w:val="nil"/>
              <w:left w:val="nil"/>
              <w:bottom w:val="nil"/>
            </w:tcBorders>
          </w:tcPr>
          <w:p w14:paraId="4BB94BFC" w14:textId="77777777" w:rsidR="00005CC8" w:rsidRPr="0067660B" w:rsidRDefault="00005CC8" w:rsidP="00B06D81">
            <w:pPr>
              <w:autoSpaceDE w:val="0"/>
              <w:autoSpaceDN w:val="0"/>
              <w:adjustRightInd w:val="0"/>
              <w:rPr>
                <w:rFonts w:asciiTheme="minorHAnsi" w:hAnsiTheme="minorHAnsi" w:cstheme="minorHAnsi"/>
                <w:color w:val="000000"/>
                <w:sz w:val="22"/>
                <w:szCs w:val="22"/>
              </w:rPr>
            </w:pPr>
            <w:r w:rsidRPr="00B86918">
              <w:rPr>
                <w:rFonts w:asciiTheme="minorHAnsi" w:hAnsiTheme="minorHAnsi" w:cstheme="minorHAnsi"/>
                <w:b/>
                <w:color w:val="000000"/>
                <w:sz w:val="22"/>
                <w:szCs w:val="22"/>
              </w:rPr>
              <w:t>Operating expenses</w:t>
            </w:r>
          </w:p>
        </w:tc>
        <w:tc>
          <w:tcPr>
            <w:tcW w:w="708" w:type="dxa"/>
            <w:tcBorders>
              <w:top w:val="nil"/>
              <w:bottom w:val="nil"/>
            </w:tcBorders>
          </w:tcPr>
          <w:p w14:paraId="1EA4D44C"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3471219B"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73230169"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p>
        </w:tc>
        <w:tc>
          <w:tcPr>
            <w:tcW w:w="1134" w:type="dxa"/>
            <w:tcBorders>
              <w:top w:val="nil"/>
              <w:left w:val="single" w:sz="4" w:space="0" w:color="auto"/>
              <w:bottom w:val="nil"/>
              <w:right w:val="single" w:sz="4" w:space="0" w:color="auto"/>
            </w:tcBorders>
          </w:tcPr>
          <w:p w14:paraId="20FA0BA3" w14:textId="77777777" w:rsidR="00005CC8" w:rsidRPr="0067660B" w:rsidRDefault="00005CC8" w:rsidP="00B06D81">
            <w:pPr>
              <w:autoSpaceDE w:val="0"/>
              <w:autoSpaceDN w:val="0"/>
              <w:adjustRightInd w:val="0"/>
              <w:ind w:left="-226"/>
              <w:jc w:val="right"/>
              <w:rPr>
                <w:rFonts w:asciiTheme="minorHAnsi" w:hAnsiTheme="minorHAnsi" w:cstheme="minorHAnsi"/>
                <w:bCs/>
                <w:color w:val="000000"/>
                <w:sz w:val="22"/>
                <w:szCs w:val="22"/>
              </w:rPr>
            </w:pPr>
          </w:p>
        </w:tc>
      </w:tr>
      <w:tr w:rsidR="00005CC8" w:rsidRPr="00D02E9C" w14:paraId="5D408865" w14:textId="77777777" w:rsidTr="00B06D81">
        <w:trPr>
          <w:trHeight w:val="223"/>
        </w:trPr>
        <w:tc>
          <w:tcPr>
            <w:tcW w:w="258" w:type="dxa"/>
            <w:tcBorders>
              <w:top w:val="nil"/>
              <w:left w:val="nil"/>
              <w:bottom w:val="nil"/>
              <w:right w:val="nil"/>
            </w:tcBorders>
          </w:tcPr>
          <w:p w14:paraId="30FA76C3"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13AAED3C" w14:textId="77777777" w:rsidR="00005CC8" w:rsidRPr="0067660B" w:rsidRDefault="00005CC8" w:rsidP="00B06D81">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Fuel and oil</w:t>
            </w:r>
          </w:p>
        </w:tc>
        <w:tc>
          <w:tcPr>
            <w:tcW w:w="708" w:type="dxa"/>
            <w:tcBorders>
              <w:top w:val="nil"/>
              <w:bottom w:val="nil"/>
            </w:tcBorders>
          </w:tcPr>
          <w:p w14:paraId="1F5BDAD6"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21E6F486" w14:textId="4D065C68" w:rsidR="00005CC8" w:rsidRPr="00DB22BA" w:rsidRDefault="00A61FFD" w:rsidP="00B06D81">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r w:rsidR="00005CC8">
              <w:rPr>
                <w:rFonts w:ascii="Calibri" w:hAnsi="Calibri" w:cs="Calibri"/>
                <w:bCs/>
                <w:color w:val="000000"/>
                <w:sz w:val="22"/>
                <w:szCs w:val="22"/>
              </w:rPr>
              <w:t>14</w:t>
            </w:r>
            <w:r w:rsidR="00005CC8" w:rsidRPr="00DB22BA">
              <w:rPr>
                <w:rFonts w:ascii="Calibri" w:hAnsi="Calibri" w:cs="Calibri"/>
                <w:bCs/>
                <w:color w:val="000000"/>
                <w:sz w:val="22"/>
                <w:szCs w:val="22"/>
              </w:rPr>
              <w:t>%</w:t>
            </w:r>
          </w:p>
        </w:tc>
        <w:tc>
          <w:tcPr>
            <w:tcW w:w="1276" w:type="dxa"/>
            <w:tcBorders>
              <w:top w:val="nil"/>
              <w:bottom w:val="nil"/>
              <w:right w:val="single" w:sz="4" w:space="0" w:color="auto"/>
            </w:tcBorders>
            <w:shd w:val="clear" w:color="auto" w:fill="auto"/>
          </w:tcPr>
          <w:p w14:paraId="343F75AC"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686.0</w:t>
            </w:r>
          </w:p>
        </w:tc>
        <w:tc>
          <w:tcPr>
            <w:tcW w:w="1134" w:type="dxa"/>
            <w:tcBorders>
              <w:top w:val="nil"/>
              <w:left w:val="single" w:sz="4" w:space="0" w:color="auto"/>
              <w:bottom w:val="nil"/>
              <w:right w:val="single" w:sz="4" w:space="0" w:color="auto"/>
            </w:tcBorders>
          </w:tcPr>
          <w:p w14:paraId="01921BC8" w14:textId="77777777" w:rsidR="00005CC8" w:rsidRPr="00D02E9C" w:rsidRDefault="00005CC8" w:rsidP="00B06D81">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602.6</w:t>
            </w:r>
          </w:p>
        </w:tc>
      </w:tr>
      <w:tr w:rsidR="00005CC8" w:rsidRPr="0067660B" w14:paraId="1AC6F1AE" w14:textId="77777777" w:rsidTr="00B06D81">
        <w:trPr>
          <w:trHeight w:val="223"/>
        </w:trPr>
        <w:tc>
          <w:tcPr>
            <w:tcW w:w="258" w:type="dxa"/>
            <w:tcBorders>
              <w:top w:val="nil"/>
              <w:left w:val="nil"/>
              <w:bottom w:val="nil"/>
              <w:right w:val="nil"/>
            </w:tcBorders>
          </w:tcPr>
          <w:p w14:paraId="0FBD6223"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6F6A96AE" w14:textId="77777777" w:rsidR="00005CC8" w:rsidRPr="0067660B" w:rsidRDefault="00005CC8" w:rsidP="00B06D81">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Airport and handling charges</w:t>
            </w:r>
          </w:p>
        </w:tc>
        <w:tc>
          <w:tcPr>
            <w:tcW w:w="708" w:type="dxa"/>
            <w:tcBorders>
              <w:top w:val="nil"/>
            </w:tcBorders>
          </w:tcPr>
          <w:p w14:paraId="6723735D"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560DB530" w14:textId="77777777" w:rsidR="00005CC8" w:rsidRPr="00DB22BA" w:rsidRDefault="00005CC8" w:rsidP="00B06D81">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-7</w:t>
            </w:r>
            <w:r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66ECDCAF"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272.7</w:t>
            </w:r>
          </w:p>
        </w:tc>
        <w:tc>
          <w:tcPr>
            <w:tcW w:w="1134" w:type="dxa"/>
            <w:tcBorders>
              <w:top w:val="nil"/>
              <w:left w:val="single" w:sz="4" w:space="0" w:color="auto"/>
              <w:right w:val="single" w:sz="4" w:space="0" w:color="auto"/>
            </w:tcBorders>
          </w:tcPr>
          <w:p w14:paraId="27DB1525" w14:textId="77777777" w:rsidR="00005CC8" w:rsidRPr="00DB22BA" w:rsidRDefault="00005CC8" w:rsidP="00B06D81">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254.5</w:t>
            </w:r>
          </w:p>
        </w:tc>
      </w:tr>
      <w:tr w:rsidR="00005CC8" w:rsidRPr="0067660B" w14:paraId="04A977AA" w14:textId="77777777" w:rsidTr="00B06D81">
        <w:trPr>
          <w:trHeight w:val="223"/>
        </w:trPr>
        <w:tc>
          <w:tcPr>
            <w:tcW w:w="258" w:type="dxa"/>
            <w:tcBorders>
              <w:top w:val="nil"/>
              <w:left w:val="nil"/>
              <w:bottom w:val="nil"/>
              <w:right w:val="nil"/>
            </w:tcBorders>
          </w:tcPr>
          <w:p w14:paraId="5D324D64"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6DCFE378" w14:textId="77777777" w:rsidR="00005CC8" w:rsidRPr="0067660B" w:rsidRDefault="00005CC8" w:rsidP="00B06D81">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Staff costs</w:t>
            </w:r>
          </w:p>
        </w:tc>
        <w:tc>
          <w:tcPr>
            <w:tcW w:w="708" w:type="dxa"/>
            <w:tcBorders>
              <w:top w:val="nil"/>
            </w:tcBorders>
          </w:tcPr>
          <w:p w14:paraId="5B56733F"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1E900D15" w14:textId="77777777" w:rsidR="00005CC8" w:rsidRPr="00DB22BA" w:rsidRDefault="00005CC8" w:rsidP="00B06D81">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-11</w:t>
            </w:r>
            <w:r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1752A643" w14:textId="77777777" w:rsidR="00005CC8" w:rsidRPr="0085042F" w:rsidRDefault="00005CC8" w:rsidP="00B06D81">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276.5</w:t>
            </w:r>
          </w:p>
        </w:tc>
        <w:tc>
          <w:tcPr>
            <w:tcW w:w="1134" w:type="dxa"/>
            <w:tcBorders>
              <w:top w:val="nil"/>
              <w:left w:val="single" w:sz="4" w:space="0" w:color="auto"/>
              <w:right w:val="single" w:sz="4" w:space="0" w:color="auto"/>
            </w:tcBorders>
          </w:tcPr>
          <w:p w14:paraId="58C124B1" w14:textId="77777777" w:rsidR="00005CC8" w:rsidRPr="00DB22BA" w:rsidRDefault="00005CC8" w:rsidP="00B06D81">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249.5</w:t>
            </w:r>
          </w:p>
        </w:tc>
      </w:tr>
      <w:tr w:rsidR="00005CC8" w:rsidRPr="0067660B" w14:paraId="248E8FBF" w14:textId="77777777" w:rsidTr="00B06D81">
        <w:trPr>
          <w:trHeight w:val="223"/>
        </w:trPr>
        <w:tc>
          <w:tcPr>
            <w:tcW w:w="258" w:type="dxa"/>
            <w:tcBorders>
              <w:top w:val="nil"/>
              <w:left w:val="nil"/>
              <w:bottom w:val="nil"/>
              <w:right w:val="nil"/>
            </w:tcBorders>
          </w:tcPr>
          <w:p w14:paraId="746074AB"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3368C200" w14:textId="77777777" w:rsidR="00005CC8" w:rsidRPr="0067660B" w:rsidRDefault="00005CC8" w:rsidP="00B06D81">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Route charges</w:t>
            </w:r>
          </w:p>
        </w:tc>
        <w:tc>
          <w:tcPr>
            <w:tcW w:w="708" w:type="dxa"/>
            <w:tcBorders>
              <w:top w:val="nil"/>
              <w:bottom w:val="nil"/>
            </w:tcBorders>
          </w:tcPr>
          <w:p w14:paraId="54E759D5"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4A6E266E" w14:textId="77777777" w:rsidR="00005CC8" w:rsidRPr="00DB22BA" w:rsidRDefault="00005CC8" w:rsidP="00B06D81">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p>
        </w:tc>
        <w:tc>
          <w:tcPr>
            <w:tcW w:w="1276" w:type="dxa"/>
            <w:tcBorders>
              <w:top w:val="nil"/>
              <w:bottom w:val="nil"/>
              <w:right w:val="single" w:sz="4" w:space="0" w:color="auto"/>
            </w:tcBorders>
            <w:shd w:val="clear" w:color="auto" w:fill="auto"/>
          </w:tcPr>
          <w:p w14:paraId="7EC532EF" w14:textId="77777777" w:rsidR="00005CC8" w:rsidRPr="0085042F" w:rsidRDefault="00005CC8" w:rsidP="00B06D81">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180.4</w:t>
            </w:r>
          </w:p>
        </w:tc>
        <w:tc>
          <w:tcPr>
            <w:tcW w:w="1134" w:type="dxa"/>
            <w:tcBorders>
              <w:top w:val="nil"/>
              <w:left w:val="single" w:sz="4" w:space="0" w:color="auto"/>
              <w:bottom w:val="nil"/>
              <w:right w:val="single" w:sz="4" w:space="0" w:color="auto"/>
            </w:tcBorders>
          </w:tcPr>
          <w:p w14:paraId="6E3FE705" w14:textId="77777777" w:rsidR="00005CC8" w:rsidRPr="00DB22BA" w:rsidRDefault="00005CC8" w:rsidP="00B06D81">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180.3</w:t>
            </w:r>
          </w:p>
        </w:tc>
      </w:tr>
      <w:tr w:rsidR="00005CC8" w:rsidRPr="0067660B" w14:paraId="70B59FF5" w14:textId="77777777" w:rsidTr="00B06D81">
        <w:trPr>
          <w:trHeight w:val="223"/>
        </w:trPr>
        <w:tc>
          <w:tcPr>
            <w:tcW w:w="258" w:type="dxa"/>
            <w:tcBorders>
              <w:top w:val="nil"/>
              <w:left w:val="nil"/>
              <w:bottom w:val="nil"/>
              <w:right w:val="nil"/>
            </w:tcBorders>
          </w:tcPr>
          <w:p w14:paraId="0C2D5FA4"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43BAD478" w14:textId="77777777" w:rsidR="00005CC8" w:rsidRPr="0067660B" w:rsidRDefault="00005CC8" w:rsidP="00B06D81">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Depreciation</w:t>
            </w:r>
          </w:p>
        </w:tc>
        <w:tc>
          <w:tcPr>
            <w:tcW w:w="708" w:type="dxa"/>
            <w:tcBorders>
              <w:top w:val="nil"/>
              <w:bottom w:val="nil"/>
            </w:tcBorders>
          </w:tcPr>
          <w:p w14:paraId="7175DAC7"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515706AB" w14:textId="77777777" w:rsidR="00005CC8" w:rsidRPr="00DB22BA" w:rsidRDefault="00005CC8" w:rsidP="00B06D81">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-17</w:t>
            </w:r>
            <w:r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12A7AA10" w14:textId="77777777" w:rsidR="00005CC8" w:rsidRPr="0085042F" w:rsidRDefault="00005CC8" w:rsidP="00B06D81">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190.4</w:t>
            </w:r>
          </w:p>
        </w:tc>
        <w:tc>
          <w:tcPr>
            <w:tcW w:w="1134" w:type="dxa"/>
            <w:tcBorders>
              <w:top w:val="nil"/>
              <w:left w:val="single" w:sz="4" w:space="0" w:color="auto"/>
              <w:right w:val="single" w:sz="4" w:space="0" w:color="auto"/>
            </w:tcBorders>
          </w:tcPr>
          <w:p w14:paraId="4533D66B" w14:textId="77777777" w:rsidR="00005CC8" w:rsidRPr="00DB22BA" w:rsidRDefault="00005CC8" w:rsidP="00B06D81">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162.7</w:t>
            </w:r>
          </w:p>
        </w:tc>
      </w:tr>
      <w:tr w:rsidR="00005CC8" w:rsidRPr="0067660B" w14:paraId="2C58D33A" w14:textId="77777777" w:rsidTr="00B06D81">
        <w:trPr>
          <w:trHeight w:val="223"/>
        </w:trPr>
        <w:tc>
          <w:tcPr>
            <w:tcW w:w="258" w:type="dxa"/>
            <w:tcBorders>
              <w:top w:val="nil"/>
              <w:left w:val="nil"/>
              <w:bottom w:val="nil"/>
              <w:right w:val="nil"/>
            </w:tcBorders>
          </w:tcPr>
          <w:p w14:paraId="02C67916"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131FF6DE" w14:textId="77777777" w:rsidR="00005CC8" w:rsidRPr="0067660B" w:rsidRDefault="00005CC8" w:rsidP="00B06D81">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Marketing, distribution and other</w:t>
            </w:r>
          </w:p>
        </w:tc>
        <w:tc>
          <w:tcPr>
            <w:tcW w:w="708" w:type="dxa"/>
            <w:tcBorders>
              <w:top w:val="nil"/>
            </w:tcBorders>
          </w:tcPr>
          <w:p w14:paraId="4C4E6D21"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77BD6A98" w14:textId="77777777" w:rsidR="00005CC8" w:rsidRPr="00DB22BA" w:rsidRDefault="00005CC8" w:rsidP="00B06D81">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+4</w:t>
            </w:r>
            <w:r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38AF40BB" w14:textId="77777777" w:rsidR="00005CC8" w:rsidRPr="0085042F" w:rsidRDefault="00005CC8" w:rsidP="00B06D81">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137.4</w:t>
            </w:r>
          </w:p>
        </w:tc>
        <w:tc>
          <w:tcPr>
            <w:tcW w:w="1134" w:type="dxa"/>
            <w:tcBorders>
              <w:top w:val="nil"/>
              <w:left w:val="single" w:sz="4" w:space="0" w:color="auto"/>
              <w:right w:val="single" w:sz="4" w:space="0" w:color="auto"/>
            </w:tcBorders>
          </w:tcPr>
          <w:p w14:paraId="365314FC" w14:textId="77777777" w:rsidR="00005CC8" w:rsidRPr="00DB22BA" w:rsidRDefault="00005CC8" w:rsidP="00B06D81">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143.5</w:t>
            </w:r>
          </w:p>
        </w:tc>
      </w:tr>
      <w:tr w:rsidR="00005CC8" w:rsidRPr="0067660B" w14:paraId="1001DD44" w14:textId="77777777" w:rsidTr="00B06D81">
        <w:trPr>
          <w:trHeight w:val="223"/>
        </w:trPr>
        <w:tc>
          <w:tcPr>
            <w:tcW w:w="258" w:type="dxa"/>
            <w:tcBorders>
              <w:top w:val="nil"/>
              <w:left w:val="nil"/>
              <w:bottom w:val="nil"/>
              <w:right w:val="nil"/>
            </w:tcBorders>
          </w:tcPr>
          <w:p w14:paraId="66AC1D14"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73E46D44" w14:textId="77777777" w:rsidR="00005CC8" w:rsidRPr="0067660B" w:rsidRDefault="00005CC8" w:rsidP="00B06D81">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Maintenance, materials and repairs</w:t>
            </w:r>
          </w:p>
        </w:tc>
        <w:tc>
          <w:tcPr>
            <w:tcW w:w="708" w:type="dxa"/>
            <w:tcBorders>
              <w:top w:val="nil"/>
              <w:bottom w:val="nil"/>
            </w:tcBorders>
          </w:tcPr>
          <w:p w14:paraId="1D40C437"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bottom w:val="nil"/>
              <w:right w:val="single" w:sz="4" w:space="0" w:color="auto"/>
            </w:tcBorders>
          </w:tcPr>
          <w:p w14:paraId="58B424DB" w14:textId="77777777" w:rsidR="00005CC8" w:rsidRPr="00DB22BA" w:rsidRDefault="00005CC8" w:rsidP="00B06D81">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-58</w:t>
            </w:r>
            <w:r w:rsidRPr="00DB22BA">
              <w:rPr>
                <w:rFonts w:ascii="Calibri" w:hAnsi="Calibri" w:cs="Calibri"/>
                <w:bCs/>
                <w:color w:val="000000"/>
                <w:sz w:val="22"/>
                <w:szCs w:val="22"/>
              </w:rPr>
              <w:t>%</w:t>
            </w:r>
          </w:p>
        </w:tc>
        <w:tc>
          <w:tcPr>
            <w:tcW w:w="1276" w:type="dxa"/>
            <w:tcBorders>
              <w:right w:val="single" w:sz="4" w:space="0" w:color="auto"/>
            </w:tcBorders>
            <w:shd w:val="clear" w:color="auto" w:fill="auto"/>
          </w:tcPr>
          <w:p w14:paraId="11F6CC37" w14:textId="77777777" w:rsidR="00005CC8" w:rsidRPr="0085042F" w:rsidRDefault="00005CC8" w:rsidP="00B06D81">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63.7</w:t>
            </w:r>
          </w:p>
        </w:tc>
        <w:tc>
          <w:tcPr>
            <w:tcW w:w="1134" w:type="dxa"/>
            <w:tcBorders>
              <w:left w:val="single" w:sz="4" w:space="0" w:color="auto"/>
              <w:right w:val="single" w:sz="4" w:space="0" w:color="auto"/>
            </w:tcBorders>
          </w:tcPr>
          <w:p w14:paraId="4405079D" w14:textId="77777777" w:rsidR="00005CC8" w:rsidRPr="00DB22BA" w:rsidRDefault="00005CC8" w:rsidP="00B06D81">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40.4</w:t>
            </w:r>
          </w:p>
        </w:tc>
      </w:tr>
      <w:tr w:rsidR="00005CC8" w:rsidRPr="0067660B" w14:paraId="64F1EEC6" w14:textId="77777777" w:rsidTr="00B06D81">
        <w:trPr>
          <w:trHeight w:val="223"/>
        </w:trPr>
        <w:tc>
          <w:tcPr>
            <w:tcW w:w="258" w:type="dxa"/>
            <w:tcBorders>
              <w:top w:val="nil"/>
              <w:left w:val="nil"/>
              <w:bottom w:val="nil"/>
              <w:right w:val="nil"/>
            </w:tcBorders>
          </w:tcPr>
          <w:p w14:paraId="32923B44"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2EF87712" w14:textId="77777777" w:rsidR="00005CC8" w:rsidRPr="0067660B" w:rsidRDefault="00005CC8" w:rsidP="00B06D81">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Aircraft rentals</w:t>
            </w:r>
          </w:p>
        </w:tc>
        <w:tc>
          <w:tcPr>
            <w:tcW w:w="708" w:type="dxa"/>
            <w:tcBorders>
              <w:top w:val="nil"/>
              <w:bottom w:val="nil"/>
            </w:tcBorders>
          </w:tcPr>
          <w:p w14:paraId="0CFCBF70"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5748F39E" w14:textId="77777777" w:rsidR="00005CC8" w:rsidRPr="00DB22BA" w:rsidRDefault="00005CC8" w:rsidP="00B06D81">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+52</w:t>
            </w:r>
            <w:r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24B6DCA0" w14:textId="77777777" w:rsidR="00005CC8" w:rsidRPr="0085042F" w:rsidRDefault="00005CC8" w:rsidP="00B06D81">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7.6</w:t>
            </w:r>
          </w:p>
        </w:tc>
        <w:tc>
          <w:tcPr>
            <w:tcW w:w="1134" w:type="dxa"/>
            <w:tcBorders>
              <w:top w:val="nil"/>
              <w:left w:val="single" w:sz="4" w:space="0" w:color="auto"/>
              <w:right w:val="single" w:sz="4" w:space="0" w:color="auto"/>
            </w:tcBorders>
          </w:tcPr>
          <w:p w14:paraId="163AB301" w14:textId="77777777" w:rsidR="00005CC8" w:rsidRPr="00DB22BA" w:rsidRDefault="00005CC8" w:rsidP="00B06D81">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15.9</w:t>
            </w:r>
          </w:p>
        </w:tc>
      </w:tr>
      <w:tr w:rsidR="00005CC8" w:rsidRPr="0067660B" w14:paraId="1EE749F9" w14:textId="77777777" w:rsidTr="00B06D81">
        <w:trPr>
          <w:trHeight w:val="223"/>
        </w:trPr>
        <w:tc>
          <w:tcPr>
            <w:tcW w:w="6096" w:type="dxa"/>
            <w:gridSpan w:val="2"/>
            <w:tcBorders>
              <w:top w:val="nil"/>
              <w:left w:val="nil"/>
              <w:bottom w:val="nil"/>
            </w:tcBorders>
          </w:tcPr>
          <w:p w14:paraId="306211B9" w14:textId="77777777" w:rsidR="00005CC8" w:rsidRPr="00B86918" w:rsidRDefault="00005CC8" w:rsidP="00B06D81">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Total operating expenses</w:t>
            </w:r>
          </w:p>
        </w:tc>
        <w:tc>
          <w:tcPr>
            <w:tcW w:w="708" w:type="dxa"/>
            <w:tcBorders>
              <w:top w:val="nil"/>
            </w:tcBorders>
          </w:tcPr>
          <w:p w14:paraId="3D4EC059"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right w:val="single" w:sz="4" w:space="0" w:color="auto"/>
            </w:tcBorders>
          </w:tcPr>
          <w:p w14:paraId="1135DD84"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r>
              <w:rPr>
                <w:rFonts w:ascii="Calibri" w:hAnsi="Calibri" w:cs="Calibri"/>
                <w:bCs/>
                <w:color w:val="000000"/>
                <w:sz w:val="22"/>
                <w:szCs w:val="22"/>
              </w:rPr>
              <w:t>-10</w:t>
            </w:r>
            <w:r w:rsidRPr="00DB22BA">
              <w:rPr>
                <w:rFonts w:ascii="Calibri" w:hAnsi="Calibri" w:cs="Calibri"/>
                <w:bCs/>
                <w:color w:val="000000"/>
                <w:sz w:val="22"/>
                <w:szCs w:val="22"/>
              </w:rPr>
              <w:t>%</w:t>
            </w:r>
          </w:p>
        </w:tc>
        <w:tc>
          <w:tcPr>
            <w:tcW w:w="1276" w:type="dxa"/>
            <w:tcBorders>
              <w:top w:val="single" w:sz="4" w:space="0" w:color="auto"/>
              <w:bottom w:val="single" w:sz="4" w:space="0" w:color="auto"/>
              <w:right w:val="single" w:sz="4" w:space="0" w:color="auto"/>
            </w:tcBorders>
            <w:shd w:val="clear" w:color="auto" w:fill="auto"/>
          </w:tcPr>
          <w:p w14:paraId="5A7FD9DB"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1,814.7</w:t>
            </w:r>
          </w:p>
        </w:tc>
        <w:tc>
          <w:tcPr>
            <w:tcW w:w="1134" w:type="dxa"/>
            <w:tcBorders>
              <w:top w:val="single" w:sz="4" w:space="0" w:color="auto"/>
              <w:left w:val="single" w:sz="4" w:space="0" w:color="auto"/>
              <w:bottom w:val="single" w:sz="4" w:space="0" w:color="auto"/>
              <w:right w:val="single" w:sz="4" w:space="0" w:color="auto"/>
            </w:tcBorders>
          </w:tcPr>
          <w:p w14:paraId="75D59CA5" w14:textId="77777777" w:rsidR="00005CC8" w:rsidRPr="0067660B" w:rsidRDefault="00005CC8" w:rsidP="00B06D81">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1,649.4</w:t>
            </w:r>
          </w:p>
        </w:tc>
      </w:tr>
      <w:tr w:rsidR="00005CC8" w:rsidRPr="0067660B" w14:paraId="06FFBEAA" w14:textId="77777777" w:rsidTr="00B06D81">
        <w:trPr>
          <w:trHeight w:val="223"/>
        </w:trPr>
        <w:tc>
          <w:tcPr>
            <w:tcW w:w="258" w:type="dxa"/>
            <w:tcBorders>
              <w:top w:val="nil"/>
              <w:left w:val="nil"/>
              <w:bottom w:val="nil"/>
              <w:right w:val="nil"/>
            </w:tcBorders>
          </w:tcPr>
          <w:p w14:paraId="2A0D9BD1"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671F69E7" w14:textId="77777777" w:rsidR="00005CC8" w:rsidRPr="0067660B" w:rsidRDefault="00005CC8" w:rsidP="00B06D81">
            <w:pPr>
              <w:autoSpaceDE w:val="0"/>
              <w:autoSpaceDN w:val="0"/>
              <w:adjustRightInd w:val="0"/>
              <w:rPr>
                <w:rFonts w:asciiTheme="minorHAnsi" w:hAnsiTheme="minorHAnsi" w:cstheme="minorHAnsi"/>
                <w:color w:val="000000"/>
                <w:sz w:val="22"/>
                <w:szCs w:val="22"/>
              </w:rPr>
            </w:pPr>
          </w:p>
        </w:tc>
        <w:tc>
          <w:tcPr>
            <w:tcW w:w="708" w:type="dxa"/>
            <w:tcBorders>
              <w:top w:val="nil"/>
            </w:tcBorders>
          </w:tcPr>
          <w:p w14:paraId="3B2EBFF9"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right w:val="single" w:sz="4" w:space="0" w:color="auto"/>
            </w:tcBorders>
          </w:tcPr>
          <w:p w14:paraId="0B87935E"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right w:val="single" w:sz="4" w:space="0" w:color="auto"/>
            </w:tcBorders>
            <w:shd w:val="clear" w:color="auto" w:fill="auto"/>
          </w:tcPr>
          <w:p w14:paraId="6B2D43CE"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p>
        </w:tc>
        <w:tc>
          <w:tcPr>
            <w:tcW w:w="1134" w:type="dxa"/>
            <w:tcBorders>
              <w:top w:val="single" w:sz="4" w:space="0" w:color="auto"/>
              <w:left w:val="single" w:sz="4" w:space="0" w:color="auto"/>
              <w:right w:val="single" w:sz="4" w:space="0" w:color="auto"/>
            </w:tcBorders>
          </w:tcPr>
          <w:p w14:paraId="428F1AB1" w14:textId="77777777" w:rsidR="00005CC8" w:rsidRPr="0067660B" w:rsidRDefault="00005CC8" w:rsidP="00B06D81">
            <w:pPr>
              <w:autoSpaceDE w:val="0"/>
              <w:autoSpaceDN w:val="0"/>
              <w:adjustRightInd w:val="0"/>
              <w:ind w:left="-226"/>
              <w:jc w:val="right"/>
              <w:rPr>
                <w:rFonts w:asciiTheme="minorHAnsi" w:hAnsiTheme="minorHAnsi" w:cstheme="minorHAnsi"/>
                <w:bCs/>
                <w:color w:val="000000"/>
                <w:sz w:val="22"/>
                <w:szCs w:val="22"/>
              </w:rPr>
            </w:pPr>
          </w:p>
        </w:tc>
      </w:tr>
      <w:tr w:rsidR="00005CC8" w:rsidRPr="0067660B" w14:paraId="112CA59B" w14:textId="77777777" w:rsidTr="00B06D81">
        <w:trPr>
          <w:trHeight w:val="223"/>
        </w:trPr>
        <w:tc>
          <w:tcPr>
            <w:tcW w:w="6096" w:type="dxa"/>
            <w:gridSpan w:val="2"/>
            <w:tcBorders>
              <w:top w:val="nil"/>
              <w:left w:val="nil"/>
              <w:bottom w:val="nil"/>
            </w:tcBorders>
          </w:tcPr>
          <w:p w14:paraId="1C422261" w14:textId="77777777" w:rsidR="00005CC8" w:rsidRPr="00B86918" w:rsidRDefault="00005CC8" w:rsidP="00B06D81">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Operating profit</w:t>
            </w:r>
            <w:r>
              <w:rPr>
                <w:rFonts w:asciiTheme="minorHAnsi" w:hAnsiTheme="minorHAnsi" w:cstheme="minorHAnsi"/>
                <w:b/>
                <w:bCs/>
                <w:color w:val="000000"/>
                <w:sz w:val="22"/>
                <w:szCs w:val="22"/>
              </w:rPr>
              <w:t>/(loss)</w:t>
            </w:r>
          </w:p>
        </w:tc>
        <w:tc>
          <w:tcPr>
            <w:tcW w:w="708" w:type="dxa"/>
            <w:tcBorders>
              <w:top w:val="nil"/>
            </w:tcBorders>
          </w:tcPr>
          <w:p w14:paraId="302D9391"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5F830195"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r>
              <w:rPr>
                <w:rFonts w:ascii="Calibri" w:hAnsi="Calibri" w:cs="Calibri"/>
                <w:bCs/>
                <w:color w:val="000000"/>
                <w:sz w:val="22"/>
                <w:szCs w:val="22"/>
              </w:rPr>
              <w:t>+234</w:t>
            </w:r>
            <w:r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3FE09E26"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91.3</w:t>
            </w:r>
          </w:p>
        </w:tc>
        <w:tc>
          <w:tcPr>
            <w:tcW w:w="1134" w:type="dxa"/>
            <w:tcBorders>
              <w:top w:val="nil"/>
              <w:left w:val="single" w:sz="4" w:space="0" w:color="auto"/>
              <w:right w:val="single" w:sz="4" w:space="0" w:color="auto"/>
            </w:tcBorders>
            <w:shd w:val="clear" w:color="auto" w:fill="auto"/>
          </w:tcPr>
          <w:p w14:paraId="271FFCA9" w14:textId="77777777" w:rsidR="00005CC8" w:rsidRPr="00E301C1" w:rsidRDefault="00005CC8" w:rsidP="00B06D81">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(68.0)</w:t>
            </w:r>
          </w:p>
        </w:tc>
      </w:tr>
      <w:tr w:rsidR="00005CC8" w:rsidRPr="0067660B" w14:paraId="47ED86D7" w14:textId="77777777" w:rsidTr="00B06D81">
        <w:trPr>
          <w:trHeight w:val="223"/>
        </w:trPr>
        <w:tc>
          <w:tcPr>
            <w:tcW w:w="6096" w:type="dxa"/>
            <w:gridSpan w:val="2"/>
            <w:tcBorders>
              <w:top w:val="nil"/>
              <w:left w:val="nil"/>
              <w:bottom w:val="nil"/>
            </w:tcBorders>
          </w:tcPr>
          <w:p w14:paraId="78D9E659" w14:textId="77777777" w:rsidR="00005CC8" w:rsidRPr="0067660B" w:rsidRDefault="00005CC8" w:rsidP="00B06D81">
            <w:pPr>
              <w:autoSpaceDE w:val="0"/>
              <w:autoSpaceDN w:val="0"/>
              <w:adjustRightInd w:val="0"/>
              <w:rPr>
                <w:rFonts w:asciiTheme="minorHAnsi" w:hAnsiTheme="minorHAnsi" w:cstheme="minorHAnsi"/>
                <w:bCs/>
                <w:color w:val="000000"/>
                <w:sz w:val="22"/>
                <w:szCs w:val="22"/>
              </w:rPr>
            </w:pPr>
          </w:p>
        </w:tc>
        <w:tc>
          <w:tcPr>
            <w:tcW w:w="708" w:type="dxa"/>
            <w:tcBorders>
              <w:top w:val="nil"/>
            </w:tcBorders>
          </w:tcPr>
          <w:p w14:paraId="5A66E9A1"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391DA4B9"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shd w:val="clear" w:color="auto" w:fill="auto"/>
          </w:tcPr>
          <w:p w14:paraId="414521E0"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p>
        </w:tc>
        <w:tc>
          <w:tcPr>
            <w:tcW w:w="1134" w:type="dxa"/>
            <w:tcBorders>
              <w:top w:val="nil"/>
              <w:left w:val="single" w:sz="4" w:space="0" w:color="auto"/>
              <w:right w:val="single" w:sz="4" w:space="0" w:color="auto"/>
            </w:tcBorders>
            <w:shd w:val="clear" w:color="auto" w:fill="auto"/>
          </w:tcPr>
          <w:p w14:paraId="143171F5" w14:textId="77777777" w:rsidR="00005CC8" w:rsidRPr="00E301C1" w:rsidRDefault="00005CC8" w:rsidP="00B06D81">
            <w:pPr>
              <w:autoSpaceDE w:val="0"/>
              <w:autoSpaceDN w:val="0"/>
              <w:adjustRightInd w:val="0"/>
              <w:ind w:left="-226"/>
              <w:jc w:val="right"/>
              <w:rPr>
                <w:rFonts w:asciiTheme="minorHAnsi" w:hAnsiTheme="minorHAnsi" w:cstheme="minorHAnsi"/>
                <w:bCs/>
                <w:color w:val="000000"/>
                <w:sz w:val="22"/>
                <w:szCs w:val="22"/>
              </w:rPr>
            </w:pPr>
          </w:p>
        </w:tc>
      </w:tr>
      <w:tr w:rsidR="00005CC8" w:rsidRPr="0067660B" w14:paraId="3E7B8D38" w14:textId="77777777" w:rsidTr="00B06D81">
        <w:trPr>
          <w:trHeight w:val="223"/>
        </w:trPr>
        <w:tc>
          <w:tcPr>
            <w:tcW w:w="6096" w:type="dxa"/>
            <w:gridSpan w:val="2"/>
            <w:tcBorders>
              <w:top w:val="nil"/>
              <w:left w:val="nil"/>
              <w:bottom w:val="nil"/>
            </w:tcBorders>
          </w:tcPr>
          <w:p w14:paraId="7E5AC0D7" w14:textId="77777777" w:rsidR="00005CC8" w:rsidRPr="00B86918" w:rsidRDefault="00005CC8" w:rsidP="00B06D81">
            <w:pPr>
              <w:autoSpaceDE w:val="0"/>
              <w:autoSpaceDN w:val="0"/>
              <w:adjustRightInd w:val="0"/>
              <w:rPr>
                <w:rFonts w:asciiTheme="minorHAnsi" w:hAnsiTheme="minorHAnsi" w:cstheme="minorHAnsi"/>
                <w:b/>
                <w:bCs/>
                <w:color w:val="000000"/>
                <w:sz w:val="22"/>
                <w:szCs w:val="22"/>
              </w:rPr>
            </w:pPr>
            <w:r w:rsidRPr="00B86918">
              <w:rPr>
                <w:rFonts w:asciiTheme="minorHAnsi" w:hAnsiTheme="minorHAnsi" w:cstheme="minorHAnsi"/>
                <w:b/>
                <w:bCs/>
                <w:color w:val="000000"/>
                <w:sz w:val="22"/>
                <w:szCs w:val="22"/>
              </w:rPr>
              <w:t>Other</w:t>
            </w:r>
            <w:r>
              <w:rPr>
                <w:rFonts w:asciiTheme="minorHAnsi" w:hAnsiTheme="minorHAnsi" w:cstheme="minorHAnsi"/>
                <w:b/>
                <w:bCs/>
                <w:color w:val="000000"/>
                <w:sz w:val="22"/>
                <w:szCs w:val="22"/>
              </w:rPr>
              <w:t xml:space="preserve"> income/(expense)</w:t>
            </w:r>
          </w:p>
        </w:tc>
        <w:tc>
          <w:tcPr>
            <w:tcW w:w="708" w:type="dxa"/>
            <w:tcBorders>
              <w:top w:val="nil"/>
            </w:tcBorders>
          </w:tcPr>
          <w:p w14:paraId="7AA4F708"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25A5E2B9"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shd w:val="clear" w:color="auto" w:fill="auto"/>
          </w:tcPr>
          <w:p w14:paraId="67F78D93" w14:textId="77777777" w:rsidR="00005CC8" w:rsidRPr="001B62F8" w:rsidRDefault="00005CC8" w:rsidP="00B06D81">
            <w:pPr>
              <w:autoSpaceDE w:val="0"/>
              <w:autoSpaceDN w:val="0"/>
              <w:adjustRightInd w:val="0"/>
              <w:jc w:val="right"/>
              <w:rPr>
                <w:rFonts w:asciiTheme="minorHAnsi" w:hAnsiTheme="minorHAnsi" w:cstheme="minorHAnsi"/>
                <w:b/>
                <w:bCs/>
                <w:color w:val="000000"/>
                <w:sz w:val="22"/>
                <w:szCs w:val="22"/>
              </w:rPr>
            </w:pPr>
          </w:p>
        </w:tc>
        <w:tc>
          <w:tcPr>
            <w:tcW w:w="1134" w:type="dxa"/>
            <w:tcBorders>
              <w:top w:val="nil"/>
              <w:left w:val="single" w:sz="4" w:space="0" w:color="auto"/>
              <w:right w:val="single" w:sz="4" w:space="0" w:color="auto"/>
            </w:tcBorders>
            <w:shd w:val="clear" w:color="auto" w:fill="auto"/>
          </w:tcPr>
          <w:p w14:paraId="1EFF2D5A" w14:textId="77777777" w:rsidR="00005CC8" w:rsidRPr="00E301C1" w:rsidRDefault="00005CC8" w:rsidP="00B06D81">
            <w:pPr>
              <w:autoSpaceDE w:val="0"/>
              <w:autoSpaceDN w:val="0"/>
              <w:adjustRightInd w:val="0"/>
              <w:ind w:left="-226"/>
              <w:jc w:val="right"/>
              <w:rPr>
                <w:rFonts w:asciiTheme="minorHAnsi" w:hAnsiTheme="minorHAnsi" w:cstheme="minorHAnsi"/>
                <w:bCs/>
                <w:color w:val="000000"/>
                <w:sz w:val="22"/>
                <w:szCs w:val="22"/>
              </w:rPr>
            </w:pPr>
          </w:p>
        </w:tc>
      </w:tr>
      <w:tr w:rsidR="00005CC8" w:rsidRPr="0067660B" w14:paraId="1C2B7591" w14:textId="77777777" w:rsidTr="00A2160E">
        <w:trPr>
          <w:trHeight w:val="223"/>
        </w:trPr>
        <w:tc>
          <w:tcPr>
            <w:tcW w:w="258" w:type="dxa"/>
            <w:tcBorders>
              <w:top w:val="nil"/>
              <w:left w:val="nil"/>
              <w:bottom w:val="nil"/>
              <w:right w:val="nil"/>
            </w:tcBorders>
          </w:tcPr>
          <w:p w14:paraId="71FA73B1" w14:textId="77777777" w:rsidR="00005CC8" w:rsidRPr="0067660B" w:rsidRDefault="00005CC8" w:rsidP="00B06D8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3035305B" w14:textId="06224BD2" w:rsidR="00005CC8" w:rsidRPr="0067660B" w:rsidRDefault="00A2160E"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Net finance expense</w:t>
            </w:r>
          </w:p>
        </w:tc>
        <w:tc>
          <w:tcPr>
            <w:tcW w:w="708" w:type="dxa"/>
            <w:tcBorders>
              <w:top w:val="nil"/>
            </w:tcBorders>
          </w:tcPr>
          <w:p w14:paraId="038CF1FF" w14:textId="77777777" w:rsidR="00005CC8" w:rsidRPr="0067660B" w:rsidRDefault="00005CC8" w:rsidP="00B06D81">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512C7C6F" w14:textId="6850589A" w:rsidR="00005CC8" w:rsidRPr="00DB22BA" w:rsidRDefault="00A2160E" w:rsidP="00B06D81">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+20%</w:t>
            </w:r>
          </w:p>
        </w:tc>
        <w:tc>
          <w:tcPr>
            <w:tcW w:w="1276" w:type="dxa"/>
            <w:tcBorders>
              <w:top w:val="nil"/>
              <w:right w:val="single" w:sz="4" w:space="0" w:color="auto"/>
            </w:tcBorders>
            <w:shd w:val="clear" w:color="auto" w:fill="auto"/>
          </w:tcPr>
          <w:p w14:paraId="32AE7C07" w14:textId="61928BE9" w:rsidR="00005CC8" w:rsidRPr="001B62F8" w:rsidRDefault="00A2160E"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(11.3)</w:t>
            </w:r>
          </w:p>
        </w:tc>
        <w:tc>
          <w:tcPr>
            <w:tcW w:w="1134" w:type="dxa"/>
            <w:tcBorders>
              <w:top w:val="nil"/>
              <w:left w:val="single" w:sz="4" w:space="0" w:color="auto"/>
              <w:right w:val="single" w:sz="4" w:space="0" w:color="auto"/>
            </w:tcBorders>
            <w:shd w:val="clear" w:color="auto" w:fill="auto"/>
          </w:tcPr>
          <w:p w14:paraId="6AD8D9E1" w14:textId="477DDB57" w:rsidR="00005CC8" w:rsidRDefault="00A2160E" w:rsidP="00B06D81">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(14.2)</w:t>
            </w:r>
          </w:p>
        </w:tc>
      </w:tr>
      <w:tr w:rsidR="00A2160E" w:rsidRPr="0067660B" w14:paraId="6563CF12" w14:textId="77777777" w:rsidTr="00A2160E">
        <w:trPr>
          <w:trHeight w:val="223"/>
        </w:trPr>
        <w:tc>
          <w:tcPr>
            <w:tcW w:w="258" w:type="dxa"/>
            <w:tcBorders>
              <w:top w:val="nil"/>
              <w:left w:val="nil"/>
              <w:bottom w:val="nil"/>
              <w:right w:val="nil"/>
            </w:tcBorders>
          </w:tcPr>
          <w:p w14:paraId="170B91B8" w14:textId="77777777" w:rsidR="00A2160E" w:rsidRPr="0067660B" w:rsidRDefault="00A2160E" w:rsidP="00A2160E">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31E20B39" w14:textId="7F17EB99" w:rsidR="00A2160E" w:rsidRDefault="00A2160E" w:rsidP="00A2160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Foreign exchange gain</w:t>
            </w:r>
          </w:p>
        </w:tc>
        <w:tc>
          <w:tcPr>
            <w:tcW w:w="708" w:type="dxa"/>
            <w:tcBorders>
              <w:top w:val="nil"/>
            </w:tcBorders>
          </w:tcPr>
          <w:p w14:paraId="47D55935"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5ECC1560" w14:textId="25491B2C" w:rsidR="00A2160E" w:rsidRDefault="00A2160E" w:rsidP="00A2160E">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+214%</w:t>
            </w:r>
          </w:p>
        </w:tc>
        <w:tc>
          <w:tcPr>
            <w:tcW w:w="1276" w:type="dxa"/>
            <w:tcBorders>
              <w:left w:val="single" w:sz="4" w:space="0" w:color="auto"/>
              <w:bottom w:val="single" w:sz="4" w:space="0" w:color="auto"/>
              <w:right w:val="single" w:sz="4" w:space="0" w:color="auto"/>
            </w:tcBorders>
            <w:shd w:val="clear" w:color="auto" w:fill="auto"/>
          </w:tcPr>
          <w:p w14:paraId="565CFCE2" w14:textId="00A4275A" w:rsidR="00A2160E" w:rsidRDefault="00A2160E" w:rsidP="00A2160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1.6</w:t>
            </w:r>
          </w:p>
        </w:tc>
        <w:tc>
          <w:tcPr>
            <w:tcW w:w="1134" w:type="dxa"/>
            <w:tcBorders>
              <w:left w:val="single" w:sz="4" w:space="0" w:color="auto"/>
              <w:bottom w:val="single" w:sz="4" w:space="0" w:color="auto"/>
              <w:right w:val="single" w:sz="4" w:space="0" w:color="auto"/>
            </w:tcBorders>
            <w:shd w:val="clear" w:color="auto" w:fill="auto"/>
          </w:tcPr>
          <w:p w14:paraId="485E515A" w14:textId="34865C4C" w:rsidR="00A2160E" w:rsidRDefault="00A2160E" w:rsidP="00A2160E">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(1.4)</w:t>
            </w:r>
          </w:p>
        </w:tc>
      </w:tr>
      <w:tr w:rsidR="00A2160E" w:rsidRPr="0067660B" w14:paraId="5AE8AE7F" w14:textId="77777777" w:rsidTr="00B06D81">
        <w:trPr>
          <w:trHeight w:val="223"/>
        </w:trPr>
        <w:tc>
          <w:tcPr>
            <w:tcW w:w="6096" w:type="dxa"/>
            <w:gridSpan w:val="2"/>
            <w:tcBorders>
              <w:top w:val="nil"/>
              <w:left w:val="nil"/>
              <w:bottom w:val="nil"/>
            </w:tcBorders>
          </w:tcPr>
          <w:p w14:paraId="4A49F3A6" w14:textId="77777777" w:rsidR="00A2160E" w:rsidRPr="00B86918" w:rsidRDefault="00A2160E" w:rsidP="00A2160E">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color w:val="000000"/>
                <w:sz w:val="22"/>
                <w:szCs w:val="22"/>
              </w:rPr>
              <w:t>Total other (expense)</w:t>
            </w:r>
          </w:p>
        </w:tc>
        <w:tc>
          <w:tcPr>
            <w:tcW w:w="708" w:type="dxa"/>
            <w:tcBorders>
              <w:top w:val="nil"/>
            </w:tcBorders>
          </w:tcPr>
          <w:p w14:paraId="1214F515"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right w:val="single" w:sz="4" w:space="0" w:color="auto"/>
            </w:tcBorders>
          </w:tcPr>
          <w:p w14:paraId="490AEEEF"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+38%</w:t>
            </w:r>
          </w:p>
        </w:tc>
        <w:tc>
          <w:tcPr>
            <w:tcW w:w="1276" w:type="dxa"/>
            <w:tcBorders>
              <w:top w:val="single" w:sz="4" w:space="0" w:color="auto"/>
              <w:bottom w:val="single" w:sz="4" w:space="0" w:color="auto"/>
              <w:right w:val="single" w:sz="4" w:space="0" w:color="auto"/>
            </w:tcBorders>
            <w:shd w:val="clear" w:color="auto" w:fill="auto"/>
          </w:tcPr>
          <w:p w14:paraId="437D2B87" w14:textId="77777777" w:rsidR="00A2160E" w:rsidRPr="001B62F8" w:rsidRDefault="00A2160E" w:rsidP="00A2160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BB8AE" w14:textId="77777777" w:rsidR="00A2160E" w:rsidRPr="00E301C1" w:rsidRDefault="00A2160E" w:rsidP="00A2160E">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(15.6)</w:t>
            </w:r>
          </w:p>
        </w:tc>
      </w:tr>
      <w:tr w:rsidR="00A2160E" w:rsidRPr="0067660B" w14:paraId="7DE9089D" w14:textId="77777777" w:rsidTr="00B06D81">
        <w:trPr>
          <w:trHeight w:val="223"/>
        </w:trPr>
        <w:tc>
          <w:tcPr>
            <w:tcW w:w="258" w:type="dxa"/>
            <w:tcBorders>
              <w:top w:val="nil"/>
              <w:left w:val="nil"/>
              <w:bottom w:val="nil"/>
              <w:right w:val="nil"/>
            </w:tcBorders>
          </w:tcPr>
          <w:p w14:paraId="2B7B1C53" w14:textId="77777777" w:rsidR="00A2160E" w:rsidRPr="0067660B" w:rsidRDefault="00A2160E" w:rsidP="00A2160E">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2CFA5BFE"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p>
        </w:tc>
        <w:tc>
          <w:tcPr>
            <w:tcW w:w="708" w:type="dxa"/>
            <w:tcBorders>
              <w:top w:val="nil"/>
            </w:tcBorders>
          </w:tcPr>
          <w:p w14:paraId="1BA7EFD3"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right w:val="single" w:sz="4" w:space="0" w:color="auto"/>
            </w:tcBorders>
          </w:tcPr>
          <w:p w14:paraId="14A82F3F"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right w:val="single" w:sz="4" w:space="0" w:color="auto"/>
            </w:tcBorders>
            <w:shd w:val="clear" w:color="auto" w:fill="auto"/>
          </w:tcPr>
          <w:p w14:paraId="13294334" w14:textId="77777777" w:rsidR="00A2160E" w:rsidRPr="001B62F8" w:rsidRDefault="00A2160E" w:rsidP="00A2160E">
            <w:pPr>
              <w:autoSpaceDE w:val="0"/>
              <w:autoSpaceDN w:val="0"/>
              <w:adjustRightInd w:val="0"/>
              <w:jc w:val="right"/>
              <w:rPr>
                <w:rFonts w:asciiTheme="minorHAnsi" w:hAnsiTheme="minorHAnsi" w:cstheme="minorHAnsi"/>
                <w:b/>
                <w:bCs/>
                <w:color w:val="000000"/>
                <w:sz w:val="22"/>
                <w:szCs w:val="22"/>
              </w:rPr>
            </w:pPr>
          </w:p>
        </w:tc>
        <w:tc>
          <w:tcPr>
            <w:tcW w:w="1134" w:type="dxa"/>
            <w:tcBorders>
              <w:top w:val="single" w:sz="4" w:space="0" w:color="auto"/>
              <w:left w:val="single" w:sz="4" w:space="0" w:color="auto"/>
              <w:right w:val="single" w:sz="4" w:space="0" w:color="auto"/>
            </w:tcBorders>
            <w:shd w:val="clear" w:color="auto" w:fill="auto"/>
          </w:tcPr>
          <w:p w14:paraId="3103E806" w14:textId="77777777" w:rsidR="00A2160E" w:rsidRPr="00E301C1" w:rsidRDefault="00A2160E" w:rsidP="00A2160E">
            <w:pPr>
              <w:autoSpaceDE w:val="0"/>
              <w:autoSpaceDN w:val="0"/>
              <w:adjustRightInd w:val="0"/>
              <w:ind w:left="-226"/>
              <w:jc w:val="right"/>
              <w:rPr>
                <w:rFonts w:asciiTheme="minorHAnsi" w:hAnsiTheme="minorHAnsi" w:cstheme="minorHAnsi"/>
                <w:bCs/>
                <w:color w:val="000000"/>
                <w:sz w:val="22"/>
                <w:szCs w:val="22"/>
              </w:rPr>
            </w:pPr>
          </w:p>
        </w:tc>
      </w:tr>
      <w:tr w:rsidR="00A2160E" w:rsidRPr="0067660B" w14:paraId="5DE5E0E9" w14:textId="77777777" w:rsidTr="00B06D81">
        <w:trPr>
          <w:trHeight w:val="223"/>
        </w:trPr>
        <w:tc>
          <w:tcPr>
            <w:tcW w:w="6096" w:type="dxa"/>
            <w:gridSpan w:val="2"/>
            <w:tcBorders>
              <w:top w:val="nil"/>
              <w:left w:val="nil"/>
              <w:bottom w:val="nil"/>
            </w:tcBorders>
          </w:tcPr>
          <w:p w14:paraId="6FFC7873" w14:textId="77777777" w:rsidR="00A2160E" w:rsidRPr="00B86918" w:rsidRDefault="00A2160E" w:rsidP="00A2160E">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color w:val="000000"/>
                <w:sz w:val="22"/>
                <w:szCs w:val="22"/>
              </w:rPr>
              <w:t>Profit</w:t>
            </w:r>
            <w:r>
              <w:rPr>
                <w:rFonts w:asciiTheme="minorHAnsi" w:hAnsiTheme="minorHAnsi" w:cstheme="minorHAnsi"/>
                <w:b/>
                <w:color w:val="000000"/>
                <w:sz w:val="22"/>
                <w:szCs w:val="22"/>
              </w:rPr>
              <w:t>/(loss)</w:t>
            </w:r>
            <w:r w:rsidRPr="00B86918">
              <w:rPr>
                <w:rFonts w:asciiTheme="minorHAnsi" w:hAnsiTheme="minorHAnsi" w:cstheme="minorHAnsi"/>
                <w:b/>
                <w:color w:val="000000"/>
                <w:sz w:val="22"/>
                <w:szCs w:val="22"/>
              </w:rPr>
              <w:t xml:space="preserve"> before tax</w:t>
            </w:r>
          </w:p>
        </w:tc>
        <w:tc>
          <w:tcPr>
            <w:tcW w:w="708" w:type="dxa"/>
            <w:tcBorders>
              <w:top w:val="nil"/>
            </w:tcBorders>
          </w:tcPr>
          <w:p w14:paraId="43A5D913"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right w:val="single" w:sz="4" w:space="0" w:color="auto"/>
            </w:tcBorders>
          </w:tcPr>
          <w:p w14:paraId="4C858D23"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+198%</w:t>
            </w:r>
          </w:p>
        </w:tc>
        <w:tc>
          <w:tcPr>
            <w:tcW w:w="1276" w:type="dxa"/>
            <w:tcBorders>
              <w:right w:val="single" w:sz="4" w:space="0" w:color="auto"/>
            </w:tcBorders>
            <w:shd w:val="clear" w:color="auto" w:fill="auto"/>
          </w:tcPr>
          <w:p w14:paraId="3A844C62" w14:textId="77777777" w:rsidR="00A2160E" w:rsidRPr="001B62F8" w:rsidRDefault="00A2160E" w:rsidP="00A2160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81.6</w:t>
            </w:r>
          </w:p>
        </w:tc>
        <w:tc>
          <w:tcPr>
            <w:tcW w:w="1134" w:type="dxa"/>
            <w:tcBorders>
              <w:left w:val="single" w:sz="4" w:space="0" w:color="auto"/>
              <w:right w:val="single" w:sz="4" w:space="0" w:color="auto"/>
            </w:tcBorders>
            <w:shd w:val="clear" w:color="auto" w:fill="auto"/>
          </w:tcPr>
          <w:p w14:paraId="00732F2F" w14:textId="77777777" w:rsidR="00A2160E" w:rsidRPr="0067660B" w:rsidRDefault="00A2160E" w:rsidP="00A2160E">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(83.6)</w:t>
            </w:r>
          </w:p>
        </w:tc>
      </w:tr>
      <w:tr w:rsidR="00A2160E" w:rsidRPr="0067660B" w14:paraId="35A056E5" w14:textId="77777777" w:rsidTr="00B06D81">
        <w:trPr>
          <w:trHeight w:val="223"/>
        </w:trPr>
        <w:tc>
          <w:tcPr>
            <w:tcW w:w="258" w:type="dxa"/>
            <w:tcBorders>
              <w:top w:val="nil"/>
              <w:left w:val="nil"/>
              <w:bottom w:val="nil"/>
              <w:right w:val="nil"/>
            </w:tcBorders>
          </w:tcPr>
          <w:p w14:paraId="56F22562" w14:textId="77777777" w:rsidR="00A2160E" w:rsidRPr="0067660B" w:rsidRDefault="00A2160E" w:rsidP="00A2160E">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229104A2"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p>
        </w:tc>
        <w:tc>
          <w:tcPr>
            <w:tcW w:w="708" w:type="dxa"/>
            <w:tcBorders>
              <w:top w:val="nil"/>
            </w:tcBorders>
          </w:tcPr>
          <w:p w14:paraId="306B8123"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right w:val="single" w:sz="4" w:space="0" w:color="auto"/>
            </w:tcBorders>
          </w:tcPr>
          <w:p w14:paraId="2745DDBA"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right w:val="single" w:sz="4" w:space="0" w:color="auto"/>
            </w:tcBorders>
            <w:shd w:val="clear" w:color="auto" w:fill="auto"/>
          </w:tcPr>
          <w:p w14:paraId="3E580362" w14:textId="77777777" w:rsidR="00A2160E" w:rsidRPr="001B62F8" w:rsidRDefault="00A2160E" w:rsidP="00A2160E">
            <w:pPr>
              <w:autoSpaceDE w:val="0"/>
              <w:autoSpaceDN w:val="0"/>
              <w:adjustRightInd w:val="0"/>
              <w:jc w:val="right"/>
              <w:rPr>
                <w:rFonts w:asciiTheme="minorHAnsi" w:hAnsiTheme="minorHAnsi" w:cstheme="minorHAnsi"/>
                <w:b/>
                <w:bCs/>
                <w:color w:val="000000"/>
                <w:sz w:val="22"/>
                <w:szCs w:val="22"/>
              </w:rPr>
            </w:pPr>
          </w:p>
        </w:tc>
        <w:tc>
          <w:tcPr>
            <w:tcW w:w="1134" w:type="dxa"/>
            <w:tcBorders>
              <w:left w:val="single" w:sz="4" w:space="0" w:color="auto"/>
              <w:right w:val="single" w:sz="4" w:space="0" w:color="auto"/>
            </w:tcBorders>
            <w:shd w:val="clear" w:color="auto" w:fill="auto"/>
          </w:tcPr>
          <w:p w14:paraId="5186A622" w14:textId="77777777" w:rsidR="00A2160E" w:rsidRPr="0067660B" w:rsidRDefault="00A2160E" w:rsidP="00A2160E">
            <w:pPr>
              <w:autoSpaceDE w:val="0"/>
              <w:autoSpaceDN w:val="0"/>
              <w:adjustRightInd w:val="0"/>
              <w:ind w:left="-226"/>
              <w:jc w:val="right"/>
              <w:rPr>
                <w:rFonts w:asciiTheme="minorHAnsi" w:hAnsiTheme="minorHAnsi" w:cstheme="minorHAnsi"/>
                <w:bCs/>
                <w:color w:val="000000"/>
                <w:sz w:val="22"/>
                <w:szCs w:val="22"/>
              </w:rPr>
            </w:pPr>
          </w:p>
        </w:tc>
      </w:tr>
      <w:tr w:rsidR="00A2160E" w:rsidRPr="0067660B" w14:paraId="7CF51C11" w14:textId="77777777" w:rsidTr="00B06D81">
        <w:trPr>
          <w:trHeight w:val="223"/>
        </w:trPr>
        <w:tc>
          <w:tcPr>
            <w:tcW w:w="258" w:type="dxa"/>
            <w:tcBorders>
              <w:top w:val="nil"/>
              <w:left w:val="nil"/>
              <w:bottom w:val="nil"/>
              <w:right w:val="nil"/>
            </w:tcBorders>
          </w:tcPr>
          <w:p w14:paraId="63326249" w14:textId="77777777" w:rsidR="00A2160E" w:rsidRPr="0067660B" w:rsidRDefault="00A2160E" w:rsidP="00A2160E">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1EF17538"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 xml:space="preserve">Tax </w:t>
            </w:r>
            <w:r>
              <w:rPr>
                <w:rFonts w:asciiTheme="minorHAnsi" w:hAnsiTheme="minorHAnsi" w:cstheme="minorHAnsi"/>
                <w:color w:val="000000"/>
                <w:sz w:val="22"/>
                <w:szCs w:val="22"/>
              </w:rPr>
              <w:t>(</w:t>
            </w:r>
            <w:r w:rsidRPr="0067660B">
              <w:rPr>
                <w:rFonts w:asciiTheme="minorHAnsi" w:hAnsiTheme="minorHAnsi" w:cstheme="minorHAnsi"/>
                <w:color w:val="000000"/>
                <w:sz w:val="22"/>
                <w:szCs w:val="22"/>
              </w:rPr>
              <w:t>expense</w:t>
            </w:r>
            <w:r>
              <w:rPr>
                <w:rFonts w:asciiTheme="minorHAnsi" w:hAnsiTheme="minorHAnsi" w:cstheme="minorHAnsi"/>
                <w:color w:val="000000"/>
                <w:sz w:val="22"/>
                <w:szCs w:val="22"/>
              </w:rPr>
              <w:t>)/credit</w:t>
            </w:r>
            <w:r w:rsidRPr="0067660B">
              <w:rPr>
                <w:rFonts w:asciiTheme="minorHAnsi" w:hAnsiTheme="minorHAnsi" w:cstheme="minorHAnsi"/>
                <w:color w:val="000000"/>
                <w:sz w:val="22"/>
                <w:szCs w:val="22"/>
              </w:rPr>
              <w:t xml:space="preserve"> on profit</w:t>
            </w:r>
          </w:p>
        </w:tc>
        <w:tc>
          <w:tcPr>
            <w:tcW w:w="708" w:type="dxa"/>
            <w:tcBorders>
              <w:top w:val="nil"/>
            </w:tcBorders>
          </w:tcPr>
          <w:p w14:paraId="302AB1FF" w14:textId="77777777" w:rsidR="00A2160E" w:rsidRPr="000A6725" w:rsidRDefault="00A2160E" w:rsidP="00A2160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p>
        </w:tc>
        <w:tc>
          <w:tcPr>
            <w:tcW w:w="1276" w:type="dxa"/>
            <w:tcBorders>
              <w:right w:val="single" w:sz="4" w:space="0" w:color="auto"/>
            </w:tcBorders>
          </w:tcPr>
          <w:p w14:paraId="70FB5681"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-65%</w:t>
            </w:r>
          </w:p>
        </w:tc>
        <w:tc>
          <w:tcPr>
            <w:tcW w:w="1276" w:type="dxa"/>
            <w:tcBorders>
              <w:bottom w:val="single" w:sz="4" w:space="0" w:color="auto"/>
              <w:right w:val="single" w:sz="4" w:space="0" w:color="auto"/>
            </w:tcBorders>
            <w:shd w:val="clear" w:color="auto" w:fill="auto"/>
          </w:tcPr>
          <w:p w14:paraId="75328F04" w14:textId="77777777" w:rsidR="00A2160E" w:rsidRPr="001B62F8" w:rsidRDefault="00A2160E" w:rsidP="00A2160E">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6.2</w:t>
            </w:r>
          </w:p>
        </w:tc>
        <w:tc>
          <w:tcPr>
            <w:tcW w:w="1134" w:type="dxa"/>
            <w:tcBorders>
              <w:left w:val="single" w:sz="4" w:space="0" w:color="auto"/>
              <w:bottom w:val="single" w:sz="4" w:space="0" w:color="auto"/>
              <w:right w:val="single" w:sz="4" w:space="0" w:color="auto"/>
            </w:tcBorders>
            <w:shd w:val="clear" w:color="auto" w:fill="auto"/>
          </w:tcPr>
          <w:p w14:paraId="2FA58BE8" w14:textId="77777777" w:rsidR="00A2160E" w:rsidRPr="0067660B" w:rsidRDefault="00A2160E" w:rsidP="00A2160E">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17.5</w:t>
            </w:r>
          </w:p>
        </w:tc>
      </w:tr>
      <w:tr w:rsidR="00A2160E" w:rsidRPr="0067660B" w14:paraId="29ACC408" w14:textId="77777777" w:rsidTr="00B06D81">
        <w:trPr>
          <w:trHeight w:val="223"/>
        </w:trPr>
        <w:tc>
          <w:tcPr>
            <w:tcW w:w="258" w:type="dxa"/>
            <w:tcBorders>
              <w:top w:val="nil"/>
              <w:left w:val="nil"/>
              <w:bottom w:val="nil"/>
              <w:right w:val="nil"/>
            </w:tcBorders>
          </w:tcPr>
          <w:p w14:paraId="6242C1BE" w14:textId="77777777" w:rsidR="00A2160E" w:rsidRPr="0067660B" w:rsidRDefault="00A2160E" w:rsidP="00A2160E">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360F82BF"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p>
        </w:tc>
        <w:tc>
          <w:tcPr>
            <w:tcW w:w="708" w:type="dxa"/>
            <w:tcBorders>
              <w:top w:val="nil"/>
            </w:tcBorders>
          </w:tcPr>
          <w:p w14:paraId="0C17A25F" w14:textId="77777777" w:rsidR="00A2160E" w:rsidRPr="000A6725" w:rsidRDefault="00A2160E" w:rsidP="00A2160E">
            <w:pPr>
              <w:autoSpaceDE w:val="0"/>
              <w:autoSpaceDN w:val="0"/>
              <w:adjustRightInd w:val="0"/>
              <w:jc w:val="right"/>
              <w:rPr>
                <w:rFonts w:asciiTheme="minorHAnsi" w:hAnsiTheme="minorHAnsi" w:cstheme="minorHAnsi"/>
                <w:b/>
                <w:bCs/>
                <w:color w:val="000000"/>
                <w:sz w:val="22"/>
                <w:szCs w:val="22"/>
              </w:rPr>
            </w:pPr>
          </w:p>
        </w:tc>
        <w:tc>
          <w:tcPr>
            <w:tcW w:w="1276" w:type="dxa"/>
            <w:tcBorders>
              <w:top w:val="single" w:sz="4" w:space="0" w:color="auto"/>
              <w:right w:val="single" w:sz="4" w:space="0" w:color="auto"/>
            </w:tcBorders>
          </w:tcPr>
          <w:p w14:paraId="01BCC6D8"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right w:val="single" w:sz="4" w:space="0" w:color="auto"/>
            </w:tcBorders>
            <w:shd w:val="clear" w:color="auto" w:fill="auto"/>
          </w:tcPr>
          <w:p w14:paraId="42250604" w14:textId="77777777" w:rsidR="00A2160E" w:rsidRPr="001B62F8" w:rsidRDefault="00A2160E" w:rsidP="00A2160E">
            <w:pPr>
              <w:autoSpaceDE w:val="0"/>
              <w:autoSpaceDN w:val="0"/>
              <w:adjustRightInd w:val="0"/>
              <w:jc w:val="right"/>
              <w:rPr>
                <w:rFonts w:asciiTheme="minorHAnsi" w:hAnsiTheme="minorHAnsi" w:cstheme="minorHAnsi"/>
                <w:b/>
                <w:bCs/>
                <w:color w:val="000000"/>
                <w:sz w:val="22"/>
                <w:szCs w:val="22"/>
              </w:rPr>
            </w:pPr>
          </w:p>
        </w:tc>
        <w:tc>
          <w:tcPr>
            <w:tcW w:w="1134" w:type="dxa"/>
            <w:tcBorders>
              <w:top w:val="single" w:sz="4" w:space="0" w:color="auto"/>
              <w:left w:val="single" w:sz="4" w:space="0" w:color="auto"/>
              <w:right w:val="single" w:sz="4" w:space="0" w:color="auto"/>
            </w:tcBorders>
            <w:shd w:val="clear" w:color="auto" w:fill="auto"/>
          </w:tcPr>
          <w:p w14:paraId="21648E1D" w14:textId="77777777" w:rsidR="00A2160E" w:rsidRPr="0067660B" w:rsidRDefault="00A2160E" w:rsidP="00A2160E">
            <w:pPr>
              <w:autoSpaceDE w:val="0"/>
              <w:autoSpaceDN w:val="0"/>
              <w:adjustRightInd w:val="0"/>
              <w:ind w:left="-226"/>
              <w:jc w:val="right"/>
              <w:rPr>
                <w:rFonts w:asciiTheme="minorHAnsi" w:hAnsiTheme="minorHAnsi" w:cstheme="minorHAnsi"/>
                <w:bCs/>
                <w:color w:val="000000"/>
                <w:sz w:val="22"/>
                <w:szCs w:val="22"/>
              </w:rPr>
            </w:pPr>
          </w:p>
        </w:tc>
      </w:tr>
      <w:tr w:rsidR="00A2160E" w:rsidRPr="0067660B" w14:paraId="5B1F2CF2" w14:textId="77777777" w:rsidTr="00B06D81">
        <w:trPr>
          <w:trHeight w:val="223"/>
        </w:trPr>
        <w:tc>
          <w:tcPr>
            <w:tcW w:w="6096" w:type="dxa"/>
            <w:gridSpan w:val="2"/>
            <w:tcBorders>
              <w:top w:val="nil"/>
              <w:left w:val="nil"/>
              <w:bottom w:val="nil"/>
            </w:tcBorders>
          </w:tcPr>
          <w:p w14:paraId="63E9240C" w14:textId="77777777" w:rsidR="00A2160E" w:rsidRPr="00B86918" w:rsidRDefault="00A2160E" w:rsidP="00A2160E">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Profit</w:t>
            </w:r>
            <w:r>
              <w:rPr>
                <w:rFonts w:asciiTheme="minorHAnsi" w:hAnsiTheme="minorHAnsi" w:cstheme="minorHAnsi"/>
                <w:b/>
                <w:bCs/>
                <w:color w:val="000000"/>
                <w:sz w:val="22"/>
                <w:szCs w:val="22"/>
              </w:rPr>
              <w:t>/(loss)</w:t>
            </w:r>
            <w:r w:rsidRPr="00B86918">
              <w:rPr>
                <w:rFonts w:asciiTheme="minorHAnsi" w:hAnsiTheme="minorHAnsi" w:cstheme="minorHAnsi"/>
                <w:b/>
                <w:bCs/>
                <w:color w:val="000000"/>
                <w:sz w:val="22"/>
                <w:szCs w:val="22"/>
              </w:rPr>
              <w:t xml:space="preserve"> for the </w:t>
            </w:r>
            <w:r>
              <w:rPr>
                <w:rFonts w:asciiTheme="minorHAnsi" w:hAnsiTheme="minorHAnsi" w:cstheme="minorHAnsi"/>
                <w:b/>
                <w:bCs/>
                <w:color w:val="000000"/>
                <w:sz w:val="22"/>
                <w:szCs w:val="22"/>
              </w:rPr>
              <w:t>quarter</w:t>
            </w:r>
            <w:r w:rsidRPr="00B86918">
              <w:rPr>
                <w:rFonts w:asciiTheme="minorHAnsi" w:hAnsiTheme="minorHAnsi" w:cstheme="minorHAnsi"/>
                <w:b/>
                <w:bCs/>
                <w:color w:val="000000"/>
                <w:sz w:val="22"/>
                <w:szCs w:val="22"/>
              </w:rPr>
              <w:t xml:space="preserve"> – attributable to equity holders of parent</w:t>
            </w:r>
          </w:p>
        </w:tc>
        <w:tc>
          <w:tcPr>
            <w:tcW w:w="708" w:type="dxa"/>
            <w:tcBorders>
              <w:top w:val="nil"/>
            </w:tcBorders>
          </w:tcPr>
          <w:p w14:paraId="0218C298" w14:textId="77777777" w:rsidR="00A2160E" w:rsidRPr="000A6725" w:rsidRDefault="00A2160E" w:rsidP="00A2160E">
            <w:pPr>
              <w:autoSpaceDE w:val="0"/>
              <w:autoSpaceDN w:val="0"/>
              <w:adjustRightInd w:val="0"/>
              <w:jc w:val="right"/>
              <w:rPr>
                <w:rFonts w:asciiTheme="minorHAnsi" w:hAnsiTheme="minorHAnsi" w:cstheme="minorHAnsi"/>
                <w:b/>
                <w:bCs/>
                <w:color w:val="000000"/>
                <w:sz w:val="22"/>
                <w:szCs w:val="22"/>
              </w:rPr>
            </w:pPr>
          </w:p>
        </w:tc>
        <w:tc>
          <w:tcPr>
            <w:tcW w:w="1276" w:type="dxa"/>
            <w:tcBorders>
              <w:right w:val="single" w:sz="4" w:space="0" w:color="auto"/>
            </w:tcBorders>
          </w:tcPr>
          <w:p w14:paraId="0AEDF9B8" w14:textId="03DCCC9E"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bottom w:val="double" w:sz="4" w:space="0" w:color="auto"/>
              <w:right w:val="single" w:sz="4" w:space="0" w:color="auto"/>
            </w:tcBorders>
            <w:shd w:val="clear" w:color="auto" w:fill="auto"/>
          </w:tcPr>
          <w:p w14:paraId="6691B9AC" w14:textId="77777777" w:rsidR="00A2160E" w:rsidRPr="001B62F8" w:rsidRDefault="00A2160E" w:rsidP="00A2160E">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87.8</w:t>
            </w:r>
          </w:p>
        </w:tc>
        <w:tc>
          <w:tcPr>
            <w:tcW w:w="1134" w:type="dxa"/>
            <w:tcBorders>
              <w:left w:val="single" w:sz="4" w:space="0" w:color="auto"/>
              <w:bottom w:val="double" w:sz="6" w:space="0" w:color="auto"/>
              <w:right w:val="single" w:sz="4" w:space="0" w:color="auto"/>
            </w:tcBorders>
            <w:shd w:val="clear" w:color="auto" w:fill="auto"/>
          </w:tcPr>
          <w:p w14:paraId="7F8CE44C" w14:textId="77777777" w:rsidR="00A2160E" w:rsidRPr="0067660B" w:rsidRDefault="00A2160E" w:rsidP="00A2160E">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(66.1)</w:t>
            </w:r>
          </w:p>
        </w:tc>
      </w:tr>
      <w:tr w:rsidR="00A2160E" w:rsidRPr="0067660B" w14:paraId="20018014" w14:textId="77777777" w:rsidTr="00B06D81">
        <w:trPr>
          <w:trHeight w:val="223"/>
        </w:trPr>
        <w:tc>
          <w:tcPr>
            <w:tcW w:w="258" w:type="dxa"/>
            <w:tcBorders>
              <w:top w:val="nil"/>
              <w:left w:val="nil"/>
              <w:bottom w:val="nil"/>
              <w:right w:val="nil"/>
            </w:tcBorders>
          </w:tcPr>
          <w:p w14:paraId="560C2B23" w14:textId="77777777" w:rsidR="00A2160E" w:rsidRPr="0067660B" w:rsidRDefault="00A2160E" w:rsidP="00A2160E">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2BDFB4C8"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p>
        </w:tc>
        <w:tc>
          <w:tcPr>
            <w:tcW w:w="708" w:type="dxa"/>
            <w:tcBorders>
              <w:top w:val="nil"/>
            </w:tcBorders>
          </w:tcPr>
          <w:p w14:paraId="4027390B" w14:textId="77777777" w:rsidR="00A2160E" w:rsidRPr="000A6725" w:rsidRDefault="00A2160E" w:rsidP="00A2160E">
            <w:pPr>
              <w:autoSpaceDE w:val="0"/>
              <w:autoSpaceDN w:val="0"/>
              <w:adjustRightInd w:val="0"/>
              <w:jc w:val="right"/>
              <w:rPr>
                <w:rFonts w:asciiTheme="minorHAnsi" w:hAnsiTheme="minorHAnsi" w:cstheme="minorHAnsi"/>
                <w:b/>
                <w:bCs/>
                <w:color w:val="000000"/>
                <w:sz w:val="22"/>
                <w:szCs w:val="22"/>
              </w:rPr>
            </w:pPr>
          </w:p>
        </w:tc>
        <w:tc>
          <w:tcPr>
            <w:tcW w:w="1276" w:type="dxa"/>
            <w:tcBorders>
              <w:top w:val="double" w:sz="6" w:space="0" w:color="auto"/>
              <w:right w:val="single" w:sz="4" w:space="0" w:color="auto"/>
            </w:tcBorders>
          </w:tcPr>
          <w:p w14:paraId="3BC43369"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top w:val="double" w:sz="4" w:space="0" w:color="auto"/>
              <w:right w:val="single" w:sz="4" w:space="0" w:color="auto"/>
            </w:tcBorders>
            <w:shd w:val="clear" w:color="auto" w:fill="auto"/>
          </w:tcPr>
          <w:p w14:paraId="70F529DE" w14:textId="77777777" w:rsidR="00A2160E" w:rsidRPr="00F7058D" w:rsidRDefault="00A2160E" w:rsidP="00A2160E">
            <w:pPr>
              <w:autoSpaceDE w:val="0"/>
              <w:autoSpaceDN w:val="0"/>
              <w:adjustRightInd w:val="0"/>
              <w:jc w:val="right"/>
              <w:rPr>
                <w:rFonts w:asciiTheme="minorHAnsi" w:hAnsiTheme="minorHAnsi" w:cstheme="minorHAnsi"/>
                <w:bCs/>
                <w:color w:val="000000"/>
                <w:sz w:val="22"/>
                <w:szCs w:val="22"/>
              </w:rPr>
            </w:pPr>
          </w:p>
        </w:tc>
        <w:tc>
          <w:tcPr>
            <w:tcW w:w="1134" w:type="dxa"/>
            <w:tcBorders>
              <w:top w:val="double" w:sz="6" w:space="0" w:color="auto"/>
              <w:left w:val="single" w:sz="4" w:space="0" w:color="auto"/>
              <w:right w:val="single" w:sz="4" w:space="0" w:color="auto"/>
            </w:tcBorders>
            <w:shd w:val="clear" w:color="auto" w:fill="auto"/>
          </w:tcPr>
          <w:p w14:paraId="08542AFA" w14:textId="77777777" w:rsidR="00A2160E" w:rsidRPr="0067660B" w:rsidRDefault="00A2160E" w:rsidP="00A2160E">
            <w:pPr>
              <w:autoSpaceDE w:val="0"/>
              <w:autoSpaceDN w:val="0"/>
              <w:adjustRightInd w:val="0"/>
              <w:ind w:left="-226"/>
              <w:jc w:val="right"/>
              <w:rPr>
                <w:rFonts w:asciiTheme="minorHAnsi" w:hAnsiTheme="minorHAnsi" w:cstheme="minorHAnsi"/>
                <w:bCs/>
                <w:color w:val="000000"/>
                <w:sz w:val="22"/>
                <w:szCs w:val="22"/>
              </w:rPr>
            </w:pPr>
          </w:p>
        </w:tc>
      </w:tr>
      <w:tr w:rsidR="00A2160E" w:rsidRPr="0067660B" w14:paraId="2B478E95" w14:textId="77777777" w:rsidTr="00B06D81">
        <w:trPr>
          <w:trHeight w:val="223"/>
        </w:trPr>
        <w:tc>
          <w:tcPr>
            <w:tcW w:w="258" w:type="dxa"/>
            <w:tcBorders>
              <w:left w:val="nil"/>
              <w:bottom w:val="nil"/>
              <w:right w:val="nil"/>
            </w:tcBorders>
          </w:tcPr>
          <w:p w14:paraId="749B4F23" w14:textId="77777777" w:rsidR="00A2160E" w:rsidRPr="0067660B" w:rsidRDefault="00A2160E" w:rsidP="00A2160E">
            <w:pPr>
              <w:autoSpaceDE w:val="0"/>
              <w:autoSpaceDN w:val="0"/>
              <w:adjustRightInd w:val="0"/>
              <w:rPr>
                <w:rFonts w:asciiTheme="minorHAnsi" w:hAnsiTheme="minorHAnsi" w:cstheme="minorHAnsi"/>
                <w:bCs/>
                <w:color w:val="000000"/>
                <w:sz w:val="22"/>
                <w:szCs w:val="22"/>
              </w:rPr>
            </w:pPr>
          </w:p>
        </w:tc>
        <w:tc>
          <w:tcPr>
            <w:tcW w:w="5838" w:type="dxa"/>
            <w:tcBorders>
              <w:left w:val="nil"/>
              <w:bottom w:val="nil"/>
            </w:tcBorders>
          </w:tcPr>
          <w:p w14:paraId="0537E3AF"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Earnings per ordinary share (€)</w:t>
            </w:r>
          </w:p>
        </w:tc>
        <w:tc>
          <w:tcPr>
            <w:tcW w:w="708" w:type="dxa"/>
            <w:tcBorders>
              <w:bottom w:val="nil"/>
            </w:tcBorders>
          </w:tcPr>
          <w:p w14:paraId="4C266EB0" w14:textId="77777777" w:rsidR="00A2160E" w:rsidRPr="000A6725" w:rsidRDefault="00A2160E" w:rsidP="00A2160E">
            <w:pPr>
              <w:autoSpaceDE w:val="0"/>
              <w:autoSpaceDN w:val="0"/>
              <w:adjustRightInd w:val="0"/>
              <w:jc w:val="right"/>
              <w:rPr>
                <w:rFonts w:asciiTheme="minorHAnsi" w:hAnsiTheme="minorHAnsi" w:cstheme="minorHAnsi"/>
                <w:b/>
                <w:color w:val="000000"/>
                <w:sz w:val="22"/>
                <w:szCs w:val="22"/>
              </w:rPr>
            </w:pPr>
          </w:p>
        </w:tc>
        <w:tc>
          <w:tcPr>
            <w:tcW w:w="1276" w:type="dxa"/>
            <w:tcBorders>
              <w:bottom w:val="nil"/>
              <w:right w:val="single" w:sz="4" w:space="0" w:color="auto"/>
            </w:tcBorders>
          </w:tcPr>
          <w:p w14:paraId="79714607" w14:textId="77777777" w:rsidR="00A2160E" w:rsidRPr="0067660B" w:rsidRDefault="00A2160E" w:rsidP="00A2160E">
            <w:pPr>
              <w:autoSpaceDE w:val="0"/>
              <w:autoSpaceDN w:val="0"/>
              <w:adjustRightInd w:val="0"/>
              <w:jc w:val="right"/>
              <w:rPr>
                <w:rFonts w:asciiTheme="minorHAnsi" w:hAnsiTheme="minorHAnsi" w:cstheme="minorHAnsi"/>
                <w:color w:val="000000"/>
                <w:sz w:val="22"/>
                <w:szCs w:val="22"/>
              </w:rPr>
            </w:pPr>
          </w:p>
        </w:tc>
        <w:tc>
          <w:tcPr>
            <w:tcW w:w="1276" w:type="dxa"/>
            <w:tcBorders>
              <w:bottom w:val="nil"/>
              <w:right w:val="single" w:sz="4" w:space="0" w:color="auto"/>
            </w:tcBorders>
            <w:shd w:val="clear" w:color="auto" w:fill="auto"/>
          </w:tcPr>
          <w:p w14:paraId="0998708F" w14:textId="77777777" w:rsidR="00A2160E" w:rsidRPr="00F7058D" w:rsidRDefault="00A2160E" w:rsidP="00A2160E">
            <w:pPr>
              <w:autoSpaceDE w:val="0"/>
              <w:autoSpaceDN w:val="0"/>
              <w:adjustRightInd w:val="0"/>
              <w:jc w:val="right"/>
              <w:rPr>
                <w:rFonts w:asciiTheme="minorHAnsi" w:hAnsiTheme="minorHAnsi" w:cstheme="minorHAnsi"/>
                <w:color w:val="000000"/>
                <w:sz w:val="22"/>
                <w:szCs w:val="22"/>
              </w:rPr>
            </w:pPr>
          </w:p>
        </w:tc>
        <w:tc>
          <w:tcPr>
            <w:tcW w:w="1134" w:type="dxa"/>
            <w:tcBorders>
              <w:left w:val="single" w:sz="4" w:space="0" w:color="auto"/>
              <w:bottom w:val="nil"/>
              <w:right w:val="single" w:sz="4" w:space="0" w:color="auto"/>
            </w:tcBorders>
            <w:shd w:val="clear" w:color="auto" w:fill="auto"/>
          </w:tcPr>
          <w:p w14:paraId="3822D4B9" w14:textId="77777777" w:rsidR="00A2160E" w:rsidRPr="0067660B" w:rsidRDefault="00A2160E" w:rsidP="00A2160E">
            <w:pPr>
              <w:autoSpaceDE w:val="0"/>
              <w:autoSpaceDN w:val="0"/>
              <w:adjustRightInd w:val="0"/>
              <w:ind w:left="-226"/>
              <w:jc w:val="right"/>
              <w:rPr>
                <w:rFonts w:asciiTheme="minorHAnsi" w:hAnsiTheme="minorHAnsi" w:cstheme="minorHAnsi"/>
                <w:color w:val="000000"/>
                <w:sz w:val="22"/>
                <w:szCs w:val="22"/>
              </w:rPr>
            </w:pPr>
          </w:p>
        </w:tc>
      </w:tr>
      <w:tr w:rsidR="00A2160E" w:rsidRPr="0067660B" w14:paraId="51CD4148" w14:textId="77777777" w:rsidTr="00B06D81">
        <w:trPr>
          <w:trHeight w:val="223"/>
        </w:trPr>
        <w:tc>
          <w:tcPr>
            <w:tcW w:w="258" w:type="dxa"/>
            <w:tcBorders>
              <w:top w:val="nil"/>
              <w:left w:val="nil"/>
              <w:bottom w:val="nil"/>
              <w:right w:val="nil"/>
            </w:tcBorders>
          </w:tcPr>
          <w:p w14:paraId="7335A7A4"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p>
        </w:tc>
        <w:tc>
          <w:tcPr>
            <w:tcW w:w="5838" w:type="dxa"/>
            <w:tcBorders>
              <w:top w:val="nil"/>
              <w:left w:val="nil"/>
              <w:bottom w:val="nil"/>
            </w:tcBorders>
          </w:tcPr>
          <w:p w14:paraId="6C6D43A6"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Basic</w:t>
            </w:r>
          </w:p>
        </w:tc>
        <w:tc>
          <w:tcPr>
            <w:tcW w:w="708" w:type="dxa"/>
            <w:tcBorders>
              <w:top w:val="nil"/>
              <w:bottom w:val="nil"/>
            </w:tcBorders>
          </w:tcPr>
          <w:p w14:paraId="36C927EC" w14:textId="77777777" w:rsidR="00A2160E" w:rsidRPr="000A6725" w:rsidRDefault="00A2160E" w:rsidP="00A2160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276" w:type="dxa"/>
            <w:tcBorders>
              <w:top w:val="nil"/>
              <w:bottom w:val="nil"/>
              <w:right w:val="single" w:sz="4" w:space="0" w:color="auto"/>
            </w:tcBorders>
          </w:tcPr>
          <w:p w14:paraId="5E0D62DF"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4296F28F" w14:textId="77777777" w:rsidR="00A2160E" w:rsidRPr="00F7058D" w:rsidRDefault="00A2160E" w:rsidP="00A2160E">
            <w:pPr>
              <w:autoSpaceDE w:val="0"/>
              <w:autoSpaceDN w:val="0"/>
              <w:adjustRightInd w:val="0"/>
              <w:jc w:val="right"/>
              <w:rPr>
                <w:rFonts w:asciiTheme="minorHAnsi" w:hAnsiTheme="minorHAnsi" w:cstheme="minorHAnsi"/>
                <w:b/>
                <w:bCs/>
                <w:color w:val="000000"/>
                <w:sz w:val="22"/>
                <w:szCs w:val="22"/>
              </w:rPr>
            </w:pPr>
            <w:r w:rsidRPr="00542802">
              <w:rPr>
                <w:rFonts w:ascii="Calibri" w:hAnsi="Calibri" w:cs="Calibri"/>
                <w:b/>
                <w:bCs/>
                <w:sz w:val="22"/>
                <w:szCs w:val="22"/>
              </w:rPr>
              <w:t>0.</w:t>
            </w:r>
            <w:r>
              <w:rPr>
                <w:rFonts w:ascii="Calibri" w:hAnsi="Calibri" w:cs="Calibri"/>
                <w:b/>
                <w:bCs/>
                <w:sz w:val="22"/>
                <w:szCs w:val="22"/>
              </w:rPr>
              <w:t>0791</w:t>
            </w:r>
          </w:p>
        </w:tc>
        <w:tc>
          <w:tcPr>
            <w:tcW w:w="1134" w:type="dxa"/>
            <w:tcBorders>
              <w:top w:val="nil"/>
              <w:left w:val="single" w:sz="4" w:space="0" w:color="auto"/>
              <w:bottom w:val="nil"/>
              <w:right w:val="single" w:sz="4" w:space="0" w:color="auto"/>
            </w:tcBorders>
            <w:shd w:val="clear" w:color="auto" w:fill="auto"/>
          </w:tcPr>
          <w:p w14:paraId="33E420DB" w14:textId="77777777" w:rsidR="00A2160E" w:rsidRPr="002F3369" w:rsidRDefault="00A2160E" w:rsidP="00A2160E">
            <w:pPr>
              <w:autoSpaceDE w:val="0"/>
              <w:autoSpaceDN w:val="0"/>
              <w:adjustRightInd w:val="0"/>
              <w:ind w:left="-226"/>
              <w:jc w:val="right"/>
              <w:rPr>
                <w:rFonts w:asciiTheme="minorHAnsi" w:hAnsiTheme="minorHAnsi" w:cstheme="minorHAnsi"/>
                <w:color w:val="000000"/>
                <w:sz w:val="22"/>
                <w:szCs w:val="22"/>
              </w:rPr>
            </w:pPr>
            <w:r>
              <w:rPr>
                <w:rFonts w:ascii="Calibri" w:hAnsi="Calibri" w:cs="Calibri"/>
                <w:sz w:val="22"/>
                <w:szCs w:val="22"/>
              </w:rPr>
              <w:t>(0.0583)</w:t>
            </w:r>
          </w:p>
        </w:tc>
      </w:tr>
      <w:tr w:rsidR="00A2160E" w:rsidRPr="0067660B" w14:paraId="613A1E73" w14:textId="77777777" w:rsidTr="00B06D81">
        <w:trPr>
          <w:trHeight w:val="223"/>
        </w:trPr>
        <w:tc>
          <w:tcPr>
            <w:tcW w:w="258" w:type="dxa"/>
            <w:tcBorders>
              <w:top w:val="nil"/>
              <w:left w:val="nil"/>
              <w:bottom w:val="nil"/>
              <w:right w:val="nil"/>
            </w:tcBorders>
          </w:tcPr>
          <w:p w14:paraId="4A4E4B2F"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p>
        </w:tc>
        <w:tc>
          <w:tcPr>
            <w:tcW w:w="5838" w:type="dxa"/>
            <w:tcBorders>
              <w:top w:val="nil"/>
              <w:left w:val="nil"/>
              <w:bottom w:val="nil"/>
            </w:tcBorders>
          </w:tcPr>
          <w:p w14:paraId="38A736B9"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Diluted</w:t>
            </w:r>
          </w:p>
        </w:tc>
        <w:tc>
          <w:tcPr>
            <w:tcW w:w="708" w:type="dxa"/>
            <w:tcBorders>
              <w:top w:val="nil"/>
              <w:bottom w:val="nil"/>
            </w:tcBorders>
          </w:tcPr>
          <w:p w14:paraId="01EB1939" w14:textId="77777777" w:rsidR="00A2160E" w:rsidRPr="000A6725" w:rsidRDefault="00A2160E" w:rsidP="00A2160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276" w:type="dxa"/>
            <w:tcBorders>
              <w:top w:val="nil"/>
              <w:bottom w:val="nil"/>
              <w:right w:val="single" w:sz="4" w:space="0" w:color="auto"/>
            </w:tcBorders>
          </w:tcPr>
          <w:p w14:paraId="33335428"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53306211" w14:textId="77777777" w:rsidR="00A2160E" w:rsidRPr="00F7058D" w:rsidRDefault="00A2160E" w:rsidP="00A2160E">
            <w:pPr>
              <w:autoSpaceDE w:val="0"/>
              <w:autoSpaceDN w:val="0"/>
              <w:adjustRightInd w:val="0"/>
              <w:jc w:val="right"/>
              <w:rPr>
                <w:rFonts w:asciiTheme="minorHAnsi" w:hAnsiTheme="minorHAnsi" w:cstheme="minorHAnsi"/>
                <w:b/>
                <w:bCs/>
                <w:color w:val="000000"/>
                <w:sz w:val="22"/>
                <w:szCs w:val="22"/>
              </w:rPr>
            </w:pPr>
            <w:r w:rsidRPr="00542802">
              <w:rPr>
                <w:rFonts w:ascii="Calibri" w:hAnsi="Calibri" w:cs="Calibri"/>
                <w:b/>
                <w:bCs/>
                <w:sz w:val="22"/>
                <w:szCs w:val="22"/>
              </w:rPr>
              <w:t>0.</w:t>
            </w:r>
            <w:r>
              <w:rPr>
                <w:rFonts w:ascii="Calibri" w:hAnsi="Calibri" w:cs="Calibri"/>
                <w:b/>
                <w:bCs/>
                <w:sz w:val="22"/>
                <w:szCs w:val="22"/>
              </w:rPr>
              <w:t>0784</w:t>
            </w:r>
          </w:p>
        </w:tc>
        <w:tc>
          <w:tcPr>
            <w:tcW w:w="1134" w:type="dxa"/>
            <w:tcBorders>
              <w:top w:val="nil"/>
              <w:left w:val="single" w:sz="4" w:space="0" w:color="auto"/>
              <w:bottom w:val="nil"/>
              <w:right w:val="single" w:sz="4" w:space="0" w:color="auto"/>
            </w:tcBorders>
            <w:shd w:val="clear" w:color="auto" w:fill="auto"/>
          </w:tcPr>
          <w:p w14:paraId="022F075D" w14:textId="77777777" w:rsidR="00A2160E" w:rsidRPr="002F3369" w:rsidRDefault="00A2160E" w:rsidP="00A2160E">
            <w:pPr>
              <w:autoSpaceDE w:val="0"/>
              <w:autoSpaceDN w:val="0"/>
              <w:adjustRightInd w:val="0"/>
              <w:ind w:left="-226"/>
              <w:jc w:val="right"/>
              <w:rPr>
                <w:rFonts w:asciiTheme="minorHAnsi" w:hAnsiTheme="minorHAnsi" w:cstheme="minorHAnsi"/>
                <w:color w:val="000000"/>
                <w:sz w:val="22"/>
                <w:szCs w:val="22"/>
              </w:rPr>
            </w:pPr>
            <w:r>
              <w:rPr>
                <w:rFonts w:ascii="Calibri" w:hAnsi="Calibri" w:cs="Calibri"/>
                <w:sz w:val="22"/>
                <w:szCs w:val="22"/>
              </w:rPr>
              <w:t>(0.0580)</w:t>
            </w:r>
          </w:p>
        </w:tc>
      </w:tr>
      <w:tr w:rsidR="00A2160E" w:rsidRPr="0067660B" w14:paraId="19335B68" w14:textId="77777777" w:rsidTr="00B06D81">
        <w:trPr>
          <w:trHeight w:val="223"/>
        </w:trPr>
        <w:tc>
          <w:tcPr>
            <w:tcW w:w="258" w:type="dxa"/>
            <w:tcBorders>
              <w:top w:val="nil"/>
              <w:left w:val="nil"/>
              <w:bottom w:val="nil"/>
              <w:right w:val="nil"/>
            </w:tcBorders>
          </w:tcPr>
          <w:p w14:paraId="0DAF0D4E"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p>
        </w:tc>
        <w:tc>
          <w:tcPr>
            <w:tcW w:w="5838" w:type="dxa"/>
            <w:tcBorders>
              <w:top w:val="nil"/>
              <w:left w:val="nil"/>
              <w:bottom w:val="nil"/>
            </w:tcBorders>
          </w:tcPr>
          <w:p w14:paraId="0F9E268E" w14:textId="77777777" w:rsidR="00A2160E" w:rsidRPr="0067660B" w:rsidRDefault="00A2160E" w:rsidP="00A2160E">
            <w:pPr>
              <w:autoSpaceDE w:val="0"/>
              <w:autoSpaceDN w:val="0"/>
              <w:adjustRightInd w:val="0"/>
              <w:ind w:right="-128"/>
              <w:rPr>
                <w:rFonts w:asciiTheme="minorHAnsi" w:hAnsiTheme="minorHAnsi" w:cstheme="minorHAnsi"/>
                <w:color w:val="000000"/>
                <w:sz w:val="22"/>
                <w:szCs w:val="22"/>
              </w:rPr>
            </w:pPr>
            <w:r w:rsidRPr="0067660B">
              <w:rPr>
                <w:rFonts w:asciiTheme="minorHAnsi" w:hAnsiTheme="minorHAnsi" w:cstheme="minorHAnsi"/>
                <w:color w:val="000000"/>
                <w:sz w:val="22"/>
                <w:szCs w:val="22"/>
              </w:rPr>
              <w:t xml:space="preserve">Weighted </w:t>
            </w:r>
            <w:proofErr w:type="spellStart"/>
            <w:r w:rsidRPr="0067660B">
              <w:rPr>
                <w:rFonts w:asciiTheme="minorHAnsi" w:hAnsiTheme="minorHAnsi" w:cstheme="minorHAnsi"/>
                <w:color w:val="000000"/>
                <w:sz w:val="22"/>
                <w:szCs w:val="22"/>
              </w:rPr>
              <w:t>ave</w:t>
            </w:r>
            <w:r>
              <w:rPr>
                <w:rFonts w:asciiTheme="minorHAnsi" w:hAnsiTheme="minorHAnsi" w:cstheme="minorHAnsi"/>
                <w:color w:val="000000"/>
                <w:sz w:val="22"/>
                <w:szCs w:val="22"/>
              </w:rPr>
              <w:t>.</w:t>
            </w:r>
            <w:proofErr w:type="spellEnd"/>
            <w:r w:rsidRPr="0067660B">
              <w:rPr>
                <w:rFonts w:asciiTheme="minorHAnsi" w:hAnsiTheme="minorHAnsi" w:cstheme="minorHAnsi"/>
                <w:color w:val="000000"/>
                <w:sz w:val="22"/>
                <w:szCs w:val="22"/>
              </w:rPr>
              <w:t xml:space="preserve"> no. ord</w:t>
            </w:r>
            <w:r>
              <w:rPr>
                <w:rFonts w:asciiTheme="minorHAnsi" w:hAnsiTheme="minorHAnsi" w:cstheme="minorHAnsi"/>
                <w:color w:val="000000"/>
                <w:sz w:val="22"/>
                <w:szCs w:val="22"/>
              </w:rPr>
              <w:t>.</w:t>
            </w:r>
            <w:r w:rsidRPr="0067660B">
              <w:rPr>
                <w:rFonts w:asciiTheme="minorHAnsi" w:hAnsiTheme="minorHAnsi" w:cstheme="minorHAnsi"/>
                <w:color w:val="000000"/>
                <w:sz w:val="22"/>
                <w:szCs w:val="22"/>
              </w:rPr>
              <w:t xml:space="preserve"> shares (in Ms)</w:t>
            </w:r>
          </w:p>
        </w:tc>
        <w:tc>
          <w:tcPr>
            <w:tcW w:w="708" w:type="dxa"/>
            <w:tcBorders>
              <w:top w:val="nil"/>
              <w:bottom w:val="nil"/>
            </w:tcBorders>
          </w:tcPr>
          <w:p w14:paraId="4139D86C" w14:textId="77777777" w:rsidR="00A2160E" w:rsidRPr="000A6725" w:rsidRDefault="00A2160E" w:rsidP="00A2160E">
            <w:pPr>
              <w:autoSpaceDE w:val="0"/>
              <w:autoSpaceDN w:val="0"/>
              <w:adjustRightInd w:val="0"/>
              <w:jc w:val="right"/>
              <w:rPr>
                <w:rFonts w:asciiTheme="minorHAnsi" w:hAnsiTheme="minorHAnsi" w:cstheme="minorHAnsi"/>
                <w:b/>
                <w:bCs/>
                <w:color w:val="000000"/>
                <w:sz w:val="22"/>
                <w:szCs w:val="22"/>
              </w:rPr>
            </w:pPr>
          </w:p>
        </w:tc>
        <w:tc>
          <w:tcPr>
            <w:tcW w:w="1276" w:type="dxa"/>
            <w:tcBorders>
              <w:top w:val="nil"/>
              <w:bottom w:val="nil"/>
              <w:right w:val="single" w:sz="4" w:space="0" w:color="auto"/>
            </w:tcBorders>
          </w:tcPr>
          <w:p w14:paraId="633081F9"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56F70605" w14:textId="77777777" w:rsidR="00A2160E" w:rsidRPr="00F7058D" w:rsidRDefault="00A2160E" w:rsidP="00A2160E">
            <w:pPr>
              <w:autoSpaceDE w:val="0"/>
              <w:autoSpaceDN w:val="0"/>
              <w:adjustRightInd w:val="0"/>
              <w:jc w:val="right"/>
              <w:rPr>
                <w:rFonts w:asciiTheme="minorHAnsi" w:hAnsiTheme="minorHAnsi" w:cstheme="minorHAnsi"/>
                <w:b/>
                <w:bCs/>
                <w:color w:val="000000"/>
                <w:sz w:val="22"/>
                <w:szCs w:val="22"/>
              </w:rPr>
            </w:pPr>
          </w:p>
        </w:tc>
        <w:tc>
          <w:tcPr>
            <w:tcW w:w="1134" w:type="dxa"/>
            <w:tcBorders>
              <w:top w:val="nil"/>
              <w:left w:val="single" w:sz="4" w:space="0" w:color="auto"/>
              <w:bottom w:val="nil"/>
              <w:right w:val="single" w:sz="4" w:space="0" w:color="auto"/>
            </w:tcBorders>
            <w:shd w:val="clear" w:color="auto" w:fill="auto"/>
          </w:tcPr>
          <w:p w14:paraId="5DAEE27A" w14:textId="77777777" w:rsidR="00A2160E" w:rsidRPr="002F3369" w:rsidRDefault="00A2160E" w:rsidP="00A2160E">
            <w:pPr>
              <w:autoSpaceDE w:val="0"/>
              <w:autoSpaceDN w:val="0"/>
              <w:adjustRightInd w:val="0"/>
              <w:ind w:left="-226"/>
              <w:jc w:val="right"/>
              <w:rPr>
                <w:rFonts w:asciiTheme="minorHAnsi" w:hAnsiTheme="minorHAnsi" w:cstheme="minorHAnsi"/>
                <w:color w:val="000000"/>
                <w:sz w:val="22"/>
                <w:szCs w:val="22"/>
              </w:rPr>
            </w:pPr>
          </w:p>
        </w:tc>
      </w:tr>
      <w:tr w:rsidR="00A2160E" w:rsidRPr="0067660B" w14:paraId="24BD70B5" w14:textId="77777777" w:rsidTr="00B06D81">
        <w:trPr>
          <w:trHeight w:val="223"/>
        </w:trPr>
        <w:tc>
          <w:tcPr>
            <w:tcW w:w="258" w:type="dxa"/>
            <w:tcBorders>
              <w:top w:val="nil"/>
              <w:left w:val="nil"/>
              <w:bottom w:val="nil"/>
              <w:right w:val="nil"/>
            </w:tcBorders>
          </w:tcPr>
          <w:p w14:paraId="62466CA3"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p>
        </w:tc>
        <w:tc>
          <w:tcPr>
            <w:tcW w:w="5838" w:type="dxa"/>
            <w:tcBorders>
              <w:top w:val="nil"/>
              <w:left w:val="nil"/>
              <w:bottom w:val="nil"/>
            </w:tcBorders>
          </w:tcPr>
          <w:p w14:paraId="42C28A79"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Basic</w:t>
            </w:r>
          </w:p>
        </w:tc>
        <w:tc>
          <w:tcPr>
            <w:tcW w:w="708" w:type="dxa"/>
            <w:tcBorders>
              <w:top w:val="nil"/>
              <w:bottom w:val="nil"/>
            </w:tcBorders>
          </w:tcPr>
          <w:p w14:paraId="3C4714F4" w14:textId="77777777" w:rsidR="00A2160E" w:rsidRPr="000A6725" w:rsidRDefault="00A2160E" w:rsidP="00A2160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276" w:type="dxa"/>
            <w:tcBorders>
              <w:top w:val="nil"/>
              <w:bottom w:val="nil"/>
              <w:right w:val="single" w:sz="4" w:space="0" w:color="auto"/>
            </w:tcBorders>
          </w:tcPr>
          <w:p w14:paraId="0DFBBC0C"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0D69BEF3" w14:textId="77777777" w:rsidR="00A2160E" w:rsidRPr="00F7058D" w:rsidRDefault="00A2160E" w:rsidP="00A2160E">
            <w:pPr>
              <w:autoSpaceDE w:val="0"/>
              <w:autoSpaceDN w:val="0"/>
              <w:adjustRightInd w:val="0"/>
              <w:jc w:val="right"/>
              <w:rPr>
                <w:rFonts w:asciiTheme="minorHAnsi" w:hAnsiTheme="minorHAnsi" w:cstheme="minorHAnsi"/>
                <w:b/>
                <w:bCs/>
                <w:color w:val="000000"/>
                <w:sz w:val="22"/>
                <w:szCs w:val="22"/>
              </w:rPr>
            </w:pPr>
            <w:r w:rsidRPr="00542802">
              <w:rPr>
                <w:rFonts w:ascii="Calibri" w:hAnsi="Calibri" w:cs="Calibri"/>
                <w:b/>
                <w:bCs/>
                <w:sz w:val="22"/>
                <w:szCs w:val="22"/>
              </w:rPr>
              <w:t>1,</w:t>
            </w:r>
            <w:r>
              <w:rPr>
                <w:rFonts w:ascii="Calibri" w:hAnsi="Calibri" w:cs="Calibri"/>
                <w:b/>
                <w:bCs/>
                <w:sz w:val="22"/>
                <w:szCs w:val="22"/>
              </w:rPr>
              <w:t>109.6</w:t>
            </w:r>
          </w:p>
        </w:tc>
        <w:tc>
          <w:tcPr>
            <w:tcW w:w="1134" w:type="dxa"/>
            <w:tcBorders>
              <w:top w:val="nil"/>
              <w:left w:val="single" w:sz="4" w:space="0" w:color="auto"/>
              <w:bottom w:val="nil"/>
              <w:right w:val="single" w:sz="4" w:space="0" w:color="auto"/>
            </w:tcBorders>
            <w:shd w:val="clear" w:color="auto" w:fill="auto"/>
          </w:tcPr>
          <w:p w14:paraId="2CCF38A9" w14:textId="77777777" w:rsidR="00A2160E" w:rsidRPr="002F3369" w:rsidRDefault="00A2160E" w:rsidP="00A2160E">
            <w:pPr>
              <w:autoSpaceDE w:val="0"/>
              <w:autoSpaceDN w:val="0"/>
              <w:adjustRightInd w:val="0"/>
              <w:ind w:left="-226"/>
              <w:jc w:val="right"/>
              <w:rPr>
                <w:rFonts w:asciiTheme="minorHAnsi" w:hAnsiTheme="minorHAnsi" w:cstheme="minorHAnsi"/>
                <w:color w:val="000000"/>
                <w:sz w:val="22"/>
                <w:szCs w:val="22"/>
              </w:rPr>
            </w:pPr>
            <w:r w:rsidRPr="006C63B6">
              <w:rPr>
                <w:rFonts w:ascii="Calibri" w:hAnsi="Calibri" w:cs="Calibri"/>
                <w:sz w:val="22"/>
                <w:szCs w:val="22"/>
              </w:rPr>
              <w:t>1,1</w:t>
            </w:r>
            <w:r>
              <w:rPr>
                <w:rFonts w:ascii="Calibri" w:hAnsi="Calibri" w:cs="Calibri"/>
                <w:sz w:val="22"/>
                <w:szCs w:val="22"/>
              </w:rPr>
              <w:t>33.5</w:t>
            </w:r>
          </w:p>
        </w:tc>
      </w:tr>
      <w:tr w:rsidR="00A2160E" w:rsidRPr="0067660B" w14:paraId="3CD28A66" w14:textId="77777777" w:rsidTr="00B06D81">
        <w:trPr>
          <w:trHeight w:val="223"/>
        </w:trPr>
        <w:tc>
          <w:tcPr>
            <w:tcW w:w="258" w:type="dxa"/>
            <w:tcBorders>
              <w:top w:val="nil"/>
              <w:left w:val="nil"/>
              <w:bottom w:val="nil"/>
              <w:right w:val="nil"/>
            </w:tcBorders>
          </w:tcPr>
          <w:p w14:paraId="129983E8"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p>
        </w:tc>
        <w:tc>
          <w:tcPr>
            <w:tcW w:w="5838" w:type="dxa"/>
            <w:tcBorders>
              <w:top w:val="nil"/>
              <w:left w:val="nil"/>
              <w:bottom w:val="nil"/>
            </w:tcBorders>
          </w:tcPr>
          <w:p w14:paraId="26661EF2" w14:textId="77777777" w:rsidR="00A2160E" w:rsidRPr="0067660B" w:rsidRDefault="00A2160E" w:rsidP="00A2160E">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Diluted</w:t>
            </w:r>
          </w:p>
        </w:tc>
        <w:tc>
          <w:tcPr>
            <w:tcW w:w="708" w:type="dxa"/>
            <w:tcBorders>
              <w:top w:val="nil"/>
            </w:tcBorders>
          </w:tcPr>
          <w:p w14:paraId="36BDDE37" w14:textId="77777777" w:rsidR="00A2160E" w:rsidRPr="000A6725" w:rsidRDefault="00A2160E" w:rsidP="00A2160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276" w:type="dxa"/>
            <w:tcBorders>
              <w:top w:val="nil"/>
              <w:right w:val="single" w:sz="4" w:space="0" w:color="auto"/>
            </w:tcBorders>
          </w:tcPr>
          <w:p w14:paraId="2D02B594" w14:textId="77777777" w:rsidR="00A2160E" w:rsidRPr="0067660B" w:rsidRDefault="00A2160E" w:rsidP="00A2160E">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single" w:sz="4" w:space="0" w:color="auto"/>
              <w:right w:val="single" w:sz="4" w:space="0" w:color="auto"/>
            </w:tcBorders>
            <w:shd w:val="clear" w:color="auto" w:fill="auto"/>
          </w:tcPr>
          <w:p w14:paraId="5BFCC12F" w14:textId="77777777" w:rsidR="00A2160E" w:rsidRPr="00F7058D" w:rsidRDefault="00A2160E" w:rsidP="00A2160E">
            <w:pPr>
              <w:autoSpaceDE w:val="0"/>
              <w:autoSpaceDN w:val="0"/>
              <w:adjustRightInd w:val="0"/>
              <w:jc w:val="right"/>
              <w:rPr>
                <w:rFonts w:asciiTheme="minorHAnsi" w:hAnsiTheme="minorHAnsi" w:cstheme="minorHAnsi"/>
                <w:b/>
                <w:bCs/>
                <w:color w:val="000000"/>
                <w:sz w:val="22"/>
                <w:szCs w:val="22"/>
              </w:rPr>
            </w:pPr>
            <w:r w:rsidRPr="00542802">
              <w:rPr>
                <w:rFonts w:ascii="Calibri" w:hAnsi="Calibri" w:cs="Calibri"/>
                <w:b/>
                <w:bCs/>
                <w:sz w:val="22"/>
                <w:szCs w:val="22"/>
              </w:rPr>
              <w:t>1,</w:t>
            </w:r>
            <w:r>
              <w:rPr>
                <w:rFonts w:ascii="Calibri" w:hAnsi="Calibri" w:cs="Calibri"/>
                <w:b/>
                <w:bCs/>
                <w:sz w:val="22"/>
                <w:szCs w:val="22"/>
              </w:rPr>
              <w:t>119.2</w:t>
            </w:r>
          </w:p>
        </w:tc>
        <w:tc>
          <w:tcPr>
            <w:tcW w:w="1134" w:type="dxa"/>
            <w:tcBorders>
              <w:top w:val="nil"/>
              <w:left w:val="single" w:sz="4" w:space="0" w:color="auto"/>
              <w:bottom w:val="single" w:sz="4" w:space="0" w:color="auto"/>
              <w:right w:val="single" w:sz="4" w:space="0" w:color="auto"/>
            </w:tcBorders>
            <w:shd w:val="clear" w:color="auto" w:fill="auto"/>
          </w:tcPr>
          <w:p w14:paraId="0A8C20CA" w14:textId="77777777" w:rsidR="00A2160E" w:rsidRPr="002F3369" w:rsidRDefault="00A2160E" w:rsidP="00A2160E">
            <w:pPr>
              <w:autoSpaceDE w:val="0"/>
              <w:autoSpaceDN w:val="0"/>
              <w:adjustRightInd w:val="0"/>
              <w:ind w:left="-226"/>
              <w:jc w:val="right"/>
              <w:rPr>
                <w:rFonts w:asciiTheme="minorHAnsi" w:hAnsiTheme="minorHAnsi" w:cstheme="minorHAnsi"/>
                <w:color w:val="000000"/>
                <w:sz w:val="22"/>
                <w:szCs w:val="22"/>
              </w:rPr>
            </w:pPr>
            <w:r w:rsidRPr="006C63B6">
              <w:rPr>
                <w:rFonts w:ascii="Calibri" w:hAnsi="Calibri" w:cs="Calibri"/>
                <w:sz w:val="22"/>
                <w:szCs w:val="22"/>
              </w:rPr>
              <w:t>1,</w:t>
            </w:r>
            <w:r>
              <w:rPr>
                <w:rFonts w:ascii="Calibri" w:hAnsi="Calibri" w:cs="Calibri"/>
                <w:sz w:val="22"/>
                <w:szCs w:val="22"/>
              </w:rPr>
              <w:t>139.8</w:t>
            </w:r>
          </w:p>
        </w:tc>
      </w:tr>
    </w:tbl>
    <w:p w14:paraId="74143A8D" w14:textId="77777777" w:rsidR="00005CC8" w:rsidRDefault="00005CC8" w:rsidP="00005CC8">
      <w:pPr>
        <w:rPr>
          <w:rFonts w:asciiTheme="minorHAnsi" w:hAnsiTheme="minorHAnsi" w:cstheme="minorHAnsi"/>
          <w:b/>
          <w:bCs/>
          <w:i/>
          <w:color w:val="000000"/>
          <w:sz w:val="20"/>
          <w:szCs w:val="20"/>
        </w:rPr>
      </w:pPr>
    </w:p>
    <w:p w14:paraId="471728B6" w14:textId="77777777" w:rsidR="00005CC8" w:rsidRPr="007777A2" w:rsidRDefault="00005CC8" w:rsidP="00005CC8">
      <w:pPr>
        <w:rPr>
          <w:rFonts w:asciiTheme="minorHAnsi" w:hAnsiTheme="minorHAnsi" w:cstheme="minorHAnsi"/>
          <w:b/>
          <w:bCs/>
          <w:i/>
          <w:color w:val="000000"/>
          <w:sz w:val="20"/>
          <w:szCs w:val="20"/>
        </w:rPr>
      </w:pPr>
    </w:p>
    <w:p w14:paraId="5E81A0C3" w14:textId="77777777" w:rsidR="00005CC8" w:rsidRPr="00246E11" w:rsidRDefault="00005CC8" w:rsidP="00005CC8">
      <w:pPr>
        <w:rPr>
          <w:rFonts w:asciiTheme="minorHAnsi" w:hAnsiTheme="minorHAnsi" w:cstheme="minorHAnsi"/>
          <w:bCs/>
          <w:color w:val="000000"/>
          <w:sz w:val="16"/>
          <w:szCs w:val="16"/>
        </w:rPr>
      </w:pPr>
      <w:r>
        <w:rPr>
          <w:rFonts w:asciiTheme="minorHAnsi" w:hAnsiTheme="minorHAnsi" w:cstheme="minorHAnsi"/>
          <w:bCs/>
          <w:color w:val="000000"/>
          <w:sz w:val="16"/>
          <w:szCs w:val="16"/>
        </w:rPr>
        <w:t>*</w:t>
      </w:r>
      <w:r w:rsidRPr="00246E11">
        <w:rPr>
          <w:rFonts w:asciiTheme="minorHAnsi" w:hAnsiTheme="minorHAnsi" w:cstheme="minorHAnsi"/>
          <w:bCs/>
          <w:color w:val="000000"/>
          <w:sz w:val="16"/>
          <w:szCs w:val="16"/>
        </w:rPr>
        <w:t>”+” is favourable and “-“ is adverse year-on-year.</w:t>
      </w:r>
    </w:p>
    <w:p w14:paraId="2E014018" w14:textId="77777777" w:rsidR="00005CC8" w:rsidRDefault="00005CC8" w:rsidP="00005CC8">
      <w:pPr>
        <w:rPr>
          <w:rFonts w:asciiTheme="minorHAnsi" w:hAnsiTheme="minorHAnsi" w:cstheme="minorHAnsi"/>
          <w:b/>
          <w:bCs/>
          <w:color w:val="000000"/>
        </w:rPr>
      </w:pPr>
    </w:p>
    <w:p w14:paraId="5EC41FD3" w14:textId="77777777" w:rsidR="00005CC8" w:rsidRDefault="00005CC8" w:rsidP="00600F83">
      <w:pPr>
        <w:rPr>
          <w:rFonts w:asciiTheme="minorHAnsi" w:hAnsiTheme="minorHAnsi" w:cstheme="minorHAnsi"/>
          <w:b/>
          <w:bCs/>
          <w:color w:val="000000"/>
        </w:rPr>
      </w:pPr>
    </w:p>
    <w:p w14:paraId="227294F4" w14:textId="31066748" w:rsidR="00600F83" w:rsidRDefault="00600F83" w:rsidP="00600F83">
      <w:pPr>
        <w:rPr>
          <w:rFonts w:asciiTheme="minorHAnsi" w:hAnsiTheme="minorHAnsi" w:cstheme="minorHAnsi"/>
          <w:b/>
          <w:bCs/>
          <w:color w:val="000000"/>
        </w:rPr>
      </w:pPr>
      <w:r w:rsidRPr="00991F11">
        <w:rPr>
          <w:rFonts w:asciiTheme="minorHAnsi" w:hAnsiTheme="minorHAnsi" w:cstheme="minorHAnsi"/>
          <w:b/>
          <w:bCs/>
          <w:color w:val="000000"/>
        </w:rPr>
        <w:t>Ryanair Holdings plc and Subsidiaries</w:t>
      </w:r>
    </w:p>
    <w:p w14:paraId="08479380" w14:textId="0D794948" w:rsidR="00DD3F83" w:rsidRPr="004043D3" w:rsidRDefault="00DD3F83" w:rsidP="00DD3F83">
      <w:pPr>
        <w:keepNext/>
        <w:pageBreakBefore/>
        <w:autoSpaceDE w:val="0"/>
        <w:autoSpaceDN w:val="0"/>
        <w:adjustRightInd w:val="0"/>
        <w:ind w:left="34"/>
        <w:rPr>
          <w:rFonts w:ascii="Calibri" w:hAnsi="Calibri" w:cs="Calibri"/>
          <w:b/>
          <w:bCs/>
          <w:i/>
          <w:color w:val="000000"/>
        </w:rPr>
      </w:pPr>
      <w:r w:rsidRPr="00DB22BA">
        <w:rPr>
          <w:rFonts w:ascii="Calibri" w:hAnsi="Calibri" w:cs="Calibri"/>
          <w:b/>
          <w:bCs/>
          <w:i/>
          <w:color w:val="000000"/>
        </w:rPr>
        <w:lastRenderedPageBreak/>
        <w:t xml:space="preserve">Condensed Consolidated </w:t>
      </w:r>
      <w:r>
        <w:rPr>
          <w:rFonts w:ascii="Calibri" w:hAnsi="Calibri" w:cs="Calibri"/>
          <w:b/>
          <w:bCs/>
          <w:i/>
          <w:color w:val="000000"/>
        </w:rPr>
        <w:t xml:space="preserve">Interim </w:t>
      </w:r>
      <w:r w:rsidRPr="00DB22BA">
        <w:rPr>
          <w:rFonts w:ascii="Calibri" w:hAnsi="Calibri" w:cs="Calibri"/>
          <w:b/>
          <w:bCs/>
          <w:i/>
          <w:color w:val="000000"/>
        </w:rPr>
        <w:t xml:space="preserve">Income Statement for the </w:t>
      </w:r>
      <w:r w:rsidR="00204448">
        <w:rPr>
          <w:rFonts w:ascii="Calibri" w:hAnsi="Calibri" w:cs="Calibri"/>
          <w:b/>
          <w:bCs/>
          <w:i/>
          <w:color w:val="000000"/>
        </w:rPr>
        <w:t>nine months</w:t>
      </w:r>
      <w:r>
        <w:rPr>
          <w:rFonts w:ascii="Calibri" w:hAnsi="Calibri" w:cs="Calibri"/>
          <w:b/>
          <w:bCs/>
          <w:i/>
          <w:color w:val="000000"/>
        </w:rPr>
        <w:t xml:space="preserve"> </w:t>
      </w:r>
      <w:r w:rsidRPr="00DB22BA">
        <w:rPr>
          <w:rFonts w:ascii="Calibri" w:hAnsi="Calibri" w:cs="Calibri"/>
          <w:b/>
          <w:bCs/>
          <w:i/>
          <w:color w:val="000000"/>
        </w:rPr>
        <w:t xml:space="preserve">ended </w:t>
      </w:r>
      <w:r w:rsidR="00204448">
        <w:rPr>
          <w:rFonts w:ascii="Calibri" w:hAnsi="Calibri" w:cs="Calibri"/>
          <w:b/>
          <w:bCs/>
          <w:i/>
          <w:color w:val="000000"/>
        </w:rPr>
        <w:t>December 31</w:t>
      </w:r>
      <w:r w:rsidRPr="00DB22BA">
        <w:rPr>
          <w:rFonts w:ascii="Calibri" w:hAnsi="Calibri" w:cs="Calibri"/>
          <w:b/>
          <w:bCs/>
          <w:i/>
          <w:color w:val="000000"/>
        </w:rPr>
        <w:t>, 201</w:t>
      </w:r>
      <w:r>
        <w:rPr>
          <w:rFonts w:ascii="Calibri" w:hAnsi="Calibri" w:cs="Calibri"/>
          <w:b/>
          <w:bCs/>
          <w:i/>
          <w:color w:val="000000"/>
        </w:rPr>
        <w:t>9</w:t>
      </w:r>
      <w:r w:rsidRPr="00DB22BA">
        <w:rPr>
          <w:rFonts w:ascii="Calibri" w:hAnsi="Calibri" w:cs="Calibri"/>
          <w:b/>
          <w:bCs/>
          <w:i/>
          <w:color w:val="000000"/>
        </w:rPr>
        <w:t xml:space="preserve"> (unaudited)</w:t>
      </w:r>
    </w:p>
    <w:tbl>
      <w:tblPr>
        <w:tblW w:w="10490" w:type="dxa"/>
        <w:tblLayout w:type="fixed"/>
        <w:tblLook w:val="0000" w:firstRow="0" w:lastRow="0" w:firstColumn="0" w:lastColumn="0" w:noHBand="0" w:noVBand="0"/>
      </w:tblPr>
      <w:tblGrid>
        <w:gridCol w:w="258"/>
        <w:gridCol w:w="5838"/>
        <w:gridCol w:w="708"/>
        <w:gridCol w:w="1276"/>
        <w:gridCol w:w="1276"/>
        <w:gridCol w:w="1134"/>
      </w:tblGrid>
      <w:tr w:rsidR="00DD3F83" w:rsidRPr="0067660B" w14:paraId="3882935A" w14:textId="77777777" w:rsidTr="00282291">
        <w:trPr>
          <w:trHeight w:val="223"/>
        </w:trPr>
        <w:tc>
          <w:tcPr>
            <w:tcW w:w="258" w:type="dxa"/>
            <w:tcBorders>
              <w:top w:val="nil"/>
              <w:left w:val="nil"/>
              <w:bottom w:val="nil"/>
              <w:right w:val="nil"/>
            </w:tcBorders>
          </w:tcPr>
          <w:p w14:paraId="3CF25C29" w14:textId="77777777" w:rsidR="00DD3F83" w:rsidRPr="0067660B" w:rsidRDefault="00DD3F83" w:rsidP="0028229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38C66661" w14:textId="77777777" w:rsidR="00DD3F83" w:rsidRPr="0067660B" w:rsidRDefault="00DD3F83" w:rsidP="00282291">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2E526B76" w14:textId="77777777" w:rsidR="00DD3F83" w:rsidRPr="0067660B" w:rsidRDefault="00DD3F83" w:rsidP="0028229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tcBorders>
          </w:tcPr>
          <w:p w14:paraId="2AF147A3" w14:textId="77777777" w:rsidR="00DD3F83" w:rsidRPr="0067660B" w:rsidRDefault="00DD3F83" w:rsidP="00282291">
            <w:pPr>
              <w:autoSpaceDE w:val="0"/>
              <w:autoSpaceDN w:val="0"/>
              <w:adjustRightInd w:val="0"/>
              <w:jc w:val="right"/>
              <w:rPr>
                <w:rFonts w:asciiTheme="minorHAnsi" w:hAnsiTheme="minorHAnsi" w:cstheme="minorHAnsi"/>
                <w:bCs/>
                <w:color w:val="000000"/>
                <w:sz w:val="22"/>
                <w:szCs w:val="22"/>
              </w:rPr>
            </w:pPr>
          </w:p>
        </w:tc>
        <w:tc>
          <w:tcPr>
            <w:tcW w:w="1276" w:type="dxa"/>
            <w:shd w:val="clear" w:color="auto" w:fill="auto"/>
          </w:tcPr>
          <w:p w14:paraId="055613C8" w14:textId="77777777" w:rsidR="00DD3F83" w:rsidRPr="00B33E58" w:rsidRDefault="00DD3F83" w:rsidP="00282291">
            <w:pPr>
              <w:autoSpaceDE w:val="0"/>
              <w:autoSpaceDN w:val="0"/>
              <w:adjustRightInd w:val="0"/>
              <w:jc w:val="center"/>
              <w:rPr>
                <w:rFonts w:asciiTheme="minorHAnsi" w:hAnsiTheme="minorHAnsi" w:cstheme="minorHAnsi"/>
                <w:b/>
                <w:bCs/>
                <w:color w:val="000000"/>
                <w:sz w:val="22"/>
                <w:szCs w:val="22"/>
              </w:rPr>
            </w:pPr>
          </w:p>
        </w:tc>
        <w:tc>
          <w:tcPr>
            <w:tcW w:w="1134" w:type="dxa"/>
            <w:tcBorders>
              <w:left w:val="nil"/>
            </w:tcBorders>
          </w:tcPr>
          <w:p w14:paraId="524191C8" w14:textId="77777777" w:rsidR="00DD3F83" w:rsidRPr="0067660B" w:rsidRDefault="00DD3F83" w:rsidP="00282291">
            <w:pPr>
              <w:autoSpaceDE w:val="0"/>
              <w:autoSpaceDN w:val="0"/>
              <w:adjustRightInd w:val="0"/>
              <w:ind w:left="-226" w:firstLine="140"/>
              <w:jc w:val="right"/>
              <w:rPr>
                <w:rFonts w:asciiTheme="minorHAnsi" w:hAnsiTheme="minorHAnsi" w:cstheme="minorHAnsi"/>
                <w:bCs/>
                <w:color w:val="000000"/>
                <w:sz w:val="22"/>
                <w:szCs w:val="22"/>
              </w:rPr>
            </w:pPr>
          </w:p>
        </w:tc>
      </w:tr>
      <w:tr w:rsidR="00DD3F83" w:rsidRPr="0067660B" w14:paraId="0BB6D473" w14:textId="77777777" w:rsidTr="00282291">
        <w:trPr>
          <w:trHeight w:val="223"/>
        </w:trPr>
        <w:tc>
          <w:tcPr>
            <w:tcW w:w="258" w:type="dxa"/>
            <w:tcBorders>
              <w:top w:val="nil"/>
              <w:left w:val="nil"/>
              <w:bottom w:val="nil"/>
              <w:right w:val="nil"/>
            </w:tcBorders>
          </w:tcPr>
          <w:p w14:paraId="045BBA8B" w14:textId="77777777" w:rsidR="00DD3F83" w:rsidRPr="0067660B" w:rsidRDefault="00DD3F83" w:rsidP="0028229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4E10079D" w14:textId="77777777" w:rsidR="00DD3F83" w:rsidRPr="0067660B" w:rsidRDefault="00DD3F83" w:rsidP="00282291">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5800F6D0" w14:textId="77777777" w:rsidR="00DD3F83" w:rsidRPr="0067660B" w:rsidRDefault="00DD3F83" w:rsidP="0028229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tcBorders>
          </w:tcPr>
          <w:p w14:paraId="38096F2B" w14:textId="77777777" w:rsidR="00DD3F83" w:rsidRPr="0067660B" w:rsidRDefault="00DD3F83" w:rsidP="00282291">
            <w:pPr>
              <w:autoSpaceDE w:val="0"/>
              <w:autoSpaceDN w:val="0"/>
              <w:adjustRightInd w:val="0"/>
              <w:jc w:val="right"/>
              <w:rPr>
                <w:rFonts w:asciiTheme="minorHAnsi" w:hAnsiTheme="minorHAnsi" w:cstheme="minorHAnsi"/>
                <w:bCs/>
                <w:color w:val="000000"/>
                <w:sz w:val="22"/>
                <w:szCs w:val="22"/>
              </w:rPr>
            </w:pPr>
          </w:p>
        </w:tc>
        <w:tc>
          <w:tcPr>
            <w:tcW w:w="1276" w:type="dxa"/>
            <w:tcBorders>
              <w:bottom w:val="single" w:sz="4" w:space="0" w:color="auto"/>
            </w:tcBorders>
            <w:shd w:val="clear" w:color="auto" w:fill="auto"/>
          </w:tcPr>
          <w:p w14:paraId="5CFA83C9" w14:textId="77777777" w:rsidR="00DD3F83" w:rsidRDefault="00DD3F83" w:rsidP="00282291">
            <w:pPr>
              <w:autoSpaceDE w:val="0"/>
              <w:autoSpaceDN w:val="0"/>
              <w:adjustRightInd w:val="0"/>
              <w:jc w:val="right"/>
              <w:rPr>
                <w:rFonts w:asciiTheme="minorHAnsi" w:hAnsiTheme="minorHAnsi" w:cstheme="minorHAnsi"/>
                <w:b/>
                <w:bCs/>
                <w:color w:val="000000"/>
                <w:sz w:val="22"/>
                <w:szCs w:val="22"/>
              </w:rPr>
            </w:pPr>
          </w:p>
        </w:tc>
        <w:tc>
          <w:tcPr>
            <w:tcW w:w="1134" w:type="dxa"/>
            <w:tcBorders>
              <w:left w:val="nil"/>
              <w:bottom w:val="single" w:sz="4" w:space="0" w:color="auto"/>
            </w:tcBorders>
          </w:tcPr>
          <w:p w14:paraId="119E9495" w14:textId="77777777" w:rsidR="00DD3F83" w:rsidRDefault="00DD3F83" w:rsidP="00282291">
            <w:pPr>
              <w:autoSpaceDE w:val="0"/>
              <w:autoSpaceDN w:val="0"/>
              <w:adjustRightInd w:val="0"/>
              <w:ind w:left="-226" w:firstLine="140"/>
              <w:jc w:val="right"/>
              <w:rPr>
                <w:rFonts w:asciiTheme="minorHAnsi" w:hAnsiTheme="minorHAnsi" w:cstheme="minorHAnsi"/>
                <w:bCs/>
                <w:color w:val="000000"/>
                <w:sz w:val="22"/>
                <w:szCs w:val="22"/>
              </w:rPr>
            </w:pPr>
          </w:p>
        </w:tc>
      </w:tr>
      <w:tr w:rsidR="00DD3F83" w:rsidRPr="0067660B" w14:paraId="31303457" w14:textId="77777777" w:rsidTr="00282291">
        <w:trPr>
          <w:trHeight w:val="223"/>
        </w:trPr>
        <w:tc>
          <w:tcPr>
            <w:tcW w:w="258" w:type="dxa"/>
            <w:tcBorders>
              <w:top w:val="nil"/>
              <w:left w:val="nil"/>
              <w:bottom w:val="nil"/>
              <w:right w:val="nil"/>
            </w:tcBorders>
          </w:tcPr>
          <w:p w14:paraId="0000FBB9" w14:textId="77777777" w:rsidR="00DD3F83" w:rsidRPr="0067660B" w:rsidRDefault="00DD3F83" w:rsidP="00282291">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40C5A7AC" w14:textId="77777777" w:rsidR="00DD3F83" w:rsidRPr="0067660B" w:rsidRDefault="00DD3F83" w:rsidP="00282291">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79BE458D" w14:textId="77777777" w:rsidR="00DD3F83" w:rsidRPr="0067660B" w:rsidRDefault="00DD3F83" w:rsidP="00282291">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137F38A6" w14:textId="77777777" w:rsidR="00DD3F83" w:rsidRPr="0067660B" w:rsidRDefault="00DD3F83" w:rsidP="00282291">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bottom w:val="nil"/>
              <w:right w:val="single" w:sz="4" w:space="0" w:color="auto"/>
            </w:tcBorders>
            <w:shd w:val="clear" w:color="auto" w:fill="auto"/>
          </w:tcPr>
          <w:p w14:paraId="12ACE6B0" w14:textId="77777777" w:rsidR="00DD3F83" w:rsidRPr="00B33E58" w:rsidRDefault="00DD3F83" w:rsidP="0028229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IFRS</w:t>
            </w:r>
          </w:p>
        </w:tc>
        <w:tc>
          <w:tcPr>
            <w:tcW w:w="1134" w:type="dxa"/>
            <w:tcBorders>
              <w:top w:val="single" w:sz="4" w:space="0" w:color="auto"/>
              <w:left w:val="single" w:sz="4" w:space="0" w:color="auto"/>
              <w:bottom w:val="nil"/>
              <w:right w:val="single" w:sz="4" w:space="0" w:color="auto"/>
            </w:tcBorders>
          </w:tcPr>
          <w:p w14:paraId="0E1AB220" w14:textId="77777777" w:rsidR="00DD3F83" w:rsidRPr="0067660B" w:rsidRDefault="00DD3F83" w:rsidP="00282291">
            <w:pPr>
              <w:autoSpaceDE w:val="0"/>
              <w:autoSpaceDN w:val="0"/>
              <w:adjustRightInd w:val="0"/>
              <w:ind w:left="-226" w:firstLine="14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IFRS</w:t>
            </w:r>
          </w:p>
        </w:tc>
      </w:tr>
      <w:tr w:rsidR="00DD3F83" w:rsidRPr="0067660B" w14:paraId="60084EE5" w14:textId="77777777" w:rsidTr="00282291">
        <w:trPr>
          <w:trHeight w:val="223"/>
        </w:trPr>
        <w:tc>
          <w:tcPr>
            <w:tcW w:w="258" w:type="dxa"/>
            <w:tcBorders>
              <w:top w:val="nil"/>
              <w:left w:val="nil"/>
              <w:bottom w:val="nil"/>
              <w:right w:val="nil"/>
            </w:tcBorders>
          </w:tcPr>
          <w:p w14:paraId="2154C8B8"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4CA50FE3"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735F5785"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2BAD8446"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3AB84E1E" w14:textId="04E87D43" w:rsidR="00DD3F83" w:rsidRPr="00B33E58" w:rsidRDefault="00204448"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9 Months Ended Dec </w:t>
            </w:r>
            <w:r w:rsidR="00DD3F83">
              <w:rPr>
                <w:rFonts w:asciiTheme="minorHAnsi" w:hAnsiTheme="minorHAnsi" w:cstheme="minorHAnsi"/>
                <w:b/>
                <w:bCs/>
                <w:color w:val="000000"/>
                <w:sz w:val="22"/>
                <w:szCs w:val="22"/>
              </w:rPr>
              <w:t>3</w:t>
            </w:r>
            <w:r>
              <w:rPr>
                <w:rFonts w:asciiTheme="minorHAnsi" w:hAnsiTheme="minorHAnsi" w:cstheme="minorHAnsi"/>
                <w:b/>
                <w:bCs/>
                <w:color w:val="000000"/>
                <w:sz w:val="22"/>
                <w:szCs w:val="22"/>
              </w:rPr>
              <w:t>1</w:t>
            </w:r>
            <w:r w:rsidR="00DD3F83">
              <w:rPr>
                <w:rFonts w:asciiTheme="minorHAnsi" w:hAnsiTheme="minorHAnsi" w:cstheme="minorHAnsi"/>
                <w:b/>
                <w:bCs/>
                <w:color w:val="000000"/>
                <w:sz w:val="22"/>
                <w:szCs w:val="22"/>
              </w:rPr>
              <w:t>,</w:t>
            </w:r>
          </w:p>
        </w:tc>
        <w:tc>
          <w:tcPr>
            <w:tcW w:w="1134" w:type="dxa"/>
            <w:tcBorders>
              <w:top w:val="nil"/>
              <w:left w:val="single" w:sz="4" w:space="0" w:color="auto"/>
              <w:bottom w:val="nil"/>
              <w:right w:val="single" w:sz="4" w:space="0" w:color="auto"/>
            </w:tcBorders>
          </w:tcPr>
          <w:p w14:paraId="4B99A2D3" w14:textId="2289304E" w:rsidR="00DD3F83" w:rsidRPr="00DD3F83" w:rsidRDefault="00204448" w:rsidP="00DD3F83">
            <w:pPr>
              <w:autoSpaceDE w:val="0"/>
              <w:autoSpaceDN w:val="0"/>
              <w:adjustRightInd w:val="0"/>
              <w:ind w:left="-226" w:firstLine="140"/>
              <w:jc w:val="right"/>
              <w:rPr>
                <w:rFonts w:asciiTheme="minorHAnsi" w:hAnsiTheme="minorHAnsi" w:cstheme="minorHAnsi"/>
                <w:color w:val="000000"/>
                <w:sz w:val="22"/>
                <w:szCs w:val="22"/>
              </w:rPr>
            </w:pPr>
            <w:r>
              <w:rPr>
                <w:rFonts w:asciiTheme="minorHAnsi" w:hAnsiTheme="minorHAnsi" w:cstheme="minorHAnsi"/>
                <w:color w:val="000000"/>
                <w:sz w:val="22"/>
                <w:szCs w:val="22"/>
              </w:rPr>
              <w:t>9 Months Ended Dec 31,</w:t>
            </w:r>
          </w:p>
        </w:tc>
      </w:tr>
      <w:tr w:rsidR="00DD3F83" w:rsidRPr="0067660B" w14:paraId="5C2013CA" w14:textId="77777777" w:rsidTr="00282291">
        <w:trPr>
          <w:trHeight w:val="223"/>
        </w:trPr>
        <w:tc>
          <w:tcPr>
            <w:tcW w:w="258" w:type="dxa"/>
            <w:tcBorders>
              <w:top w:val="nil"/>
              <w:left w:val="nil"/>
              <w:bottom w:val="nil"/>
              <w:right w:val="nil"/>
            </w:tcBorders>
          </w:tcPr>
          <w:p w14:paraId="7451E3D7"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049EAC64"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5648206A"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2810632B"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r w:rsidRPr="0067660B">
              <w:rPr>
                <w:rFonts w:asciiTheme="minorHAnsi" w:hAnsiTheme="minorHAnsi" w:cstheme="minorHAnsi"/>
                <w:bCs/>
                <w:color w:val="000000"/>
                <w:sz w:val="22"/>
                <w:szCs w:val="22"/>
              </w:rPr>
              <w:t>Change</w:t>
            </w:r>
            <w:r>
              <w:rPr>
                <w:rFonts w:asciiTheme="minorHAnsi" w:hAnsiTheme="minorHAnsi" w:cstheme="minorHAnsi"/>
                <w:bCs/>
                <w:color w:val="000000"/>
                <w:sz w:val="22"/>
                <w:szCs w:val="22"/>
              </w:rPr>
              <w:t>*</w:t>
            </w:r>
          </w:p>
        </w:tc>
        <w:tc>
          <w:tcPr>
            <w:tcW w:w="1276" w:type="dxa"/>
            <w:tcBorders>
              <w:top w:val="nil"/>
              <w:bottom w:val="nil"/>
              <w:right w:val="single" w:sz="4" w:space="0" w:color="auto"/>
            </w:tcBorders>
            <w:shd w:val="clear" w:color="auto" w:fill="auto"/>
          </w:tcPr>
          <w:p w14:paraId="17B9283D" w14:textId="77777777" w:rsidR="00DD3F83" w:rsidRPr="00B33E58" w:rsidRDefault="00DD3F83" w:rsidP="00DD3F83">
            <w:pPr>
              <w:autoSpaceDE w:val="0"/>
              <w:autoSpaceDN w:val="0"/>
              <w:adjustRightInd w:val="0"/>
              <w:jc w:val="right"/>
              <w:rPr>
                <w:rFonts w:asciiTheme="minorHAnsi" w:hAnsiTheme="minorHAnsi" w:cstheme="minorHAnsi"/>
                <w:b/>
                <w:bCs/>
                <w:color w:val="000000"/>
                <w:sz w:val="22"/>
                <w:szCs w:val="22"/>
              </w:rPr>
            </w:pPr>
            <w:r w:rsidRPr="00B33E58">
              <w:rPr>
                <w:rFonts w:asciiTheme="minorHAnsi" w:hAnsiTheme="minorHAnsi" w:cstheme="minorHAnsi"/>
                <w:b/>
                <w:bCs/>
                <w:color w:val="000000"/>
                <w:sz w:val="22"/>
                <w:szCs w:val="22"/>
              </w:rPr>
              <w:t>201</w:t>
            </w:r>
            <w:r>
              <w:rPr>
                <w:rFonts w:asciiTheme="minorHAnsi" w:hAnsiTheme="minorHAnsi" w:cstheme="minorHAnsi"/>
                <w:b/>
                <w:bCs/>
                <w:color w:val="000000"/>
                <w:sz w:val="22"/>
                <w:szCs w:val="22"/>
              </w:rPr>
              <w:t>9</w:t>
            </w:r>
          </w:p>
        </w:tc>
        <w:tc>
          <w:tcPr>
            <w:tcW w:w="1134" w:type="dxa"/>
            <w:tcBorders>
              <w:top w:val="nil"/>
              <w:left w:val="single" w:sz="4" w:space="0" w:color="auto"/>
              <w:bottom w:val="nil"/>
              <w:right w:val="single" w:sz="4" w:space="0" w:color="auto"/>
            </w:tcBorders>
          </w:tcPr>
          <w:p w14:paraId="354967CE" w14:textId="77777777" w:rsidR="00DD3F83" w:rsidRPr="0067660B" w:rsidRDefault="00DD3F83" w:rsidP="00DD3F83">
            <w:pPr>
              <w:autoSpaceDE w:val="0"/>
              <w:autoSpaceDN w:val="0"/>
              <w:adjustRightInd w:val="0"/>
              <w:ind w:left="-226" w:firstLine="14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2018</w:t>
            </w:r>
          </w:p>
        </w:tc>
      </w:tr>
      <w:tr w:rsidR="00DD3F83" w:rsidRPr="0067660B" w14:paraId="361A49FA" w14:textId="77777777" w:rsidTr="00282291">
        <w:trPr>
          <w:trHeight w:val="223"/>
        </w:trPr>
        <w:tc>
          <w:tcPr>
            <w:tcW w:w="258" w:type="dxa"/>
            <w:tcBorders>
              <w:top w:val="nil"/>
              <w:left w:val="nil"/>
              <w:bottom w:val="nil"/>
              <w:right w:val="nil"/>
            </w:tcBorders>
          </w:tcPr>
          <w:p w14:paraId="55A410F0"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122A97E3"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708" w:type="dxa"/>
            <w:tcBorders>
              <w:top w:val="nil"/>
              <w:bottom w:val="nil"/>
            </w:tcBorders>
          </w:tcPr>
          <w:p w14:paraId="0711AAFF" w14:textId="77777777" w:rsidR="00DD3F83" w:rsidRPr="000A6725" w:rsidRDefault="00DD3F83" w:rsidP="00DD3F83">
            <w:pPr>
              <w:autoSpaceDE w:val="0"/>
              <w:autoSpaceDN w:val="0"/>
              <w:adjustRightInd w:val="0"/>
              <w:jc w:val="right"/>
              <w:rPr>
                <w:rFonts w:asciiTheme="minorHAnsi" w:hAnsiTheme="minorHAnsi" w:cstheme="minorHAnsi"/>
                <w:b/>
                <w:bCs/>
                <w:color w:val="000000"/>
                <w:sz w:val="22"/>
                <w:szCs w:val="22"/>
                <w:u w:val="single"/>
              </w:rPr>
            </w:pPr>
            <w:r w:rsidRPr="000A6725">
              <w:rPr>
                <w:rFonts w:asciiTheme="minorHAnsi" w:hAnsiTheme="minorHAnsi" w:cstheme="minorHAnsi"/>
                <w:b/>
                <w:bCs/>
                <w:color w:val="000000"/>
                <w:sz w:val="22"/>
                <w:szCs w:val="22"/>
                <w:u w:val="single"/>
              </w:rPr>
              <w:t>Note</w:t>
            </w:r>
          </w:p>
        </w:tc>
        <w:tc>
          <w:tcPr>
            <w:tcW w:w="1276" w:type="dxa"/>
            <w:tcBorders>
              <w:top w:val="nil"/>
              <w:bottom w:val="nil"/>
              <w:right w:val="single" w:sz="4" w:space="0" w:color="auto"/>
            </w:tcBorders>
            <w:shd w:val="clear" w:color="auto" w:fill="auto"/>
          </w:tcPr>
          <w:p w14:paraId="4BD9AFB5"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u w:val="single"/>
              </w:rPr>
            </w:pPr>
            <w:r w:rsidRPr="0067660B">
              <w:rPr>
                <w:rFonts w:asciiTheme="minorHAnsi" w:hAnsiTheme="minorHAnsi" w:cstheme="minorHAnsi"/>
                <w:bCs/>
                <w:color w:val="000000"/>
                <w:sz w:val="22"/>
                <w:szCs w:val="22"/>
                <w:u w:val="single"/>
              </w:rPr>
              <w:t>%</w:t>
            </w:r>
          </w:p>
        </w:tc>
        <w:tc>
          <w:tcPr>
            <w:tcW w:w="1276" w:type="dxa"/>
            <w:tcBorders>
              <w:top w:val="nil"/>
              <w:bottom w:val="nil"/>
              <w:right w:val="single" w:sz="4" w:space="0" w:color="auto"/>
            </w:tcBorders>
            <w:shd w:val="clear" w:color="auto" w:fill="auto"/>
          </w:tcPr>
          <w:p w14:paraId="79369FFF" w14:textId="77777777" w:rsidR="00DD3F83" w:rsidRPr="001B62F8" w:rsidRDefault="00DD3F83" w:rsidP="00DD3F83">
            <w:pPr>
              <w:autoSpaceDE w:val="0"/>
              <w:autoSpaceDN w:val="0"/>
              <w:adjustRightInd w:val="0"/>
              <w:jc w:val="right"/>
              <w:rPr>
                <w:rFonts w:asciiTheme="minorHAnsi" w:hAnsiTheme="minorHAnsi" w:cstheme="minorHAnsi"/>
                <w:b/>
                <w:bCs/>
                <w:color w:val="000000"/>
                <w:sz w:val="22"/>
                <w:szCs w:val="22"/>
                <w:u w:val="single"/>
              </w:rPr>
            </w:pPr>
            <w:r w:rsidRPr="001B62F8">
              <w:rPr>
                <w:rFonts w:asciiTheme="minorHAnsi" w:hAnsiTheme="minorHAnsi" w:cstheme="minorHAnsi"/>
                <w:b/>
                <w:bCs/>
                <w:color w:val="000000"/>
                <w:sz w:val="22"/>
                <w:szCs w:val="22"/>
                <w:u w:val="single"/>
              </w:rPr>
              <w:t>€</w:t>
            </w:r>
            <w:r>
              <w:rPr>
                <w:rFonts w:asciiTheme="minorHAnsi" w:hAnsiTheme="minorHAnsi" w:cstheme="minorHAnsi"/>
                <w:b/>
                <w:bCs/>
                <w:color w:val="000000"/>
                <w:sz w:val="22"/>
                <w:szCs w:val="22"/>
                <w:u w:val="single"/>
              </w:rPr>
              <w:t>M</w:t>
            </w:r>
          </w:p>
        </w:tc>
        <w:tc>
          <w:tcPr>
            <w:tcW w:w="1134" w:type="dxa"/>
            <w:tcBorders>
              <w:top w:val="nil"/>
              <w:left w:val="single" w:sz="4" w:space="0" w:color="auto"/>
              <w:bottom w:val="nil"/>
              <w:right w:val="single" w:sz="4" w:space="0" w:color="auto"/>
            </w:tcBorders>
          </w:tcPr>
          <w:p w14:paraId="3FA4F365" w14:textId="77777777" w:rsidR="00DD3F83" w:rsidRPr="0067660B" w:rsidRDefault="00DD3F83" w:rsidP="00DD3F83">
            <w:pPr>
              <w:autoSpaceDE w:val="0"/>
              <w:autoSpaceDN w:val="0"/>
              <w:adjustRightInd w:val="0"/>
              <w:ind w:left="-226"/>
              <w:jc w:val="right"/>
              <w:rPr>
                <w:rFonts w:asciiTheme="minorHAnsi" w:hAnsiTheme="minorHAnsi" w:cstheme="minorHAnsi"/>
                <w:bCs/>
                <w:color w:val="000000"/>
                <w:sz w:val="22"/>
                <w:szCs w:val="22"/>
                <w:u w:val="single"/>
              </w:rPr>
            </w:pPr>
            <w:r w:rsidRPr="0067660B">
              <w:rPr>
                <w:rFonts w:asciiTheme="minorHAnsi" w:hAnsiTheme="minorHAnsi" w:cstheme="minorHAnsi"/>
                <w:bCs/>
                <w:color w:val="000000"/>
                <w:sz w:val="22"/>
                <w:szCs w:val="22"/>
                <w:u w:val="single"/>
              </w:rPr>
              <w:t>€</w:t>
            </w:r>
            <w:r>
              <w:rPr>
                <w:rFonts w:asciiTheme="minorHAnsi" w:hAnsiTheme="minorHAnsi" w:cstheme="minorHAnsi"/>
                <w:bCs/>
                <w:color w:val="000000"/>
                <w:sz w:val="22"/>
                <w:szCs w:val="22"/>
                <w:u w:val="single"/>
              </w:rPr>
              <w:t>M</w:t>
            </w:r>
          </w:p>
        </w:tc>
      </w:tr>
      <w:tr w:rsidR="00DD3F83" w:rsidRPr="0067660B" w14:paraId="19E2ADD0" w14:textId="77777777" w:rsidTr="00282291">
        <w:trPr>
          <w:trHeight w:val="223"/>
        </w:trPr>
        <w:tc>
          <w:tcPr>
            <w:tcW w:w="6096" w:type="dxa"/>
            <w:gridSpan w:val="2"/>
            <w:tcBorders>
              <w:top w:val="nil"/>
              <w:left w:val="nil"/>
              <w:bottom w:val="nil"/>
            </w:tcBorders>
          </w:tcPr>
          <w:p w14:paraId="2994BEF5" w14:textId="77777777" w:rsidR="00DD3F83" w:rsidRPr="00B86918" w:rsidRDefault="00DD3F83" w:rsidP="00DD3F83">
            <w:pPr>
              <w:autoSpaceDE w:val="0"/>
              <w:autoSpaceDN w:val="0"/>
              <w:adjustRightInd w:val="0"/>
              <w:rPr>
                <w:rFonts w:asciiTheme="minorHAnsi" w:hAnsiTheme="minorHAnsi" w:cstheme="minorHAnsi"/>
                <w:b/>
                <w:bCs/>
                <w:color w:val="000000"/>
                <w:sz w:val="22"/>
                <w:szCs w:val="22"/>
              </w:rPr>
            </w:pPr>
            <w:r w:rsidRPr="00B86918">
              <w:rPr>
                <w:rFonts w:asciiTheme="minorHAnsi" w:hAnsiTheme="minorHAnsi" w:cstheme="minorHAnsi"/>
                <w:b/>
                <w:bCs/>
                <w:color w:val="000000"/>
                <w:sz w:val="22"/>
                <w:szCs w:val="22"/>
              </w:rPr>
              <w:t>Operating revenues</w:t>
            </w:r>
          </w:p>
        </w:tc>
        <w:tc>
          <w:tcPr>
            <w:tcW w:w="708" w:type="dxa"/>
            <w:tcBorders>
              <w:top w:val="nil"/>
              <w:bottom w:val="nil"/>
            </w:tcBorders>
          </w:tcPr>
          <w:p w14:paraId="4A6E8D40"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1276" w:type="dxa"/>
            <w:tcBorders>
              <w:top w:val="nil"/>
              <w:bottom w:val="nil"/>
              <w:right w:val="single" w:sz="4" w:space="0" w:color="auto"/>
            </w:tcBorders>
          </w:tcPr>
          <w:p w14:paraId="0E2DBEB3"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1276" w:type="dxa"/>
            <w:tcBorders>
              <w:top w:val="nil"/>
              <w:bottom w:val="nil"/>
              <w:right w:val="single" w:sz="4" w:space="0" w:color="auto"/>
            </w:tcBorders>
            <w:shd w:val="clear" w:color="auto" w:fill="auto"/>
          </w:tcPr>
          <w:p w14:paraId="0BF98277" w14:textId="77777777" w:rsidR="00DD3F83" w:rsidRPr="001B62F8" w:rsidRDefault="00DD3F83" w:rsidP="00DD3F83">
            <w:pPr>
              <w:autoSpaceDE w:val="0"/>
              <w:autoSpaceDN w:val="0"/>
              <w:adjustRightInd w:val="0"/>
              <w:jc w:val="right"/>
              <w:rPr>
                <w:rFonts w:asciiTheme="minorHAnsi" w:hAnsiTheme="minorHAnsi" w:cstheme="minorHAnsi"/>
                <w:b/>
                <w:color w:val="000000"/>
                <w:sz w:val="22"/>
                <w:szCs w:val="22"/>
              </w:rPr>
            </w:pPr>
          </w:p>
        </w:tc>
        <w:tc>
          <w:tcPr>
            <w:tcW w:w="1134" w:type="dxa"/>
            <w:tcBorders>
              <w:top w:val="nil"/>
              <w:left w:val="single" w:sz="4" w:space="0" w:color="auto"/>
              <w:bottom w:val="nil"/>
              <w:right w:val="single" w:sz="4" w:space="0" w:color="auto"/>
            </w:tcBorders>
          </w:tcPr>
          <w:p w14:paraId="7E0ED3DC" w14:textId="77777777" w:rsidR="00DD3F83" w:rsidRPr="0067660B" w:rsidRDefault="00DD3F83" w:rsidP="00DD3F83">
            <w:pPr>
              <w:autoSpaceDE w:val="0"/>
              <w:autoSpaceDN w:val="0"/>
              <w:adjustRightInd w:val="0"/>
              <w:ind w:left="-226"/>
              <w:jc w:val="right"/>
              <w:rPr>
                <w:rFonts w:asciiTheme="minorHAnsi" w:hAnsiTheme="minorHAnsi" w:cstheme="minorHAnsi"/>
                <w:color w:val="000000"/>
                <w:sz w:val="22"/>
                <w:szCs w:val="22"/>
              </w:rPr>
            </w:pPr>
          </w:p>
        </w:tc>
      </w:tr>
      <w:tr w:rsidR="00DD3F83" w:rsidRPr="0067660B" w14:paraId="0BBA2010" w14:textId="77777777" w:rsidTr="00282291">
        <w:trPr>
          <w:trHeight w:val="223"/>
        </w:trPr>
        <w:tc>
          <w:tcPr>
            <w:tcW w:w="258" w:type="dxa"/>
            <w:tcBorders>
              <w:top w:val="nil"/>
              <w:left w:val="nil"/>
              <w:bottom w:val="nil"/>
              <w:right w:val="nil"/>
            </w:tcBorders>
          </w:tcPr>
          <w:p w14:paraId="2832C707"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3F0A0F71" w14:textId="77777777" w:rsidR="00DD3F83" w:rsidRPr="0067660B" w:rsidRDefault="00DD3F83" w:rsidP="00DD3F83">
            <w:pPr>
              <w:autoSpaceDE w:val="0"/>
              <w:autoSpaceDN w:val="0"/>
              <w:adjustRightInd w:val="0"/>
              <w:ind w:right="-818"/>
              <w:rPr>
                <w:rFonts w:asciiTheme="minorHAnsi" w:hAnsiTheme="minorHAnsi" w:cstheme="minorHAnsi"/>
                <w:color w:val="000000"/>
                <w:sz w:val="22"/>
                <w:szCs w:val="22"/>
              </w:rPr>
            </w:pPr>
            <w:r w:rsidRPr="0067660B">
              <w:rPr>
                <w:rFonts w:asciiTheme="minorHAnsi" w:hAnsiTheme="minorHAnsi" w:cstheme="minorHAnsi"/>
                <w:color w:val="000000"/>
                <w:sz w:val="22"/>
                <w:szCs w:val="22"/>
              </w:rPr>
              <w:t xml:space="preserve">Scheduled revenues </w:t>
            </w:r>
          </w:p>
        </w:tc>
        <w:tc>
          <w:tcPr>
            <w:tcW w:w="708" w:type="dxa"/>
            <w:tcBorders>
              <w:top w:val="nil"/>
            </w:tcBorders>
          </w:tcPr>
          <w:p w14:paraId="7FFF28DB"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7ACF4C58" w14:textId="048C1402"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r w:rsidRPr="00DB22BA">
              <w:rPr>
                <w:rFonts w:ascii="Calibri" w:hAnsi="Calibri" w:cs="Calibri"/>
                <w:bCs/>
                <w:color w:val="000000"/>
                <w:sz w:val="22"/>
                <w:szCs w:val="22"/>
              </w:rPr>
              <w:t>+</w:t>
            </w:r>
            <w:r w:rsidR="00204448">
              <w:rPr>
                <w:rFonts w:ascii="Calibri" w:hAnsi="Calibri" w:cs="Calibri"/>
                <w:bCs/>
                <w:color w:val="000000"/>
                <w:sz w:val="22"/>
                <w:szCs w:val="22"/>
              </w:rPr>
              <w:t>8</w:t>
            </w:r>
            <w:r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7DB0D6A8" w14:textId="0BA1A546" w:rsidR="00DD3F83" w:rsidRPr="001B62F8" w:rsidRDefault="00246E11" w:rsidP="00DD3F83">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4,921.</w:t>
            </w:r>
            <w:r w:rsidR="00DD3F83">
              <w:rPr>
                <w:rFonts w:ascii="Calibri" w:hAnsi="Calibri" w:cs="Calibri"/>
                <w:b/>
                <w:bCs/>
                <w:color w:val="000000"/>
                <w:sz w:val="22"/>
                <w:szCs w:val="22"/>
              </w:rPr>
              <w:t>0</w:t>
            </w:r>
          </w:p>
        </w:tc>
        <w:tc>
          <w:tcPr>
            <w:tcW w:w="1134" w:type="dxa"/>
            <w:tcBorders>
              <w:top w:val="nil"/>
              <w:left w:val="single" w:sz="4" w:space="0" w:color="auto"/>
              <w:right w:val="single" w:sz="4" w:space="0" w:color="auto"/>
            </w:tcBorders>
          </w:tcPr>
          <w:p w14:paraId="0427F3A1" w14:textId="5F76A439" w:rsidR="00DD3F83" w:rsidRPr="0067660B" w:rsidRDefault="00246E11" w:rsidP="00DD3F83">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4,568.4</w:t>
            </w:r>
          </w:p>
        </w:tc>
      </w:tr>
      <w:tr w:rsidR="00DD3F83" w:rsidRPr="0067660B" w14:paraId="3FD162CF" w14:textId="77777777" w:rsidTr="00282291">
        <w:trPr>
          <w:trHeight w:val="223"/>
        </w:trPr>
        <w:tc>
          <w:tcPr>
            <w:tcW w:w="258" w:type="dxa"/>
            <w:tcBorders>
              <w:top w:val="nil"/>
              <w:left w:val="nil"/>
              <w:bottom w:val="nil"/>
              <w:right w:val="nil"/>
            </w:tcBorders>
          </w:tcPr>
          <w:p w14:paraId="7E6CBE9B"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2CD93460" w14:textId="77777777" w:rsidR="00DD3F83" w:rsidRPr="0067660B" w:rsidRDefault="00DD3F83" w:rsidP="00DD3F83">
            <w:pPr>
              <w:autoSpaceDE w:val="0"/>
              <w:autoSpaceDN w:val="0"/>
              <w:adjustRightInd w:val="0"/>
              <w:ind w:right="-818"/>
              <w:rPr>
                <w:rFonts w:asciiTheme="minorHAnsi" w:hAnsiTheme="minorHAnsi" w:cstheme="minorHAnsi"/>
                <w:color w:val="000000"/>
                <w:sz w:val="22"/>
                <w:szCs w:val="22"/>
              </w:rPr>
            </w:pPr>
            <w:r w:rsidRPr="0067660B">
              <w:rPr>
                <w:rFonts w:asciiTheme="minorHAnsi" w:hAnsiTheme="minorHAnsi" w:cstheme="minorHAnsi"/>
                <w:color w:val="000000"/>
                <w:sz w:val="22"/>
                <w:szCs w:val="22"/>
              </w:rPr>
              <w:t>Ancillary revenues</w:t>
            </w:r>
          </w:p>
        </w:tc>
        <w:tc>
          <w:tcPr>
            <w:tcW w:w="708" w:type="dxa"/>
            <w:tcBorders>
              <w:top w:val="nil"/>
            </w:tcBorders>
          </w:tcPr>
          <w:p w14:paraId="23BB084A"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single" w:sz="4" w:space="0" w:color="auto"/>
              <w:right w:val="single" w:sz="4" w:space="0" w:color="auto"/>
            </w:tcBorders>
          </w:tcPr>
          <w:p w14:paraId="5939C850" w14:textId="1A3368A4"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r w:rsidRPr="00DB22BA">
              <w:rPr>
                <w:rFonts w:ascii="Calibri" w:hAnsi="Calibri" w:cs="Calibri"/>
                <w:bCs/>
                <w:color w:val="000000"/>
                <w:sz w:val="22"/>
                <w:szCs w:val="22"/>
              </w:rPr>
              <w:t>+</w:t>
            </w:r>
            <w:r>
              <w:rPr>
                <w:rFonts w:ascii="Calibri" w:hAnsi="Calibri" w:cs="Calibri"/>
                <w:bCs/>
                <w:color w:val="000000"/>
                <w:sz w:val="22"/>
                <w:szCs w:val="22"/>
              </w:rPr>
              <w:t>2</w:t>
            </w:r>
            <w:r w:rsidR="00047B4E">
              <w:rPr>
                <w:rFonts w:ascii="Calibri" w:hAnsi="Calibri" w:cs="Calibri"/>
                <w:bCs/>
                <w:color w:val="000000"/>
                <w:sz w:val="22"/>
                <w:szCs w:val="22"/>
              </w:rPr>
              <w:t>8</w:t>
            </w:r>
            <w:r w:rsidRPr="00DB22BA">
              <w:rPr>
                <w:rFonts w:ascii="Calibri" w:hAnsi="Calibri" w:cs="Calibri"/>
                <w:bCs/>
                <w:color w:val="000000"/>
                <w:sz w:val="22"/>
                <w:szCs w:val="22"/>
              </w:rPr>
              <w:t>%</w:t>
            </w:r>
          </w:p>
        </w:tc>
        <w:tc>
          <w:tcPr>
            <w:tcW w:w="1276" w:type="dxa"/>
            <w:tcBorders>
              <w:top w:val="nil"/>
              <w:bottom w:val="single" w:sz="4" w:space="0" w:color="auto"/>
              <w:right w:val="single" w:sz="4" w:space="0" w:color="auto"/>
            </w:tcBorders>
            <w:shd w:val="clear" w:color="auto" w:fill="auto"/>
          </w:tcPr>
          <w:p w14:paraId="18C67F34" w14:textId="753CB3A3" w:rsidR="00DD3F83" w:rsidRPr="001B62F8" w:rsidRDefault="00246E11" w:rsidP="00DD3F83">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2,374.7</w:t>
            </w:r>
          </w:p>
        </w:tc>
        <w:tc>
          <w:tcPr>
            <w:tcW w:w="1134" w:type="dxa"/>
            <w:tcBorders>
              <w:top w:val="nil"/>
              <w:left w:val="single" w:sz="4" w:space="0" w:color="auto"/>
              <w:bottom w:val="single" w:sz="4" w:space="0" w:color="auto"/>
              <w:right w:val="single" w:sz="4" w:space="0" w:color="auto"/>
            </w:tcBorders>
          </w:tcPr>
          <w:p w14:paraId="120AB513" w14:textId="24045005" w:rsidR="00DD3F83" w:rsidRPr="0067660B" w:rsidRDefault="00DD3F83" w:rsidP="00DD3F83">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1,</w:t>
            </w:r>
            <w:r w:rsidR="00246E11">
              <w:rPr>
                <w:rFonts w:ascii="Calibri" w:hAnsi="Calibri" w:cs="Calibri"/>
                <w:bCs/>
                <w:color w:val="000000"/>
                <w:sz w:val="22"/>
                <w:szCs w:val="22"/>
              </w:rPr>
              <w:t>851.0</w:t>
            </w:r>
          </w:p>
        </w:tc>
      </w:tr>
      <w:tr w:rsidR="00DD3F83" w:rsidRPr="0067660B" w14:paraId="76B612E4" w14:textId="77777777" w:rsidTr="00282291">
        <w:trPr>
          <w:trHeight w:val="351"/>
        </w:trPr>
        <w:tc>
          <w:tcPr>
            <w:tcW w:w="6096" w:type="dxa"/>
            <w:gridSpan w:val="2"/>
            <w:tcBorders>
              <w:top w:val="nil"/>
              <w:left w:val="nil"/>
              <w:bottom w:val="nil"/>
            </w:tcBorders>
          </w:tcPr>
          <w:p w14:paraId="5EC86EEC" w14:textId="77777777" w:rsidR="00DD3F83" w:rsidRPr="00B86918" w:rsidRDefault="00DD3F83" w:rsidP="00DD3F83">
            <w:pPr>
              <w:autoSpaceDE w:val="0"/>
              <w:autoSpaceDN w:val="0"/>
              <w:adjustRightInd w:val="0"/>
              <w:ind w:right="-818"/>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Total operating revenues</w:t>
            </w:r>
          </w:p>
        </w:tc>
        <w:tc>
          <w:tcPr>
            <w:tcW w:w="708" w:type="dxa"/>
            <w:tcBorders>
              <w:top w:val="nil"/>
            </w:tcBorders>
          </w:tcPr>
          <w:p w14:paraId="4A5437C3"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bottom w:val="single" w:sz="4" w:space="0" w:color="auto"/>
              <w:right w:val="single" w:sz="4" w:space="0" w:color="auto"/>
            </w:tcBorders>
          </w:tcPr>
          <w:p w14:paraId="1BEC207D" w14:textId="4556B305"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r w:rsidRPr="00DB22BA">
              <w:rPr>
                <w:rFonts w:ascii="Calibri" w:hAnsi="Calibri" w:cs="Calibri"/>
                <w:bCs/>
                <w:color w:val="000000"/>
                <w:sz w:val="22"/>
                <w:szCs w:val="22"/>
              </w:rPr>
              <w:t>+</w:t>
            </w:r>
            <w:r>
              <w:rPr>
                <w:rFonts w:ascii="Calibri" w:hAnsi="Calibri" w:cs="Calibri"/>
                <w:bCs/>
                <w:color w:val="000000"/>
                <w:sz w:val="22"/>
                <w:szCs w:val="22"/>
              </w:rPr>
              <w:t>1</w:t>
            </w:r>
            <w:r w:rsidR="00204448">
              <w:rPr>
                <w:rFonts w:ascii="Calibri" w:hAnsi="Calibri" w:cs="Calibri"/>
                <w:bCs/>
                <w:color w:val="000000"/>
                <w:sz w:val="22"/>
                <w:szCs w:val="22"/>
              </w:rPr>
              <w:t>4</w:t>
            </w:r>
            <w:r w:rsidRPr="00DB22BA">
              <w:rPr>
                <w:rFonts w:ascii="Calibri" w:hAnsi="Calibri" w:cs="Calibri"/>
                <w:bCs/>
                <w:color w:val="000000"/>
                <w:sz w:val="22"/>
                <w:szCs w:val="22"/>
              </w:rPr>
              <w:t>%</w:t>
            </w:r>
          </w:p>
        </w:tc>
        <w:tc>
          <w:tcPr>
            <w:tcW w:w="1276" w:type="dxa"/>
            <w:tcBorders>
              <w:top w:val="single" w:sz="4" w:space="0" w:color="auto"/>
              <w:bottom w:val="single" w:sz="4" w:space="0" w:color="auto"/>
              <w:right w:val="single" w:sz="4" w:space="0" w:color="auto"/>
            </w:tcBorders>
            <w:shd w:val="clear" w:color="auto" w:fill="auto"/>
          </w:tcPr>
          <w:p w14:paraId="4CA71D6C" w14:textId="653BDE18" w:rsidR="00DD3F83" w:rsidRPr="001B62F8" w:rsidRDefault="00246E11" w:rsidP="00DD3F83">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7,295.7</w:t>
            </w:r>
          </w:p>
        </w:tc>
        <w:tc>
          <w:tcPr>
            <w:tcW w:w="1134" w:type="dxa"/>
            <w:tcBorders>
              <w:top w:val="single" w:sz="4" w:space="0" w:color="auto"/>
              <w:left w:val="single" w:sz="4" w:space="0" w:color="auto"/>
              <w:bottom w:val="single" w:sz="4" w:space="0" w:color="auto"/>
              <w:right w:val="single" w:sz="4" w:space="0" w:color="auto"/>
            </w:tcBorders>
          </w:tcPr>
          <w:p w14:paraId="4220930C" w14:textId="58022742" w:rsidR="00DD3F83" w:rsidRPr="0067660B" w:rsidRDefault="00246E11" w:rsidP="00DD3F83">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6,419.4</w:t>
            </w:r>
          </w:p>
        </w:tc>
      </w:tr>
      <w:tr w:rsidR="00DD3F83" w:rsidRPr="0067660B" w14:paraId="453D7CB4" w14:textId="77777777" w:rsidTr="00282291">
        <w:trPr>
          <w:trHeight w:val="223"/>
        </w:trPr>
        <w:tc>
          <w:tcPr>
            <w:tcW w:w="6096" w:type="dxa"/>
            <w:gridSpan w:val="2"/>
            <w:tcBorders>
              <w:top w:val="nil"/>
              <w:left w:val="nil"/>
              <w:bottom w:val="nil"/>
            </w:tcBorders>
          </w:tcPr>
          <w:p w14:paraId="41FFA55F" w14:textId="77777777" w:rsidR="00DD3F83" w:rsidRPr="0067660B" w:rsidRDefault="00DD3F83" w:rsidP="00DD3F83">
            <w:pPr>
              <w:autoSpaceDE w:val="0"/>
              <w:autoSpaceDN w:val="0"/>
              <w:adjustRightInd w:val="0"/>
              <w:rPr>
                <w:rFonts w:asciiTheme="minorHAnsi" w:hAnsiTheme="minorHAnsi" w:cstheme="minorHAnsi"/>
                <w:bCs/>
                <w:color w:val="000000"/>
                <w:sz w:val="22"/>
                <w:szCs w:val="22"/>
              </w:rPr>
            </w:pPr>
          </w:p>
        </w:tc>
        <w:tc>
          <w:tcPr>
            <w:tcW w:w="708" w:type="dxa"/>
            <w:tcBorders>
              <w:bottom w:val="nil"/>
            </w:tcBorders>
          </w:tcPr>
          <w:p w14:paraId="077800C3"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bottom w:val="nil"/>
              <w:right w:val="single" w:sz="4" w:space="0" w:color="auto"/>
            </w:tcBorders>
          </w:tcPr>
          <w:p w14:paraId="21C1E4C0"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bottom w:val="nil"/>
              <w:right w:val="single" w:sz="4" w:space="0" w:color="auto"/>
            </w:tcBorders>
            <w:shd w:val="clear" w:color="auto" w:fill="auto"/>
          </w:tcPr>
          <w:p w14:paraId="26715E29" w14:textId="77777777"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p>
        </w:tc>
        <w:tc>
          <w:tcPr>
            <w:tcW w:w="1134" w:type="dxa"/>
            <w:tcBorders>
              <w:top w:val="single" w:sz="4" w:space="0" w:color="auto"/>
              <w:left w:val="single" w:sz="4" w:space="0" w:color="auto"/>
              <w:bottom w:val="nil"/>
              <w:right w:val="single" w:sz="4" w:space="0" w:color="auto"/>
            </w:tcBorders>
          </w:tcPr>
          <w:p w14:paraId="66361E83" w14:textId="77777777" w:rsidR="00DD3F83" w:rsidRPr="0067660B" w:rsidRDefault="00DD3F83" w:rsidP="00DD3F83">
            <w:pPr>
              <w:autoSpaceDE w:val="0"/>
              <w:autoSpaceDN w:val="0"/>
              <w:adjustRightInd w:val="0"/>
              <w:ind w:left="-226"/>
              <w:jc w:val="right"/>
              <w:rPr>
                <w:rFonts w:asciiTheme="minorHAnsi" w:hAnsiTheme="minorHAnsi" w:cstheme="minorHAnsi"/>
                <w:bCs/>
                <w:color w:val="000000"/>
                <w:sz w:val="22"/>
                <w:szCs w:val="22"/>
              </w:rPr>
            </w:pPr>
          </w:p>
        </w:tc>
      </w:tr>
      <w:tr w:rsidR="00DD3F83" w:rsidRPr="0067660B" w14:paraId="15A2245D" w14:textId="77777777" w:rsidTr="00282291">
        <w:trPr>
          <w:trHeight w:val="223"/>
        </w:trPr>
        <w:tc>
          <w:tcPr>
            <w:tcW w:w="6096" w:type="dxa"/>
            <w:gridSpan w:val="2"/>
            <w:tcBorders>
              <w:top w:val="nil"/>
              <w:left w:val="nil"/>
              <w:bottom w:val="nil"/>
            </w:tcBorders>
          </w:tcPr>
          <w:p w14:paraId="62E5DB8E"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B86918">
              <w:rPr>
                <w:rFonts w:asciiTheme="minorHAnsi" w:hAnsiTheme="minorHAnsi" w:cstheme="minorHAnsi"/>
                <w:b/>
                <w:color w:val="000000"/>
                <w:sz w:val="22"/>
                <w:szCs w:val="22"/>
              </w:rPr>
              <w:t>Operating expenses</w:t>
            </w:r>
          </w:p>
        </w:tc>
        <w:tc>
          <w:tcPr>
            <w:tcW w:w="708" w:type="dxa"/>
            <w:tcBorders>
              <w:top w:val="nil"/>
              <w:bottom w:val="nil"/>
            </w:tcBorders>
          </w:tcPr>
          <w:p w14:paraId="2724D272"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4AAA1C8E"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7B1655D0" w14:textId="77777777"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p>
        </w:tc>
        <w:tc>
          <w:tcPr>
            <w:tcW w:w="1134" w:type="dxa"/>
            <w:tcBorders>
              <w:top w:val="nil"/>
              <w:left w:val="single" w:sz="4" w:space="0" w:color="auto"/>
              <w:bottom w:val="nil"/>
              <w:right w:val="single" w:sz="4" w:space="0" w:color="auto"/>
            </w:tcBorders>
          </w:tcPr>
          <w:p w14:paraId="22E711CA" w14:textId="77777777" w:rsidR="00DD3F83" w:rsidRPr="0067660B" w:rsidRDefault="00DD3F83" w:rsidP="00DD3F83">
            <w:pPr>
              <w:autoSpaceDE w:val="0"/>
              <w:autoSpaceDN w:val="0"/>
              <w:adjustRightInd w:val="0"/>
              <w:ind w:left="-226"/>
              <w:jc w:val="right"/>
              <w:rPr>
                <w:rFonts w:asciiTheme="minorHAnsi" w:hAnsiTheme="minorHAnsi" w:cstheme="minorHAnsi"/>
                <w:bCs/>
                <w:color w:val="000000"/>
                <w:sz w:val="22"/>
                <w:szCs w:val="22"/>
              </w:rPr>
            </w:pPr>
          </w:p>
        </w:tc>
      </w:tr>
      <w:tr w:rsidR="00DD3F83" w:rsidRPr="00D02E9C" w14:paraId="76B2A9FD" w14:textId="77777777" w:rsidTr="00282291">
        <w:trPr>
          <w:trHeight w:val="223"/>
        </w:trPr>
        <w:tc>
          <w:tcPr>
            <w:tcW w:w="258" w:type="dxa"/>
            <w:tcBorders>
              <w:top w:val="nil"/>
              <w:left w:val="nil"/>
              <w:bottom w:val="nil"/>
              <w:right w:val="nil"/>
            </w:tcBorders>
          </w:tcPr>
          <w:p w14:paraId="0859BD2F"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75BB6CCB"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Fuel and oil</w:t>
            </w:r>
          </w:p>
        </w:tc>
        <w:tc>
          <w:tcPr>
            <w:tcW w:w="708" w:type="dxa"/>
            <w:tcBorders>
              <w:top w:val="nil"/>
              <w:bottom w:val="nil"/>
            </w:tcBorders>
          </w:tcPr>
          <w:p w14:paraId="324994D8"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4BDFE7ED" w14:textId="71DFFC21" w:rsidR="00DD3F83" w:rsidRPr="00DB22BA" w:rsidRDefault="00204448"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-20</w:t>
            </w:r>
            <w:r w:rsidR="00DD3F83" w:rsidRPr="00DB22BA">
              <w:rPr>
                <w:rFonts w:ascii="Calibri" w:hAnsi="Calibri" w:cs="Calibri"/>
                <w:bCs/>
                <w:color w:val="000000"/>
                <w:sz w:val="22"/>
                <w:szCs w:val="22"/>
              </w:rPr>
              <w:t>%</w:t>
            </w:r>
          </w:p>
        </w:tc>
        <w:tc>
          <w:tcPr>
            <w:tcW w:w="1276" w:type="dxa"/>
            <w:tcBorders>
              <w:top w:val="nil"/>
              <w:bottom w:val="nil"/>
              <w:right w:val="single" w:sz="4" w:space="0" w:color="auto"/>
            </w:tcBorders>
            <w:shd w:val="clear" w:color="auto" w:fill="auto"/>
          </w:tcPr>
          <w:p w14:paraId="67D1578C" w14:textId="21E2CA03" w:rsidR="00DD3F83" w:rsidRPr="001B62F8" w:rsidRDefault="00246E11" w:rsidP="00DD3F83">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2,272.9</w:t>
            </w:r>
          </w:p>
        </w:tc>
        <w:tc>
          <w:tcPr>
            <w:tcW w:w="1134" w:type="dxa"/>
            <w:tcBorders>
              <w:top w:val="nil"/>
              <w:left w:val="single" w:sz="4" w:space="0" w:color="auto"/>
              <w:bottom w:val="nil"/>
              <w:right w:val="single" w:sz="4" w:space="0" w:color="auto"/>
            </w:tcBorders>
          </w:tcPr>
          <w:p w14:paraId="651877A4" w14:textId="73DB7093" w:rsidR="00DD3F83" w:rsidRPr="00D02E9C" w:rsidRDefault="00DD3F83" w:rsidP="00DD3F83">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1,</w:t>
            </w:r>
            <w:r w:rsidR="00246E11">
              <w:rPr>
                <w:rFonts w:ascii="Calibri" w:hAnsi="Calibri" w:cs="Calibri"/>
                <w:bCs/>
                <w:color w:val="000000"/>
                <w:sz w:val="22"/>
                <w:szCs w:val="22"/>
              </w:rPr>
              <w:t>900.9</w:t>
            </w:r>
          </w:p>
        </w:tc>
      </w:tr>
      <w:tr w:rsidR="00DD3F83" w:rsidRPr="0067660B" w14:paraId="01C0757B" w14:textId="77777777" w:rsidTr="00282291">
        <w:trPr>
          <w:trHeight w:val="223"/>
        </w:trPr>
        <w:tc>
          <w:tcPr>
            <w:tcW w:w="258" w:type="dxa"/>
            <w:tcBorders>
              <w:top w:val="nil"/>
              <w:left w:val="nil"/>
              <w:bottom w:val="nil"/>
              <w:right w:val="nil"/>
            </w:tcBorders>
          </w:tcPr>
          <w:p w14:paraId="3F303FD4"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390D77AA"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Airport and handling charges</w:t>
            </w:r>
          </w:p>
        </w:tc>
        <w:tc>
          <w:tcPr>
            <w:tcW w:w="708" w:type="dxa"/>
            <w:tcBorders>
              <w:top w:val="nil"/>
            </w:tcBorders>
          </w:tcPr>
          <w:p w14:paraId="54B491D1"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2E4AEFB2" w14:textId="07958765" w:rsidR="00DD3F83" w:rsidRPr="00DB22BA" w:rsidRDefault="00204448"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-11</w:t>
            </w:r>
            <w:r w:rsidR="00DD3F83"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0BDA414E" w14:textId="548F8F0E" w:rsidR="00DD3F83" w:rsidRPr="001B62F8" w:rsidRDefault="00246E11" w:rsidP="00DD3F83">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932.9</w:t>
            </w:r>
          </w:p>
        </w:tc>
        <w:tc>
          <w:tcPr>
            <w:tcW w:w="1134" w:type="dxa"/>
            <w:tcBorders>
              <w:top w:val="nil"/>
              <w:left w:val="single" w:sz="4" w:space="0" w:color="auto"/>
              <w:right w:val="single" w:sz="4" w:space="0" w:color="auto"/>
            </w:tcBorders>
          </w:tcPr>
          <w:p w14:paraId="4F08054F" w14:textId="563F2E89" w:rsidR="00DD3F83" w:rsidRPr="00DB22BA" w:rsidRDefault="00246E11" w:rsidP="00DD3F83">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841.3</w:t>
            </w:r>
          </w:p>
        </w:tc>
      </w:tr>
      <w:tr w:rsidR="00DD3F83" w:rsidRPr="0067660B" w14:paraId="72015347" w14:textId="77777777" w:rsidTr="00282291">
        <w:trPr>
          <w:trHeight w:val="223"/>
        </w:trPr>
        <w:tc>
          <w:tcPr>
            <w:tcW w:w="258" w:type="dxa"/>
            <w:tcBorders>
              <w:top w:val="nil"/>
              <w:left w:val="nil"/>
              <w:bottom w:val="nil"/>
              <w:right w:val="nil"/>
            </w:tcBorders>
          </w:tcPr>
          <w:p w14:paraId="4F6791A0"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534A8BD5"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Staff costs</w:t>
            </w:r>
          </w:p>
        </w:tc>
        <w:tc>
          <w:tcPr>
            <w:tcW w:w="708" w:type="dxa"/>
            <w:tcBorders>
              <w:top w:val="nil"/>
            </w:tcBorders>
          </w:tcPr>
          <w:p w14:paraId="6DE339A7"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41279C40" w14:textId="0ECD8AEA" w:rsidR="00DD3F83" w:rsidRPr="00DB22BA" w:rsidRDefault="00204448"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r w:rsidR="00047B4E">
              <w:rPr>
                <w:rFonts w:ascii="Calibri" w:hAnsi="Calibri" w:cs="Calibri"/>
                <w:bCs/>
                <w:color w:val="000000"/>
                <w:sz w:val="22"/>
                <w:szCs w:val="22"/>
              </w:rPr>
              <w:t>1</w:t>
            </w:r>
            <w:r>
              <w:rPr>
                <w:rFonts w:ascii="Calibri" w:hAnsi="Calibri" w:cs="Calibri"/>
                <w:bCs/>
                <w:color w:val="000000"/>
                <w:sz w:val="22"/>
                <w:szCs w:val="22"/>
              </w:rPr>
              <w:t>5</w:t>
            </w:r>
            <w:r w:rsidR="00DD3F83"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27A22256" w14:textId="09113105" w:rsidR="00DD3F83" w:rsidRPr="0085042F" w:rsidRDefault="00246E11" w:rsidP="00DD3F83">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859.9</w:t>
            </w:r>
          </w:p>
        </w:tc>
        <w:tc>
          <w:tcPr>
            <w:tcW w:w="1134" w:type="dxa"/>
            <w:tcBorders>
              <w:top w:val="nil"/>
              <w:left w:val="single" w:sz="4" w:space="0" w:color="auto"/>
              <w:right w:val="single" w:sz="4" w:space="0" w:color="auto"/>
            </w:tcBorders>
          </w:tcPr>
          <w:p w14:paraId="120C03FA" w14:textId="602A193A" w:rsidR="00DD3F83" w:rsidRPr="00DB22BA" w:rsidRDefault="00246E11" w:rsidP="00DD3F83">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744.9</w:t>
            </w:r>
          </w:p>
        </w:tc>
      </w:tr>
      <w:tr w:rsidR="00DD3F83" w:rsidRPr="0067660B" w14:paraId="58AF9FFF" w14:textId="77777777" w:rsidTr="00282291">
        <w:trPr>
          <w:trHeight w:val="223"/>
        </w:trPr>
        <w:tc>
          <w:tcPr>
            <w:tcW w:w="258" w:type="dxa"/>
            <w:tcBorders>
              <w:top w:val="nil"/>
              <w:left w:val="nil"/>
              <w:bottom w:val="nil"/>
              <w:right w:val="nil"/>
            </w:tcBorders>
          </w:tcPr>
          <w:p w14:paraId="37E4B33E"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5BBD3374"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Route charges</w:t>
            </w:r>
          </w:p>
        </w:tc>
        <w:tc>
          <w:tcPr>
            <w:tcW w:w="708" w:type="dxa"/>
            <w:tcBorders>
              <w:top w:val="nil"/>
              <w:bottom w:val="nil"/>
            </w:tcBorders>
          </w:tcPr>
          <w:p w14:paraId="046BD27E"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3776EE16" w14:textId="655F4587" w:rsidR="00DD3F83" w:rsidRPr="00DB22BA" w:rsidRDefault="00204448"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-2</w:t>
            </w:r>
            <w:r w:rsidR="00DD3F83" w:rsidRPr="00DB22BA">
              <w:rPr>
                <w:rFonts w:ascii="Calibri" w:hAnsi="Calibri" w:cs="Calibri"/>
                <w:bCs/>
                <w:color w:val="000000"/>
                <w:sz w:val="22"/>
                <w:szCs w:val="22"/>
              </w:rPr>
              <w:t>%</w:t>
            </w:r>
          </w:p>
        </w:tc>
        <w:tc>
          <w:tcPr>
            <w:tcW w:w="1276" w:type="dxa"/>
            <w:tcBorders>
              <w:top w:val="nil"/>
              <w:bottom w:val="nil"/>
              <w:right w:val="single" w:sz="4" w:space="0" w:color="auto"/>
            </w:tcBorders>
            <w:shd w:val="clear" w:color="auto" w:fill="auto"/>
          </w:tcPr>
          <w:p w14:paraId="68989250" w14:textId="6E708794" w:rsidR="00DD3F83" w:rsidRPr="0085042F" w:rsidRDefault="00246E11" w:rsidP="00DD3F83">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606.4</w:t>
            </w:r>
          </w:p>
        </w:tc>
        <w:tc>
          <w:tcPr>
            <w:tcW w:w="1134" w:type="dxa"/>
            <w:tcBorders>
              <w:top w:val="nil"/>
              <w:left w:val="single" w:sz="4" w:space="0" w:color="auto"/>
              <w:bottom w:val="nil"/>
              <w:right w:val="single" w:sz="4" w:space="0" w:color="auto"/>
            </w:tcBorders>
          </w:tcPr>
          <w:p w14:paraId="4031FC7A" w14:textId="6B6BAD26" w:rsidR="00DD3F83" w:rsidRPr="00DB22BA" w:rsidRDefault="00246E11" w:rsidP="00DD3F83">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592.2</w:t>
            </w:r>
          </w:p>
        </w:tc>
      </w:tr>
      <w:tr w:rsidR="00DD3F83" w:rsidRPr="0067660B" w14:paraId="1551C382" w14:textId="77777777" w:rsidTr="00282291">
        <w:trPr>
          <w:trHeight w:val="223"/>
        </w:trPr>
        <w:tc>
          <w:tcPr>
            <w:tcW w:w="258" w:type="dxa"/>
            <w:tcBorders>
              <w:top w:val="nil"/>
              <w:left w:val="nil"/>
              <w:bottom w:val="nil"/>
              <w:right w:val="nil"/>
            </w:tcBorders>
          </w:tcPr>
          <w:p w14:paraId="6499E502"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7EF362BA"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Depreciation</w:t>
            </w:r>
          </w:p>
        </w:tc>
        <w:tc>
          <w:tcPr>
            <w:tcW w:w="708" w:type="dxa"/>
            <w:tcBorders>
              <w:top w:val="nil"/>
              <w:bottom w:val="nil"/>
            </w:tcBorders>
          </w:tcPr>
          <w:p w14:paraId="5A1F7414"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03B4FC82" w14:textId="4D63E1A9" w:rsidR="00DD3F83" w:rsidRPr="00DB22BA" w:rsidRDefault="00204448"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r w:rsidR="00047B4E">
              <w:rPr>
                <w:rFonts w:ascii="Calibri" w:hAnsi="Calibri" w:cs="Calibri"/>
                <w:bCs/>
                <w:color w:val="000000"/>
                <w:sz w:val="22"/>
                <w:szCs w:val="22"/>
              </w:rPr>
              <w:t>1</w:t>
            </w:r>
            <w:r>
              <w:rPr>
                <w:rFonts w:ascii="Calibri" w:hAnsi="Calibri" w:cs="Calibri"/>
                <w:bCs/>
                <w:color w:val="000000"/>
                <w:sz w:val="22"/>
                <w:szCs w:val="22"/>
              </w:rPr>
              <w:t>8</w:t>
            </w:r>
            <w:r w:rsidR="00DD3F83"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5147C784" w14:textId="401E9D49" w:rsidR="00DD3F83" w:rsidRPr="0085042F" w:rsidRDefault="00246E11" w:rsidP="00DD3F83">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571.5</w:t>
            </w:r>
          </w:p>
        </w:tc>
        <w:tc>
          <w:tcPr>
            <w:tcW w:w="1134" w:type="dxa"/>
            <w:tcBorders>
              <w:top w:val="nil"/>
              <w:left w:val="single" w:sz="4" w:space="0" w:color="auto"/>
              <w:right w:val="single" w:sz="4" w:space="0" w:color="auto"/>
            </w:tcBorders>
          </w:tcPr>
          <w:p w14:paraId="49BDE6F3" w14:textId="492BA95B" w:rsidR="00DD3F83" w:rsidRPr="00DB22BA" w:rsidRDefault="00246E11" w:rsidP="00DD3F83">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483.8</w:t>
            </w:r>
          </w:p>
        </w:tc>
      </w:tr>
      <w:tr w:rsidR="00DD3F83" w:rsidRPr="0067660B" w14:paraId="16CEA29A" w14:textId="77777777" w:rsidTr="00282291">
        <w:trPr>
          <w:trHeight w:val="223"/>
        </w:trPr>
        <w:tc>
          <w:tcPr>
            <w:tcW w:w="258" w:type="dxa"/>
            <w:tcBorders>
              <w:top w:val="nil"/>
              <w:left w:val="nil"/>
              <w:bottom w:val="nil"/>
              <w:right w:val="nil"/>
            </w:tcBorders>
          </w:tcPr>
          <w:p w14:paraId="7CC613C9"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55F203C0"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Marketing, distribution and other</w:t>
            </w:r>
          </w:p>
        </w:tc>
        <w:tc>
          <w:tcPr>
            <w:tcW w:w="708" w:type="dxa"/>
            <w:tcBorders>
              <w:top w:val="nil"/>
            </w:tcBorders>
          </w:tcPr>
          <w:p w14:paraId="4086AECC"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09EC9DFB" w14:textId="3CD9CAF6" w:rsidR="00DD3F83" w:rsidRPr="00DB22BA" w:rsidRDefault="00204448"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-2</w:t>
            </w:r>
            <w:r w:rsidR="00DD3F83"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55755FCD" w14:textId="2C8DEAED" w:rsidR="00DD3F83" w:rsidRPr="0085042F" w:rsidRDefault="00246E11" w:rsidP="00DD3F83">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436.5</w:t>
            </w:r>
          </w:p>
        </w:tc>
        <w:tc>
          <w:tcPr>
            <w:tcW w:w="1134" w:type="dxa"/>
            <w:tcBorders>
              <w:top w:val="nil"/>
              <w:left w:val="single" w:sz="4" w:space="0" w:color="auto"/>
              <w:right w:val="single" w:sz="4" w:space="0" w:color="auto"/>
            </w:tcBorders>
          </w:tcPr>
          <w:p w14:paraId="12E92F77" w14:textId="1C89EA80" w:rsidR="00DD3F83" w:rsidRPr="00DB22BA" w:rsidRDefault="00246E11" w:rsidP="00DD3F83">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427.4</w:t>
            </w:r>
          </w:p>
        </w:tc>
      </w:tr>
      <w:tr w:rsidR="00DD3F83" w:rsidRPr="0067660B" w14:paraId="4C11F32E" w14:textId="77777777" w:rsidTr="00282291">
        <w:trPr>
          <w:trHeight w:val="223"/>
        </w:trPr>
        <w:tc>
          <w:tcPr>
            <w:tcW w:w="258" w:type="dxa"/>
            <w:tcBorders>
              <w:top w:val="nil"/>
              <w:left w:val="nil"/>
              <w:bottom w:val="nil"/>
              <w:right w:val="nil"/>
            </w:tcBorders>
          </w:tcPr>
          <w:p w14:paraId="1040B488"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1D5A7CEE"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Maintenance, materials and repairs</w:t>
            </w:r>
          </w:p>
        </w:tc>
        <w:tc>
          <w:tcPr>
            <w:tcW w:w="708" w:type="dxa"/>
            <w:tcBorders>
              <w:top w:val="nil"/>
              <w:bottom w:val="nil"/>
            </w:tcBorders>
          </w:tcPr>
          <w:p w14:paraId="337780CA"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bottom w:val="nil"/>
              <w:right w:val="single" w:sz="4" w:space="0" w:color="auto"/>
            </w:tcBorders>
          </w:tcPr>
          <w:p w14:paraId="0A94A66B" w14:textId="0F16007E" w:rsidR="00DD3F83" w:rsidRPr="00DB22BA" w:rsidRDefault="00204448"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-45</w:t>
            </w:r>
            <w:r w:rsidR="00DD3F83" w:rsidRPr="00DB22BA">
              <w:rPr>
                <w:rFonts w:ascii="Calibri" w:hAnsi="Calibri" w:cs="Calibri"/>
                <w:bCs/>
                <w:color w:val="000000"/>
                <w:sz w:val="22"/>
                <w:szCs w:val="22"/>
              </w:rPr>
              <w:t>%</w:t>
            </w:r>
          </w:p>
        </w:tc>
        <w:tc>
          <w:tcPr>
            <w:tcW w:w="1276" w:type="dxa"/>
            <w:tcBorders>
              <w:right w:val="single" w:sz="4" w:space="0" w:color="auto"/>
            </w:tcBorders>
            <w:shd w:val="clear" w:color="auto" w:fill="auto"/>
          </w:tcPr>
          <w:p w14:paraId="03C112F8" w14:textId="0C86E1F2" w:rsidR="00DD3F83" w:rsidRPr="0085042F" w:rsidRDefault="00246E11" w:rsidP="00DD3F83">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200.9</w:t>
            </w:r>
          </w:p>
        </w:tc>
        <w:tc>
          <w:tcPr>
            <w:tcW w:w="1134" w:type="dxa"/>
            <w:tcBorders>
              <w:left w:val="single" w:sz="4" w:space="0" w:color="auto"/>
              <w:right w:val="single" w:sz="4" w:space="0" w:color="auto"/>
            </w:tcBorders>
          </w:tcPr>
          <w:p w14:paraId="21015B22" w14:textId="65340987" w:rsidR="00DD3F83" w:rsidRPr="00DB22BA" w:rsidRDefault="00246E11" w:rsidP="00DD3F83">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138.4</w:t>
            </w:r>
          </w:p>
        </w:tc>
      </w:tr>
      <w:tr w:rsidR="00DD3F83" w:rsidRPr="0067660B" w14:paraId="42D7F4AD" w14:textId="77777777" w:rsidTr="00282291">
        <w:trPr>
          <w:trHeight w:val="223"/>
        </w:trPr>
        <w:tc>
          <w:tcPr>
            <w:tcW w:w="258" w:type="dxa"/>
            <w:tcBorders>
              <w:top w:val="nil"/>
              <w:left w:val="nil"/>
              <w:bottom w:val="nil"/>
              <w:right w:val="nil"/>
            </w:tcBorders>
          </w:tcPr>
          <w:p w14:paraId="67AAFEA8"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25F84FCB"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Aircraft rentals</w:t>
            </w:r>
          </w:p>
        </w:tc>
        <w:tc>
          <w:tcPr>
            <w:tcW w:w="708" w:type="dxa"/>
            <w:tcBorders>
              <w:top w:val="nil"/>
              <w:bottom w:val="nil"/>
            </w:tcBorders>
          </w:tcPr>
          <w:p w14:paraId="4219F3A4"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tcPr>
          <w:p w14:paraId="78A4ACB2" w14:textId="056C6BF8" w:rsidR="00DD3F83" w:rsidRPr="00DB22BA" w:rsidRDefault="00204448"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+35</w:t>
            </w:r>
            <w:r w:rsidR="00DD3F83"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60822BDD" w14:textId="5607B4FF" w:rsidR="00DD3F83" w:rsidRPr="0085042F" w:rsidRDefault="00246E11" w:rsidP="00DD3F83">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35.1</w:t>
            </w:r>
          </w:p>
        </w:tc>
        <w:tc>
          <w:tcPr>
            <w:tcW w:w="1134" w:type="dxa"/>
            <w:tcBorders>
              <w:top w:val="nil"/>
              <w:left w:val="single" w:sz="4" w:space="0" w:color="auto"/>
              <w:right w:val="single" w:sz="4" w:space="0" w:color="auto"/>
            </w:tcBorders>
          </w:tcPr>
          <w:p w14:paraId="7CD99938" w14:textId="45B942F4" w:rsidR="00DD3F83" w:rsidRPr="00DB22BA" w:rsidRDefault="00246E11" w:rsidP="00DD3F83">
            <w:pPr>
              <w:widowControl w:val="0"/>
              <w:autoSpaceDE w:val="0"/>
              <w:autoSpaceDN w:val="0"/>
              <w:adjustRightInd w:val="0"/>
              <w:ind w:left="-226"/>
              <w:jc w:val="right"/>
              <w:rPr>
                <w:rFonts w:ascii="Calibri" w:hAnsi="Calibri" w:cs="Calibri"/>
                <w:bCs/>
                <w:color w:val="000000"/>
                <w:sz w:val="22"/>
                <w:szCs w:val="22"/>
              </w:rPr>
            </w:pPr>
            <w:r>
              <w:rPr>
                <w:rFonts w:ascii="Calibri" w:hAnsi="Calibri" w:cs="Calibri"/>
                <w:bCs/>
                <w:color w:val="000000"/>
                <w:sz w:val="22"/>
                <w:szCs w:val="22"/>
              </w:rPr>
              <w:t>54.0</w:t>
            </w:r>
          </w:p>
        </w:tc>
      </w:tr>
      <w:tr w:rsidR="00DD3F83" w:rsidRPr="0067660B" w14:paraId="3A888319" w14:textId="77777777" w:rsidTr="00282291">
        <w:trPr>
          <w:trHeight w:val="223"/>
        </w:trPr>
        <w:tc>
          <w:tcPr>
            <w:tcW w:w="6096" w:type="dxa"/>
            <w:gridSpan w:val="2"/>
            <w:tcBorders>
              <w:top w:val="nil"/>
              <w:left w:val="nil"/>
              <w:bottom w:val="nil"/>
            </w:tcBorders>
          </w:tcPr>
          <w:p w14:paraId="71D26A16" w14:textId="77777777" w:rsidR="00DD3F83" w:rsidRPr="00B86918" w:rsidRDefault="00DD3F83" w:rsidP="00DD3F83">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Total operating expenses</w:t>
            </w:r>
          </w:p>
        </w:tc>
        <w:tc>
          <w:tcPr>
            <w:tcW w:w="708" w:type="dxa"/>
            <w:tcBorders>
              <w:top w:val="nil"/>
            </w:tcBorders>
          </w:tcPr>
          <w:p w14:paraId="303CB4A5"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right w:val="single" w:sz="4" w:space="0" w:color="auto"/>
            </w:tcBorders>
          </w:tcPr>
          <w:p w14:paraId="23EAF217" w14:textId="221CA96C" w:rsidR="00DD3F83" w:rsidRPr="0067660B" w:rsidRDefault="00204448" w:rsidP="00DD3F83">
            <w:pPr>
              <w:autoSpaceDE w:val="0"/>
              <w:autoSpaceDN w:val="0"/>
              <w:adjustRightInd w:val="0"/>
              <w:jc w:val="right"/>
              <w:rPr>
                <w:rFonts w:asciiTheme="minorHAnsi" w:hAnsiTheme="minorHAnsi" w:cstheme="minorHAnsi"/>
                <w:bCs/>
                <w:color w:val="000000"/>
                <w:sz w:val="22"/>
                <w:szCs w:val="22"/>
              </w:rPr>
            </w:pPr>
            <w:r>
              <w:rPr>
                <w:rFonts w:ascii="Calibri" w:hAnsi="Calibri" w:cs="Calibri"/>
                <w:bCs/>
                <w:color w:val="000000"/>
                <w:sz w:val="22"/>
                <w:szCs w:val="22"/>
              </w:rPr>
              <w:t>-</w:t>
            </w:r>
            <w:r w:rsidR="00DD3F83">
              <w:rPr>
                <w:rFonts w:ascii="Calibri" w:hAnsi="Calibri" w:cs="Calibri"/>
                <w:bCs/>
                <w:color w:val="000000"/>
                <w:sz w:val="22"/>
                <w:szCs w:val="22"/>
              </w:rPr>
              <w:t>1</w:t>
            </w:r>
            <w:r>
              <w:rPr>
                <w:rFonts w:ascii="Calibri" w:hAnsi="Calibri" w:cs="Calibri"/>
                <w:bCs/>
                <w:color w:val="000000"/>
                <w:sz w:val="22"/>
                <w:szCs w:val="22"/>
              </w:rPr>
              <w:t>4</w:t>
            </w:r>
            <w:r w:rsidR="00DD3F83" w:rsidRPr="00DB22BA">
              <w:rPr>
                <w:rFonts w:ascii="Calibri" w:hAnsi="Calibri" w:cs="Calibri"/>
                <w:bCs/>
                <w:color w:val="000000"/>
                <w:sz w:val="22"/>
                <w:szCs w:val="22"/>
              </w:rPr>
              <w:t>%</w:t>
            </w:r>
          </w:p>
        </w:tc>
        <w:tc>
          <w:tcPr>
            <w:tcW w:w="1276" w:type="dxa"/>
            <w:tcBorders>
              <w:top w:val="single" w:sz="4" w:space="0" w:color="auto"/>
              <w:bottom w:val="single" w:sz="4" w:space="0" w:color="auto"/>
              <w:right w:val="single" w:sz="4" w:space="0" w:color="auto"/>
            </w:tcBorders>
            <w:shd w:val="clear" w:color="auto" w:fill="auto"/>
          </w:tcPr>
          <w:p w14:paraId="07560F29" w14:textId="422F2724" w:rsidR="00DD3F83" w:rsidRPr="001B62F8" w:rsidRDefault="00246E11" w:rsidP="00DD3F83">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5,916.1</w:t>
            </w:r>
          </w:p>
        </w:tc>
        <w:tc>
          <w:tcPr>
            <w:tcW w:w="1134" w:type="dxa"/>
            <w:tcBorders>
              <w:top w:val="single" w:sz="4" w:space="0" w:color="auto"/>
              <w:left w:val="single" w:sz="4" w:space="0" w:color="auto"/>
              <w:bottom w:val="single" w:sz="4" w:space="0" w:color="auto"/>
              <w:right w:val="single" w:sz="4" w:space="0" w:color="auto"/>
            </w:tcBorders>
          </w:tcPr>
          <w:p w14:paraId="0B905138" w14:textId="60BDBD1A" w:rsidR="00DD3F83" w:rsidRPr="0067660B" w:rsidRDefault="00246E11" w:rsidP="00DD3F83">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5,182.9</w:t>
            </w:r>
          </w:p>
        </w:tc>
      </w:tr>
      <w:tr w:rsidR="00DD3F83" w:rsidRPr="0067660B" w14:paraId="14BA3746" w14:textId="77777777" w:rsidTr="00282291">
        <w:trPr>
          <w:trHeight w:val="223"/>
        </w:trPr>
        <w:tc>
          <w:tcPr>
            <w:tcW w:w="258" w:type="dxa"/>
            <w:tcBorders>
              <w:top w:val="nil"/>
              <w:left w:val="nil"/>
              <w:bottom w:val="nil"/>
              <w:right w:val="nil"/>
            </w:tcBorders>
          </w:tcPr>
          <w:p w14:paraId="221A20F0"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5F6E5C45"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p>
        </w:tc>
        <w:tc>
          <w:tcPr>
            <w:tcW w:w="708" w:type="dxa"/>
            <w:tcBorders>
              <w:top w:val="nil"/>
            </w:tcBorders>
          </w:tcPr>
          <w:p w14:paraId="27D6AF0A"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right w:val="single" w:sz="4" w:space="0" w:color="auto"/>
            </w:tcBorders>
          </w:tcPr>
          <w:p w14:paraId="7205E2A7"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right w:val="single" w:sz="4" w:space="0" w:color="auto"/>
            </w:tcBorders>
            <w:shd w:val="clear" w:color="auto" w:fill="auto"/>
          </w:tcPr>
          <w:p w14:paraId="66D52092" w14:textId="77777777"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p>
        </w:tc>
        <w:tc>
          <w:tcPr>
            <w:tcW w:w="1134" w:type="dxa"/>
            <w:tcBorders>
              <w:top w:val="single" w:sz="4" w:space="0" w:color="auto"/>
              <w:left w:val="single" w:sz="4" w:space="0" w:color="auto"/>
              <w:right w:val="single" w:sz="4" w:space="0" w:color="auto"/>
            </w:tcBorders>
          </w:tcPr>
          <w:p w14:paraId="194F5D47" w14:textId="77777777" w:rsidR="00DD3F83" w:rsidRPr="0067660B" w:rsidRDefault="00DD3F83" w:rsidP="00DD3F83">
            <w:pPr>
              <w:autoSpaceDE w:val="0"/>
              <w:autoSpaceDN w:val="0"/>
              <w:adjustRightInd w:val="0"/>
              <w:ind w:left="-226"/>
              <w:jc w:val="right"/>
              <w:rPr>
                <w:rFonts w:asciiTheme="minorHAnsi" w:hAnsiTheme="minorHAnsi" w:cstheme="minorHAnsi"/>
                <w:bCs/>
                <w:color w:val="000000"/>
                <w:sz w:val="22"/>
                <w:szCs w:val="22"/>
              </w:rPr>
            </w:pPr>
          </w:p>
        </w:tc>
      </w:tr>
      <w:tr w:rsidR="00DD3F83" w:rsidRPr="0067660B" w14:paraId="45F96E25" w14:textId="77777777" w:rsidTr="00282291">
        <w:trPr>
          <w:trHeight w:val="223"/>
        </w:trPr>
        <w:tc>
          <w:tcPr>
            <w:tcW w:w="6096" w:type="dxa"/>
            <w:gridSpan w:val="2"/>
            <w:tcBorders>
              <w:top w:val="nil"/>
              <w:left w:val="nil"/>
              <w:bottom w:val="nil"/>
            </w:tcBorders>
          </w:tcPr>
          <w:p w14:paraId="46E74109" w14:textId="5EC6D84B" w:rsidR="00DD3F83" w:rsidRPr="00B86918" w:rsidRDefault="00DD3F83" w:rsidP="00DD3F83">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Operating profit</w:t>
            </w:r>
          </w:p>
        </w:tc>
        <w:tc>
          <w:tcPr>
            <w:tcW w:w="708" w:type="dxa"/>
            <w:tcBorders>
              <w:top w:val="nil"/>
            </w:tcBorders>
          </w:tcPr>
          <w:p w14:paraId="30B6D07C"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7068F332" w14:textId="3119253A" w:rsidR="00DD3F83" w:rsidRPr="0067660B" w:rsidRDefault="00204448" w:rsidP="00DD3F83">
            <w:pPr>
              <w:autoSpaceDE w:val="0"/>
              <w:autoSpaceDN w:val="0"/>
              <w:adjustRightInd w:val="0"/>
              <w:jc w:val="right"/>
              <w:rPr>
                <w:rFonts w:asciiTheme="minorHAnsi" w:hAnsiTheme="minorHAnsi" w:cstheme="minorHAnsi"/>
                <w:bCs/>
                <w:color w:val="000000"/>
                <w:sz w:val="22"/>
                <w:szCs w:val="22"/>
              </w:rPr>
            </w:pPr>
            <w:r>
              <w:rPr>
                <w:rFonts w:ascii="Calibri" w:hAnsi="Calibri" w:cs="Calibri"/>
                <w:bCs/>
                <w:color w:val="000000"/>
                <w:sz w:val="22"/>
                <w:szCs w:val="22"/>
              </w:rPr>
              <w:t>+12</w:t>
            </w:r>
            <w:r w:rsidR="00DD3F83" w:rsidRPr="00DB22BA">
              <w:rPr>
                <w:rFonts w:ascii="Calibri" w:hAnsi="Calibri" w:cs="Calibri"/>
                <w:bCs/>
                <w:color w:val="000000"/>
                <w:sz w:val="22"/>
                <w:szCs w:val="22"/>
              </w:rPr>
              <w:t>%</w:t>
            </w:r>
          </w:p>
        </w:tc>
        <w:tc>
          <w:tcPr>
            <w:tcW w:w="1276" w:type="dxa"/>
            <w:tcBorders>
              <w:top w:val="nil"/>
              <w:right w:val="single" w:sz="4" w:space="0" w:color="auto"/>
            </w:tcBorders>
            <w:shd w:val="clear" w:color="auto" w:fill="auto"/>
          </w:tcPr>
          <w:p w14:paraId="0546B051" w14:textId="0D774D6D"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246E11">
              <w:rPr>
                <w:rFonts w:asciiTheme="minorHAnsi" w:hAnsiTheme="minorHAnsi" w:cstheme="minorHAnsi"/>
                <w:b/>
                <w:bCs/>
                <w:color w:val="000000"/>
                <w:sz w:val="22"/>
                <w:szCs w:val="22"/>
              </w:rPr>
              <w:t>379.6</w:t>
            </w:r>
          </w:p>
        </w:tc>
        <w:tc>
          <w:tcPr>
            <w:tcW w:w="1134" w:type="dxa"/>
            <w:tcBorders>
              <w:top w:val="nil"/>
              <w:left w:val="single" w:sz="4" w:space="0" w:color="auto"/>
              <w:right w:val="single" w:sz="4" w:space="0" w:color="auto"/>
            </w:tcBorders>
            <w:shd w:val="clear" w:color="auto" w:fill="auto"/>
          </w:tcPr>
          <w:p w14:paraId="03E6BD51" w14:textId="153AD5DD" w:rsidR="00DD3F83" w:rsidRPr="00E301C1" w:rsidRDefault="00DD3F83" w:rsidP="00DD3F83">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w:t>
            </w:r>
            <w:r w:rsidR="00246E11">
              <w:rPr>
                <w:rFonts w:asciiTheme="minorHAnsi" w:hAnsiTheme="minorHAnsi" w:cstheme="minorHAnsi"/>
                <w:bCs/>
                <w:color w:val="000000"/>
                <w:sz w:val="22"/>
                <w:szCs w:val="22"/>
              </w:rPr>
              <w:t>236.5</w:t>
            </w:r>
          </w:p>
        </w:tc>
      </w:tr>
      <w:tr w:rsidR="00DD3F83" w:rsidRPr="0067660B" w14:paraId="4DE95133" w14:textId="77777777" w:rsidTr="00282291">
        <w:trPr>
          <w:trHeight w:val="223"/>
        </w:trPr>
        <w:tc>
          <w:tcPr>
            <w:tcW w:w="6096" w:type="dxa"/>
            <w:gridSpan w:val="2"/>
            <w:tcBorders>
              <w:top w:val="nil"/>
              <w:left w:val="nil"/>
              <w:bottom w:val="nil"/>
            </w:tcBorders>
          </w:tcPr>
          <w:p w14:paraId="0D03513E" w14:textId="77777777" w:rsidR="00DD3F83" w:rsidRPr="0067660B" w:rsidRDefault="00DD3F83" w:rsidP="00DD3F83">
            <w:pPr>
              <w:autoSpaceDE w:val="0"/>
              <w:autoSpaceDN w:val="0"/>
              <w:adjustRightInd w:val="0"/>
              <w:rPr>
                <w:rFonts w:asciiTheme="minorHAnsi" w:hAnsiTheme="minorHAnsi" w:cstheme="minorHAnsi"/>
                <w:bCs/>
                <w:color w:val="000000"/>
                <w:sz w:val="22"/>
                <w:szCs w:val="22"/>
              </w:rPr>
            </w:pPr>
          </w:p>
        </w:tc>
        <w:tc>
          <w:tcPr>
            <w:tcW w:w="708" w:type="dxa"/>
            <w:tcBorders>
              <w:top w:val="nil"/>
            </w:tcBorders>
          </w:tcPr>
          <w:p w14:paraId="53507C28"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51B7F30E"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shd w:val="clear" w:color="auto" w:fill="auto"/>
          </w:tcPr>
          <w:p w14:paraId="18F448D7" w14:textId="77777777"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p>
        </w:tc>
        <w:tc>
          <w:tcPr>
            <w:tcW w:w="1134" w:type="dxa"/>
            <w:tcBorders>
              <w:top w:val="nil"/>
              <w:left w:val="single" w:sz="4" w:space="0" w:color="auto"/>
              <w:right w:val="single" w:sz="4" w:space="0" w:color="auto"/>
            </w:tcBorders>
            <w:shd w:val="clear" w:color="auto" w:fill="auto"/>
          </w:tcPr>
          <w:p w14:paraId="6E9B1108" w14:textId="77777777" w:rsidR="00DD3F83" w:rsidRPr="00E301C1" w:rsidRDefault="00DD3F83" w:rsidP="00DD3F83">
            <w:pPr>
              <w:autoSpaceDE w:val="0"/>
              <w:autoSpaceDN w:val="0"/>
              <w:adjustRightInd w:val="0"/>
              <w:ind w:left="-226"/>
              <w:jc w:val="right"/>
              <w:rPr>
                <w:rFonts w:asciiTheme="minorHAnsi" w:hAnsiTheme="minorHAnsi" w:cstheme="minorHAnsi"/>
                <w:bCs/>
                <w:color w:val="000000"/>
                <w:sz w:val="22"/>
                <w:szCs w:val="22"/>
              </w:rPr>
            </w:pPr>
          </w:p>
        </w:tc>
      </w:tr>
      <w:tr w:rsidR="00DD3F83" w:rsidRPr="0067660B" w14:paraId="771ECC3D" w14:textId="77777777" w:rsidTr="00282291">
        <w:trPr>
          <w:trHeight w:val="223"/>
        </w:trPr>
        <w:tc>
          <w:tcPr>
            <w:tcW w:w="6096" w:type="dxa"/>
            <w:gridSpan w:val="2"/>
            <w:tcBorders>
              <w:top w:val="nil"/>
              <w:left w:val="nil"/>
              <w:bottom w:val="nil"/>
            </w:tcBorders>
          </w:tcPr>
          <w:p w14:paraId="0ADCDD95" w14:textId="2C2B4CF9" w:rsidR="00DD3F83" w:rsidRPr="00B86918" w:rsidRDefault="00DD3F83" w:rsidP="00DD3F83">
            <w:pPr>
              <w:autoSpaceDE w:val="0"/>
              <w:autoSpaceDN w:val="0"/>
              <w:adjustRightInd w:val="0"/>
              <w:rPr>
                <w:rFonts w:asciiTheme="minorHAnsi" w:hAnsiTheme="minorHAnsi" w:cstheme="minorHAnsi"/>
                <w:b/>
                <w:bCs/>
                <w:color w:val="000000"/>
                <w:sz w:val="22"/>
                <w:szCs w:val="22"/>
              </w:rPr>
            </w:pPr>
            <w:r w:rsidRPr="00B86918">
              <w:rPr>
                <w:rFonts w:asciiTheme="minorHAnsi" w:hAnsiTheme="minorHAnsi" w:cstheme="minorHAnsi"/>
                <w:b/>
                <w:bCs/>
                <w:color w:val="000000"/>
                <w:sz w:val="22"/>
                <w:szCs w:val="22"/>
              </w:rPr>
              <w:t>Other</w:t>
            </w:r>
            <w:r w:rsidR="00A3268A">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income</w:t>
            </w:r>
          </w:p>
        </w:tc>
        <w:tc>
          <w:tcPr>
            <w:tcW w:w="708" w:type="dxa"/>
            <w:tcBorders>
              <w:top w:val="nil"/>
            </w:tcBorders>
          </w:tcPr>
          <w:p w14:paraId="562D5E9D"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2593A3CC"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shd w:val="clear" w:color="auto" w:fill="auto"/>
          </w:tcPr>
          <w:p w14:paraId="2BFF9F21" w14:textId="77777777"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p>
        </w:tc>
        <w:tc>
          <w:tcPr>
            <w:tcW w:w="1134" w:type="dxa"/>
            <w:tcBorders>
              <w:top w:val="nil"/>
              <w:left w:val="single" w:sz="4" w:space="0" w:color="auto"/>
              <w:right w:val="single" w:sz="4" w:space="0" w:color="auto"/>
            </w:tcBorders>
            <w:shd w:val="clear" w:color="auto" w:fill="auto"/>
          </w:tcPr>
          <w:p w14:paraId="08887C8C" w14:textId="77777777" w:rsidR="00DD3F83" w:rsidRPr="00E301C1" w:rsidRDefault="00DD3F83" w:rsidP="00DD3F83">
            <w:pPr>
              <w:autoSpaceDE w:val="0"/>
              <w:autoSpaceDN w:val="0"/>
              <w:adjustRightInd w:val="0"/>
              <w:ind w:left="-226"/>
              <w:jc w:val="right"/>
              <w:rPr>
                <w:rFonts w:asciiTheme="minorHAnsi" w:hAnsiTheme="minorHAnsi" w:cstheme="minorHAnsi"/>
                <w:bCs/>
                <w:color w:val="000000"/>
                <w:sz w:val="22"/>
                <w:szCs w:val="22"/>
              </w:rPr>
            </w:pPr>
          </w:p>
        </w:tc>
      </w:tr>
      <w:tr w:rsidR="00DD3F83" w:rsidRPr="0067660B" w14:paraId="6612ADAC" w14:textId="77777777" w:rsidTr="00282291">
        <w:trPr>
          <w:trHeight w:val="223"/>
        </w:trPr>
        <w:tc>
          <w:tcPr>
            <w:tcW w:w="258" w:type="dxa"/>
            <w:tcBorders>
              <w:top w:val="nil"/>
              <w:left w:val="nil"/>
              <w:bottom w:val="nil"/>
              <w:right w:val="nil"/>
            </w:tcBorders>
          </w:tcPr>
          <w:p w14:paraId="738E4801"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346D3457" w14:textId="77777777" w:rsidR="00DD3F83" w:rsidRDefault="00DD3F83" w:rsidP="00DD3F83">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Net f</w:t>
            </w:r>
            <w:r w:rsidRPr="0067660B">
              <w:rPr>
                <w:rFonts w:asciiTheme="minorHAnsi" w:hAnsiTheme="minorHAnsi" w:cstheme="minorHAnsi"/>
                <w:color w:val="000000"/>
                <w:sz w:val="22"/>
                <w:szCs w:val="22"/>
              </w:rPr>
              <w:t>inance expense</w:t>
            </w:r>
          </w:p>
          <w:p w14:paraId="5C7DCFAF"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Share of associate losses                                                         </w:t>
            </w:r>
          </w:p>
        </w:tc>
        <w:tc>
          <w:tcPr>
            <w:tcW w:w="708" w:type="dxa"/>
            <w:tcBorders>
              <w:top w:val="nil"/>
            </w:tcBorders>
          </w:tcPr>
          <w:p w14:paraId="619563DC" w14:textId="77777777" w:rsidR="00DD3F83" w:rsidRDefault="00DD3F83" w:rsidP="00DD3F83">
            <w:pPr>
              <w:autoSpaceDE w:val="0"/>
              <w:autoSpaceDN w:val="0"/>
              <w:adjustRightInd w:val="0"/>
              <w:jc w:val="right"/>
              <w:rPr>
                <w:rFonts w:asciiTheme="minorHAnsi" w:hAnsiTheme="minorHAnsi" w:cstheme="minorHAnsi"/>
                <w:bCs/>
                <w:color w:val="000000"/>
                <w:sz w:val="22"/>
                <w:szCs w:val="22"/>
              </w:rPr>
            </w:pPr>
          </w:p>
          <w:p w14:paraId="3B24CF5B" w14:textId="39EEC0F4" w:rsidR="00DD3F83" w:rsidRPr="008F0032" w:rsidRDefault="00DD3F83" w:rsidP="00DD3F83">
            <w:pPr>
              <w:autoSpaceDE w:val="0"/>
              <w:autoSpaceDN w:val="0"/>
              <w:adjustRightInd w:val="0"/>
              <w:jc w:val="right"/>
              <w:rPr>
                <w:rFonts w:asciiTheme="minorHAnsi" w:hAnsiTheme="minorHAnsi" w:cstheme="minorHAnsi"/>
                <w:b/>
                <w:bCs/>
                <w:color w:val="000000"/>
                <w:sz w:val="22"/>
                <w:szCs w:val="22"/>
              </w:rPr>
            </w:pPr>
          </w:p>
        </w:tc>
        <w:tc>
          <w:tcPr>
            <w:tcW w:w="1276" w:type="dxa"/>
            <w:tcBorders>
              <w:top w:val="nil"/>
              <w:right w:val="single" w:sz="4" w:space="0" w:color="auto"/>
            </w:tcBorders>
          </w:tcPr>
          <w:p w14:paraId="0E33A722" w14:textId="24F96A4E" w:rsidR="00DD3F83" w:rsidRDefault="00204448"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r w:rsidR="009A786A">
              <w:rPr>
                <w:rFonts w:ascii="Calibri" w:hAnsi="Calibri" w:cs="Calibri"/>
                <w:bCs/>
                <w:color w:val="000000"/>
                <w:sz w:val="22"/>
                <w:szCs w:val="22"/>
              </w:rPr>
              <w:t>1</w:t>
            </w:r>
            <w:r>
              <w:rPr>
                <w:rFonts w:ascii="Calibri" w:hAnsi="Calibri" w:cs="Calibri"/>
                <w:bCs/>
                <w:color w:val="000000"/>
                <w:sz w:val="22"/>
                <w:szCs w:val="22"/>
              </w:rPr>
              <w:t>6</w:t>
            </w:r>
            <w:r w:rsidR="00DD3F83">
              <w:rPr>
                <w:rFonts w:ascii="Calibri" w:hAnsi="Calibri" w:cs="Calibri"/>
                <w:bCs/>
                <w:color w:val="000000"/>
                <w:sz w:val="22"/>
                <w:szCs w:val="22"/>
              </w:rPr>
              <w:t>%</w:t>
            </w:r>
          </w:p>
          <w:p w14:paraId="6E9F8B5B" w14:textId="26A20036" w:rsidR="00DD3F83" w:rsidRPr="00DB22BA" w:rsidRDefault="00204448"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+100%</w:t>
            </w:r>
          </w:p>
        </w:tc>
        <w:tc>
          <w:tcPr>
            <w:tcW w:w="1276" w:type="dxa"/>
            <w:tcBorders>
              <w:top w:val="nil"/>
              <w:right w:val="single" w:sz="4" w:space="0" w:color="auto"/>
            </w:tcBorders>
            <w:shd w:val="clear" w:color="auto" w:fill="auto"/>
          </w:tcPr>
          <w:p w14:paraId="79B21140" w14:textId="110ED04D" w:rsidR="00DD3F83" w:rsidRDefault="00DD3F83"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00246E11">
              <w:rPr>
                <w:rFonts w:asciiTheme="minorHAnsi" w:hAnsiTheme="minorHAnsi" w:cstheme="minorHAnsi"/>
                <w:b/>
                <w:bCs/>
                <w:color w:val="000000"/>
                <w:sz w:val="22"/>
                <w:szCs w:val="22"/>
              </w:rPr>
              <w:t>38.0</w:t>
            </w:r>
            <w:r>
              <w:rPr>
                <w:rFonts w:asciiTheme="minorHAnsi" w:hAnsiTheme="minorHAnsi" w:cstheme="minorHAnsi"/>
                <w:b/>
                <w:bCs/>
                <w:color w:val="000000"/>
                <w:sz w:val="22"/>
                <w:szCs w:val="22"/>
              </w:rPr>
              <w:t>)</w:t>
            </w:r>
          </w:p>
          <w:p w14:paraId="3F4CB35E" w14:textId="77777777"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p>
        </w:tc>
        <w:tc>
          <w:tcPr>
            <w:tcW w:w="1134" w:type="dxa"/>
            <w:tcBorders>
              <w:top w:val="nil"/>
              <w:left w:val="single" w:sz="4" w:space="0" w:color="auto"/>
              <w:right w:val="single" w:sz="4" w:space="0" w:color="auto"/>
            </w:tcBorders>
            <w:shd w:val="clear" w:color="auto" w:fill="auto"/>
          </w:tcPr>
          <w:p w14:paraId="7C8A055F" w14:textId="66BE33FF" w:rsidR="00DD3F83" w:rsidRDefault="00DD3F83"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r w:rsidR="00246E11">
              <w:rPr>
                <w:rFonts w:ascii="Calibri" w:hAnsi="Calibri" w:cs="Calibri"/>
                <w:bCs/>
                <w:color w:val="000000"/>
                <w:sz w:val="22"/>
                <w:szCs w:val="22"/>
              </w:rPr>
              <w:t>45.3</w:t>
            </w:r>
            <w:r>
              <w:rPr>
                <w:rFonts w:ascii="Calibri" w:hAnsi="Calibri" w:cs="Calibri"/>
                <w:bCs/>
                <w:color w:val="000000"/>
                <w:sz w:val="22"/>
                <w:szCs w:val="22"/>
              </w:rPr>
              <w:t>)</w:t>
            </w:r>
          </w:p>
          <w:p w14:paraId="55FD00C0" w14:textId="6B9F235D" w:rsidR="00DD3F83" w:rsidRPr="00FA44C2" w:rsidRDefault="00DD3F83" w:rsidP="00DD3F83">
            <w:pPr>
              <w:widowControl w:val="0"/>
              <w:autoSpaceDE w:val="0"/>
              <w:autoSpaceDN w:val="0"/>
              <w:adjustRightInd w:val="0"/>
              <w:jc w:val="right"/>
              <w:rPr>
                <w:rFonts w:ascii="Calibri" w:hAnsi="Calibri" w:cs="Calibri"/>
                <w:bCs/>
                <w:color w:val="000000"/>
                <w:sz w:val="22"/>
                <w:szCs w:val="22"/>
              </w:rPr>
            </w:pPr>
            <w:r w:rsidRPr="00FA44C2">
              <w:rPr>
                <w:rFonts w:asciiTheme="minorHAnsi" w:hAnsiTheme="minorHAnsi" w:cstheme="minorHAnsi"/>
                <w:bCs/>
                <w:color w:val="000000"/>
                <w:sz w:val="22"/>
                <w:szCs w:val="22"/>
              </w:rPr>
              <w:t>(9.</w:t>
            </w:r>
            <w:r>
              <w:rPr>
                <w:rFonts w:asciiTheme="minorHAnsi" w:hAnsiTheme="minorHAnsi" w:cstheme="minorHAnsi"/>
                <w:bCs/>
                <w:color w:val="000000"/>
                <w:sz w:val="22"/>
                <w:szCs w:val="22"/>
              </w:rPr>
              <w:t>8</w:t>
            </w:r>
            <w:r w:rsidRPr="00FA44C2">
              <w:rPr>
                <w:rFonts w:asciiTheme="minorHAnsi" w:hAnsiTheme="minorHAnsi" w:cstheme="minorHAnsi"/>
                <w:bCs/>
                <w:color w:val="000000"/>
                <w:sz w:val="22"/>
                <w:szCs w:val="22"/>
              </w:rPr>
              <w:t>)</w:t>
            </w:r>
          </w:p>
        </w:tc>
      </w:tr>
      <w:tr w:rsidR="00DD3F83" w:rsidRPr="0067660B" w14:paraId="195AB2DC" w14:textId="77777777" w:rsidTr="00282291">
        <w:trPr>
          <w:trHeight w:val="223"/>
        </w:trPr>
        <w:tc>
          <w:tcPr>
            <w:tcW w:w="258" w:type="dxa"/>
            <w:tcBorders>
              <w:top w:val="nil"/>
              <w:left w:val="nil"/>
              <w:bottom w:val="nil"/>
              <w:right w:val="nil"/>
            </w:tcBorders>
          </w:tcPr>
          <w:p w14:paraId="759D9D36"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3AA518E1" w14:textId="54E18A54" w:rsidR="00DD3F83" w:rsidRPr="0067660B" w:rsidRDefault="00DD3F83" w:rsidP="00DD3F83">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Foreign exchange </w:t>
            </w:r>
            <w:r w:rsidR="00A3268A">
              <w:rPr>
                <w:rFonts w:asciiTheme="minorHAnsi" w:hAnsiTheme="minorHAnsi" w:cstheme="minorHAnsi"/>
                <w:color w:val="000000"/>
                <w:sz w:val="22"/>
                <w:szCs w:val="22"/>
              </w:rPr>
              <w:t>(loss)</w:t>
            </w:r>
          </w:p>
        </w:tc>
        <w:tc>
          <w:tcPr>
            <w:tcW w:w="708" w:type="dxa"/>
            <w:tcBorders>
              <w:top w:val="nil"/>
            </w:tcBorders>
          </w:tcPr>
          <w:p w14:paraId="6AB837BE"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right w:val="single" w:sz="4" w:space="0" w:color="auto"/>
            </w:tcBorders>
          </w:tcPr>
          <w:p w14:paraId="383F6338" w14:textId="39B8A9DD" w:rsidR="00DD3F83" w:rsidRPr="00DB22BA" w:rsidRDefault="00204448"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+60%</w:t>
            </w:r>
          </w:p>
        </w:tc>
        <w:tc>
          <w:tcPr>
            <w:tcW w:w="1276" w:type="dxa"/>
            <w:tcBorders>
              <w:top w:val="nil"/>
              <w:bottom w:val="single" w:sz="4" w:space="0" w:color="auto"/>
              <w:right w:val="single" w:sz="4" w:space="0" w:color="auto"/>
            </w:tcBorders>
            <w:shd w:val="clear" w:color="auto" w:fill="auto"/>
          </w:tcPr>
          <w:p w14:paraId="72CE2419" w14:textId="5AFE2C9E"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00246E11">
              <w:rPr>
                <w:rFonts w:asciiTheme="minorHAnsi" w:hAnsiTheme="minorHAnsi" w:cstheme="minorHAnsi"/>
                <w:b/>
                <w:bCs/>
                <w:color w:val="000000"/>
                <w:sz w:val="22"/>
                <w:szCs w:val="22"/>
              </w:rPr>
              <w:t>0.6</w:t>
            </w:r>
            <w:r>
              <w:rPr>
                <w:rFonts w:asciiTheme="minorHAnsi" w:hAnsiTheme="minorHAnsi" w:cstheme="minorHAnsi"/>
                <w:b/>
                <w:bCs/>
                <w:color w:val="000000"/>
                <w:sz w:val="22"/>
                <w:szCs w:val="22"/>
              </w:rPr>
              <w:t>)</w:t>
            </w:r>
          </w:p>
        </w:tc>
        <w:tc>
          <w:tcPr>
            <w:tcW w:w="1134" w:type="dxa"/>
            <w:tcBorders>
              <w:top w:val="nil"/>
              <w:left w:val="single" w:sz="4" w:space="0" w:color="auto"/>
              <w:bottom w:val="single" w:sz="4" w:space="0" w:color="auto"/>
              <w:right w:val="single" w:sz="4" w:space="0" w:color="auto"/>
            </w:tcBorders>
            <w:shd w:val="clear" w:color="auto" w:fill="auto"/>
          </w:tcPr>
          <w:p w14:paraId="694BBB3B" w14:textId="60646F43" w:rsidR="00DD3F83" w:rsidRDefault="009A786A" w:rsidP="00DD3F8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r w:rsidR="00246E11">
              <w:rPr>
                <w:rFonts w:ascii="Calibri" w:hAnsi="Calibri" w:cs="Calibri"/>
                <w:bCs/>
                <w:color w:val="000000"/>
                <w:sz w:val="22"/>
                <w:szCs w:val="22"/>
              </w:rPr>
              <w:t>1.5</w:t>
            </w:r>
            <w:r>
              <w:rPr>
                <w:rFonts w:ascii="Calibri" w:hAnsi="Calibri" w:cs="Calibri"/>
                <w:bCs/>
                <w:color w:val="000000"/>
                <w:sz w:val="22"/>
                <w:szCs w:val="22"/>
              </w:rPr>
              <w:t>)</w:t>
            </w:r>
          </w:p>
        </w:tc>
      </w:tr>
      <w:tr w:rsidR="00DD3F83" w:rsidRPr="0067660B" w14:paraId="105DB58A" w14:textId="77777777" w:rsidTr="00282291">
        <w:trPr>
          <w:trHeight w:val="223"/>
        </w:trPr>
        <w:tc>
          <w:tcPr>
            <w:tcW w:w="6096" w:type="dxa"/>
            <w:gridSpan w:val="2"/>
            <w:tcBorders>
              <w:top w:val="nil"/>
              <w:left w:val="nil"/>
              <w:bottom w:val="nil"/>
            </w:tcBorders>
          </w:tcPr>
          <w:p w14:paraId="478C4F07" w14:textId="5FCFF6D0" w:rsidR="00DD3F83" w:rsidRPr="00B86918" w:rsidRDefault="00DD3F83" w:rsidP="00DD3F83">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color w:val="000000"/>
                <w:sz w:val="22"/>
                <w:szCs w:val="22"/>
              </w:rPr>
              <w:t>Total other (expense)</w:t>
            </w:r>
          </w:p>
        </w:tc>
        <w:tc>
          <w:tcPr>
            <w:tcW w:w="708" w:type="dxa"/>
            <w:tcBorders>
              <w:top w:val="nil"/>
            </w:tcBorders>
          </w:tcPr>
          <w:p w14:paraId="6CC0A6B8"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right w:val="single" w:sz="4" w:space="0" w:color="auto"/>
            </w:tcBorders>
          </w:tcPr>
          <w:p w14:paraId="35C8BF41" w14:textId="37E93C28" w:rsidR="00DD3F83" w:rsidRPr="0067660B" w:rsidRDefault="00204448" w:rsidP="00DD3F83">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047B4E">
              <w:rPr>
                <w:rFonts w:asciiTheme="minorHAnsi" w:hAnsiTheme="minorHAnsi" w:cstheme="minorHAnsi"/>
                <w:bCs/>
                <w:color w:val="000000"/>
                <w:sz w:val="22"/>
                <w:szCs w:val="22"/>
              </w:rPr>
              <w:t>3</w:t>
            </w:r>
            <w:r>
              <w:rPr>
                <w:rFonts w:asciiTheme="minorHAnsi" w:hAnsiTheme="minorHAnsi" w:cstheme="minorHAnsi"/>
                <w:bCs/>
                <w:color w:val="000000"/>
                <w:sz w:val="22"/>
                <w:szCs w:val="22"/>
              </w:rPr>
              <w:t>2</w:t>
            </w:r>
            <w:r w:rsidR="00DD3F83">
              <w:rPr>
                <w:rFonts w:asciiTheme="minorHAnsi" w:hAnsiTheme="minorHAnsi" w:cstheme="minorHAnsi"/>
                <w:bCs/>
                <w:color w:val="000000"/>
                <w:sz w:val="22"/>
                <w:szCs w:val="22"/>
              </w:rPr>
              <w:t>%</w:t>
            </w:r>
          </w:p>
        </w:tc>
        <w:tc>
          <w:tcPr>
            <w:tcW w:w="1276" w:type="dxa"/>
            <w:tcBorders>
              <w:top w:val="single" w:sz="4" w:space="0" w:color="auto"/>
              <w:bottom w:val="single" w:sz="4" w:space="0" w:color="auto"/>
              <w:right w:val="single" w:sz="4" w:space="0" w:color="auto"/>
            </w:tcBorders>
            <w:shd w:val="clear" w:color="auto" w:fill="auto"/>
          </w:tcPr>
          <w:p w14:paraId="715DF55B" w14:textId="772ABF7E"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00246E11">
              <w:rPr>
                <w:rFonts w:asciiTheme="minorHAnsi" w:hAnsiTheme="minorHAnsi" w:cstheme="minorHAnsi"/>
                <w:b/>
                <w:bCs/>
                <w:color w:val="000000"/>
                <w:sz w:val="22"/>
                <w:szCs w:val="22"/>
              </w:rPr>
              <w:t>38.6</w:t>
            </w:r>
            <w:r>
              <w:rPr>
                <w:rFonts w:asciiTheme="minorHAnsi" w:hAnsiTheme="minorHAnsi" w:cstheme="minorHAnsi"/>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9A8E9B" w14:textId="35D11F9F" w:rsidR="00DD3F83" w:rsidRPr="00E301C1" w:rsidRDefault="00DD3F83" w:rsidP="00DD3F83">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246E11">
              <w:rPr>
                <w:rFonts w:asciiTheme="minorHAnsi" w:hAnsiTheme="minorHAnsi" w:cstheme="minorHAnsi"/>
                <w:bCs/>
                <w:color w:val="000000"/>
                <w:sz w:val="22"/>
                <w:szCs w:val="22"/>
              </w:rPr>
              <w:t>56.6</w:t>
            </w:r>
            <w:r>
              <w:rPr>
                <w:rFonts w:asciiTheme="minorHAnsi" w:hAnsiTheme="minorHAnsi" w:cstheme="minorHAnsi"/>
                <w:bCs/>
                <w:color w:val="000000"/>
                <w:sz w:val="22"/>
                <w:szCs w:val="22"/>
              </w:rPr>
              <w:t>)</w:t>
            </w:r>
          </w:p>
        </w:tc>
      </w:tr>
      <w:tr w:rsidR="00DD3F83" w:rsidRPr="0067660B" w14:paraId="0EDFCB37" w14:textId="77777777" w:rsidTr="00282291">
        <w:trPr>
          <w:trHeight w:val="223"/>
        </w:trPr>
        <w:tc>
          <w:tcPr>
            <w:tcW w:w="258" w:type="dxa"/>
            <w:tcBorders>
              <w:top w:val="nil"/>
              <w:left w:val="nil"/>
              <w:bottom w:val="nil"/>
              <w:right w:val="nil"/>
            </w:tcBorders>
          </w:tcPr>
          <w:p w14:paraId="760A31D1"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00261218"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p>
        </w:tc>
        <w:tc>
          <w:tcPr>
            <w:tcW w:w="708" w:type="dxa"/>
            <w:tcBorders>
              <w:top w:val="nil"/>
            </w:tcBorders>
          </w:tcPr>
          <w:p w14:paraId="4F90DD3D"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right w:val="single" w:sz="4" w:space="0" w:color="auto"/>
            </w:tcBorders>
          </w:tcPr>
          <w:p w14:paraId="038441AF"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right w:val="single" w:sz="4" w:space="0" w:color="auto"/>
            </w:tcBorders>
            <w:shd w:val="clear" w:color="auto" w:fill="auto"/>
          </w:tcPr>
          <w:p w14:paraId="03D8943F" w14:textId="77777777"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p>
        </w:tc>
        <w:tc>
          <w:tcPr>
            <w:tcW w:w="1134" w:type="dxa"/>
            <w:tcBorders>
              <w:top w:val="single" w:sz="4" w:space="0" w:color="auto"/>
              <w:left w:val="single" w:sz="4" w:space="0" w:color="auto"/>
              <w:right w:val="single" w:sz="4" w:space="0" w:color="auto"/>
            </w:tcBorders>
            <w:shd w:val="clear" w:color="auto" w:fill="auto"/>
          </w:tcPr>
          <w:p w14:paraId="26BBD4CF" w14:textId="77777777" w:rsidR="00DD3F83" w:rsidRPr="00E301C1" w:rsidRDefault="00DD3F83" w:rsidP="00DD3F83">
            <w:pPr>
              <w:autoSpaceDE w:val="0"/>
              <w:autoSpaceDN w:val="0"/>
              <w:adjustRightInd w:val="0"/>
              <w:ind w:left="-226"/>
              <w:jc w:val="right"/>
              <w:rPr>
                <w:rFonts w:asciiTheme="minorHAnsi" w:hAnsiTheme="minorHAnsi" w:cstheme="minorHAnsi"/>
                <w:bCs/>
                <w:color w:val="000000"/>
                <w:sz w:val="22"/>
                <w:szCs w:val="22"/>
              </w:rPr>
            </w:pPr>
          </w:p>
        </w:tc>
      </w:tr>
      <w:tr w:rsidR="00DD3F83" w:rsidRPr="0067660B" w14:paraId="1093A31C" w14:textId="77777777" w:rsidTr="00282291">
        <w:trPr>
          <w:trHeight w:val="223"/>
        </w:trPr>
        <w:tc>
          <w:tcPr>
            <w:tcW w:w="6096" w:type="dxa"/>
            <w:gridSpan w:val="2"/>
            <w:tcBorders>
              <w:top w:val="nil"/>
              <w:left w:val="nil"/>
              <w:bottom w:val="nil"/>
            </w:tcBorders>
          </w:tcPr>
          <w:p w14:paraId="3A83B16E" w14:textId="77777777" w:rsidR="00DD3F83" w:rsidRPr="00B86918" w:rsidRDefault="00DD3F83" w:rsidP="00DD3F83">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color w:val="000000"/>
                <w:sz w:val="22"/>
                <w:szCs w:val="22"/>
              </w:rPr>
              <w:lastRenderedPageBreak/>
              <w:t>Profit before tax</w:t>
            </w:r>
          </w:p>
        </w:tc>
        <w:tc>
          <w:tcPr>
            <w:tcW w:w="708" w:type="dxa"/>
            <w:tcBorders>
              <w:top w:val="nil"/>
            </w:tcBorders>
          </w:tcPr>
          <w:p w14:paraId="693AA87E"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right w:val="single" w:sz="4" w:space="0" w:color="auto"/>
            </w:tcBorders>
          </w:tcPr>
          <w:p w14:paraId="0A5EDA52" w14:textId="07AA41FF" w:rsidR="00DD3F83" w:rsidRPr="0067660B" w:rsidRDefault="00204448" w:rsidP="00DD3F83">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+14</w:t>
            </w:r>
            <w:r w:rsidR="00DD3F83">
              <w:rPr>
                <w:rFonts w:asciiTheme="minorHAnsi" w:hAnsiTheme="minorHAnsi" w:cstheme="minorHAnsi"/>
                <w:bCs/>
                <w:color w:val="000000"/>
                <w:sz w:val="22"/>
                <w:szCs w:val="22"/>
              </w:rPr>
              <w:t>%</w:t>
            </w:r>
          </w:p>
        </w:tc>
        <w:tc>
          <w:tcPr>
            <w:tcW w:w="1276" w:type="dxa"/>
            <w:tcBorders>
              <w:right w:val="single" w:sz="4" w:space="0" w:color="auto"/>
            </w:tcBorders>
            <w:shd w:val="clear" w:color="auto" w:fill="auto"/>
          </w:tcPr>
          <w:p w14:paraId="73EA2885" w14:textId="248BC72D"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246E11">
              <w:rPr>
                <w:rFonts w:asciiTheme="minorHAnsi" w:hAnsiTheme="minorHAnsi" w:cstheme="minorHAnsi"/>
                <w:b/>
                <w:bCs/>
                <w:color w:val="000000"/>
                <w:sz w:val="22"/>
                <w:szCs w:val="22"/>
              </w:rPr>
              <w:t>341.0</w:t>
            </w:r>
          </w:p>
        </w:tc>
        <w:tc>
          <w:tcPr>
            <w:tcW w:w="1134" w:type="dxa"/>
            <w:tcBorders>
              <w:left w:val="single" w:sz="4" w:space="0" w:color="auto"/>
              <w:right w:val="single" w:sz="4" w:space="0" w:color="auto"/>
            </w:tcBorders>
            <w:shd w:val="clear" w:color="auto" w:fill="auto"/>
          </w:tcPr>
          <w:p w14:paraId="79216103" w14:textId="1C2D1001" w:rsidR="00DD3F83" w:rsidRPr="0067660B" w:rsidRDefault="00DD3F83" w:rsidP="00DD3F83">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w:t>
            </w:r>
            <w:r w:rsidR="00246E11">
              <w:rPr>
                <w:rFonts w:asciiTheme="minorHAnsi" w:hAnsiTheme="minorHAnsi" w:cstheme="minorHAnsi"/>
                <w:bCs/>
                <w:color w:val="000000"/>
                <w:sz w:val="22"/>
                <w:szCs w:val="22"/>
              </w:rPr>
              <w:t>179.9</w:t>
            </w:r>
          </w:p>
        </w:tc>
      </w:tr>
      <w:tr w:rsidR="00DD3F83" w:rsidRPr="0067660B" w14:paraId="5242A63F" w14:textId="77777777" w:rsidTr="00282291">
        <w:trPr>
          <w:trHeight w:val="223"/>
        </w:trPr>
        <w:tc>
          <w:tcPr>
            <w:tcW w:w="258" w:type="dxa"/>
            <w:tcBorders>
              <w:top w:val="nil"/>
              <w:left w:val="nil"/>
              <w:bottom w:val="nil"/>
              <w:right w:val="nil"/>
            </w:tcBorders>
          </w:tcPr>
          <w:p w14:paraId="0AE515C2"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118069E1"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p>
        </w:tc>
        <w:tc>
          <w:tcPr>
            <w:tcW w:w="708" w:type="dxa"/>
            <w:tcBorders>
              <w:top w:val="nil"/>
            </w:tcBorders>
          </w:tcPr>
          <w:p w14:paraId="066A8B46"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right w:val="single" w:sz="4" w:space="0" w:color="auto"/>
            </w:tcBorders>
          </w:tcPr>
          <w:p w14:paraId="406DA830"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right w:val="single" w:sz="4" w:space="0" w:color="auto"/>
            </w:tcBorders>
            <w:shd w:val="clear" w:color="auto" w:fill="auto"/>
          </w:tcPr>
          <w:p w14:paraId="49DA1646" w14:textId="77777777"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p>
        </w:tc>
        <w:tc>
          <w:tcPr>
            <w:tcW w:w="1134" w:type="dxa"/>
            <w:tcBorders>
              <w:left w:val="single" w:sz="4" w:space="0" w:color="auto"/>
              <w:right w:val="single" w:sz="4" w:space="0" w:color="auto"/>
            </w:tcBorders>
            <w:shd w:val="clear" w:color="auto" w:fill="auto"/>
          </w:tcPr>
          <w:p w14:paraId="4E95574B" w14:textId="77777777" w:rsidR="00DD3F83" w:rsidRPr="0067660B" w:rsidRDefault="00DD3F83" w:rsidP="00DD3F83">
            <w:pPr>
              <w:autoSpaceDE w:val="0"/>
              <w:autoSpaceDN w:val="0"/>
              <w:adjustRightInd w:val="0"/>
              <w:ind w:left="-226"/>
              <w:jc w:val="right"/>
              <w:rPr>
                <w:rFonts w:asciiTheme="minorHAnsi" w:hAnsiTheme="minorHAnsi" w:cstheme="minorHAnsi"/>
                <w:bCs/>
                <w:color w:val="000000"/>
                <w:sz w:val="22"/>
                <w:szCs w:val="22"/>
              </w:rPr>
            </w:pPr>
          </w:p>
        </w:tc>
      </w:tr>
      <w:tr w:rsidR="00DD3F83" w:rsidRPr="0067660B" w14:paraId="6BB0D96F" w14:textId="77777777" w:rsidTr="00282291">
        <w:trPr>
          <w:trHeight w:val="223"/>
        </w:trPr>
        <w:tc>
          <w:tcPr>
            <w:tcW w:w="258" w:type="dxa"/>
            <w:tcBorders>
              <w:top w:val="nil"/>
              <w:left w:val="nil"/>
              <w:bottom w:val="nil"/>
              <w:right w:val="nil"/>
            </w:tcBorders>
          </w:tcPr>
          <w:p w14:paraId="61F09C19"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66A1436C" w14:textId="0336755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 xml:space="preserve">Tax </w:t>
            </w:r>
            <w:r>
              <w:rPr>
                <w:rFonts w:asciiTheme="minorHAnsi" w:hAnsiTheme="minorHAnsi" w:cstheme="minorHAnsi"/>
                <w:color w:val="000000"/>
                <w:sz w:val="22"/>
                <w:szCs w:val="22"/>
              </w:rPr>
              <w:t>(</w:t>
            </w:r>
            <w:r w:rsidRPr="0067660B">
              <w:rPr>
                <w:rFonts w:asciiTheme="minorHAnsi" w:hAnsiTheme="minorHAnsi" w:cstheme="minorHAnsi"/>
                <w:color w:val="000000"/>
                <w:sz w:val="22"/>
                <w:szCs w:val="22"/>
              </w:rPr>
              <w:t>expense</w:t>
            </w:r>
            <w:r>
              <w:rPr>
                <w:rFonts w:asciiTheme="minorHAnsi" w:hAnsiTheme="minorHAnsi" w:cstheme="minorHAnsi"/>
                <w:color w:val="000000"/>
                <w:sz w:val="22"/>
                <w:szCs w:val="22"/>
              </w:rPr>
              <w:t>)</w:t>
            </w:r>
            <w:r w:rsidRPr="0067660B">
              <w:rPr>
                <w:rFonts w:asciiTheme="minorHAnsi" w:hAnsiTheme="minorHAnsi" w:cstheme="minorHAnsi"/>
                <w:color w:val="000000"/>
                <w:sz w:val="22"/>
                <w:szCs w:val="22"/>
              </w:rPr>
              <w:t xml:space="preserve"> on profit</w:t>
            </w:r>
          </w:p>
        </w:tc>
        <w:tc>
          <w:tcPr>
            <w:tcW w:w="708" w:type="dxa"/>
            <w:tcBorders>
              <w:top w:val="nil"/>
            </w:tcBorders>
          </w:tcPr>
          <w:p w14:paraId="53A465FE" w14:textId="77777777" w:rsidR="00DD3F83" w:rsidRPr="000A6725" w:rsidRDefault="00DD3F83"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p>
        </w:tc>
        <w:tc>
          <w:tcPr>
            <w:tcW w:w="1276" w:type="dxa"/>
            <w:tcBorders>
              <w:right w:val="single" w:sz="4" w:space="0" w:color="auto"/>
            </w:tcBorders>
          </w:tcPr>
          <w:p w14:paraId="64E9A05B" w14:textId="41E1EA9A" w:rsidR="00DD3F83" w:rsidRPr="0067660B" w:rsidRDefault="00840128" w:rsidP="00DD3F83">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204448">
              <w:rPr>
                <w:rFonts w:asciiTheme="minorHAnsi" w:hAnsiTheme="minorHAnsi" w:cstheme="minorHAnsi"/>
                <w:bCs/>
                <w:color w:val="000000"/>
                <w:sz w:val="22"/>
                <w:szCs w:val="22"/>
              </w:rPr>
              <w:t>6</w:t>
            </w:r>
            <w:r w:rsidR="00047B4E">
              <w:rPr>
                <w:rFonts w:asciiTheme="minorHAnsi" w:hAnsiTheme="minorHAnsi" w:cstheme="minorHAnsi"/>
                <w:bCs/>
                <w:color w:val="000000"/>
                <w:sz w:val="22"/>
                <w:szCs w:val="22"/>
              </w:rPr>
              <w:t>%</w:t>
            </w:r>
          </w:p>
        </w:tc>
        <w:tc>
          <w:tcPr>
            <w:tcW w:w="1276" w:type="dxa"/>
            <w:tcBorders>
              <w:bottom w:val="single" w:sz="4" w:space="0" w:color="auto"/>
              <w:right w:val="single" w:sz="4" w:space="0" w:color="auto"/>
            </w:tcBorders>
            <w:shd w:val="clear" w:color="auto" w:fill="auto"/>
          </w:tcPr>
          <w:p w14:paraId="71B9B027" w14:textId="1ACFCC63"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r w:rsidRPr="0085042F">
              <w:rPr>
                <w:rFonts w:ascii="Calibri" w:hAnsi="Calibri" w:cs="Calibri"/>
                <w:b/>
                <w:bCs/>
                <w:color w:val="000000"/>
                <w:sz w:val="22"/>
                <w:szCs w:val="22"/>
              </w:rPr>
              <w:t>(</w:t>
            </w:r>
            <w:r>
              <w:rPr>
                <w:rFonts w:ascii="Calibri" w:hAnsi="Calibri" w:cs="Calibri"/>
                <w:b/>
                <w:bCs/>
                <w:color w:val="000000"/>
                <w:sz w:val="22"/>
                <w:szCs w:val="22"/>
              </w:rPr>
              <w:t>1</w:t>
            </w:r>
            <w:r w:rsidR="00246E11">
              <w:rPr>
                <w:rFonts w:ascii="Calibri" w:hAnsi="Calibri" w:cs="Calibri"/>
                <w:b/>
                <w:bCs/>
                <w:color w:val="000000"/>
                <w:sz w:val="22"/>
                <w:szCs w:val="22"/>
              </w:rPr>
              <w:t>00.6</w:t>
            </w:r>
            <w:r w:rsidRPr="0085042F">
              <w:rPr>
                <w:rFonts w:ascii="Calibri" w:hAnsi="Calibri" w:cs="Calibri"/>
                <w:b/>
                <w:bCs/>
                <w:color w:val="000000"/>
                <w:sz w:val="22"/>
                <w:szCs w:val="22"/>
              </w:rPr>
              <w:t>)</w:t>
            </w:r>
          </w:p>
        </w:tc>
        <w:tc>
          <w:tcPr>
            <w:tcW w:w="1134" w:type="dxa"/>
            <w:tcBorders>
              <w:left w:val="single" w:sz="4" w:space="0" w:color="auto"/>
              <w:bottom w:val="single" w:sz="4" w:space="0" w:color="auto"/>
              <w:right w:val="single" w:sz="4" w:space="0" w:color="auto"/>
            </w:tcBorders>
            <w:shd w:val="clear" w:color="auto" w:fill="auto"/>
          </w:tcPr>
          <w:p w14:paraId="7BA7B3FD" w14:textId="6A4E16F7" w:rsidR="00DD3F83" w:rsidRPr="0067660B" w:rsidRDefault="00246E11" w:rsidP="00DD3F83">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(95.3</w:t>
            </w:r>
            <w:r w:rsidR="00DD3F83" w:rsidRPr="00DB22BA">
              <w:rPr>
                <w:rFonts w:ascii="Calibri" w:hAnsi="Calibri" w:cs="Calibri"/>
                <w:bCs/>
                <w:color w:val="000000"/>
                <w:sz w:val="22"/>
                <w:szCs w:val="22"/>
              </w:rPr>
              <w:t>)</w:t>
            </w:r>
          </w:p>
        </w:tc>
      </w:tr>
      <w:tr w:rsidR="00DD3F83" w:rsidRPr="0067660B" w14:paraId="201E4E84" w14:textId="77777777" w:rsidTr="00282291">
        <w:trPr>
          <w:trHeight w:val="223"/>
        </w:trPr>
        <w:tc>
          <w:tcPr>
            <w:tcW w:w="258" w:type="dxa"/>
            <w:tcBorders>
              <w:top w:val="nil"/>
              <w:left w:val="nil"/>
              <w:bottom w:val="nil"/>
              <w:right w:val="nil"/>
            </w:tcBorders>
          </w:tcPr>
          <w:p w14:paraId="7A926025"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5C7F7023"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p>
        </w:tc>
        <w:tc>
          <w:tcPr>
            <w:tcW w:w="708" w:type="dxa"/>
            <w:tcBorders>
              <w:top w:val="nil"/>
            </w:tcBorders>
          </w:tcPr>
          <w:p w14:paraId="1FFDE2EE" w14:textId="77777777" w:rsidR="00DD3F83" w:rsidRPr="000A6725" w:rsidRDefault="00DD3F83" w:rsidP="00DD3F83">
            <w:pPr>
              <w:autoSpaceDE w:val="0"/>
              <w:autoSpaceDN w:val="0"/>
              <w:adjustRightInd w:val="0"/>
              <w:jc w:val="right"/>
              <w:rPr>
                <w:rFonts w:asciiTheme="minorHAnsi" w:hAnsiTheme="minorHAnsi" w:cstheme="minorHAnsi"/>
                <w:b/>
                <w:bCs/>
                <w:color w:val="000000"/>
                <w:sz w:val="22"/>
                <w:szCs w:val="22"/>
              </w:rPr>
            </w:pPr>
          </w:p>
        </w:tc>
        <w:tc>
          <w:tcPr>
            <w:tcW w:w="1276" w:type="dxa"/>
            <w:tcBorders>
              <w:top w:val="single" w:sz="4" w:space="0" w:color="auto"/>
              <w:right w:val="single" w:sz="4" w:space="0" w:color="auto"/>
            </w:tcBorders>
          </w:tcPr>
          <w:p w14:paraId="69F793BC"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single" w:sz="4" w:space="0" w:color="auto"/>
              <w:right w:val="single" w:sz="4" w:space="0" w:color="auto"/>
            </w:tcBorders>
            <w:shd w:val="clear" w:color="auto" w:fill="auto"/>
          </w:tcPr>
          <w:p w14:paraId="59EB73E1" w14:textId="77777777"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p>
        </w:tc>
        <w:tc>
          <w:tcPr>
            <w:tcW w:w="1134" w:type="dxa"/>
            <w:tcBorders>
              <w:top w:val="single" w:sz="4" w:space="0" w:color="auto"/>
              <w:left w:val="single" w:sz="4" w:space="0" w:color="auto"/>
              <w:right w:val="single" w:sz="4" w:space="0" w:color="auto"/>
            </w:tcBorders>
            <w:shd w:val="clear" w:color="auto" w:fill="auto"/>
          </w:tcPr>
          <w:p w14:paraId="38C95DC0" w14:textId="77777777" w:rsidR="00DD3F83" w:rsidRPr="0067660B" w:rsidRDefault="00DD3F83" w:rsidP="00DD3F83">
            <w:pPr>
              <w:autoSpaceDE w:val="0"/>
              <w:autoSpaceDN w:val="0"/>
              <w:adjustRightInd w:val="0"/>
              <w:ind w:left="-226"/>
              <w:jc w:val="right"/>
              <w:rPr>
                <w:rFonts w:asciiTheme="minorHAnsi" w:hAnsiTheme="minorHAnsi" w:cstheme="minorHAnsi"/>
                <w:bCs/>
                <w:color w:val="000000"/>
                <w:sz w:val="22"/>
                <w:szCs w:val="22"/>
              </w:rPr>
            </w:pPr>
          </w:p>
        </w:tc>
      </w:tr>
      <w:tr w:rsidR="00DD3F83" w:rsidRPr="0067660B" w14:paraId="5E03B93D" w14:textId="77777777" w:rsidTr="00282291">
        <w:trPr>
          <w:trHeight w:val="223"/>
        </w:trPr>
        <w:tc>
          <w:tcPr>
            <w:tcW w:w="6096" w:type="dxa"/>
            <w:gridSpan w:val="2"/>
            <w:tcBorders>
              <w:top w:val="nil"/>
              <w:left w:val="nil"/>
              <w:bottom w:val="nil"/>
            </w:tcBorders>
          </w:tcPr>
          <w:p w14:paraId="45B6E788" w14:textId="2E6F51B0" w:rsidR="00DD3F83" w:rsidRPr="00B86918" w:rsidRDefault="00DD3F83" w:rsidP="00DD3F83">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 xml:space="preserve">Profit for the </w:t>
            </w:r>
            <w:r w:rsidR="00A3268A">
              <w:rPr>
                <w:rFonts w:asciiTheme="minorHAnsi" w:hAnsiTheme="minorHAnsi" w:cstheme="minorHAnsi"/>
                <w:b/>
                <w:bCs/>
                <w:color w:val="000000"/>
                <w:sz w:val="22"/>
                <w:szCs w:val="22"/>
              </w:rPr>
              <w:t>nine months</w:t>
            </w:r>
            <w:r w:rsidRPr="00B86918">
              <w:rPr>
                <w:rFonts w:asciiTheme="minorHAnsi" w:hAnsiTheme="minorHAnsi" w:cstheme="minorHAnsi"/>
                <w:b/>
                <w:bCs/>
                <w:color w:val="000000"/>
                <w:sz w:val="22"/>
                <w:szCs w:val="22"/>
              </w:rPr>
              <w:t xml:space="preserve"> – attributable to equity holders of parent</w:t>
            </w:r>
          </w:p>
        </w:tc>
        <w:tc>
          <w:tcPr>
            <w:tcW w:w="708" w:type="dxa"/>
            <w:tcBorders>
              <w:top w:val="nil"/>
            </w:tcBorders>
          </w:tcPr>
          <w:p w14:paraId="14DD347C" w14:textId="77777777" w:rsidR="00DD3F83" w:rsidRPr="000A6725" w:rsidRDefault="00DD3F83" w:rsidP="00DD3F83">
            <w:pPr>
              <w:autoSpaceDE w:val="0"/>
              <w:autoSpaceDN w:val="0"/>
              <w:adjustRightInd w:val="0"/>
              <w:jc w:val="right"/>
              <w:rPr>
                <w:rFonts w:asciiTheme="minorHAnsi" w:hAnsiTheme="minorHAnsi" w:cstheme="minorHAnsi"/>
                <w:b/>
                <w:bCs/>
                <w:color w:val="000000"/>
                <w:sz w:val="22"/>
                <w:szCs w:val="22"/>
              </w:rPr>
            </w:pPr>
          </w:p>
        </w:tc>
        <w:tc>
          <w:tcPr>
            <w:tcW w:w="1276" w:type="dxa"/>
            <w:tcBorders>
              <w:right w:val="single" w:sz="4" w:space="0" w:color="auto"/>
            </w:tcBorders>
          </w:tcPr>
          <w:p w14:paraId="053337FE" w14:textId="7653C52D" w:rsidR="00DD3F83" w:rsidRPr="0067660B" w:rsidRDefault="00204448" w:rsidP="00DD3F83">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+14</w:t>
            </w:r>
            <w:r w:rsidR="00DD3F83">
              <w:rPr>
                <w:rFonts w:asciiTheme="minorHAnsi" w:hAnsiTheme="minorHAnsi" w:cstheme="minorHAnsi"/>
                <w:bCs/>
                <w:color w:val="000000"/>
                <w:sz w:val="22"/>
                <w:szCs w:val="22"/>
              </w:rPr>
              <w:t>%</w:t>
            </w:r>
          </w:p>
        </w:tc>
        <w:tc>
          <w:tcPr>
            <w:tcW w:w="1276" w:type="dxa"/>
            <w:tcBorders>
              <w:bottom w:val="double" w:sz="4" w:space="0" w:color="auto"/>
              <w:right w:val="single" w:sz="4" w:space="0" w:color="auto"/>
            </w:tcBorders>
            <w:shd w:val="clear" w:color="auto" w:fill="auto"/>
          </w:tcPr>
          <w:p w14:paraId="18F7AE91" w14:textId="36341AB1" w:rsidR="00DD3F83" w:rsidRPr="001B62F8" w:rsidRDefault="00DD3F83" w:rsidP="00DD3F83">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w:t>
            </w:r>
            <w:r w:rsidR="00246E11">
              <w:rPr>
                <w:rFonts w:ascii="Calibri" w:hAnsi="Calibri" w:cs="Calibri"/>
                <w:b/>
                <w:bCs/>
                <w:color w:val="000000"/>
                <w:sz w:val="22"/>
                <w:szCs w:val="22"/>
              </w:rPr>
              <w:t>240.4</w:t>
            </w:r>
          </w:p>
        </w:tc>
        <w:tc>
          <w:tcPr>
            <w:tcW w:w="1134" w:type="dxa"/>
            <w:tcBorders>
              <w:left w:val="single" w:sz="4" w:space="0" w:color="auto"/>
              <w:bottom w:val="double" w:sz="6" w:space="0" w:color="auto"/>
              <w:right w:val="single" w:sz="4" w:space="0" w:color="auto"/>
            </w:tcBorders>
            <w:shd w:val="clear" w:color="auto" w:fill="auto"/>
          </w:tcPr>
          <w:p w14:paraId="70F0B95B" w14:textId="4AF25112" w:rsidR="00DD3F83" w:rsidRPr="0067660B" w:rsidRDefault="00DD3F83" w:rsidP="00DD3F83">
            <w:pPr>
              <w:autoSpaceDE w:val="0"/>
              <w:autoSpaceDN w:val="0"/>
              <w:adjustRightInd w:val="0"/>
              <w:ind w:left="-226"/>
              <w:jc w:val="right"/>
              <w:rPr>
                <w:rFonts w:asciiTheme="minorHAnsi" w:hAnsiTheme="minorHAnsi" w:cstheme="minorHAnsi"/>
                <w:bCs/>
                <w:color w:val="000000"/>
                <w:sz w:val="22"/>
                <w:szCs w:val="22"/>
              </w:rPr>
            </w:pPr>
            <w:r>
              <w:rPr>
                <w:rFonts w:ascii="Calibri" w:hAnsi="Calibri" w:cs="Calibri"/>
                <w:bCs/>
                <w:color w:val="000000"/>
                <w:sz w:val="22"/>
                <w:szCs w:val="22"/>
              </w:rPr>
              <w:t>1,</w:t>
            </w:r>
            <w:r w:rsidR="00246E11">
              <w:rPr>
                <w:rFonts w:ascii="Calibri" w:hAnsi="Calibri" w:cs="Calibri"/>
                <w:bCs/>
                <w:color w:val="000000"/>
                <w:sz w:val="22"/>
                <w:szCs w:val="22"/>
              </w:rPr>
              <w:t>084.6</w:t>
            </w:r>
          </w:p>
        </w:tc>
      </w:tr>
      <w:tr w:rsidR="00DD3F83" w:rsidRPr="0067660B" w14:paraId="3438B1E5" w14:textId="77777777" w:rsidTr="00282291">
        <w:trPr>
          <w:trHeight w:val="223"/>
        </w:trPr>
        <w:tc>
          <w:tcPr>
            <w:tcW w:w="258" w:type="dxa"/>
            <w:tcBorders>
              <w:top w:val="nil"/>
              <w:left w:val="nil"/>
              <w:bottom w:val="nil"/>
              <w:right w:val="nil"/>
            </w:tcBorders>
          </w:tcPr>
          <w:p w14:paraId="4FE649A0"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5838" w:type="dxa"/>
            <w:tcBorders>
              <w:top w:val="nil"/>
              <w:left w:val="nil"/>
              <w:bottom w:val="nil"/>
            </w:tcBorders>
          </w:tcPr>
          <w:p w14:paraId="50A3719D"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p>
        </w:tc>
        <w:tc>
          <w:tcPr>
            <w:tcW w:w="708" w:type="dxa"/>
            <w:tcBorders>
              <w:top w:val="nil"/>
            </w:tcBorders>
          </w:tcPr>
          <w:p w14:paraId="294A82DB" w14:textId="77777777" w:rsidR="00DD3F83" w:rsidRPr="000A6725" w:rsidRDefault="00DD3F83" w:rsidP="00DD3F83">
            <w:pPr>
              <w:autoSpaceDE w:val="0"/>
              <w:autoSpaceDN w:val="0"/>
              <w:adjustRightInd w:val="0"/>
              <w:jc w:val="right"/>
              <w:rPr>
                <w:rFonts w:asciiTheme="minorHAnsi" w:hAnsiTheme="minorHAnsi" w:cstheme="minorHAnsi"/>
                <w:b/>
                <w:bCs/>
                <w:color w:val="000000"/>
                <w:sz w:val="22"/>
                <w:szCs w:val="22"/>
              </w:rPr>
            </w:pPr>
          </w:p>
        </w:tc>
        <w:tc>
          <w:tcPr>
            <w:tcW w:w="1276" w:type="dxa"/>
            <w:tcBorders>
              <w:top w:val="double" w:sz="6" w:space="0" w:color="auto"/>
              <w:right w:val="single" w:sz="4" w:space="0" w:color="auto"/>
            </w:tcBorders>
          </w:tcPr>
          <w:p w14:paraId="2A8AD7D6"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double" w:sz="4" w:space="0" w:color="auto"/>
              <w:right w:val="single" w:sz="4" w:space="0" w:color="auto"/>
            </w:tcBorders>
            <w:shd w:val="clear" w:color="auto" w:fill="auto"/>
          </w:tcPr>
          <w:p w14:paraId="2B870323" w14:textId="77777777" w:rsidR="00DD3F83" w:rsidRPr="00F7058D" w:rsidRDefault="00DD3F83" w:rsidP="00DD3F83">
            <w:pPr>
              <w:autoSpaceDE w:val="0"/>
              <w:autoSpaceDN w:val="0"/>
              <w:adjustRightInd w:val="0"/>
              <w:jc w:val="right"/>
              <w:rPr>
                <w:rFonts w:asciiTheme="minorHAnsi" w:hAnsiTheme="minorHAnsi" w:cstheme="minorHAnsi"/>
                <w:bCs/>
                <w:color w:val="000000"/>
                <w:sz w:val="22"/>
                <w:szCs w:val="22"/>
              </w:rPr>
            </w:pPr>
          </w:p>
        </w:tc>
        <w:tc>
          <w:tcPr>
            <w:tcW w:w="1134" w:type="dxa"/>
            <w:tcBorders>
              <w:top w:val="double" w:sz="6" w:space="0" w:color="auto"/>
              <w:left w:val="single" w:sz="4" w:space="0" w:color="auto"/>
              <w:right w:val="single" w:sz="4" w:space="0" w:color="auto"/>
            </w:tcBorders>
            <w:shd w:val="clear" w:color="auto" w:fill="auto"/>
          </w:tcPr>
          <w:p w14:paraId="759019BF" w14:textId="77777777" w:rsidR="00DD3F83" w:rsidRPr="0067660B" w:rsidRDefault="00DD3F83" w:rsidP="00DD3F83">
            <w:pPr>
              <w:autoSpaceDE w:val="0"/>
              <w:autoSpaceDN w:val="0"/>
              <w:adjustRightInd w:val="0"/>
              <w:ind w:left="-226"/>
              <w:jc w:val="right"/>
              <w:rPr>
                <w:rFonts w:asciiTheme="minorHAnsi" w:hAnsiTheme="minorHAnsi" w:cstheme="minorHAnsi"/>
                <w:bCs/>
                <w:color w:val="000000"/>
                <w:sz w:val="22"/>
                <w:szCs w:val="22"/>
              </w:rPr>
            </w:pPr>
          </w:p>
        </w:tc>
      </w:tr>
      <w:tr w:rsidR="00DD3F83" w:rsidRPr="0067660B" w14:paraId="16F3B475" w14:textId="77777777" w:rsidTr="00282291">
        <w:trPr>
          <w:trHeight w:val="223"/>
        </w:trPr>
        <w:tc>
          <w:tcPr>
            <w:tcW w:w="258" w:type="dxa"/>
            <w:tcBorders>
              <w:left w:val="nil"/>
              <w:bottom w:val="nil"/>
              <w:right w:val="nil"/>
            </w:tcBorders>
          </w:tcPr>
          <w:p w14:paraId="7E0D5B41" w14:textId="77777777" w:rsidR="00DD3F83" w:rsidRPr="0067660B" w:rsidRDefault="00DD3F83" w:rsidP="00DD3F83">
            <w:pPr>
              <w:autoSpaceDE w:val="0"/>
              <w:autoSpaceDN w:val="0"/>
              <w:adjustRightInd w:val="0"/>
              <w:rPr>
                <w:rFonts w:asciiTheme="minorHAnsi" w:hAnsiTheme="minorHAnsi" w:cstheme="minorHAnsi"/>
                <w:bCs/>
                <w:color w:val="000000"/>
                <w:sz w:val="22"/>
                <w:szCs w:val="22"/>
              </w:rPr>
            </w:pPr>
          </w:p>
        </w:tc>
        <w:tc>
          <w:tcPr>
            <w:tcW w:w="5838" w:type="dxa"/>
            <w:tcBorders>
              <w:left w:val="nil"/>
              <w:bottom w:val="nil"/>
            </w:tcBorders>
          </w:tcPr>
          <w:p w14:paraId="6172CE3D"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Earnings per ordinary share (€)</w:t>
            </w:r>
          </w:p>
        </w:tc>
        <w:tc>
          <w:tcPr>
            <w:tcW w:w="708" w:type="dxa"/>
            <w:tcBorders>
              <w:bottom w:val="nil"/>
            </w:tcBorders>
          </w:tcPr>
          <w:p w14:paraId="0C5EDD4B" w14:textId="77777777" w:rsidR="00DD3F83" w:rsidRPr="000A6725" w:rsidRDefault="00DD3F83" w:rsidP="00DD3F83">
            <w:pPr>
              <w:autoSpaceDE w:val="0"/>
              <w:autoSpaceDN w:val="0"/>
              <w:adjustRightInd w:val="0"/>
              <w:jc w:val="right"/>
              <w:rPr>
                <w:rFonts w:asciiTheme="minorHAnsi" w:hAnsiTheme="minorHAnsi" w:cstheme="minorHAnsi"/>
                <w:b/>
                <w:color w:val="000000"/>
                <w:sz w:val="22"/>
                <w:szCs w:val="22"/>
              </w:rPr>
            </w:pPr>
          </w:p>
        </w:tc>
        <w:tc>
          <w:tcPr>
            <w:tcW w:w="1276" w:type="dxa"/>
            <w:tcBorders>
              <w:bottom w:val="nil"/>
              <w:right w:val="single" w:sz="4" w:space="0" w:color="auto"/>
            </w:tcBorders>
          </w:tcPr>
          <w:p w14:paraId="2E5C45A3" w14:textId="77777777" w:rsidR="00DD3F83" w:rsidRPr="0067660B" w:rsidRDefault="00DD3F83" w:rsidP="00DD3F83">
            <w:pPr>
              <w:autoSpaceDE w:val="0"/>
              <w:autoSpaceDN w:val="0"/>
              <w:adjustRightInd w:val="0"/>
              <w:jc w:val="right"/>
              <w:rPr>
                <w:rFonts w:asciiTheme="minorHAnsi" w:hAnsiTheme="minorHAnsi" w:cstheme="minorHAnsi"/>
                <w:color w:val="000000"/>
                <w:sz w:val="22"/>
                <w:szCs w:val="22"/>
              </w:rPr>
            </w:pPr>
          </w:p>
        </w:tc>
        <w:tc>
          <w:tcPr>
            <w:tcW w:w="1276" w:type="dxa"/>
            <w:tcBorders>
              <w:bottom w:val="nil"/>
              <w:right w:val="single" w:sz="4" w:space="0" w:color="auto"/>
            </w:tcBorders>
            <w:shd w:val="clear" w:color="auto" w:fill="auto"/>
          </w:tcPr>
          <w:p w14:paraId="24E84B51" w14:textId="77777777" w:rsidR="00DD3F83" w:rsidRPr="00F7058D" w:rsidRDefault="00DD3F83" w:rsidP="00DD3F83">
            <w:pPr>
              <w:autoSpaceDE w:val="0"/>
              <w:autoSpaceDN w:val="0"/>
              <w:adjustRightInd w:val="0"/>
              <w:jc w:val="right"/>
              <w:rPr>
                <w:rFonts w:asciiTheme="minorHAnsi" w:hAnsiTheme="minorHAnsi" w:cstheme="minorHAnsi"/>
                <w:color w:val="000000"/>
                <w:sz w:val="22"/>
                <w:szCs w:val="22"/>
              </w:rPr>
            </w:pPr>
          </w:p>
        </w:tc>
        <w:tc>
          <w:tcPr>
            <w:tcW w:w="1134" w:type="dxa"/>
            <w:tcBorders>
              <w:left w:val="single" w:sz="4" w:space="0" w:color="auto"/>
              <w:bottom w:val="nil"/>
              <w:right w:val="single" w:sz="4" w:space="0" w:color="auto"/>
            </w:tcBorders>
            <w:shd w:val="clear" w:color="auto" w:fill="auto"/>
          </w:tcPr>
          <w:p w14:paraId="7E9E38BD" w14:textId="77777777" w:rsidR="00DD3F83" w:rsidRPr="0067660B" w:rsidRDefault="00DD3F83" w:rsidP="00DD3F83">
            <w:pPr>
              <w:autoSpaceDE w:val="0"/>
              <w:autoSpaceDN w:val="0"/>
              <w:adjustRightInd w:val="0"/>
              <w:ind w:left="-226"/>
              <w:jc w:val="right"/>
              <w:rPr>
                <w:rFonts w:asciiTheme="minorHAnsi" w:hAnsiTheme="minorHAnsi" w:cstheme="minorHAnsi"/>
                <w:color w:val="000000"/>
                <w:sz w:val="22"/>
                <w:szCs w:val="22"/>
              </w:rPr>
            </w:pPr>
          </w:p>
        </w:tc>
      </w:tr>
      <w:tr w:rsidR="00DD3F83" w:rsidRPr="0067660B" w14:paraId="44129AD9" w14:textId="77777777" w:rsidTr="00282291">
        <w:trPr>
          <w:trHeight w:val="223"/>
        </w:trPr>
        <w:tc>
          <w:tcPr>
            <w:tcW w:w="258" w:type="dxa"/>
            <w:tcBorders>
              <w:top w:val="nil"/>
              <w:left w:val="nil"/>
              <w:bottom w:val="nil"/>
              <w:right w:val="nil"/>
            </w:tcBorders>
          </w:tcPr>
          <w:p w14:paraId="1E5EA17B"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p>
        </w:tc>
        <w:tc>
          <w:tcPr>
            <w:tcW w:w="5838" w:type="dxa"/>
            <w:tcBorders>
              <w:top w:val="nil"/>
              <w:left w:val="nil"/>
              <w:bottom w:val="nil"/>
            </w:tcBorders>
          </w:tcPr>
          <w:p w14:paraId="2F65AF45"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Basic</w:t>
            </w:r>
          </w:p>
        </w:tc>
        <w:tc>
          <w:tcPr>
            <w:tcW w:w="708" w:type="dxa"/>
            <w:tcBorders>
              <w:top w:val="nil"/>
              <w:bottom w:val="nil"/>
            </w:tcBorders>
          </w:tcPr>
          <w:p w14:paraId="6B01BDC2" w14:textId="77777777" w:rsidR="00DD3F83" w:rsidRPr="000A6725" w:rsidRDefault="00DD3F83"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276" w:type="dxa"/>
            <w:tcBorders>
              <w:top w:val="nil"/>
              <w:bottom w:val="nil"/>
              <w:right w:val="single" w:sz="4" w:space="0" w:color="auto"/>
            </w:tcBorders>
          </w:tcPr>
          <w:p w14:paraId="3CD9B78F" w14:textId="132BB0F5" w:rsidR="00DD3F83" w:rsidRPr="0067660B" w:rsidRDefault="00047B4E" w:rsidP="00DD3F83">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204448">
              <w:rPr>
                <w:rFonts w:asciiTheme="minorHAnsi" w:hAnsiTheme="minorHAnsi" w:cstheme="minorHAnsi"/>
                <w:bCs/>
                <w:color w:val="000000"/>
                <w:sz w:val="22"/>
                <w:szCs w:val="22"/>
              </w:rPr>
              <w:t>17</w:t>
            </w:r>
            <w:r w:rsidR="00DD3F83">
              <w:rPr>
                <w:rFonts w:asciiTheme="minorHAnsi" w:hAnsiTheme="minorHAnsi" w:cstheme="minorHAnsi"/>
                <w:bCs/>
                <w:color w:val="000000"/>
                <w:sz w:val="22"/>
                <w:szCs w:val="22"/>
              </w:rPr>
              <w:t>%</w:t>
            </w:r>
          </w:p>
        </w:tc>
        <w:tc>
          <w:tcPr>
            <w:tcW w:w="1276" w:type="dxa"/>
            <w:tcBorders>
              <w:top w:val="nil"/>
              <w:bottom w:val="nil"/>
              <w:right w:val="single" w:sz="4" w:space="0" w:color="auto"/>
            </w:tcBorders>
            <w:shd w:val="clear" w:color="auto" w:fill="auto"/>
          </w:tcPr>
          <w:p w14:paraId="0763BB00" w14:textId="513C6DE0" w:rsidR="00DD3F83" w:rsidRPr="00F7058D" w:rsidRDefault="00DD3F83" w:rsidP="00DD3F83">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sz w:val="22"/>
                <w:szCs w:val="22"/>
              </w:rPr>
              <w:t>1</w:t>
            </w:r>
            <w:r w:rsidRPr="00542802">
              <w:rPr>
                <w:rFonts w:ascii="Calibri" w:hAnsi="Calibri" w:cs="Calibri"/>
                <w:b/>
                <w:bCs/>
                <w:sz w:val="22"/>
                <w:szCs w:val="22"/>
              </w:rPr>
              <w:t>.</w:t>
            </w:r>
            <w:r w:rsidR="00246E11">
              <w:rPr>
                <w:rFonts w:ascii="Calibri" w:hAnsi="Calibri" w:cs="Calibri"/>
                <w:b/>
                <w:bCs/>
                <w:sz w:val="22"/>
                <w:szCs w:val="22"/>
              </w:rPr>
              <w:t>1077</w:t>
            </w:r>
          </w:p>
        </w:tc>
        <w:tc>
          <w:tcPr>
            <w:tcW w:w="1134" w:type="dxa"/>
            <w:tcBorders>
              <w:top w:val="nil"/>
              <w:left w:val="single" w:sz="4" w:space="0" w:color="auto"/>
              <w:bottom w:val="nil"/>
              <w:right w:val="single" w:sz="4" w:space="0" w:color="auto"/>
            </w:tcBorders>
            <w:shd w:val="clear" w:color="auto" w:fill="auto"/>
          </w:tcPr>
          <w:p w14:paraId="18099E82" w14:textId="507EA7B6" w:rsidR="00DD3F83" w:rsidRPr="002F3369" w:rsidRDefault="00DD3F83" w:rsidP="00DD3F83">
            <w:pPr>
              <w:autoSpaceDE w:val="0"/>
              <w:autoSpaceDN w:val="0"/>
              <w:adjustRightInd w:val="0"/>
              <w:ind w:left="-226"/>
              <w:jc w:val="right"/>
              <w:rPr>
                <w:rFonts w:asciiTheme="minorHAnsi" w:hAnsiTheme="minorHAnsi" w:cstheme="minorHAnsi"/>
                <w:color w:val="000000"/>
                <w:sz w:val="22"/>
                <w:szCs w:val="22"/>
              </w:rPr>
            </w:pPr>
            <w:r w:rsidRPr="006C63B6">
              <w:rPr>
                <w:rFonts w:ascii="Calibri" w:hAnsi="Calibri" w:cs="Calibri"/>
                <w:sz w:val="22"/>
                <w:szCs w:val="22"/>
              </w:rPr>
              <w:t>0.</w:t>
            </w:r>
            <w:r w:rsidR="00246E11">
              <w:rPr>
                <w:rFonts w:ascii="Calibri" w:hAnsi="Calibri" w:cs="Calibri"/>
                <w:sz w:val="22"/>
                <w:szCs w:val="22"/>
              </w:rPr>
              <w:t>9457</w:t>
            </w:r>
          </w:p>
        </w:tc>
      </w:tr>
      <w:tr w:rsidR="00DD3F83" w:rsidRPr="0067660B" w14:paraId="645F4FF0" w14:textId="77777777" w:rsidTr="00282291">
        <w:trPr>
          <w:trHeight w:val="223"/>
        </w:trPr>
        <w:tc>
          <w:tcPr>
            <w:tcW w:w="258" w:type="dxa"/>
            <w:tcBorders>
              <w:top w:val="nil"/>
              <w:left w:val="nil"/>
              <w:bottom w:val="nil"/>
              <w:right w:val="nil"/>
            </w:tcBorders>
          </w:tcPr>
          <w:p w14:paraId="18CB4476"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p>
        </w:tc>
        <w:tc>
          <w:tcPr>
            <w:tcW w:w="5838" w:type="dxa"/>
            <w:tcBorders>
              <w:top w:val="nil"/>
              <w:left w:val="nil"/>
              <w:bottom w:val="nil"/>
            </w:tcBorders>
          </w:tcPr>
          <w:p w14:paraId="490E1D3C"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Diluted</w:t>
            </w:r>
          </w:p>
        </w:tc>
        <w:tc>
          <w:tcPr>
            <w:tcW w:w="708" w:type="dxa"/>
            <w:tcBorders>
              <w:top w:val="nil"/>
              <w:bottom w:val="nil"/>
            </w:tcBorders>
          </w:tcPr>
          <w:p w14:paraId="3D8473BE" w14:textId="77777777" w:rsidR="00DD3F83" w:rsidRPr="000A6725" w:rsidRDefault="00DD3F83"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276" w:type="dxa"/>
            <w:tcBorders>
              <w:top w:val="nil"/>
              <w:bottom w:val="nil"/>
              <w:right w:val="single" w:sz="4" w:space="0" w:color="auto"/>
            </w:tcBorders>
          </w:tcPr>
          <w:p w14:paraId="1D591DE9" w14:textId="3CBBAF9E" w:rsidR="00DD3F83" w:rsidRPr="0067660B" w:rsidRDefault="00204448" w:rsidP="00DD3F83">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+17</w:t>
            </w:r>
            <w:r w:rsidR="00DD3F83">
              <w:rPr>
                <w:rFonts w:asciiTheme="minorHAnsi" w:hAnsiTheme="minorHAnsi" w:cstheme="minorHAnsi"/>
                <w:bCs/>
                <w:color w:val="000000"/>
                <w:sz w:val="22"/>
                <w:szCs w:val="22"/>
              </w:rPr>
              <w:t>%</w:t>
            </w:r>
          </w:p>
        </w:tc>
        <w:tc>
          <w:tcPr>
            <w:tcW w:w="1276" w:type="dxa"/>
            <w:tcBorders>
              <w:top w:val="nil"/>
              <w:bottom w:val="nil"/>
              <w:right w:val="single" w:sz="4" w:space="0" w:color="auto"/>
            </w:tcBorders>
            <w:shd w:val="clear" w:color="auto" w:fill="auto"/>
          </w:tcPr>
          <w:p w14:paraId="7EDD3DF8" w14:textId="3ECB0DDF" w:rsidR="00DD3F83" w:rsidRPr="00F7058D" w:rsidRDefault="00DD3F83" w:rsidP="00DD3F83">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sz w:val="22"/>
                <w:szCs w:val="22"/>
              </w:rPr>
              <w:t>1</w:t>
            </w:r>
            <w:r w:rsidRPr="00542802">
              <w:rPr>
                <w:rFonts w:ascii="Calibri" w:hAnsi="Calibri" w:cs="Calibri"/>
                <w:b/>
                <w:bCs/>
                <w:sz w:val="22"/>
                <w:szCs w:val="22"/>
              </w:rPr>
              <w:t>.</w:t>
            </w:r>
            <w:r w:rsidR="00246E11">
              <w:rPr>
                <w:rFonts w:ascii="Calibri" w:hAnsi="Calibri" w:cs="Calibri"/>
                <w:b/>
                <w:bCs/>
                <w:sz w:val="22"/>
                <w:szCs w:val="22"/>
              </w:rPr>
              <w:t>1</w:t>
            </w:r>
            <w:r>
              <w:rPr>
                <w:rFonts w:ascii="Calibri" w:hAnsi="Calibri" w:cs="Calibri"/>
                <w:b/>
                <w:bCs/>
                <w:sz w:val="22"/>
                <w:szCs w:val="22"/>
              </w:rPr>
              <w:t>0</w:t>
            </w:r>
            <w:r w:rsidR="00246E11">
              <w:rPr>
                <w:rFonts w:ascii="Calibri" w:hAnsi="Calibri" w:cs="Calibri"/>
                <w:b/>
                <w:bCs/>
                <w:sz w:val="22"/>
                <w:szCs w:val="22"/>
              </w:rPr>
              <w:t>26</w:t>
            </w:r>
          </w:p>
        </w:tc>
        <w:tc>
          <w:tcPr>
            <w:tcW w:w="1134" w:type="dxa"/>
            <w:tcBorders>
              <w:top w:val="nil"/>
              <w:left w:val="single" w:sz="4" w:space="0" w:color="auto"/>
              <w:bottom w:val="nil"/>
              <w:right w:val="single" w:sz="4" w:space="0" w:color="auto"/>
            </w:tcBorders>
            <w:shd w:val="clear" w:color="auto" w:fill="auto"/>
          </w:tcPr>
          <w:p w14:paraId="089F5A7E" w14:textId="0DAE51BC" w:rsidR="00DD3F83" w:rsidRPr="002F3369" w:rsidRDefault="00DD3F83" w:rsidP="00DD3F83">
            <w:pPr>
              <w:autoSpaceDE w:val="0"/>
              <w:autoSpaceDN w:val="0"/>
              <w:adjustRightInd w:val="0"/>
              <w:ind w:left="-226"/>
              <w:jc w:val="right"/>
              <w:rPr>
                <w:rFonts w:asciiTheme="minorHAnsi" w:hAnsiTheme="minorHAnsi" w:cstheme="minorHAnsi"/>
                <w:color w:val="000000"/>
                <w:sz w:val="22"/>
                <w:szCs w:val="22"/>
              </w:rPr>
            </w:pPr>
            <w:r w:rsidRPr="006C63B6">
              <w:rPr>
                <w:rFonts w:ascii="Calibri" w:hAnsi="Calibri" w:cs="Calibri"/>
                <w:sz w:val="22"/>
                <w:szCs w:val="22"/>
              </w:rPr>
              <w:t>0.</w:t>
            </w:r>
            <w:r w:rsidR="00246E11">
              <w:rPr>
                <w:rFonts w:ascii="Calibri" w:hAnsi="Calibri" w:cs="Calibri"/>
                <w:sz w:val="22"/>
                <w:szCs w:val="22"/>
              </w:rPr>
              <w:t>9388</w:t>
            </w:r>
          </w:p>
        </w:tc>
      </w:tr>
      <w:tr w:rsidR="00DD3F83" w:rsidRPr="0067660B" w14:paraId="4E216A7F" w14:textId="77777777" w:rsidTr="00282291">
        <w:trPr>
          <w:trHeight w:val="223"/>
        </w:trPr>
        <w:tc>
          <w:tcPr>
            <w:tcW w:w="258" w:type="dxa"/>
            <w:tcBorders>
              <w:top w:val="nil"/>
              <w:left w:val="nil"/>
              <w:bottom w:val="nil"/>
              <w:right w:val="nil"/>
            </w:tcBorders>
          </w:tcPr>
          <w:p w14:paraId="378AA4EC"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p>
        </w:tc>
        <w:tc>
          <w:tcPr>
            <w:tcW w:w="5838" w:type="dxa"/>
            <w:tcBorders>
              <w:top w:val="nil"/>
              <w:left w:val="nil"/>
              <w:bottom w:val="nil"/>
            </w:tcBorders>
          </w:tcPr>
          <w:p w14:paraId="5CE5B970" w14:textId="77777777" w:rsidR="00DD3F83" w:rsidRPr="0067660B" w:rsidRDefault="00DD3F83" w:rsidP="00DD3F83">
            <w:pPr>
              <w:autoSpaceDE w:val="0"/>
              <w:autoSpaceDN w:val="0"/>
              <w:adjustRightInd w:val="0"/>
              <w:ind w:right="-128"/>
              <w:rPr>
                <w:rFonts w:asciiTheme="minorHAnsi" w:hAnsiTheme="minorHAnsi" w:cstheme="minorHAnsi"/>
                <w:color w:val="000000"/>
                <w:sz w:val="22"/>
                <w:szCs w:val="22"/>
              </w:rPr>
            </w:pPr>
            <w:r w:rsidRPr="0067660B">
              <w:rPr>
                <w:rFonts w:asciiTheme="minorHAnsi" w:hAnsiTheme="minorHAnsi" w:cstheme="minorHAnsi"/>
                <w:color w:val="000000"/>
                <w:sz w:val="22"/>
                <w:szCs w:val="22"/>
              </w:rPr>
              <w:t xml:space="preserve">Weighted </w:t>
            </w:r>
            <w:proofErr w:type="spellStart"/>
            <w:r w:rsidRPr="0067660B">
              <w:rPr>
                <w:rFonts w:asciiTheme="minorHAnsi" w:hAnsiTheme="minorHAnsi" w:cstheme="minorHAnsi"/>
                <w:color w:val="000000"/>
                <w:sz w:val="22"/>
                <w:szCs w:val="22"/>
              </w:rPr>
              <w:t>ave</w:t>
            </w:r>
            <w:r>
              <w:rPr>
                <w:rFonts w:asciiTheme="minorHAnsi" w:hAnsiTheme="minorHAnsi" w:cstheme="minorHAnsi"/>
                <w:color w:val="000000"/>
                <w:sz w:val="22"/>
                <w:szCs w:val="22"/>
              </w:rPr>
              <w:t>.</w:t>
            </w:r>
            <w:proofErr w:type="spellEnd"/>
            <w:r w:rsidRPr="0067660B">
              <w:rPr>
                <w:rFonts w:asciiTheme="minorHAnsi" w:hAnsiTheme="minorHAnsi" w:cstheme="minorHAnsi"/>
                <w:color w:val="000000"/>
                <w:sz w:val="22"/>
                <w:szCs w:val="22"/>
              </w:rPr>
              <w:t xml:space="preserve"> no. ord</w:t>
            </w:r>
            <w:r>
              <w:rPr>
                <w:rFonts w:asciiTheme="minorHAnsi" w:hAnsiTheme="minorHAnsi" w:cstheme="minorHAnsi"/>
                <w:color w:val="000000"/>
                <w:sz w:val="22"/>
                <w:szCs w:val="22"/>
              </w:rPr>
              <w:t>.</w:t>
            </w:r>
            <w:r w:rsidRPr="0067660B">
              <w:rPr>
                <w:rFonts w:asciiTheme="minorHAnsi" w:hAnsiTheme="minorHAnsi" w:cstheme="minorHAnsi"/>
                <w:color w:val="000000"/>
                <w:sz w:val="22"/>
                <w:szCs w:val="22"/>
              </w:rPr>
              <w:t xml:space="preserve"> shares (in Ms)</w:t>
            </w:r>
          </w:p>
        </w:tc>
        <w:tc>
          <w:tcPr>
            <w:tcW w:w="708" w:type="dxa"/>
            <w:tcBorders>
              <w:top w:val="nil"/>
              <w:bottom w:val="nil"/>
            </w:tcBorders>
          </w:tcPr>
          <w:p w14:paraId="7407F75E" w14:textId="77777777" w:rsidR="00DD3F83" w:rsidRPr="000A6725" w:rsidRDefault="00DD3F83" w:rsidP="00DD3F83">
            <w:pPr>
              <w:autoSpaceDE w:val="0"/>
              <w:autoSpaceDN w:val="0"/>
              <w:adjustRightInd w:val="0"/>
              <w:jc w:val="right"/>
              <w:rPr>
                <w:rFonts w:asciiTheme="minorHAnsi" w:hAnsiTheme="minorHAnsi" w:cstheme="minorHAnsi"/>
                <w:b/>
                <w:bCs/>
                <w:color w:val="000000"/>
                <w:sz w:val="22"/>
                <w:szCs w:val="22"/>
              </w:rPr>
            </w:pPr>
          </w:p>
        </w:tc>
        <w:tc>
          <w:tcPr>
            <w:tcW w:w="1276" w:type="dxa"/>
            <w:tcBorders>
              <w:top w:val="nil"/>
              <w:bottom w:val="nil"/>
              <w:right w:val="single" w:sz="4" w:space="0" w:color="auto"/>
            </w:tcBorders>
          </w:tcPr>
          <w:p w14:paraId="70A9D0C0"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3DBA3C7A" w14:textId="77777777" w:rsidR="00DD3F83" w:rsidRPr="00F7058D" w:rsidRDefault="00DD3F83" w:rsidP="00DD3F83">
            <w:pPr>
              <w:autoSpaceDE w:val="0"/>
              <w:autoSpaceDN w:val="0"/>
              <w:adjustRightInd w:val="0"/>
              <w:jc w:val="right"/>
              <w:rPr>
                <w:rFonts w:asciiTheme="minorHAnsi" w:hAnsiTheme="minorHAnsi" w:cstheme="minorHAnsi"/>
                <w:b/>
                <w:bCs/>
                <w:color w:val="000000"/>
                <w:sz w:val="22"/>
                <w:szCs w:val="22"/>
              </w:rPr>
            </w:pPr>
          </w:p>
        </w:tc>
        <w:tc>
          <w:tcPr>
            <w:tcW w:w="1134" w:type="dxa"/>
            <w:tcBorders>
              <w:top w:val="nil"/>
              <w:left w:val="single" w:sz="4" w:space="0" w:color="auto"/>
              <w:bottom w:val="nil"/>
              <w:right w:val="single" w:sz="4" w:space="0" w:color="auto"/>
            </w:tcBorders>
            <w:shd w:val="clear" w:color="auto" w:fill="auto"/>
          </w:tcPr>
          <w:p w14:paraId="2CAEEF5C" w14:textId="77777777" w:rsidR="00DD3F83" w:rsidRPr="002F3369" w:rsidRDefault="00DD3F83" w:rsidP="00DD3F83">
            <w:pPr>
              <w:autoSpaceDE w:val="0"/>
              <w:autoSpaceDN w:val="0"/>
              <w:adjustRightInd w:val="0"/>
              <w:ind w:left="-226"/>
              <w:jc w:val="right"/>
              <w:rPr>
                <w:rFonts w:asciiTheme="minorHAnsi" w:hAnsiTheme="minorHAnsi" w:cstheme="minorHAnsi"/>
                <w:color w:val="000000"/>
                <w:sz w:val="22"/>
                <w:szCs w:val="22"/>
              </w:rPr>
            </w:pPr>
          </w:p>
        </w:tc>
      </w:tr>
      <w:tr w:rsidR="00DD3F83" w:rsidRPr="0067660B" w14:paraId="6A108C70" w14:textId="77777777" w:rsidTr="00282291">
        <w:trPr>
          <w:trHeight w:val="223"/>
        </w:trPr>
        <w:tc>
          <w:tcPr>
            <w:tcW w:w="258" w:type="dxa"/>
            <w:tcBorders>
              <w:top w:val="nil"/>
              <w:left w:val="nil"/>
              <w:bottom w:val="nil"/>
              <w:right w:val="nil"/>
            </w:tcBorders>
          </w:tcPr>
          <w:p w14:paraId="72FF6E50"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p>
        </w:tc>
        <w:tc>
          <w:tcPr>
            <w:tcW w:w="5838" w:type="dxa"/>
            <w:tcBorders>
              <w:top w:val="nil"/>
              <w:left w:val="nil"/>
              <w:bottom w:val="nil"/>
            </w:tcBorders>
          </w:tcPr>
          <w:p w14:paraId="4C37EDA5"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Basic</w:t>
            </w:r>
          </w:p>
        </w:tc>
        <w:tc>
          <w:tcPr>
            <w:tcW w:w="708" w:type="dxa"/>
            <w:tcBorders>
              <w:top w:val="nil"/>
              <w:bottom w:val="nil"/>
            </w:tcBorders>
          </w:tcPr>
          <w:p w14:paraId="18A4B314" w14:textId="77777777" w:rsidR="00DD3F83" w:rsidRPr="000A6725" w:rsidRDefault="00DD3F83"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276" w:type="dxa"/>
            <w:tcBorders>
              <w:top w:val="nil"/>
              <w:bottom w:val="nil"/>
              <w:right w:val="single" w:sz="4" w:space="0" w:color="auto"/>
            </w:tcBorders>
          </w:tcPr>
          <w:p w14:paraId="0176BB78"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right w:val="single" w:sz="4" w:space="0" w:color="auto"/>
            </w:tcBorders>
            <w:shd w:val="clear" w:color="auto" w:fill="auto"/>
          </w:tcPr>
          <w:p w14:paraId="43029CB9" w14:textId="0AFA0A9A" w:rsidR="00DD3F83" w:rsidRPr="00F7058D" w:rsidRDefault="00DD3F83" w:rsidP="00DD3F83">
            <w:pPr>
              <w:autoSpaceDE w:val="0"/>
              <w:autoSpaceDN w:val="0"/>
              <w:adjustRightInd w:val="0"/>
              <w:jc w:val="right"/>
              <w:rPr>
                <w:rFonts w:asciiTheme="minorHAnsi" w:hAnsiTheme="minorHAnsi" w:cstheme="minorHAnsi"/>
                <w:b/>
                <w:bCs/>
                <w:color w:val="000000"/>
                <w:sz w:val="22"/>
                <w:szCs w:val="22"/>
              </w:rPr>
            </w:pPr>
            <w:r w:rsidRPr="00542802">
              <w:rPr>
                <w:rFonts w:ascii="Calibri" w:hAnsi="Calibri" w:cs="Calibri"/>
                <w:b/>
                <w:bCs/>
                <w:sz w:val="22"/>
                <w:szCs w:val="22"/>
              </w:rPr>
              <w:t>1,1</w:t>
            </w:r>
            <w:r w:rsidR="00246E11">
              <w:rPr>
                <w:rFonts w:ascii="Calibri" w:hAnsi="Calibri" w:cs="Calibri"/>
                <w:b/>
                <w:bCs/>
                <w:sz w:val="22"/>
                <w:szCs w:val="22"/>
              </w:rPr>
              <w:t>19.8</w:t>
            </w:r>
          </w:p>
        </w:tc>
        <w:tc>
          <w:tcPr>
            <w:tcW w:w="1134" w:type="dxa"/>
            <w:tcBorders>
              <w:top w:val="nil"/>
              <w:left w:val="single" w:sz="4" w:space="0" w:color="auto"/>
              <w:bottom w:val="nil"/>
              <w:right w:val="single" w:sz="4" w:space="0" w:color="auto"/>
            </w:tcBorders>
            <w:shd w:val="clear" w:color="auto" w:fill="auto"/>
          </w:tcPr>
          <w:p w14:paraId="56432C8A" w14:textId="553F119E" w:rsidR="00DD3F83" w:rsidRPr="002F3369" w:rsidRDefault="00DD3F83" w:rsidP="00DD3F83">
            <w:pPr>
              <w:autoSpaceDE w:val="0"/>
              <w:autoSpaceDN w:val="0"/>
              <w:adjustRightInd w:val="0"/>
              <w:ind w:left="-226"/>
              <w:jc w:val="right"/>
              <w:rPr>
                <w:rFonts w:asciiTheme="minorHAnsi" w:hAnsiTheme="minorHAnsi" w:cstheme="minorHAnsi"/>
                <w:color w:val="000000"/>
                <w:sz w:val="22"/>
                <w:szCs w:val="22"/>
              </w:rPr>
            </w:pPr>
            <w:r w:rsidRPr="006C63B6">
              <w:rPr>
                <w:rFonts w:ascii="Calibri" w:hAnsi="Calibri" w:cs="Calibri"/>
                <w:sz w:val="22"/>
                <w:szCs w:val="22"/>
              </w:rPr>
              <w:t>1,</w:t>
            </w:r>
            <w:r w:rsidR="00246E11">
              <w:rPr>
                <w:rFonts w:ascii="Calibri" w:hAnsi="Calibri" w:cs="Calibri"/>
                <w:sz w:val="22"/>
                <w:szCs w:val="22"/>
              </w:rPr>
              <w:t>146.9</w:t>
            </w:r>
          </w:p>
        </w:tc>
      </w:tr>
      <w:tr w:rsidR="00DD3F83" w:rsidRPr="0067660B" w14:paraId="25702C25" w14:textId="77777777" w:rsidTr="00282291">
        <w:trPr>
          <w:trHeight w:val="223"/>
        </w:trPr>
        <w:tc>
          <w:tcPr>
            <w:tcW w:w="258" w:type="dxa"/>
            <w:tcBorders>
              <w:top w:val="nil"/>
              <w:left w:val="nil"/>
              <w:bottom w:val="nil"/>
              <w:right w:val="nil"/>
            </w:tcBorders>
          </w:tcPr>
          <w:p w14:paraId="17E88A85"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p>
        </w:tc>
        <w:tc>
          <w:tcPr>
            <w:tcW w:w="5838" w:type="dxa"/>
            <w:tcBorders>
              <w:top w:val="nil"/>
              <w:left w:val="nil"/>
              <w:bottom w:val="nil"/>
            </w:tcBorders>
          </w:tcPr>
          <w:p w14:paraId="4F16BE06" w14:textId="77777777" w:rsidR="00DD3F83" w:rsidRPr="0067660B" w:rsidRDefault="00DD3F83" w:rsidP="00DD3F83">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Diluted</w:t>
            </w:r>
          </w:p>
        </w:tc>
        <w:tc>
          <w:tcPr>
            <w:tcW w:w="708" w:type="dxa"/>
            <w:tcBorders>
              <w:top w:val="nil"/>
            </w:tcBorders>
          </w:tcPr>
          <w:p w14:paraId="3684BE60" w14:textId="77777777" w:rsidR="00DD3F83" w:rsidRPr="000A6725" w:rsidRDefault="00DD3F83" w:rsidP="00DD3F8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276" w:type="dxa"/>
            <w:tcBorders>
              <w:top w:val="nil"/>
              <w:right w:val="single" w:sz="4" w:space="0" w:color="auto"/>
            </w:tcBorders>
          </w:tcPr>
          <w:p w14:paraId="1D884CAF" w14:textId="77777777" w:rsidR="00DD3F83" w:rsidRPr="0067660B" w:rsidRDefault="00DD3F83" w:rsidP="00DD3F83">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single" w:sz="4" w:space="0" w:color="auto"/>
              <w:right w:val="single" w:sz="4" w:space="0" w:color="auto"/>
            </w:tcBorders>
            <w:shd w:val="clear" w:color="auto" w:fill="auto"/>
          </w:tcPr>
          <w:p w14:paraId="10F286F5" w14:textId="3A2D40B4" w:rsidR="00DD3F83" w:rsidRPr="00F7058D" w:rsidRDefault="00DD3F83" w:rsidP="00DD3F83">
            <w:pPr>
              <w:autoSpaceDE w:val="0"/>
              <w:autoSpaceDN w:val="0"/>
              <w:adjustRightInd w:val="0"/>
              <w:jc w:val="right"/>
              <w:rPr>
                <w:rFonts w:asciiTheme="minorHAnsi" w:hAnsiTheme="minorHAnsi" w:cstheme="minorHAnsi"/>
                <w:b/>
                <w:bCs/>
                <w:color w:val="000000"/>
                <w:sz w:val="22"/>
                <w:szCs w:val="22"/>
              </w:rPr>
            </w:pPr>
            <w:r w:rsidRPr="00542802">
              <w:rPr>
                <w:rFonts w:ascii="Calibri" w:hAnsi="Calibri" w:cs="Calibri"/>
                <w:b/>
                <w:bCs/>
                <w:sz w:val="22"/>
                <w:szCs w:val="22"/>
              </w:rPr>
              <w:t>1,1</w:t>
            </w:r>
            <w:r w:rsidR="00246E11">
              <w:rPr>
                <w:rFonts w:ascii="Calibri" w:hAnsi="Calibri" w:cs="Calibri"/>
                <w:b/>
                <w:bCs/>
                <w:sz w:val="22"/>
                <w:szCs w:val="22"/>
              </w:rPr>
              <w:t>25.0</w:t>
            </w:r>
          </w:p>
        </w:tc>
        <w:tc>
          <w:tcPr>
            <w:tcW w:w="1134" w:type="dxa"/>
            <w:tcBorders>
              <w:top w:val="nil"/>
              <w:left w:val="single" w:sz="4" w:space="0" w:color="auto"/>
              <w:bottom w:val="single" w:sz="4" w:space="0" w:color="auto"/>
              <w:right w:val="single" w:sz="4" w:space="0" w:color="auto"/>
            </w:tcBorders>
            <w:shd w:val="clear" w:color="auto" w:fill="auto"/>
          </w:tcPr>
          <w:p w14:paraId="43300D04" w14:textId="45323949" w:rsidR="00DD3F83" w:rsidRPr="002F3369" w:rsidRDefault="00DD3F83" w:rsidP="00DD3F83">
            <w:pPr>
              <w:autoSpaceDE w:val="0"/>
              <w:autoSpaceDN w:val="0"/>
              <w:adjustRightInd w:val="0"/>
              <w:ind w:left="-226"/>
              <w:jc w:val="right"/>
              <w:rPr>
                <w:rFonts w:asciiTheme="minorHAnsi" w:hAnsiTheme="minorHAnsi" w:cstheme="minorHAnsi"/>
                <w:color w:val="000000"/>
                <w:sz w:val="22"/>
                <w:szCs w:val="22"/>
              </w:rPr>
            </w:pPr>
            <w:r w:rsidRPr="006C63B6">
              <w:rPr>
                <w:rFonts w:ascii="Calibri" w:hAnsi="Calibri" w:cs="Calibri"/>
                <w:sz w:val="22"/>
                <w:szCs w:val="22"/>
              </w:rPr>
              <w:t>1,1</w:t>
            </w:r>
            <w:r w:rsidR="00246E11">
              <w:rPr>
                <w:rFonts w:ascii="Calibri" w:hAnsi="Calibri" w:cs="Calibri"/>
                <w:sz w:val="22"/>
                <w:szCs w:val="22"/>
              </w:rPr>
              <w:t>55.3</w:t>
            </w:r>
          </w:p>
        </w:tc>
      </w:tr>
    </w:tbl>
    <w:p w14:paraId="5B5A4B2D" w14:textId="77777777" w:rsidR="00DD3F83" w:rsidRDefault="00DD3F83" w:rsidP="00DD3F83">
      <w:pPr>
        <w:rPr>
          <w:rFonts w:asciiTheme="minorHAnsi" w:hAnsiTheme="minorHAnsi" w:cstheme="minorHAnsi"/>
          <w:b/>
          <w:bCs/>
          <w:i/>
          <w:color w:val="000000"/>
          <w:sz w:val="20"/>
          <w:szCs w:val="20"/>
        </w:rPr>
      </w:pPr>
    </w:p>
    <w:p w14:paraId="13BB51BC" w14:textId="77777777" w:rsidR="00246E11" w:rsidRDefault="00246E11" w:rsidP="00246E11">
      <w:pPr>
        <w:tabs>
          <w:tab w:val="left" w:pos="2010"/>
        </w:tabs>
      </w:pPr>
    </w:p>
    <w:p w14:paraId="143B52FF" w14:textId="025E48BB" w:rsidR="00246E11" w:rsidRDefault="00246E11" w:rsidP="00246E11">
      <w:pPr>
        <w:rPr>
          <w:rFonts w:asciiTheme="minorHAnsi" w:hAnsiTheme="minorHAnsi" w:cstheme="minorHAnsi"/>
          <w:bCs/>
          <w:color w:val="000000"/>
          <w:sz w:val="16"/>
          <w:szCs w:val="16"/>
        </w:rPr>
      </w:pPr>
      <w:r>
        <w:rPr>
          <w:rFonts w:asciiTheme="minorHAnsi" w:hAnsiTheme="minorHAnsi" w:cstheme="minorHAnsi"/>
          <w:bCs/>
          <w:color w:val="000000"/>
          <w:sz w:val="16"/>
          <w:szCs w:val="16"/>
        </w:rPr>
        <w:t>*</w:t>
      </w:r>
      <w:r w:rsidRPr="00246E11">
        <w:rPr>
          <w:rFonts w:asciiTheme="minorHAnsi" w:hAnsiTheme="minorHAnsi" w:cstheme="minorHAnsi"/>
          <w:bCs/>
          <w:color w:val="000000"/>
          <w:sz w:val="16"/>
          <w:szCs w:val="16"/>
        </w:rPr>
        <w:t>”+” is favourable and “-“ is adverse year-on-year.</w:t>
      </w:r>
    </w:p>
    <w:p w14:paraId="7618E9F3" w14:textId="77777777" w:rsidR="00005CC8" w:rsidRPr="00246E11" w:rsidRDefault="00005CC8" w:rsidP="00246E11">
      <w:pPr>
        <w:rPr>
          <w:rFonts w:asciiTheme="minorHAnsi" w:hAnsiTheme="minorHAnsi" w:cstheme="minorHAnsi"/>
          <w:bCs/>
          <w:color w:val="000000"/>
          <w:sz w:val="16"/>
          <w:szCs w:val="16"/>
        </w:rPr>
      </w:pPr>
    </w:p>
    <w:p w14:paraId="7C58F630" w14:textId="77777777" w:rsidR="00DD3F83" w:rsidRDefault="00DD3F83" w:rsidP="00DD3F83"/>
    <w:p w14:paraId="645C69B2" w14:textId="77777777" w:rsidR="00D72D0A" w:rsidRDefault="00D72D0A" w:rsidP="00D72D0A">
      <w:pPr>
        <w:rPr>
          <w:rFonts w:asciiTheme="minorHAnsi" w:hAnsiTheme="minorHAnsi" w:cstheme="minorHAnsi"/>
          <w:b/>
          <w:bCs/>
          <w:color w:val="000000"/>
        </w:rPr>
      </w:pPr>
    </w:p>
    <w:p w14:paraId="484FB698" w14:textId="77777777" w:rsidR="00D72D0A" w:rsidRDefault="00D72D0A" w:rsidP="00D72D0A">
      <w:pPr>
        <w:rPr>
          <w:rFonts w:asciiTheme="minorHAnsi" w:hAnsiTheme="minorHAnsi" w:cstheme="minorHAnsi"/>
          <w:b/>
          <w:bCs/>
          <w:color w:val="000000"/>
        </w:rPr>
      </w:pPr>
      <w:r w:rsidRPr="00991F11">
        <w:rPr>
          <w:rFonts w:asciiTheme="minorHAnsi" w:hAnsiTheme="minorHAnsi" w:cstheme="minorHAnsi"/>
          <w:b/>
          <w:bCs/>
          <w:color w:val="000000"/>
        </w:rPr>
        <w:t>Ryanair Holdings plc and Subsidiaries</w:t>
      </w:r>
    </w:p>
    <w:p w14:paraId="351CB265" w14:textId="77777777" w:rsidR="00D72D0A" w:rsidRDefault="00D72D0A" w:rsidP="00D72D0A">
      <w:pPr>
        <w:rPr>
          <w:rFonts w:asciiTheme="minorHAnsi" w:hAnsiTheme="minorHAnsi" w:cstheme="minorHAnsi"/>
          <w:b/>
          <w:bCs/>
          <w:i/>
          <w:iCs/>
          <w:color w:val="000000"/>
        </w:rPr>
      </w:pPr>
    </w:p>
    <w:p w14:paraId="28F4A9FB" w14:textId="77777777" w:rsidR="00D72D0A" w:rsidRDefault="00D72D0A" w:rsidP="00D72D0A">
      <w:pPr>
        <w:widowControl w:val="0"/>
        <w:rPr>
          <w:rFonts w:ascii="Calibri" w:hAnsi="Calibri" w:cs="Calibri"/>
          <w:b/>
          <w:bCs/>
          <w:i/>
          <w:iCs/>
          <w:color w:val="000000"/>
        </w:rPr>
      </w:pPr>
      <w:r w:rsidRPr="00DB22BA">
        <w:rPr>
          <w:rFonts w:ascii="Calibri" w:hAnsi="Calibri" w:cs="Calibri"/>
          <w:b/>
          <w:bCs/>
          <w:i/>
          <w:iCs/>
          <w:color w:val="000000"/>
        </w:rPr>
        <w:t xml:space="preserve">Condensed Consolidated </w:t>
      </w:r>
      <w:r>
        <w:rPr>
          <w:rFonts w:ascii="Calibri" w:hAnsi="Calibri" w:cs="Calibri"/>
          <w:b/>
          <w:bCs/>
          <w:i/>
          <w:iCs/>
          <w:color w:val="000000"/>
        </w:rPr>
        <w:t>Interim</w:t>
      </w:r>
      <w:r w:rsidRPr="00DB22BA">
        <w:rPr>
          <w:rFonts w:ascii="Calibri" w:hAnsi="Calibri" w:cs="Calibri"/>
          <w:b/>
          <w:bCs/>
          <w:i/>
          <w:iCs/>
          <w:color w:val="000000"/>
        </w:rPr>
        <w:t xml:space="preserve"> Statement of Comprehensive Income for the </w:t>
      </w:r>
      <w:r>
        <w:rPr>
          <w:rFonts w:ascii="Calibri" w:hAnsi="Calibri" w:cs="Calibri"/>
          <w:b/>
          <w:bCs/>
          <w:i/>
          <w:iCs/>
          <w:color w:val="000000"/>
        </w:rPr>
        <w:t>quarter e</w:t>
      </w:r>
      <w:r w:rsidRPr="00DB22BA">
        <w:rPr>
          <w:rFonts w:ascii="Calibri" w:hAnsi="Calibri" w:cs="Calibri"/>
          <w:b/>
          <w:bCs/>
          <w:i/>
          <w:iCs/>
          <w:color w:val="000000"/>
        </w:rPr>
        <w:t xml:space="preserve">nded </w:t>
      </w:r>
    </w:p>
    <w:p w14:paraId="4D29BB21" w14:textId="77777777" w:rsidR="00D72D0A" w:rsidRPr="00DB22BA" w:rsidRDefault="00D72D0A" w:rsidP="00D72D0A">
      <w:pPr>
        <w:widowControl w:val="0"/>
        <w:rPr>
          <w:rFonts w:ascii="Calibri" w:hAnsi="Calibri" w:cs="Calibri"/>
          <w:b/>
          <w:bCs/>
          <w:i/>
          <w:iCs/>
          <w:color w:val="000000"/>
          <w:sz w:val="22"/>
          <w:szCs w:val="22"/>
        </w:rPr>
      </w:pPr>
      <w:r>
        <w:rPr>
          <w:rFonts w:ascii="Calibri" w:hAnsi="Calibri" w:cs="Calibri"/>
          <w:b/>
          <w:bCs/>
          <w:i/>
          <w:iCs/>
          <w:color w:val="000000"/>
        </w:rPr>
        <w:t>December 31</w:t>
      </w:r>
      <w:r w:rsidRPr="00DB22BA">
        <w:rPr>
          <w:rFonts w:ascii="Calibri" w:hAnsi="Calibri" w:cs="Calibri"/>
          <w:b/>
          <w:bCs/>
          <w:i/>
          <w:iCs/>
          <w:color w:val="000000"/>
        </w:rPr>
        <w:t>, 201</w:t>
      </w:r>
      <w:r>
        <w:rPr>
          <w:rFonts w:ascii="Calibri" w:hAnsi="Calibri" w:cs="Calibri"/>
          <w:b/>
          <w:bCs/>
          <w:i/>
          <w:iCs/>
          <w:color w:val="000000"/>
        </w:rPr>
        <w:t>9</w:t>
      </w:r>
      <w:r w:rsidRPr="00DB22BA">
        <w:rPr>
          <w:rFonts w:ascii="Calibri" w:hAnsi="Calibri" w:cs="Calibri"/>
          <w:b/>
          <w:bCs/>
          <w:i/>
          <w:iCs/>
          <w:color w:val="000000"/>
        </w:rPr>
        <w:t xml:space="preserve"> (unaudited</w:t>
      </w:r>
      <w:r w:rsidRPr="00DB22BA">
        <w:rPr>
          <w:rFonts w:ascii="Calibri" w:hAnsi="Calibri" w:cs="Calibri"/>
          <w:b/>
          <w:bCs/>
          <w:i/>
          <w:iCs/>
          <w:color w:val="000000"/>
          <w:sz w:val="22"/>
          <w:szCs w:val="22"/>
        </w:rPr>
        <w:t>)</w:t>
      </w:r>
    </w:p>
    <w:p w14:paraId="54FCBCA0" w14:textId="77777777" w:rsidR="00D72D0A" w:rsidRPr="00677316" w:rsidRDefault="00D72D0A" w:rsidP="00D72D0A">
      <w:pPr>
        <w:rPr>
          <w:rFonts w:asciiTheme="minorHAnsi" w:hAnsiTheme="minorHAnsi" w:cstheme="minorHAnsi"/>
          <w:b/>
          <w:bCs/>
          <w:i/>
          <w:iCs/>
          <w:color w:val="000000"/>
          <w:sz w:val="22"/>
          <w:szCs w:val="22"/>
        </w:rPr>
      </w:pPr>
    </w:p>
    <w:tbl>
      <w:tblPr>
        <w:tblW w:w="10490" w:type="dxa"/>
        <w:tblLook w:val="0000" w:firstRow="0" w:lastRow="0" w:firstColumn="0" w:lastColumn="0" w:noHBand="0" w:noVBand="0"/>
      </w:tblPr>
      <w:tblGrid>
        <w:gridCol w:w="3376"/>
        <w:gridCol w:w="4706"/>
        <w:gridCol w:w="1273"/>
        <w:gridCol w:w="1135"/>
      </w:tblGrid>
      <w:tr w:rsidR="00D72D0A" w:rsidRPr="00677316" w14:paraId="756B3280" w14:textId="77777777" w:rsidTr="00B06D81">
        <w:trPr>
          <w:trHeight w:val="259"/>
        </w:trPr>
        <w:tc>
          <w:tcPr>
            <w:tcW w:w="3852" w:type="pct"/>
            <w:gridSpan w:val="2"/>
            <w:shd w:val="solid" w:color="FFFFFF" w:fill="auto"/>
          </w:tcPr>
          <w:p w14:paraId="7EDD2595" w14:textId="77777777" w:rsidR="00D72D0A" w:rsidRPr="00677316" w:rsidRDefault="00D72D0A" w:rsidP="00B06D81">
            <w:pPr>
              <w:autoSpaceDE w:val="0"/>
              <w:autoSpaceDN w:val="0"/>
              <w:adjustRightInd w:val="0"/>
              <w:rPr>
                <w:rFonts w:asciiTheme="minorHAnsi" w:hAnsiTheme="minorHAnsi" w:cstheme="minorHAnsi"/>
                <w:b/>
                <w:bCs/>
                <w:i/>
                <w:iCs/>
                <w:color w:val="000000"/>
                <w:sz w:val="22"/>
                <w:szCs w:val="22"/>
              </w:rPr>
            </w:pPr>
          </w:p>
        </w:tc>
        <w:tc>
          <w:tcPr>
            <w:tcW w:w="607" w:type="pct"/>
            <w:shd w:val="clear" w:color="auto" w:fill="auto"/>
          </w:tcPr>
          <w:p w14:paraId="04F7AEB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p>
        </w:tc>
        <w:tc>
          <w:tcPr>
            <w:tcW w:w="541" w:type="pct"/>
            <w:shd w:val="solid" w:color="FFFFFF" w:fill="auto"/>
          </w:tcPr>
          <w:p w14:paraId="2CF606AF"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3DB55BB3" w14:textId="77777777" w:rsidTr="00B06D81">
        <w:trPr>
          <w:trHeight w:val="211"/>
        </w:trPr>
        <w:tc>
          <w:tcPr>
            <w:tcW w:w="3852" w:type="pct"/>
            <w:gridSpan w:val="2"/>
          </w:tcPr>
          <w:p w14:paraId="2C7D4AEB"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auto"/>
          </w:tcPr>
          <w:p w14:paraId="5DAFDAEF"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Q3 Dec 31</w:t>
            </w:r>
          </w:p>
        </w:tc>
        <w:tc>
          <w:tcPr>
            <w:tcW w:w="541" w:type="pct"/>
            <w:shd w:val="solid" w:color="FFFFFF" w:fill="auto"/>
          </w:tcPr>
          <w:p w14:paraId="3E6EDA31" w14:textId="77777777" w:rsidR="00D72D0A" w:rsidRPr="005178C7" w:rsidRDefault="00D72D0A" w:rsidP="00B06D81">
            <w:pPr>
              <w:autoSpaceDE w:val="0"/>
              <w:autoSpaceDN w:val="0"/>
              <w:adjustRightInd w:val="0"/>
              <w:ind w:left="-109"/>
              <w:jc w:val="right"/>
              <w:rPr>
                <w:rFonts w:asciiTheme="minorHAnsi" w:hAnsiTheme="minorHAnsi" w:cstheme="minorHAnsi"/>
                <w:color w:val="000000"/>
                <w:sz w:val="22"/>
                <w:szCs w:val="22"/>
              </w:rPr>
            </w:pPr>
            <w:r>
              <w:rPr>
                <w:rFonts w:asciiTheme="minorHAnsi" w:hAnsiTheme="minorHAnsi" w:cstheme="minorHAnsi"/>
                <w:color w:val="000000"/>
                <w:sz w:val="22"/>
                <w:szCs w:val="22"/>
              </w:rPr>
              <w:t>Q3 Dec 31</w:t>
            </w:r>
          </w:p>
        </w:tc>
      </w:tr>
      <w:tr w:rsidR="00D72D0A" w:rsidRPr="00677316" w14:paraId="061CC063" w14:textId="77777777" w:rsidTr="00B06D81">
        <w:trPr>
          <w:trHeight w:val="211"/>
        </w:trPr>
        <w:tc>
          <w:tcPr>
            <w:tcW w:w="3852" w:type="pct"/>
            <w:gridSpan w:val="2"/>
          </w:tcPr>
          <w:p w14:paraId="2BF771AB"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auto"/>
          </w:tcPr>
          <w:p w14:paraId="4ED0673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2019</w:t>
            </w:r>
          </w:p>
        </w:tc>
        <w:tc>
          <w:tcPr>
            <w:tcW w:w="541" w:type="pct"/>
            <w:shd w:val="solid" w:color="FFFFFF" w:fill="auto"/>
          </w:tcPr>
          <w:p w14:paraId="2C1393E0"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2018</w:t>
            </w:r>
          </w:p>
        </w:tc>
      </w:tr>
      <w:tr w:rsidR="00D72D0A" w:rsidRPr="00677316" w14:paraId="1747D4C8" w14:textId="77777777" w:rsidTr="00B06D81">
        <w:trPr>
          <w:trHeight w:val="211"/>
        </w:trPr>
        <w:tc>
          <w:tcPr>
            <w:tcW w:w="3852" w:type="pct"/>
            <w:gridSpan w:val="2"/>
          </w:tcPr>
          <w:p w14:paraId="180D386F"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auto"/>
          </w:tcPr>
          <w:p w14:paraId="4E3AC314"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w:t>
            </w:r>
            <w:r>
              <w:rPr>
                <w:rFonts w:asciiTheme="minorHAnsi" w:hAnsiTheme="minorHAnsi" w:cstheme="minorHAnsi"/>
                <w:b/>
                <w:bCs/>
                <w:color w:val="000000"/>
                <w:sz w:val="22"/>
                <w:szCs w:val="22"/>
                <w:u w:val="single"/>
              </w:rPr>
              <w:t>M</w:t>
            </w:r>
          </w:p>
        </w:tc>
        <w:tc>
          <w:tcPr>
            <w:tcW w:w="541" w:type="pct"/>
            <w:shd w:val="solid" w:color="FFFFFF" w:fill="auto"/>
          </w:tcPr>
          <w:p w14:paraId="3F5ABE6B"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u w:val="single"/>
              </w:rPr>
            </w:pPr>
            <w:r w:rsidRPr="00677316">
              <w:rPr>
                <w:rFonts w:asciiTheme="minorHAnsi" w:hAnsiTheme="minorHAnsi" w:cstheme="minorHAnsi"/>
                <w:color w:val="000000"/>
                <w:sz w:val="22"/>
                <w:szCs w:val="22"/>
                <w:u w:val="single"/>
              </w:rPr>
              <w:t>€</w:t>
            </w:r>
            <w:r>
              <w:rPr>
                <w:rFonts w:asciiTheme="minorHAnsi" w:hAnsiTheme="minorHAnsi" w:cstheme="minorHAnsi"/>
                <w:color w:val="000000"/>
                <w:sz w:val="22"/>
                <w:szCs w:val="22"/>
                <w:u w:val="single"/>
              </w:rPr>
              <w:t>M</w:t>
            </w:r>
          </w:p>
        </w:tc>
      </w:tr>
      <w:tr w:rsidR="00D72D0A" w:rsidRPr="00677316" w14:paraId="2F4ABD22" w14:textId="77777777" w:rsidTr="00B06D81">
        <w:trPr>
          <w:trHeight w:val="211"/>
        </w:trPr>
        <w:tc>
          <w:tcPr>
            <w:tcW w:w="3852" w:type="pct"/>
            <w:gridSpan w:val="2"/>
          </w:tcPr>
          <w:p w14:paraId="39BAC231"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auto"/>
          </w:tcPr>
          <w:p w14:paraId="4CB89ADB"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u w:val="single"/>
              </w:rPr>
            </w:pPr>
          </w:p>
        </w:tc>
        <w:tc>
          <w:tcPr>
            <w:tcW w:w="541" w:type="pct"/>
            <w:shd w:val="solid" w:color="FFFFFF" w:fill="auto"/>
          </w:tcPr>
          <w:p w14:paraId="6119A13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u w:val="single"/>
              </w:rPr>
            </w:pPr>
          </w:p>
        </w:tc>
      </w:tr>
      <w:tr w:rsidR="00D72D0A" w:rsidRPr="00677316" w14:paraId="5F5CE8A9" w14:textId="77777777" w:rsidTr="00B06D81">
        <w:trPr>
          <w:trHeight w:val="211"/>
        </w:trPr>
        <w:tc>
          <w:tcPr>
            <w:tcW w:w="3852" w:type="pct"/>
            <w:gridSpan w:val="2"/>
            <w:shd w:val="solid" w:color="FFFFFF" w:fill="auto"/>
          </w:tcPr>
          <w:p w14:paraId="61468862"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Profit for the quarter</w:t>
            </w:r>
          </w:p>
        </w:tc>
        <w:tc>
          <w:tcPr>
            <w:tcW w:w="607" w:type="pct"/>
            <w:tcBorders>
              <w:bottom w:val="single" w:sz="4" w:space="0" w:color="auto"/>
            </w:tcBorders>
            <w:shd w:val="clear" w:color="auto" w:fill="auto"/>
          </w:tcPr>
          <w:p w14:paraId="69EAF8EE"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87.8</w:t>
            </w:r>
          </w:p>
        </w:tc>
        <w:tc>
          <w:tcPr>
            <w:tcW w:w="541" w:type="pct"/>
            <w:tcBorders>
              <w:bottom w:val="single" w:sz="4" w:space="0" w:color="auto"/>
            </w:tcBorders>
            <w:shd w:val="solid" w:color="FFFFFF" w:fill="auto"/>
          </w:tcPr>
          <w:p w14:paraId="765CC0C9"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(66.1)</w:t>
            </w:r>
          </w:p>
        </w:tc>
      </w:tr>
      <w:tr w:rsidR="00D72D0A" w:rsidRPr="00677316" w14:paraId="7B0CCBED" w14:textId="77777777" w:rsidTr="00B06D81">
        <w:trPr>
          <w:trHeight w:val="211"/>
        </w:trPr>
        <w:tc>
          <w:tcPr>
            <w:tcW w:w="3852" w:type="pct"/>
            <w:gridSpan w:val="2"/>
            <w:shd w:val="solid" w:color="FFFFFF" w:fill="auto"/>
          </w:tcPr>
          <w:p w14:paraId="0A568F2A"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p>
        </w:tc>
        <w:tc>
          <w:tcPr>
            <w:tcW w:w="607" w:type="pct"/>
            <w:tcBorders>
              <w:top w:val="single" w:sz="4" w:space="0" w:color="auto"/>
            </w:tcBorders>
            <w:shd w:val="clear" w:color="auto" w:fill="auto"/>
          </w:tcPr>
          <w:p w14:paraId="35BEE3B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77330326"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03441106" w14:textId="77777777" w:rsidTr="00B06D81">
        <w:trPr>
          <w:trHeight w:val="211"/>
        </w:trPr>
        <w:tc>
          <w:tcPr>
            <w:tcW w:w="3852" w:type="pct"/>
            <w:gridSpan w:val="2"/>
            <w:shd w:val="solid" w:color="FFFFFF" w:fill="auto"/>
          </w:tcPr>
          <w:p w14:paraId="34F83E81" w14:textId="77777777" w:rsidR="00D72D0A" w:rsidRPr="00677316" w:rsidRDefault="00D72D0A" w:rsidP="00B06D81">
            <w:pPr>
              <w:autoSpaceDE w:val="0"/>
              <w:autoSpaceDN w:val="0"/>
              <w:adjustRightInd w:val="0"/>
              <w:spacing w:after="120"/>
              <w:rPr>
                <w:rFonts w:asciiTheme="minorHAnsi" w:hAnsiTheme="minorHAnsi" w:cstheme="minorHAnsi"/>
                <w:b/>
                <w:color w:val="000000"/>
                <w:sz w:val="22"/>
                <w:szCs w:val="22"/>
              </w:rPr>
            </w:pPr>
            <w:r w:rsidRPr="00677316">
              <w:rPr>
                <w:rFonts w:asciiTheme="minorHAnsi" w:hAnsiTheme="minorHAnsi" w:cstheme="minorHAnsi"/>
                <w:b/>
                <w:color w:val="000000"/>
                <w:sz w:val="22"/>
                <w:szCs w:val="22"/>
              </w:rPr>
              <w:t>Other comprehensive income:</w:t>
            </w:r>
          </w:p>
        </w:tc>
        <w:tc>
          <w:tcPr>
            <w:tcW w:w="607" w:type="pct"/>
            <w:shd w:val="clear" w:color="auto" w:fill="auto"/>
          </w:tcPr>
          <w:p w14:paraId="3282BAFF" w14:textId="77777777" w:rsidR="00D72D0A" w:rsidRPr="00677316" w:rsidRDefault="00D72D0A" w:rsidP="00B06D81">
            <w:pPr>
              <w:autoSpaceDE w:val="0"/>
              <w:autoSpaceDN w:val="0"/>
              <w:adjustRightInd w:val="0"/>
              <w:spacing w:after="120"/>
              <w:jc w:val="right"/>
              <w:rPr>
                <w:rFonts w:asciiTheme="minorHAnsi" w:hAnsiTheme="minorHAnsi" w:cstheme="minorHAnsi"/>
                <w:b/>
                <w:bCs/>
                <w:color w:val="000000"/>
                <w:sz w:val="22"/>
                <w:szCs w:val="22"/>
              </w:rPr>
            </w:pPr>
          </w:p>
        </w:tc>
        <w:tc>
          <w:tcPr>
            <w:tcW w:w="541" w:type="pct"/>
          </w:tcPr>
          <w:p w14:paraId="5C4CA433" w14:textId="77777777" w:rsidR="00D72D0A" w:rsidRPr="00677316" w:rsidRDefault="00D72D0A" w:rsidP="00B06D81">
            <w:pPr>
              <w:autoSpaceDE w:val="0"/>
              <w:autoSpaceDN w:val="0"/>
              <w:adjustRightInd w:val="0"/>
              <w:spacing w:after="120"/>
              <w:jc w:val="right"/>
              <w:rPr>
                <w:rFonts w:asciiTheme="minorHAnsi" w:hAnsiTheme="minorHAnsi" w:cstheme="minorHAnsi"/>
                <w:color w:val="000000"/>
                <w:sz w:val="22"/>
                <w:szCs w:val="22"/>
              </w:rPr>
            </w:pPr>
          </w:p>
        </w:tc>
      </w:tr>
      <w:tr w:rsidR="00D72D0A" w:rsidRPr="00677316" w14:paraId="052E732D" w14:textId="77777777" w:rsidTr="00B06D81">
        <w:trPr>
          <w:trHeight w:val="211"/>
        </w:trPr>
        <w:tc>
          <w:tcPr>
            <w:tcW w:w="3852" w:type="pct"/>
            <w:gridSpan w:val="2"/>
            <w:shd w:val="solid" w:color="FFFFFF" w:fill="auto"/>
          </w:tcPr>
          <w:p w14:paraId="654DB425" w14:textId="77777777" w:rsidR="00D72D0A" w:rsidRPr="00502966" w:rsidRDefault="00D72D0A" w:rsidP="00B06D81">
            <w:pPr>
              <w:autoSpaceDE w:val="0"/>
              <w:autoSpaceDN w:val="0"/>
              <w:adjustRightInd w:val="0"/>
              <w:spacing w:after="60"/>
              <w:rPr>
                <w:rFonts w:asciiTheme="minorHAnsi" w:hAnsiTheme="minorHAnsi" w:cstheme="minorHAnsi"/>
                <w:b/>
                <w:i/>
                <w:sz w:val="22"/>
                <w:szCs w:val="22"/>
                <w:lang w:val="en-US"/>
              </w:rPr>
            </w:pPr>
            <w:r w:rsidRPr="00502966">
              <w:rPr>
                <w:rFonts w:asciiTheme="minorHAnsi" w:hAnsiTheme="minorHAnsi" w:cstheme="minorHAnsi"/>
                <w:b/>
                <w:i/>
                <w:lang w:val="en-US"/>
              </w:rPr>
              <w:t>Items that are or may be reclassified to profit or loss:</w:t>
            </w:r>
          </w:p>
        </w:tc>
        <w:tc>
          <w:tcPr>
            <w:tcW w:w="607" w:type="pct"/>
            <w:shd w:val="clear" w:color="auto" w:fill="auto"/>
          </w:tcPr>
          <w:p w14:paraId="7104ECA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Pr>
          <w:p w14:paraId="64F77ACA"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52C28CFA" w14:textId="77777777" w:rsidTr="00B06D81">
        <w:trPr>
          <w:trHeight w:val="211"/>
        </w:trPr>
        <w:tc>
          <w:tcPr>
            <w:tcW w:w="3852" w:type="pct"/>
            <w:gridSpan w:val="2"/>
            <w:shd w:val="solid" w:color="FFFFFF" w:fill="auto"/>
          </w:tcPr>
          <w:p w14:paraId="62052604" w14:textId="77777777" w:rsidR="00D72D0A" w:rsidRPr="00677316" w:rsidRDefault="00D72D0A" w:rsidP="00B06D81">
            <w:pPr>
              <w:autoSpaceDE w:val="0"/>
              <w:autoSpaceDN w:val="0"/>
              <w:adjustRightInd w:val="0"/>
              <w:rPr>
                <w:rFonts w:asciiTheme="minorHAnsi" w:hAnsiTheme="minorHAnsi" w:cstheme="minorHAnsi"/>
                <w:b/>
                <w:sz w:val="22"/>
                <w:szCs w:val="22"/>
                <w:lang w:val="en-US"/>
              </w:rPr>
            </w:pPr>
            <w:r w:rsidRPr="00677316">
              <w:rPr>
                <w:rFonts w:asciiTheme="minorHAnsi" w:hAnsiTheme="minorHAnsi" w:cstheme="minorHAnsi"/>
                <w:b/>
                <w:sz w:val="22"/>
                <w:szCs w:val="22"/>
                <w:lang w:val="en-US"/>
              </w:rPr>
              <w:lastRenderedPageBreak/>
              <w:t>Cash flow hedge reserve movements:</w:t>
            </w:r>
          </w:p>
        </w:tc>
        <w:tc>
          <w:tcPr>
            <w:tcW w:w="607" w:type="pct"/>
            <w:shd w:val="clear" w:color="auto" w:fill="auto"/>
          </w:tcPr>
          <w:p w14:paraId="7A9048C8"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Pr>
          <w:p w14:paraId="0C451EFD"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2A4A16C1" w14:textId="77777777" w:rsidTr="00B06D81">
        <w:trPr>
          <w:trHeight w:val="223"/>
        </w:trPr>
        <w:tc>
          <w:tcPr>
            <w:tcW w:w="3852" w:type="pct"/>
            <w:gridSpan w:val="2"/>
            <w:shd w:val="solid" w:color="FFFFFF" w:fill="auto"/>
          </w:tcPr>
          <w:p w14:paraId="0CA72E16" w14:textId="77777777" w:rsidR="00D72D0A" w:rsidRPr="00677316" w:rsidRDefault="00D72D0A" w:rsidP="00B06D81">
            <w:pPr>
              <w:autoSpaceDE w:val="0"/>
              <w:autoSpaceDN w:val="0"/>
              <w:adjustRightInd w:val="0"/>
              <w:rPr>
                <w:rFonts w:asciiTheme="minorHAnsi" w:hAnsiTheme="minorHAnsi" w:cstheme="minorHAnsi"/>
                <w:b/>
                <w:sz w:val="22"/>
                <w:szCs w:val="22"/>
                <w:lang w:val="en-US"/>
              </w:rPr>
            </w:pPr>
            <w:r w:rsidRPr="00677316">
              <w:rPr>
                <w:rFonts w:asciiTheme="minorHAnsi" w:hAnsiTheme="minorHAnsi" w:cstheme="minorHAnsi"/>
                <w:sz w:val="22"/>
                <w:szCs w:val="22"/>
                <w:lang w:val="en-US"/>
              </w:rPr>
              <w:t>Net movement in cash flow hedge reserve</w:t>
            </w:r>
          </w:p>
        </w:tc>
        <w:tc>
          <w:tcPr>
            <w:tcW w:w="607" w:type="pct"/>
            <w:shd w:val="clear" w:color="auto" w:fill="auto"/>
          </w:tcPr>
          <w:p w14:paraId="049FBE9D"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(51.7)</w:t>
            </w:r>
          </w:p>
        </w:tc>
        <w:tc>
          <w:tcPr>
            <w:tcW w:w="541" w:type="pct"/>
            <w:shd w:val="solid" w:color="FFFFFF" w:fill="auto"/>
          </w:tcPr>
          <w:p w14:paraId="7F603E7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(509.3)</w:t>
            </w:r>
          </w:p>
        </w:tc>
      </w:tr>
      <w:tr w:rsidR="00D72D0A" w:rsidRPr="00677316" w14:paraId="20B30BE4" w14:textId="77777777" w:rsidTr="00B06D81">
        <w:trPr>
          <w:trHeight w:val="211"/>
        </w:trPr>
        <w:tc>
          <w:tcPr>
            <w:tcW w:w="1609" w:type="pct"/>
            <w:shd w:val="solid" w:color="FFFFFF" w:fill="auto"/>
          </w:tcPr>
          <w:p w14:paraId="7757BFC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2243" w:type="pct"/>
            <w:shd w:val="solid" w:color="FFFFFF" w:fill="auto"/>
          </w:tcPr>
          <w:p w14:paraId="7C64408D"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607" w:type="pct"/>
            <w:tcBorders>
              <w:top w:val="single" w:sz="4" w:space="0" w:color="auto"/>
            </w:tcBorders>
            <w:shd w:val="clear" w:color="auto" w:fill="auto"/>
          </w:tcPr>
          <w:p w14:paraId="2D0D61BA"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756AE3D3"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263CFFD2" w14:textId="77777777" w:rsidTr="00B06D81">
        <w:trPr>
          <w:trHeight w:val="211"/>
        </w:trPr>
        <w:tc>
          <w:tcPr>
            <w:tcW w:w="3852" w:type="pct"/>
            <w:gridSpan w:val="2"/>
            <w:shd w:val="solid" w:color="FFFFFF" w:fill="auto"/>
          </w:tcPr>
          <w:p w14:paraId="0FDBF595" w14:textId="7C1A40C6"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Other </w:t>
            </w:r>
            <w:r w:rsidRPr="00FA6972">
              <w:rPr>
                <w:rFonts w:asciiTheme="minorHAnsi" w:hAnsiTheme="minorHAnsi" w:cstheme="minorHAnsi"/>
                <w:b/>
                <w:bCs/>
                <w:color w:val="000000"/>
                <w:sz w:val="22"/>
                <w:szCs w:val="22"/>
              </w:rPr>
              <w:t>comprehensive income</w:t>
            </w:r>
            <w:r w:rsidRPr="00677316">
              <w:rPr>
                <w:rFonts w:asciiTheme="minorHAnsi" w:hAnsiTheme="minorHAnsi" w:cstheme="minorHAnsi"/>
                <w:b/>
                <w:bCs/>
                <w:color w:val="000000"/>
                <w:sz w:val="22"/>
                <w:szCs w:val="22"/>
              </w:rPr>
              <w:t xml:space="preserve"> for the </w:t>
            </w:r>
            <w:r>
              <w:rPr>
                <w:rFonts w:asciiTheme="minorHAnsi" w:hAnsiTheme="minorHAnsi" w:cstheme="minorHAnsi"/>
                <w:b/>
                <w:bCs/>
                <w:color w:val="000000"/>
                <w:sz w:val="22"/>
                <w:szCs w:val="22"/>
              </w:rPr>
              <w:t>quarter</w:t>
            </w:r>
            <w:r w:rsidRPr="00677316">
              <w:rPr>
                <w:rFonts w:asciiTheme="minorHAnsi" w:hAnsiTheme="minorHAnsi" w:cstheme="minorHAnsi"/>
                <w:b/>
                <w:bCs/>
                <w:color w:val="000000"/>
                <w:sz w:val="22"/>
                <w:szCs w:val="22"/>
              </w:rPr>
              <w:t>, net of income tax</w:t>
            </w:r>
          </w:p>
        </w:tc>
        <w:tc>
          <w:tcPr>
            <w:tcW w:w="607" w:type="pct"/>
            <w:tcBorders>
              <w:bottom w:val="single" w:sz="4" w:space="0" w:color="auto"/>
            </w:tcBorders>
            <w:shd w:val="clear" w:color="auto" w:fill="auto"/>
          </w:tcPr>
          <w:p w14:paraId="0469211C"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(51.7)</w:t>
            </w:r>
          </w:p>
        </w:tc>
        <w:tc>
          <w:tcPr>
            <w:tcW w:w="541" w:type="pct"/>
            <w:tcBorders>
              <w:bottom w:val="single" w:sz="4" w:space="0" w:color="auto"/>
            </w:tcBorders>
            <w:shd w:val="solid" w:color="FFFFFF" w:fill="auto"/>
          </w:tcPr>
          <w:p w14:paraId="5027E9B1"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(509.3)</w:t>
            </w:r>
          </w:p>
        </w:tc>
      </w:tr>
      <w:tr w:rsidR="00D72D0A" w:rsidRPr="00677316" w14:paraId="251B41E4" w14:textId="77777777" w:rsidTr="00B06D81">
        <w:trPr>
          <w:trHeight w:val="211"/>
        </w:trPr>
        <w:tc>
          <w:tcPr>
            <w:tcW w:w="3852" w:type="pct"/>
            <w:gridSpan w:val="2"/>
            <w:shd w:val="solid" w:color="FFFFFF" w:fill="auto"/>
          </w:tcPr>
          <w:p w14:paraId="0D2EF0EF"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p>
        </w:tc>
        <w:tc>
          <w:tcPr>
            <w:tcW w:w="607" w:type="pct"/>
            <w:tcBorders>
              <w:top w:val="single" w:sz="4" w:space="0" w:color="auto"/>
            </w:tcBorders>
            <w:shd w:val="clear" w:color="auto" w:fill="auto"/>
          </w:tcPr>
          <w:p w14:paraId="5CDDCBE7"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43E436E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5A81A46B" w14:textId="77777777" w:rsidTr="00B06D81">
        <w:trPr>
          <w:trHeight w:val="211"/>
        </w:trPr>
        <w:tc>
          <w:tcPr>
            <w:tcW w:w="3852" w:type="pct"/>
            <w:gridSpan w:val="2"/>
            <w:shd w:val="solid" w:color="FFFFFF" w:fill="auto"/>
          </w:tcPr>
          <w:p w14:paraId="21BB98FA" w14:textId="62BFB19C"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Total comprehensive income for the </w:t>
            </w:r>
            <w:r>
              <w:rPr>
                <w:rFonts w:asciiTheme="minorHAnsi" w:hAnsiTheme="minorHAnsi" w:cstheme="minorHAnsi"/>
                <w:b/>
                <w:bCs/>
                <w:color w:val="000000"/>
                <w:sz w:val="22"/>
                <w:szCs w:val="22"/>
              </w:rPr>
              <w:t>quarter</w:t>
            </w:r>
            <w:r w:rsidR="00A3268A">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 xml:space="preserve"> </w:t>
            </w:r>
            <w:r w:rsidRPr="00677316">
              <w:rPr>
                <w:rFonts w:asciiTheme="minorHAnsi" w:hAnsiTheme="minorHAnsi" w:cstheme="minorHAnsi"/>
                <w:b/>
                <w:bCs/>
                <w:color w:val="000000"/>
                <w:sz w:val="22"/>
                <w:szCs w:val="22"/>
              </w:rPr>
              <w:t>attributable to equity holders of parent</w:t>
            </w:r>
          </w:p>
        </w:tc>
        <w:tc>
          <w:tcPr>
            <w:tcW w:w="607" w:type="pct"/>
            <w:tcBorders>
              <w:bottom w:val="single" w:sz="4" w:space="0" w:color="auto"/>
            </w:tcBorders>
            <w:shd w:val="clear" w:color="auto" w:fill="auto"/>
          </w:tcPr>
          <w:p w14:paraId="34E87DCC"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36.1</w:t>
            </w:r>
          </w:p>
        </w:tc>
        <w:tc>
          <w:tcPr>
            <w:tcW w:w="541" w:type="pct"/>
            <w:tcBorders>
              <w:bottom w:val="single" w:sz="4" w:space="0" w:color="auto"/>
            </w:tcBorders>
            <w:shd w:val="solid" w:color="FFFFFF" w:fill="auto"/>
          </w:tcPr>
          <w:p w14:paraId="562EBFD1"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(575.4)</w:t>
            </w:r>
          </w:p>
        </w:tc>
      </w:tr>
    </w:tbl>
    <w:p w14:paraId="3A8D8180" w14:textId="77777777" w:rsidR="00D72D0A" w:rsidRDefault="00D72D0A" w:rsidP="00D72D0A">
      <w:pPr>
        <w:rPr>
          <w:rFonts w:asciiTheme="minorHAnsi" w:hAnsiTheme="minorHAnsi" w:cstheme="minorHAnsi"/>
          <w:b/>
          <w:bCs/>
          <w:color w:val="000000"/>
        </w:rPr>
      </w:pPr>
    </w:p>
    <w:p w14:paraId="744C952F" w14:textId="77777777" w:rsidR="00D72D0A" w:rsidRDefault="00D72D0A" w:rsidP="00D72D0A">
      <w:pPr>
        <w:rPr>
          <w:rFonts w:asciiTheme="minorHAnsi" w:hAnsiTheme="minorHAnsi" w:cstheme="minorHAnsi"/>
          <w:b/>
          <w:bCs/>
          <w:color w:val="000000"/>
        </w:rPr>
      </w:pPr>
    </w:p>
    <w:p w14:paraId="61ADE32A" w14:textId="26ED2FB9" w:rsidR="00D72D0A" w:rsidRDefault="00D72D0A" w:rsidP="00D72D0A">
      <w:pPr>
        <w:rPr>
          <w:rFonts w:asciiTheme="minorHAnsi" w:hAnsiTheme="minorHAnsi" w:cstheme="minorHAnsi"/>
          <w:b/>
          <w:bCs/>
          <w:color w:val="000000"/>
        </w:rPr>
      </w:pPr>
      <w:r w:rsidRPr="00991F11">
        <w:rPr>
          <w:rFonts w:asciiTheme="minorHAnsi" w:hAnsiTheme="minorHAnsi" w:cstheme="minorHAnsi"/>
          <w:b/>
          <w:bCs/>
          <w:color w:val="000000"/>
        </w:rPr>
        <w:t>Ryanair Holdings plc and Subsidiaries</w:t>
      </w:r>
    </w:p>
    <w:p w14:paraId="66F0B007" w14:textId="77777777" w:rsidR="00D72D0A" w:rsidRDefault="00D72D0A" w:rsidP="00D72D0A">
      <w:pPr>
        <w:rPr>
          <w:rFonts w:asciiTheme="minorHAnsi" w:hAnsiTheme="minorHAnsi" w:cstheme="minorHAnsi"/>
          <w:b/>
          <w:bCs/>
          <w:i/>
          <w:iCs/>
          <w:color w:val="000000"/>
        </w:rPr>
      </w:pPr>
    </w:p>
    <w:p w14:paraId="3A9DDA5B" w14:textId="77777777" w:rsidR="00D72D0A" w:rsidRDefault="00D72D0A" w:rsidP="00D72D0A">
      <w:pPr>
        <w:widowControl w:val="0"/>
        <w:rPr>
          <w:rFonts w:ascii="Calibri" w:hAnsi="Calibri" w:cs="Calibri"/>
          <w:b/>
          <w:bCs/>
          <w:i/>
          <w:iCs/>
          <w:color w:val="000000"/>
        </w:rPr>
      </w:pPr>
      <w:r w:rsidRPr="00DB22BA">
        <w:rPr>
          <w:rFonts w:ascii="Calibri" w:hAnsi="Calibri" w:cs="Calibri"/>
          <w:b/>
          <w:bCs/>
          <w:i/>
          <w:iCs/>
          <w:color w:val="000000"/>
        </w:rPr>
        <w:t xml:space="preserve">Condensed Consolidated </w:t>
      </w:r>
      <w:r>
        <w:rPr>
          <w:rFonts w:ascii="Calibri" w:hAnsi="Calibri" w:cs="Calibri"/>
          <w:b/>
          <w:bCs/>
          <w:i/>
          <w:iCs/>
          <w:color w:val="000000"/>
        </w:rPr>
        <w:t>Interim</w:t>
      </w:r>
      <w:r w:rsidRPr="00DB22BA">
        <w:rPr>
          <w:rFonts w:ascii="Calibri" w:hAnsi="Calibri" w:cs="Calibri"/>
          <w:b/>
          <w:bCs/>
          <w:i/>
          <w:iCs/>
          <w:color w:val="000000"/>
        </w:rPr>
        <w:t xml:space="preserve"> Statement of Comprehensive Income for the </w:t>
      </w:r>
      <w:r>
        <w:rPr>
          <w:rFonts w:ascii="Calibri" w:hAnsi="Calibri" w:cs="Calibri"/>
          <w:b/>
          <w:bCs/>
          <w:i/>
          <w:iCs/>
          <w:color w:val="000000"/>
        </w:rPr>
        <w:t>quarter e</w:t>
      </w:r>
      <w:r w:rsidRPr="00DB22BA">
        <w:rPr>
          <w:rFonts w:ascii="Calibri" w:hAnsi="Calibri" w:cs="Calibri"/>
          <w:b/>
          <w:bCs/>
          <w:i/>
          <w:iCs/>
          <w:color w:val="000000"/>
        </w:rPr>
        <w:t xml:space="preserve">nded </w:t>
      </w:r>
    </w:p>
    <w:p w14:paraId="54CE986B" w14:textId="77777777" w:rsidR="00D72D0A" w:rsidRPr="00DB22BA" w:rsidRDefault="00D72D0A" w:rsidP="00D72D0A">
      <w:pPr>
        <w:widowControl w:val="0"/>
        <w:rPr>
          <w:rFonts w:ascii="Calibri" w:hAnsi="Calibri" w:cs="Calibri"/>
          <w:b/>
          <w:bCs/>
          <w:i/>
          <w:iCs/>
          <w:color w:val="000000"/>
          <w:sz w:val="22"/>
          <w:szCs w:val="22"/>
        </w:rPr>
      </w:pPr>
      <w:r>
        <w:rPr>
          <w:rFonts w:ascii="Calibri" w:hAnsi="Calibri" w:cs="Calibri"/>
          <w:b/>
          <w:bCs/>
          <w:i/>
          <w:iCs/>
          <w:color w:val="000000"/>
        </w:rPr>
        <w:t>December 31</w:t>
      </w:r>
      <w:r w:rsidRPr="00DB22BA">
        <w:rPr>
          <w:rFonts w:ascii="Calibri" w:hAnsi="Calibri" w:cs="Calibri"/>
          <w:b/>
          <w:bCs/>
          <w:i/>
          <w:iCs/>
          <w:color w:val="000000"/>
        </w:rPr>
        <w:t>, 201</w:t>
      </w:r>
      <w:r>
        <w:rPr>
          <w:rFonts w:ascii="Calibri" w:hAnsi="Calibri" w:cs="Calibri"/>
          <w:b/>
          <w:bCs/>
          <w:i/>
          <w:iCs/>
          <w:color w:val="000000"/>
        </w:rPr>
        <w:t>9</w:t>
      </w:r>
      <w:r w:rsidRPr="00DB22BA">
        <w:rPr>
          <w:rFonts w:ascii="Calibri" w:hAnsi="Calibri" w:cs="Calibri"/>
          <w:b/>
          <w:bCs/>
          <w:i/>
          <w:iCs/>
          <w:color w:val="000000"/>
        </w:rPr>
        <w:t xml:space="preserve"> (unaudited</w:t>
      </w:r>
      <w:r w:rsidRPr="00DB22BA">
        <w:rPr>
          <w:rFonts w:ascii="Calibri" w:hAnsi="Calibri" w:cs="Calibri"/>
          <w:b/>
          <w:bCs/>
          <w:i/>
          <w:iCs/>
          <w:color w:val="000000"/>
          <w:sz w:val="22"/>
          <w:szCs w:val="22"/>
        </w:rPr>
        <w:t>)</w:t>
      </w:r>
    </w:p>
    <w:p w14:paraId="14BA2607" w14:textId="77777777" w:rsidR="00D72D0A" w:rsidRPr="00677316" w:rsidRDefault="00D72D0A" w:rsidP="00D72D0A">
      <w:pPr>
        <w:rPr>
          <w:rFonts w:asciiTheme="minorHAnsi" w:hAnsiTheme="minorHAnsi" w:cstheme="minorHAnsi"/>
          <w:b/>
          <w:bCs/>
          <w:i/>
          <w:iCs/>
          <w:color w:val="000000"/>
          <w:sz w:val="22"/>
          <w:szCs w:val="22"/>
        </w:rPr>
      </w:pPr>
    </w:p>
    <w:tbl>
      <w:tblPr>
        <w:tblW w:w="10490" w:type="dxa"/>
        <w:tblLook w:val="0000" w:firstRow="0" w:lastRow="0" w:firstColumn="0" w:lastColumn="0" w:noHBand="0" w:noVBand="0"/>
      </w:tblPr>
      <w:tblGrid>
        <w:gridCol w:w="3376"/>
        <w:gridCol w:w="4706"/>
        <w:gridCol w:w="1273"/>
        <w:gridCol w:w="1135"/>
      </w:tblGrid>
      <w:tr w:rsidR="00D72D0A" w:rsidRPr="00677316" w14:paraId="17A26001" w14:textId="77777777" w:rsidTr="00B06D81">
        <w:trPr>
          <w:trHeight w:val="259"/>
        </w:trPr>
        <w:tc>
          <w:tcPr>
            <w:tcW w:w="3852" w:type="pct"/>
            <w:gridSpan w:val="2"/>
            <w:shd w:val="solid" w:color="FFFFFF" w:fill="auto"/>
          </w:tcPr>
          <w:p w14:paraId="44519643" w14:textId="77777777" w:rsidR="00D72D0A" w:rsidRPr="00677316" w:rsidRDefault="00D72D0A" w:rsidP="00B06D81">
            <w:pPr>
              <w:autoSpaceDE w:val="0"/>
              <w:autoSpaceDN w:val="0"/>
              <w:adjustRightInd w:val="0"/>
              <w:rPr>
                <w:rFonts w:asciiTheme="minorHAnsi" w:hAnsiTheme="minorHAnsi" w:cstheme="minorHAnsi"/>
                <w:b/>
                <w:bCs/>
                <w:i/>
                <w:iCs/>
                <w:color w:val="000000"/>
                <w:sz w:val="22"/>
                <w:szCs w:val="22"/>
              </w:rPr>
            </w:pPr>
          </w:p>
        </w:tc>
        <w:tc>
          <w:tcPr>
            <w:tcW w:w="607" w:type="pct"/>
            <w:shd w:val="clear" w:color="auto" w:fill="auto"/>
          </w:tcPr>
          <w:p w14:paraId="08FE5944"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p>
        </w:tc>
        <w:tc>
          <w:tcPr>
            <w:tcW w:w="541" w:type="pct"/>
            <w:shd w:val="solid" w:color="FFFFFF" w:fill="auto"/>
          </w:tcPr>
          <w:p w14:paraId="20B33FC6"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2FB0AC5C" w14:textId="77777777" w:rsidTr="00B06D81">
        <w:trPr>
          <w:trHeight w:val="211"/>
        </w:trPr>
        <w:tc>
          <w:tcPr>
            <w:tcW w:w="3852" w:type="pct"/>
            <w:gridSpan w:val="2"/>
          </w:tcPr>
          <w:p w14:paraId="4B49CE5E"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auto"/>
          </w:tcPr>
          <w:p w14:paraId="697EDB57"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 Months</w:t>
            </w:r>
          </w:p>
        </w:tc>
        <w:tc>
          <w:tcPr>
            <w:tcW w:w="541" w:type="pct"/>
            <w:shd w:val="solid" w:color="FFFFFF" w:fill="auto"/>
          </w:tcPr>
          <w:p w14:paraId="42B187B9" w14:textId="77777777" w:rsidR="00D72D0A" w:rsidRPr="004043D3"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9 Months</w:t>
            </w:r>
          </w:p>
        </w:tc>
      </w:tr>
      <w:tr w:rsidR="00D72D0A" w:rsidRPr="00677316" w14:paraId="789CD9F8" w14:textId="77777777" w:rsidTr="00B06D81">
        <w:trPr>
          <w:trHeight w:val="211"/>
        </w:trPr>
        <w:tc>
          <w:tcPr>
            <w:tcW w:w="3852" w:type="pct"/>
            <w:gridSpan w:val="2"/>
          </w:tcPr>
          <w:p w14:paraId="27D10B55"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auto"/>
          </w:tcPr>
          <w:p w14:paraId="19AC816A"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Ended</w:t>
            </w:r>
          </w:p>
        </w:tc>
        <w:tc>
          <w:tcPr>
            <w:tcW w:w="541" w:type="pct"/>
            <w:shd w:val="solid" w:color="FFFFFF" w:fill="auto"/>
          </w:tcPr>
          <w:p w14:paraId="09ED8891"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Ended</w:t>
            </w:r>
          </w:p>
        </w:tc>
      </w:tr>
      <w:tr w:rsidR="00D72D0A" w:rsidRPr="00677316" w14:paraId="733A273F" w14:textId="77777777" w:rsidTr="00B06D81">
        <w:trPr>
          <w:trHeight w:val="211"/>
        </w:trPr>
        <w:tc>
          <w:tcPr>
            <w:tcW w:w="3852" w:type="pct"/>
            <w:gridSpan w:val="2"/>
          </w:tcPr>
          <w:p w14:paraId="3463013F"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auto"/>
          </w:tcPr>
          <w:p w14:paraId="553394FE" w14:textId="77777777" w:rsidR="00D72D0A"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Dec 31,</w:t>
            </w:r>
          </w:p>
        </w:tc>
        <w:tc>
          <w:tcPr>
            <w:tcW w:w="541" w:type="pct"/>
            <w:shd w:val="solid" w:color="FFFFFF" w:fill="auto"/>
          </w:tcPr>
          <w:p w14:paraId="36E7BC93" w14:textId="77777777" w:rsidR="00D72D0A"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Dec 31,</w:t>
            </w:r>
          </w:p>
        </w:tc>
      </w:tr>
      <w:tr w:rsidR="00D72D0A" w:rsidRPr="00677316" w14:paraId="7C10B693" w14:textId="77777777" w:rsidTr="00B06D81">
        <w:trPr>
          <w:trHeight w:val="211"/>
        </w:trPr>
        <w:tc>
          <w:tcPr>
            <w:tcW w:w="3852" w:type="pct"/>
            <w:gridSpan w:val="2"/>
          </w:tcPr>
          <w:p w14:paraId="19007F8B"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auto"/>
          </w:tcPr>
          <w:p w14:paraId="4329C17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2019</w:t>
            </w:r>
          </w:p>
        </w:tc>
        <w:tc>
          <w:tcPr>
            <w:tcW w:w="541" w:type="pct"/>
            <w:shd w:val="solid" w:color="FFFFFF" w:fill="auto"/>
          </w:tcPr>
          <w:p w14:paraId="33EF3D55"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2018</w:t>
            </w:r>
          </w:p>
        </w:tc>
      </w:tr>
      <w:tr w:rsidR="00D72D0A" w:rsidRPr="00677316" w14:paraId="117D38E7" w14:textId="77777777" w:rsidTr="00B06D81">
        <w:trPr>
          <w:trHeight w:val="211"/>
        </w:trPr>
        <w:tc>
          <w:tcPr>
            <w:tcW w:w="3852" w:type="pct"/>
            <w:gridSpan w:val="2"/>
          </w:tcPr>
          <w:p w14:paraId="2839174C"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auto"/>
          </w:tcPr>
          <w:p w14:paraId="313F75AF"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w:t>
            </w:r>
            <w:r>
              <w:rPr>
                <w:rFonts w:asciiTheme="minorHAnsi" w:hAnsiTheme="minorHAnsi" w:cstheme="minorHAnsi"/>
                <w:b/>
                <w:bCs/>
                <w:color w:val="000000"/>
                <w:sz w:val="22"/>
                <w:szCs w:val="22"/>
                <w:u w:val="single"/>
              </w:rPr>
              <w:t>M</w:t>
            </w:r>
          </w:p>
        </w:tc>
        <w:tc>
          <w:tcPr>
            <w:tcW w:w="541" w:type="pct"/>
            <w:shd w:val="solid" w:color="FFFFFF" w:fill="auto"/>
          </w:tcPr>
          <w:p w14:paraId="6A928174"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u w:val="single"/>
              </w:rPr>
            </w:pPr>
            <w:r w:rsidRPr="00677316">
              <w:rPr>
                <w:rFonts w:asciiTheme="minorHAnsi" w:hAnsiTheme="minorHAnsi" w:cstheme="minorHAnsi"/>
                <w:color w:val="000000"/>
                <w:sz w:val="22"/>
                <w:szCs w:val="22"/>
                <w:u w:val="single"/>
              </w:rPr>
              <w:t>€</w:t>
            </w:r>
            <w:r>
              <w:rPr>
                <w:rFonts w:asciiTheme="minorHAnsi" w:hAnsiTheme="minorHAnsi" w:cstheme="minorHAnsi"/>
                <w:color w:val="000000"/>
                <w:sz w:val="22"/>
                <w:szCs w:val="22"/>
                <w:u w:val="single"/>
              </w:rPr>
              <w:t>M</w:t>
            </w:r>
          </w:p>
        </w:tc>
      </w:tr>
      <w:tr w:rsidR="00D72D0A" w:rsidRPr="00677316" w14:paraId="690913F5" w14:textId="77777777" w:rsidTr="00B06D81">
        <w:trPr>
          <w:trHeight w:val="211"/>
        </w:trPr>
        <w:tc>
          <w:tcPr>
            <w:tcW w:w="3852" w:type="pct"/>
            <w:gridSpan w:val="2"/>
          </w:tcPr>
          <w:p w14:paraId="0BFCAFC4"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auto"/>
          </w:tcPr>
          <w:p w14:paraId="77EFAE5E"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u w:val="single"/>
              </w:rPr>
            </w:pPr>
          </w:p>
        </w:tc>
        <w:tc>
          <w:tcPr>
            <w:tcW w:w="541" w:type="pct"/>
            <w:shd w:val="solid" w:color="FFFFFF" w:fill="auto"/>
          </w:tcPr>
          <w:p w14:paraId="410146E2"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u w:val="single"/>
              </w:rPr>
            </w:pPr>
          </w:p>
        </w:tc>
      </w:tr>
      <w:tr w:rsidR="00D72D0A" w:rsidRPr="00677316" w14:paraId="26E656E5" w14:textId="77777777" w:rsidTr="00B06D81">
        <w:trPr>
          <w:trHeight w:val="211"/>
        </w:trPr>
        <w:tc>
          <w:tcPr>
            <w:tcW w:w="3852" w:type="pct"/>
            <w:gridSpan w:val="2"/>
            <w:shd w:val="solid" w:color="FFFFFF" w:fill="auto"/>
          </w:tcPr>
          <w:p w14:paraId="1C4F7F43"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Profit for the nine months</w:t>
            </w:r>
          </w:p>
        </w:tc>
        <w:tc>
          <w:tcPr>
            <w:tcW w:w="607" w:type="pct"/>
            <w:tcBorders>
              <w:bottom w:val="single" w:sz="4" w:space="0" w:color="auto"/>
            </w:tcBorders>
            <w:shd w:val="clear" w:color="auto" w:fill="auto"/>
          </w:tcPr>
          <w:p w14:paraId="30D1FE57"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1,240.4</w:t>
            </w:r>
          </w:p>
        </w:tc>
        <w:tc>
          <w:tcPr>
            <w:tcW w:w="541" w:type="pct"/>
            <w:tcBorders>
              <w:bottom w:val="single" w:sz="4" w:space="0" w:color="auto"/>
            </w:tcBorders>
            <w:shd w:val="solid" w:color="FFFFFF" w:fill="auto"/>
          </w:tcPr>
          <w:p w14:paraId="031710A6"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1,084.6</w:t>
            </w:r>
          </w:p>
        </w:tc>
      </w:tr>
      <w:tr w:rsidR="00D72D0A" w:rsidRPr="00677316" w14:paraId="7BF185F1" w14:textId="77777777" w:rsidTr="00B06D81">
        <w:trPr>
          <w:trHeight w:val="211"/>
        </w:trPr>
        <w:tc>
          <w:tcPr>
            <w:tcW w:w="3852" w:type="pct"/>
            <w:gridSpan w:val="2"/>
            <w:shd w:val="solid" w:color="FFFFFF" w:fill="auto"/>
          </w:tcPr>
          <w:p w14:paraId="6DA05792"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p>
        </w:tc>
        <w:tc>
          <w:tcPr>
            <w:tcW w:w="607" w:type="pct"/>
            <w:tcBorders>
              <w:top w:val="single" w:sz="4" w:space="0" w:color="auto"/>
            </w:tcBorders>
            <w:shd w:val="clear" w:color="auto" w:fill="auto"/>
          </w:tcPr>
          <w:p w14:paraId="3B4C7EB7"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00A603EF"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31C54C52" w14:textId="77777777" w:rsidTr="00B06D81">
        <w:trPr>
          <w:trHeight w:val="211"/>
        </w:trPr>
        <w:tc>
          <w:tcPr>
            <w:tcW w:w="3852" w:type="pct"/>
            <w:gridSpan w:val="2"/>
            <w:shd w:val="solid" w:color="FFFFFF" w:fill="auto"/>
          </w:tcPr>
          <w:p w14:paraId="7BAC6F80" w14:textId="77777777" w:rsidR="00D72D0A" w:rsidRPr="00677316" w:rsidRDefault="00D72D0A" w:rsidP="00B06D81">
            <w:pPr>
              <w:autoSpaceDE w:val="0"/>
              <w:autoSpaceDN w:val="0"/>
              <w:adjustRightInd w:val="0"/>
              <w:spacing w:after="120"/>
              <w:rPr>
                <w:rFonts w:asciiTheme="minorHAnsi" w:hAnsiTheme="minorHAnsi" w:cstheme="minorHAnsi"/>
                <w:b/>
                <w:color w:val="000000"/>
                <w:sz w:val="22"/>
                <w:szCs w:val="22"/>
              </w:rPr>
            </w:pPr>
            <w:r w:rsidRPr="00677316">
              <w:rPr>
                <w:rFonts w:asciiTheme="minorHAnsi" w:hAnsiTheme="minorHAnsi" w:cstheme="minorHAnsi"/>
                <w:b/>
                <w:color w:val="000000"/>
                <w:sz w:val="22"/>
                <w:szCs w:val="22"/>
              </w:rPr>
              <w:t>Other comprehensive income:</w:t>
            </w:r>
          </w:p>
        </w:tc>
        <w:tc>
          <w:tcPr>
            <w:tcW w:w="607" w:type="pct"/>
            <w:shd w:val="clear" w:color="auto" w:fill="auto"/>
          </w:tcPr>
          <w:p w14:paraId="213E7E1C" w14:textId="77777777" w:rsidR="00D72D0A" w:rsidRPr="00677316" w:rsidRDefault="00D72D0A" w:rsidP="00B06D81">
            <w:pPr>
              <w:autoSpaceDE w:val="0"/>
              <w:autoSpaceDN w:val="0"/>
              <w:adjustRightInd w:val="0"/>
              <w:spacing w:after="120"/>
              <w:jc w:val="right"/>
              <w:rPr>
                <w:rFonts w:asciiTheme="minorHAnsi" w:hAnsiTheme="minorHAnsi" w:cstheme="minorHAnsi"/>
                <w:b/>
                <w:bCs/>
                <w:color w:val="000000"/>
                <w:sz w:val="22"/>
                <w:szCs w:val="22"/>
              </w:rPr>
            </w:pPr>
          </w:p>
        </w:tc>
        <w:tc>
          <w:tcPr>
            <w:tcW w:w="541" w:type="pct"/>
          </w:tcPr>
          <w:p w14:paraId="7578AE58" w14:textId="77777777" w:rsidR="00D72D0A" w:rsidRPr="00677316" w:rsidRDefault="00D72D0A" w:rsidP="00B06D81">
            <w:pPr>
              <w:autoSpaceDE w:val="0"/>
              <w:autoSpaceDN w:val="0"/>
              <w:adjustRightInd w:val="0"/>
              <w:spacing w:after="120"/>
              <w:jc w:val="right"/>
              <w:rPr>
                <w:rFonts w:asciiTheme="minorHAnsi" w:hAnsiTheme="minorHAnsi" w:cstheme="minorHAnsi"/>
                <w:color w:val="000000"/>
                <w:sz w:val="22"/>
                <w:szCs w:val="22"/>
              </w:rPr>
            </w:pPr>
          </w:p>
        </w:tc>
      </w:tr>
      <w:tr w:rsidR="00D72D0A" w:rsidRPr="00677316" w14:paraId="41F48E77" w14:textId="77777777" w:rsidTr="00B06D81">
        <w:trPr>
          <w:trHeight w:val="211"/>
        </w:trPr>
        <w:tc>
          <w:tcPr>
            <w:tcW w:w="3852" w:type="pct"/>
            <w:gridSpan w:val="2"/>
            <w:shd w:val="solid" w:color="FFFFFF" w:fill="auto"/>
          </w:tcPr>
          <w:p w14:paraId="790DC46C" w14:textId="77777777" w:rsidR="00D72D0A" w:rsidRPr="00502966" w:rsidRDefault="00D72D0A" w:rsidP="00B06D81">
            <w:pPr>
              <w:autoSpaceDE w:val="0"/>
              <w:autoSpaceDN w:val="0"/>
              <w:adjustRightInd w:val="0"/>
              <w:spacing w:after="60"/>
              <w:rPr>
                <w:rFonts w:asciiTheme="minorHAnsi" w:hAnsiTheme="minorHAnsi" w:cstheme="minorHAnsi"/>
                <w:b/>
                <w:i/>
                <w:sz w:val="22"/>
                <w:szCs w:val="22"/>
                <w:lang w:val="en-US"/>
              </w:rPr>
            </w:pPr>
            <w:r w:rsidRPr="00502966">
              <w:rPr>
                <w:rFonts w:asciiTheme="minorHAnsi" w:hAnsiTheme="minorHAnsi" w:cstheme="minorHAnsi"/>
                <w:b/>
                <w:i/>
                <w:lang w:val="en-US"/>
              </w:rPr>
              <w:t>Items that are or may be reclassified to profit or loss:</w:t>
            </w:r>
          </w:p>
        </w:tc>
        <w:tc>
          <w:tcPr>
            <w:tcW w:w="607" w:type="pct"/>
            <w:shd w:val="clear" w:color="auto" w:fill="auto"/>
          </w:tcPr>
          <w:p w14:paraId="20354CE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Pr>
          <w:p w14:paraId="37D35870"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746B5580" w14:textId="77777777" w:rsidTr="00B06D81">
        <w:trPr>
          <w:trHeight w:val="211"/>
        </w:trPr>
        <w:tc>
          <w:tcPr>
            <w:tcW w:w="3852" w:type="pct"/>
            <w:gridSpan w:val="2"/>
            <w:shd w:val="solid" w:color="FFFFFF" w:fill="auto"/>
          </w:tcPr>
          <w:p w14:paraId="5E0A3389" w14:textId="77777777" w:rsidR="00D72D0A" w:rsidRPr="00677316" w:rsidRDefault="00D72D0A" w:rsidP="00B06D81">
            <w:pPr>
              <w:autoSpaceDE w:val="0"/>
              <w:autoSpaceDN w:val="0"/>
              <w:adjustRightInd w:val="0"/>
              <w:rPr>
                <w:rFonts w:asciiTheme="minorHAnsi" w:hAnsiTheme="minorHAnsi" w:cstheme="minorHAnsi"/>
                <w:b/>
                <w:sz w:val="22"/>
                <w:szCs w:val="22"/>
                <w:lang w:val="en-US"/>
              </w:rPr>
            </w:pPr>
            <w:r w:rsidRPr="00677316">
              <w:rPr>
                <w:rFonts w:asciiTheme="minorHAnsi" w:hAnsiTheme="minorHAnsi" w:cstheme="minorHAnsi"/>
                <w:b/>
                <w:sz w:val="22"/>
                <w:szCs w:val="22"/>
                <w:lang w:val="en-US"/>
              </w:rPr>
              <w:t>Cash flow hedge reserve movements:</w:t>
            </w:r>
          </w:p>
        </w:tc>
        <w:tc>
          <w:tcPr>
            <w:tcW w:w="607" w:type="pct"/>
            <w:shd w:val="clear" w:color="auto" w:fill="auto"/>
          </w:tcPr>
          <w:p w14:paraId="4867F37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Pr>
          <w:p w14:paraId="56F44797"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790ABFC4" w14:textId="77777777" w:rsidTr="00B06D81">
        <w:trPr>
          <w:trHeight w:val="223"/>
        </w:trPr>
        <w:tc>
          <w:tcPr>
            <w:tcW w:w="3852" w:type="pct"/>
            <w:gridSpan w:val="2"/>
            <w:shd w:val="solid" w:color="FFFFFF" w:fill="auto"/>
          </w:tcPr>
          <w:p w14:paraId="54BC140C" w14:textId="77777777" w:rsidR="00D72D0A" w:rsidRPr="00677316" w:rsidRDefault="00D72D0A" w:rsidP="00B06D81">
            <w:pPr>
              <w:autoSpaceDE w:val="0"/>
              <w:autoSpaceDN w:val="0"/>
              <w:adjustRightInd w:val="0"/>
              <w:rPr>
                <w:rFonts w:asciiTheme="minorHAnsi" w:hAnsiTheme="minorHAnsi" w:cstheme="minorHAnsi"/>
                <w:b/>
                <w:sz w:val="22"/>
                <w:szCs w:val="22"/>
                <w:lang w:val="en-US"/>
              </w:rPr>
            </w:pPr>
            <w:r w:rsidRPr="00677316">
              <w:rPr>
                <w:rFonts w:asciiTheme="minorHAnsi" w:hAnsiTheme="minorHAnsi" w:cstheme="minorHAnsi"/>
                <w:sz w:val="22"/>
                <w:szCs w:val="22"/>
                <w:lang w:val="en-US"/>
              </w:rPr>
              <w:t>Net movement in cash flow hedge reserve</w:t>
            </w:r>
          </w:p>
        </w:tc>
        <w:tc>
          <w:tcPr>
            <w:tcW w:w="607" w:type="pct"/>
            <w:shd w:val="clear" w:color="auto" w:fill="auto"/>
          </w:tcPr>
          <w:p w14:paraId="4E59F6A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164.8</w:t>
            </w:r>
          </w:p>
        </w:tc>
        <w:tc>
          <w:tcPr>
            <w:tcW w:w="541" w:type="pct"/>
            <w:shd w:val="solid" w:color="FFFFFF" w:fill="auto"/>
          </w:tcPr>
          <w:p w14:paraId="6C57A2BB"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134.0</w:t>
            </w:r>
          </w:p>
        </w:tc>
      </w:tr>
      <w:tr w:rsidR="00D72D0A" w:rsidRPr="00677316" w14:paraId="012D697A" w14:textId="77777777" w:rsidTr="00B06D81">
        <w:trPr>
          <w:trHeight w:val="211"/>
        </w:trPr>
        <w:tc>
          <w:tcPr>
            <w:tcW w:w="1609" w:type="pct"/>
            <w:shd w:val="solid" w:color="FFFFFF" w:fill="auto"/>
          </w:tcPr>
          <w:p w14:paraId="2C6BA85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2243" w:type="pct"/>
            <w:shd w:val="solid" w:color="FFFFFF" w:fill="auto"/>
          </w:tcPr>
          <w:p w14:paraId="39258E89"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607" w:type="pct"/>
            <w:tcBorders>
              <w:top w:val="single" w:sz="4" w:space="0" w:color="auto"/>
            </w:tcBorders>
            <w:shd w:val="clear" w:color="auto" w:fill="auto"/>
          </w:tcPr>
          <w:p w14:paraId="70D9E67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726AAAF5"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306C06E5" w14:textId="77777777" w:rsidTr="00B06D81">
        <w:trPr>
          <w:trHeight w:val="211"/>
        </w:trPr>
        <w:tc>
          <w:tcPr>
            <w:tcW w:w="3852" w:type="pct"/>
            <w:gridSpan w:val="2"/>
            <w:shd w:val="solid" w:color="FFFFFF" w:fill="auto"/>
          </w:tcPr>
          <w:p w14:paraId="46341329"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Other </w:t>
            </w:r>
            <w:r w:rsidRPr="00FA6972">
              <w:rPr>
                <w:rFonts w:asciiTheme="minorHAnsi" w:hAnsiTheme="minorHAnsi" w:cstheme="minorHAnsi"/>
                <w:b/>
                <w:bCs/>
                <w:color w:val="000000"/>
                <w:sz w:val="22"/>
                <w:szCs w:val="22"/>
              </w:rPr>
              <w:t>comprehensive income</w:t>
            </w:r>
            <w:r>
              <w:rPr>
                <w:rFonts w:asciiTheme="minorHAnsi" w:hAnsiTheme="minorHAnsi" w:cstheme="minorHAnsi"/>
                <w:b/>
                <w:bCs/>
                <w:color w:val="000000"/>
                <w:sz w:val="22"/>
                <w:szCs w:val="22"/>
              </w:rPr>
              <w:t>/(loss)</w:t>
            </w:r>
            <w:r w:rsidRPr="00677316">
              <w:rPr>
                <w:rFonts w:asciiTheme="minorHAnsi" w:hAnsiTheme="minorHAnsi" w:cstheme="minorHAnsi"/>
                <w:b/>
                <w:bCs/>
                <w:color w:val="000000"/>
                <w:sz w:val="22"/>
                <w:szCs w:val="22"/>
              </w:rPr>
              <w:t xml:space="preserve"> for the </w:t>
            </w:r>
            <w:r>
              <w:rPr>
                <w:rFonts w:asciiTheme="minorHAnsi" w:hAnsiTheme="minorHAnsi" w:cstheme="minorHAnsi"/>
                <w:b/>
                <w:bCs/>
                <w:color w:val="000000"/>
                <w:sz w:val="22"/>
                <w:szCs w:val="22"/>
              </w:rPr>
              <w:t>quarter</w:t>
            </w:r>
            <w:r w:rsidRPr="00677316">
              <w:rPr>
                <w:rFonts w:asciiTheme="minorHAnsi" w:hAnsiTheme="minorHAnsi" w:cstheme="minorHAnsi"/>
                <w:b/>
                <w:bCs/>
                <w:color w:val="000000"/>
                <w:sz w:val="22"/>
                <w:szCs w:val="22"/>
              </w:rPr>
              <w:t>, net of income tax</w:t>
            </w:r>
          </w:p>
        </w:tc>
        <w:tc>
          <w:tcPr>
            <w:tcW w:w="607" w:type="pct"/>
            <w:tcBorders>
              <w:bottom w:val="single" w:sz="4" w:space="0" w:color="auto"/>
            </w:tcBorders>
            <w:shd w:val="clear" w:color="auto" w:fill="auto"/>
          </w:tcPr>
          <w:p w14:paraId="56CFDB52"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164.8</w:t>
            </w:r>
          </w:p>
        </w:tc>
        <w:tc>
          <w:tcPr>
            <w:tcW w:w="541" w:type="pct"/>
            <w:tcBorders>
              <w:bottom w:val="single" w:sz="4" w:space="0" w:color="auto"/>
            </w:tcBorders>
            <w:shd w:val="solid" w:color="FFFFFF" w:fill="auto"/>
          </w:tcPr>
          <w:p w14:paraId="7F1DAC6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134.0</w:t>
            </w:r>
          </w:p>
        </w:tc>
      </w:tr>
      <w:tr w:rsidR="00D72D0A" w:rsidRPr="00677316" w14:paraId="2F9B2F06" w14:textId="77777777" w:rsidTr="00B06D81">
        <w:trPr>
          <w:trHeight w:val="211"/>
        </w:trPr>
        <w:tc>
          <w:tcPr>
            <w:tcW w:w="3852" w:type="pct"/>
            <w:gridSpan w:val="2"/>
            <w:shd w:val="solid" w:color="FFFFFF" w:fill="auto"/>
          </w:tcPr>
          <w:p w14:paraId="3B51556F"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p>
        </w:tc>
        <w:tc>
          <w:tcPr>
            <w:tcW w:w="607" w:type="pct"/>
            <w:tcBorders>
              <w:top w:val="single" w:sz="4" w:space="0" w:color="auto"/>
            </w:tcBorders>
            <w:shd w:val="clear" w:color="auto" w:fill="auto"/>
          </w:tcPr>
          <w:p w14:paraId="3A475FC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5F328167"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0B2B4693" w14:textId="77777777" w:rsidTr="00B06D81">
        <w:trPr>
          <w:trHeight w:val="211"/>
        </w:trPr>
        <w:tc>
          <w:tcPr>
            <w:tcW w:w="3852" w:type="pct"/>
            <w:gridSpan w:val="2"/>
            <w:shd w:val="solid" w:color="FFFFFF" w:fill="auto"/>
          </w:tcPr>
          <w:p w14:paraId="6F67D484"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Total comprehensive income for the </w:t>
            </w:r>
            <w:r>
              <w:rPr>
                <w:rFonts w:asciiTheme="minorHAnsi" w:hAnsiTheme="minorHAnsi" w:cstheme="minorHAnsi"/>
                <w:b/>
                <w:bCs/>
                <w:color w:val="000000"/>
                <w:sz w:val="22"/>
                <w:szCs w:val="22"/>
              </w:rPr>
              <w:t>quarter</w:t>
            </w:r>
            <w:r w:rsidRPr="00677316">
              <w:rPr>
                <w:rFonts w:asciiTheme="minorHAnsi" w:hAnsiTheme="minorHAnsi" w:cstheme="minorHAnsi"/>
                <w:b/>
                <w:bCs/>
                <w:color w:val="000000"/>
                <w:sz w:val="22"/>
                <w:szCs w:val="22"/>
              </w:rPr>
              <w:t xml:space="preserve"> – attributable to equity holders of parent</w:t>
            </w:r>
          </w:p>
        </w:tc>
        <w:tc>
          <w:tcPr>
            <w:tcW w:w="607" w:type="pct"/>
            <w:tcBorders>
              <w:bottom w:val="single" w:sz="4" w:space="0" w:color="auto"/>
            </w:tcBorders>
            <w:shd w:val="clear" w:color="auto" w:fill="auto"/>
          </w:tcPr>
          <w:p w14:paraId="7D50B5E6"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1,405.2</w:t>
            </w:r>
          </w:p>
        </w:tc>
        <w:tc>
          <w:tcPr>
            <w:tcW w:w="541" w:type="pct"/>
            <w:tcBorders>
              <w:bottom w:val="single" w:sz="4" w:space="0" w:color="auto"/>
            </w:tcBorders>
            <w:shd w:val="solid" w:color="FFFFFF" w:fill="auto"/>
          </w:tcPr>
          <w:p w14:paraId="1C5F32C4"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1,218.6</w:t>
            </w:r>
          </w:p>
        </w:tc>
      </w:tr>
    </w:tbl>
    <w:p w14:paraId="163F1FD1" w14:textId="77777777" w:rsidR="00D72D0A" w:rsidRDefault="00D72D0A" w:rsidP="00D72D0A">
      <w:pPr>
        <w:autoSpaceDE w:val="0"/>
        <w:autoSpaceDN w:val="0"/>
        <w:adjustRightInd w:val="0"/>
        <w:rPr>
          <w:rFonts w:asciiTheme="minorHAnsi" w:hAnsiTheme="minorHAnsi" w:cstheme="minorHAnsi"/>
          <w:b/>
          <w:bCs/>
          <w:color w:val="000000"/>
        </w:rPr>
      </w:pPr>
    </w:p>
    <w:p w14:paraId="0EB44110" w14:textId="77777777" w:rsidR="00D72D0A" w:rsidRDefault="00D72D0A" w:rsidP="00D72D0A">
      <w:pPr>
        <w:autoSpaceDE w:val="0"/>
        <w:autoSpaceDN w:val="0"/>
        <w:adjustRightInd w:val="0"/>
        <w:rPr>
          <w:rFonts w:asciiTheme="minorHAnsi" w:hAnsiTheme="minorHAnsi" w:cstheme="minorHAnsi"/>
          <w:b/>
          <w:bCs/>
          <w:color w:val="000000"/>
        </w:rPr>
      </w:pPr>
    </w:p>
    <w:p w14:paraId="3430B5C4" w14:textId="77777777" w:rsidR="00D72D0A" w:rsidRDefault="00D72D0A" w:rsidP="00D72D0A">
      <w:pPr>
        <w:autoSpaceDE w:val="0"/>
        <w:autoSpaceDN w:val="0"/>
        <w:adjustRightInd w:val="0"/>
        <w:rPr>
          <w:rFonts w:asciiTheme="minorHAnsi" w:hAnsiTheme="minorHAnsi" w:cstheme="minorHAnsi"/>
          <w:b/>
          <w:bCs/>
          <w:color w:val="000000"/>
        </w:rPr>
      </w:pPr>
    </w:p>
    <w:p w14:paraId="4BB9E776" w14:textId="77777777" w:rsidR="00D72D0A" w:rsidRDefault="00D72D0A" w:rsidP="00D72D0A">
      <w:pPr>
        <w:autoSpaceDE w:val="0"/>
        <w:autoSpaceDN w:val="0"/>
        <w:adjustRightInd w:val="0"/>
        <w:rPr>
          <w:rFonts w:asciiTheme="minorHAnsi" w:hAnsiTheme="minorHAnsi" w:cstheme="minorHAnsi"/>
          <w:b/>
          <w:bCs/>
          <w:color w:val="000000"/>
        </w:rPr>
      </w:pPr>
    </w:p>
    <w:p w14:paraId="35F169BE" w14:textId="77777777" w:rsidR="00D72D0A" w:rsidRPr="006D0437" w:rsidRDefault="00D72D0A" w:rsidP="00D72D0A">
      <w:pPr>
        <w:autoSpaceDE w:val="0"/>
        <w:autoSpaceDN w:val="0"/>
        <w:adjustRightInd w:val="0"/>
        <w:rPr>
          <w:rFonts w:asciiTheme="minorHAnsi" w:hAnsiTheme="minorHAnsi" w:cstheme="minorHAnsi"/>
          <w:b/>
          <w:bCs/>
          <w:color w:val="000000"/>
        </w:rPr>
      </w:pPr>
      <w:r w:rsidRPr="006D0437">
        <w:rPr>
          <w:rFonts w:asciiTheme="minorHAnsi" w:hAnsiTheme="minorHAnsi" w:cstheme="minorHAnsi"/>
          <w:b/>
          <w:bCs/>
          <w:color w:val="000000"/>
        </w:rPr>
        <w:t>Ryanair Holdings plc and Subsidiaries</w:t>
      </w:r>
    </w:p>
    <w:p w14:paraId="097269A1" w14:textId="77777777" w:rsidR="00D72D0A" w:rsidRPr="00DB22BA" w:rsidRDefault="00D72D0A" w:rsidP="00D72D0A">
      <w:pPr>
        <w:ind w:right="-279"/>
        <w:rPr>
          <w:rFonts w:ascii="Calibri" w:hAnsi="Calibri" w:cs="Calibri"/>
        </w:rPr>
      </w:pPr>
      <w:r w:rsidRPr="00DB22BA">
        <w:rPr>
          <w:rFonts w:ascii="Calibri" w:hAnsi="Calibri" w:cs="Calibri"/>
          <w:b/>
          <w:bCs/>
          <w:i/>
          <w:iCs/>
          <w:color w:val="000000"/>
        </w:rPr>
        <w:t xml:space="preserve">Condensed Consolidated </w:t>
      </w:r>
      <w:r>
        <w:rPr>
          <w:rFonts w:ascii="Calibri" w:hAnsi="Calibri" w:cs="Calibri"/>
          <w:b/>
          <w:bCs/>
          <w:i/>
          <w:iCs/>
          <w:color w:val="000000"/>
        </w:rPr>
        <w:t xml:space="preserve">Interim </w:t>
      </w:r>
      <w:r w:rsidRPr="00DB22BA">
        <w:rPr>
          <w:rFonts w:ascii="Calibri" w:hAnsi="Calibri" w:cs="Calibri"/>
          <w:b/>
          <w:bCs/>
          <w:i/>
          <w:iCs/>
          <w:color w:val="000000"/>
        </w:rPr>
        <w:t>Statement of Cash Flows for th</w:t>
      </w:r>
      <w:r>
        <w:rPr>
          <w:rFonts w:ascii="Calibri" w:hAnsi="Calibri" w:cs="Calibri"/>
          <w:b/>
          <w:bCs/>
          <w:i/>
          <w:iCs/>
          <w:color w:val="000000"/>
        </w:rPr>
        <w:t>e nine months</w:t>
      </w:r>
      <w:r w:rsidRPr="00DB22BA">
        <w:rPr>
          <w:rFonts w:ascii="Calibri" w:hAnsi="Calibri" w:cs="Calibri"/>
          <w:b/>
          <w:bCs/>
          <w:i/>
          <w:iCs/>
          <w:color w:val="000000"/>
        </w:rPr>
        <w:t xml:space="preserve"> ended</w:t>
      </w:r>
      <w:r>
        <w:rPr>
          <w:rFonts w:ascii="Calibri" w:hAnsi="Calibri" w:cs="Calibri"/>
          <w:b/>
          <w:bCs/>
          <w:i/>
          <w:iCs/>
          <w:color w:val="000000"/>
        </w:rPr>
        <w:t xml:space="preserve"> December 31</w:t>
      </w:r>
      <w:r w:rsidRPr="00DB22BA">
        <w:rPr>
          <w:rFonts w:ascii="Calibri" w:hAnsi="Calibri" w:cs="Calibri"/>
          <w:b/>
          <w:bCs/>
          <w:i/>
          <w:iCs/>
          <w:color w:val="000000"/>
        </w:rPr>
        <w:t>, 201</w:t>
      </w:r>
      <w:r>
        <w:rPr>
          <w:rFonts w:ascii="Calibri" w:hAnsi="Calibri" w:cs="Calibri"/>
          <w:b/>
          <w:bCs/>
          <w:i/>
          <w:iCs/>
          <w:color w:val="000000"/>
        </w:rPr>
        <w:t xml:space="preserve">9 </w:t>
      </w:r>
      <w:r w:rsidRPr="00DB22BA">
        <w:rPr>
          <w:rFonts w:ascii="Calibri" w:hAnsi="Calibri" w:cs="Calibri"/>
          <w:b/>
          <w:bCs/>
          <w:i/>
          <w:iCs/>
          <w:color w:val="000000"/>
        </w:rPr>
        <w:t>(unaudited)</w:t>
      </w:r>
    </w:p>
    <w:tbl>
      <w:tblPr>
        <w:tblW w:w="11199" w:type="dxa"/>
        <w:tblLook w:val="0000" w:firstRow="0" w:lastRow="0" w:firstColumn="0" w:lastColumn="0" w:noHBand="0" w:noVBand="0"/>
      </w:tblPr>
      <w:tblGrid>
        <w:gridCol w:w="275"/>
        <w:gridCol w:w="7665"/>
        <w:gridCol w:w="746"/>
        <w:gridCol w:w="1205"/>
        <w:gridCol w:w="1308"/>
      </w:tblGrid>
      <w:tr w:rsidR="00D72D0A" w:rsidRPr="00677316" w14:paraId="4E0D10D3" w14:textId="77777777" w:rsidTr="00B06D81">
        <w:trPr>
          <w:trHeight w:val="247"/>
        </w:trPr>
        <w:tc>
          <w:tcPr>
            <w:tcW w:w="123" w:type="pct"/>
          </w:tcPr>
          <w:p w14:paraId="054B038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29D33B2B" w14:textId="77777777" w:rsidR="00D72D0A" w:rsidRPr="00677316" w:rsidRDefault="00D72D0A" w:rsidP="00B06D81">
            <w:pPr>
              <w:autoSpaceDE w:val="0"/>
              <w:autoSpaceDN w:val="0"/>
              <w:adjustRightInd w:val="0"/>
              <w:jc w:val="right"/>
              <w:rPr>
                <w:rFonts w:asciiTheme="minorHAnsi" w:hAnsiTheme="minorHAnsi" w:cstheme="minorHAnsi"/>
                <w:b/>
                <w:color w:val="000000"/>
                <w:sz w:val="22"/>
                <w:szCs w:val="22"/>
                <w:u w:val="single"/>
              </w:rPr>
            </w:pPr>
          </w:p>
        </w:tc>
        <w:tc>
          <w:tcPr>
            <w:tcW w:w="333" w:type="pct"/>
          </w:tcPr>
          <w:p w14:paraId="2791B46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1BC23D04" w14:textId="77777777" w:rsidR="00D72D0A" w:rsidRDefault="00D72D0A" w:rsidP="00B06D81">
            <w:pPr>
              <w:autoSpaceDE w:val="0"/>
              <w:autoSpaceDN w:val="0"/>
              <w:adjustRightInd w:val="0"/>
              <w:jc w:val="center"/>
              <w:rPr>
                <w:rFonts w:asciiTheme="minorHAnsi" w:hAnsiTheme="minorHAnsi" w:cstheme="minorHAnsi"/>
                <w:b/>
                <w:bCs/>
                <w:color w:val="000000"/>
                <w:sz w:val="22"/>
                <w:szCs w:val="22"/>
              </w:rPr>
            </w:pPr>
          </w:p>
          <w:p w14:paraId="05AB9062"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 Months</w:t>
            </w:r>
          </w:p>
        </w:tc>
        <w:tc>
          <w:tcPr>
            <w:tcW w:w="584" w:type="pct"/>
            <w:shd w:val="clear" w:color="auto" w:fill="auto"/>
          </w:tcPr>
          <w:p w14:paraId="21CEAF7C" w14:textId="77777777" w:rsidR="00D72D0A" w:rsidRDefault="00D72D0A" w:rsidP="00B06D81">
            <w:pPr>
              <w:autoSpaceDE w:val="0"/>
              <w:autoSpaceDN w:val="0"/>
              <w:adjustRightInd w:val="0"/>
              <w:jc w:val="right"/>
              <w:rPr>
                <w:rFonts w:asciiTheme="minorHAnsi" w:hAnsiTheme="minorHAnsi" w:cstheme="minorHAnsi"/>
                <w:bCs/>
                <w:color w:val="000000"/>
                <w:sz w:val="22"/>
                <w:szCs w:val="22"/>
              </w:rPr>
            </w:pPr>
          </w:p>
          <w:p w14:paraId="112EDE26" w14:textId="77777777" w:rsidR="00D72D0A" w:rsidRPr="005178C7"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9 Months</w:t>
            </w:r>
          </w:p>
        </w:tc>
      </w:tr>
      <w:tr w:rsidR="00D72D0A" w:rsidRPr="00677316" w14:paraId="1138017E" w14:textId="77777777" w:rsidTr="00B06D81">
        <w:trPr>
          <w:trHeight w:val="247"/>
        </w:trPr>
        <w:tc>
          <w:tcPr>
            <w:tcW w:w="123" w:type="pct"/>
          </w:tcPr>
          <w:p w14:paraId="664B5142"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72792C50"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2DA5E30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5002BDEF"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Ended</w:t>
            </w:r>
          </w:p>
        </w:tc>
        <w:tc>
          <w:tcPr>
            <w:tcW w:w="584" w:type="pct"/>
            <w:shd w:val="clear" w:color="auto" w:fill="auto"/>
          </w:tcPr>
          <w:p w14:paraId="143D5D7B"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Ended</w:t>
            </w:r>
          </w:p>
        </w:tc>
      </w:tr>
      <w:tr w:rsidR="00D72D0A" w:rsidRPr="00677316" w14:paraId="67D1DD25" w14:textId="77777777" w:rsidTr="00B06D81">
        <w:trPr>
          <w:trHeight w:val="247"/>
        </w:trPr>
        <w:tc>
          <w:tcPr>
            <w:tcW w:w="123" w:type="pct"/>
          </w:tcPr>
          <w:p w14:paraId="2C9DEF07"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41E7B87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719D37D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37737E22"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Dec 31,</w:t>
            </w:r>
          </w:p>
        </w:tc>
        <w:tc>
          <w:tcPr>
            <w:tcW w:w="584" w:type="pct"/>
            <w:shd w:val="clear" w:color="auto" w:fill="auto"/>
          </w:tcPr>
          <w:p w14:paraId="64BAA827"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Dec 31</w:t>
            </w:r>
            <w:r w:rsidRPr="00677316">
              <w:rPr>
                <w:rFonts w:asciiTheme="minorHAnsi" w:hAnsiTheme="minorHAnsi" w:cstheme="minorHAnsi"/>
                <w:bCs/>
                <w:color w:val="000000"/>
                <w:sz w:val="22"/>
                <w:szCs w:val="22"/>
              </w:rPr>
              <w:t>,</w:t>
            </w:r>
          </w:p>
        </w:tc>
      </w:tr>
      <w:tr w:rsidR="00D72D0A" w:rsidRPr="00677316" w14:paraId="75167B49" w14:textId="77777777" w:rsidTr="00B06D81">
        <w:trPr>
          <w:trHeight w:val="247"/>
        </w:trPr>
        <w:tc>
          <w:tcPr>
            <w:tcW w:w="123" w:type="pct"/>
          </w:tcPr>
          <w:p w14:paraId="791DD3BE"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0851112B"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290C5CE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5A54482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2019</w:t>
            </w:r>
          </w:p>
        </w:tc>
        <w:tc>
          <w:tcPr>
            <w:tcW w:w="584" w:type="pct"/>
            <w:shd w:val="clear" w:color="auto" w:fill="auto"/>
          </w:tcPr>
          <w:p w14:paraId="6E6007C1"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2018</w:t>
            </w:r>
          </w:p>
        </w:tc>
      </w:tr>
      <w:tr w:rsidR="00D72D0A" w:rsidRPr="00677316" w14:paraId="6A4A2EA7" w14:textId="77777777" w:rsidTr="00B06D81">
        <w:trPr>
          <w:trHeight w:val="247"/>
        </w:trPr>
        <w:tc>
          <w:tcPr>
            <w:tcW w:w="123" w:type="pct"/>
          </w:tcPr>
          <w:p w14:paraId="7A84893D"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4991F4C0"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7F6752DF"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Note</w:t>
            </w:r>
          </w:p>
        </w:tc>
        <w:tc>
          <w:tcPr>
            <w:tcW w:w="538" w:type="pct"/>
            <w:shd w:val="clear" w:color="auto" w:fill="auto"/>
          </w:tcPr>
          <w:p w14:paraId="39E32F2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w:t>
            </w:r>
            <w:r>
              <w:rPr>
                <w:rFonts w:asciiTheme="minorHAnsi" w:hAnsiTheme="minorHAnsi" w:cstheme="minorHAnsi"/>
                <w:b/>
                <w:bCs/>
                <w:color w:val="000000"/>
                <w:sz w:val="22"/>
                <w:szCs w:val="22"/>
                <w:u w:val="single"/>
              </w:rPr>
              <w:t>M</w:t>
            </w:r>
          </w:p>
        </w:tc>
        <w:tc>
          <w:tcPr>
            <w:tcW w:w="584" w:type="pct"/>
            <w:shd w:val="clear" w:color="auto" w:fill="auto"/>
          </w:tcPr>
          <w:p w14:paraId="5B947B47"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u w:val="single"/>
              </w:rPr>
            </w:pPr>
            <w:r w:rsidRPr="00677316">
              <w:rPr>
                <w:rFonts w:asciiTheme="minorHAnsi" w:hAnsiTheme="minorHAnsi" w:cstheme="minorHAnsi"/>
                <w:bCs/>
                <w:color w:val="000000"/>
                <w:sz w:val="22"/>
                <w:szCs w:val="22"/>
                <w:u w:val="single"/>
              </w:rPr>
              <w:t>€</w:t>
            </w:r>
            <w:r>
              <w:rPr>
                <w:rFonts w:asciiTheme="minorHAnsi" w:hAnsiTheme="minorHAnsi" w:cstheme="minorHAnsi"/>
                <w:bCs/>
                <w:color w:val="000000"/>
                <w:sz w:val="22"/>
                <w:szCs w:val="22"/>
                <w:u w:val="single"/>
              </w:rPr>
              <w:t>M</w:t>
            </w:r>
          </w:p>
        </w:tc>
      </w:tr>
      <w:tr w:rsidR="00D72D0A" w:rsidRPr="00677316" w14:paraId="57B34D74" w14:textId="77777777" w:rsidTr="00B06D81">
        <w:trPr>
          <w:trHeight w:val="247"/>
        </w:trPr>
        <w:tc>
          <w:tcPr>
            <w:tcW w:w="3545" w:type="pct"/>
            <w:gridSpan w:val="2"/>
          </w:tcPr>
          <w:p w14:paraId="3AECB108"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Operating activities</w:t>
            </w:r>
          </w:p>
        </w:tc>
        <w:tc>
          <w:tcPr>
            <w:tcW w:w="333" w:type="pct"/>
          </w:tcPr>
          <w:p w14:paraId="25505D1E"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1711203E"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shd w:val="clear" w:color="auto" w:fill="auto"/>
          </w:tcPr>
          <w:p w14:paraId="070EA3E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1ABB8055" w14:textId="77777777" w:rsidTr="00B06D81">
        <w:trPr>
          <w:trHeight w:val="247"/>
        </w:trPr>
        <w:tc>
          <w:tcPr>
            <w:tcW w:w="123" w:type="pct"/>
          </w:tcPr>
          <w:p w14:paraId="14AF483D"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2373119F"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Profit after tax</w:t>
            </w:r>
          </w:p>
        </w:tc>
        <w:tc>
          <w:tcPr>
            <w:tcW w:w="333" w:type="pct"/>
          </w:tcPr>
          <w:p w14:paraId="1077C2DA"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5D7AE09D" w14:textId="77777777" w:rsidR="00D72D0A" w:rsidRPr="00154F4C" w:rsidRDefault="00D72D0A"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1,240.4</w:t>
            </w:r>
          </w:p>
        </w:tc>
        <w:tc>
          <w:tcPr>
            <w:tcW w:w="584" w:type="pct"/>
          </w:tcPr>
          <w:p w14:paraId="4E07C272"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r>
              <w:rPr>
                <w:rFonts w:ascii="Calibri" w:hAnsi="Calibri" w:cs="Calibri"/>
                <w:bCs/>
                <w:color w:val="000000"/>
                <w:sz w:val="22"/>
                <w:szCs w:val="22"/>
              </w:rPr>
              <w:t>1,084.6</w:t>
            </w:r>
          </w:p>
        </w:tc>
      </w:tr>
      <w:tr w:rsidR="00D72D0A" w:rsidRPr="00677316" w14:paraId="1D614F2B" w14:textId="77777777" w:rsidTr="00B06D81">
        <w:trPr>
          <w:trHeight w:val="247"/>
        </w:trPr>
        <w:tc>
          <w:tcPr>
            <w:tcW w:w="123" w:type="pct"/>
          </w:tcPr>
          <w:p w14:paraId="26370C74"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28E5943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0A74905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34D1816A" w14:textId="77777777" w:rsidR="00D72D0A" w:rsidRPr="00154F4C"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Pr>
          <w:p w14:paraId="645EA15D"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p>
        </w:tc>
      </w:tr>
      <w:tr w:rsidR="00D72D0A" w:rsidRPr="00677316" w14:paraId="5E91A276" w14:textId="77777777" w:rsidTr="00B06D81">
        <w:trPr>
          <w:trHeight w:val="262"/>
        </w:trPr>
        <w:tc>
          <w:tcPr>
            <w:tcW w:w="3545" w:type="pct"/>
            <w:gridSpan w:val="2"/>
          </w:tcPr>
          <w:p w14:paraId="3926EB0E" w14:textId="77777777" w:rsidR="00D72D0A" w:rsidRPr="00677316" w:rsidRDefault="00D72D0A" w:rsidP="00B06D81">
            <w:pPr>
              <w:autoSpaceDE w:val="0"/>
              <w:autoSpaceDN w:val="0"/>
              <w:adjustRightInd w:val="0"/>
              <w:rPr>
                <w:rFonts w:asciiTheme="minorHAnsi" w:hAnsiTheme="minorHAnsi" w:cstheme="minorHAnsi"/>
                <w:b/>
                <w:bCs/>
                <w:i/>
                <w:iCs/>
                <w:color w:val="000000"/>
                <w:sz w:val="22"/>
                <w:szCs w:val="22"/>
              </w:rPr>
            </w:pPr>
            <w:r w:rsidRPr="00677316">
              <w:rPr>
                <w:rFonts w:asciiTheme="minorHAnsi" w:hAnsiTheme="minorHAnsi" w:cstheme="minorHAnsi"/>
                <w:b/>
                <w:bCs/>
                <w:i/>
                <w:iCs/>
                <w:color w:val="000000"/>
                <w:sz w:val="22"/>
                <w:szCs w:val="22"/>
              </w:rPr>
              <w:t xml:space="preserve">Adjustments to reconcile profit </w:t>
            </w:r>
            <w:r>
              <w:rPr>
                <w:rFonts w:asciiTheme="minorHAnsi" w:hAnsiTheme="minorHAnsi" w:cstheme="minorHAnsi"/>
                <w:b/>
                <w:bCs/>
                <w:i/>
                <w:iCs/>
                <w:color w:val="000000"/>
                <w:sz w:val="22"/>
                <w:szCs w:val="22"/>
              </w:rPr>
              <w:t>after</w:t>
            </w:r>
            <w:r w:rsidRPr="00677316">
              <w:rPr>
                <w:rFonts w:asciiTheme="minorHAnsi" w:hAnsiTheme="minorHAnsi" w:cstheme="minorHAnsi"/>
                <w:b/>
                <w:bCs/>
                <w:i/>
                <w:iCs/>
                <w:color w:val="000000"/>
                <w:sz w:val="22"/>
                <w:szCs w:val="22"/>
              </w:rPr>
              <w:t xml:space="preserve"> tax to net cash provided by operating activities</w:t>
            </w:r>
          </w:p>
        </w:tc>
        <w:tc>
          <w:tcPr>
            <w:tcW w:w="333" w:type="pct"/>
          </w:tcPr>
          <w:p w14:paraId="2514480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161C53D8" w14:textId="77777777" w:rsidR="00D72D0A" w:rsidRPr="00154F4C"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Pr>
          <w:p w14:paraId="57C93F63"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18489EA6" w14:textId="77777777" w:rsidTr="00B06D81">
        <w:trPr>
          <w:trHeight w:val="247"/>
        </w:trPr>
        <w:tc>
          <w:tcPr>
            <w:tcW w:w="123" w:type="pct"/>
          </w:tcPr>
          <w:p w14:paraId="14127F7B"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24B159C4"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Depreciation</w:t>
            </w:r>
          </w:p>
        </w:tc>
        <w:tc>
          <w:tcPr>
            <w:tcW w:w="333" w:type="pct"/>
          </w:tcPr>
          <w:p w14:paraId="42CD8400"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614DDEFF"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571.5</w:t>
            </w:r>
          </w:p>
        </w:tc>
        <w:tc>
          <w:tcPr>
            <w:tcW w:w="584" w:type="pct"/>
          </w:tcPr>
          <w:p w14:paraId="0370C52A"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483.8</w:t>
            </w:r>
          </w:p>
        </w:tc>
      </w:tr>
      <w:tr w:rsidR="00D72D0A" w:rsidRPr="00677316" w14:paraId="297F3058" w14:textId="77777777" w:rsidTr="00B06D81">
        <w:trPr>
          <w:trHeight w:val="247"/>
        </w:trPr>
        <w:tc>
          <w:tcPr>
            <w:tcW w:w="123" w:type="pct"/>
          </w:tcPr>
          <w:p w14:paraId="34FAF73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1AEB83BA"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Increase in inventories</w:t>
            </w:r>
          </w:p>
        </w:tc>
        <w:tc>
          <w:tcPr>
            <w:tcW w:w="333" w:type="pct"/>
          </w:tcPr>
          <w:p w14:paraId="5829429F"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41EDB59D"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(2.2)</w:t>
            </w:r>
          </w:p>
        </w:tc>
        <w:tc>
          <w:tcPr>
            <w:tcW w:w="584" w:type="pct"/>
          </w:tcPr>
          <w:p w14:paraId="575D186F"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(2.7)</w:t>
            </w:r>
          </w:p>
        </w:tc>
      </w:tr>
      <w:tr w:rsidR="00D72D0A" w:rsidRPr="00677316" w14:paraId="2050F879" w14:textId="77777777" w:rsidTr="00B06D81">
        <w:trPr>
          <w:trHeight w:val="247"/>
        </w:trPr>
        <w:tc>
          <w:tcPr>
            <w:tcW w:w="123" w:type="pct"/>
          </w:tcPr>
          <w:p w14:paraId="0F6E6787"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19866B6E"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Tax expense on profit</w:t>
            </w:r>
          </w:p>
        </w:tc>
        <w:tc>
          <w:tcPr>
            <w:tcW w:w="333" w:type="pct"/>
          </w:tcPr>
          <w:p w14:paraId="54D41614"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675FE32B"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100.6</w:t>
            </w:r>
          </w:p>
        </w:tc>
        <w:tc>
          <w:tcPr>
            <w:tcW w:w="584" w:type="pct"/>
          </w:tcPr>
          <w:p w14:paraId="649AC3A8"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95.3</w:t>
            </w:r>
          </w:p>
        </w:tc>
      </w:tr>
      <w:tr w:rsidR="00D72D0A" w:rsidRPr="00677316" w14:paraId="2E9F59DB" w14:textId="77777777" w:rsidTr="00B06D81">
        <w:trPr>
          <w:trHeight w:val="247"/>
        </w:trPr>
        <w:tc>
          <w:tcPr>
            <w:tcW w:w="123" w:type="pct"/>
          </w:tcPr>
          <w:p w14:paraId="5D58F7C5"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39263B26"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Share based payments</w:t>
            </w:r>
          </w:p>
        </w:tc>
        <w:tc>
          <w:tcPr>
            <w:tcW w:w="333" w:type="pct"/>
          </w:tcPr>
          <w:p w14:paraId="0AB800F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5008D2C0"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5.9</w:t>
            </w:r>
          </w:p>
        </w:tc>
        <w:tc>
          <w:tcPr>
            <w:tcW w:w="584" w:type="pct"/>
          </w:tcPr>
          <w:p w14:paraId="7D89E83D" w14:textId="77777777" w:rsidR="00D72D0A" w:rsidRPr="004043D3"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7.5</w:t>
            </w:r>
          </w:p>
        </w:tc>
      </w:tr>
      <w:tr w:rsidR="00D72D0A" w:rsidRPr="00677316" w14:paraId="68BBC72D" w14:textId="77777777" w:rsidTr="00B06D81">
        <w:trPr>
          <w:trHeight w:val="247"/>
        </w:trPr>
        <w:tc>
          <w:tcPr>
            <w:tcW w:w="123" w:type="pct"/>
          </w:tcPr>
          <w:p w14:paraId="3246FD67"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68741FE6"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Calibri" w:hAnsi="Calibri" w:cs="Calibri"/>
                <w:color w:val="000000"/>
                <w:sz w:val="22"/>
                <w:szCs w:val="22"/>
              </w:rPr>
              <w:t>Increase in intangible assets</w:t>
            </w:r>
          </w:p>
        </w:tc>
        <w:tc>
          <w:tcPr>
            <w:tcW w:w="333" w:type="pct"/>
          </w:tcPr>
          <w:p w14:paraId="49F89F5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6205657B" w14:textId="77777777" w:rsidR="00D72D0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w:t>
            </w:r>
          </w:p>
        </w:tc>
        <w:tc>
          <w:tcPr>
            <w:tcW w:w="584" w:type="pct"/>
          </w:tcPr>
          <w:p w14:paraId="04130537" w14:textId="77777777" w:rsidR="00D72D0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(99.6)</w:t>
            </w:r>
          </w:p>
        </w:tc>
      </w:tr>
      <w:tr w:rsidR="00D72D0A" w:rsidRPr="00677316" w14:paraId="010C5F68" w14:textId="77777777" w:rsidTr="00B06D81">
        <w:trPr>
          <w:trHeight w:val="247"/>
        </w:trPr>
        <w:tc>
          <w:tcPr>
            <w:tcW w:w="123" w:type="pct"/>
          </w:tcPr>
          <w:p w14:paraId="06D4EC08" w14:textId="77777777" w:rsidR="00D72D0A" w:rsidRPr="00677316" w:rsidRDefault="00D72D0A" w:rsidP="00B06D81">
            <w:pPr>
              <w:autoSpaceDE w:val="0"/>
              <w:autoSpaceDN w:val="0"/>
              <w:adjustRightInd w:val="0"/>
              <w:jc w:val="center"/>
              <w:rPr>
                <w:rFonts w:asciiTheme="minorHAnsi" w:hAnsiTheme="minorHAnsi" w:cstheme="minorHAnsi"/>
                <w:color w:val="000000"/>
                <w:sz w:val="22"/>
                <w:szCs w:val="22"/>
                <w:highlight w:val="yellow"/>
              </w:rPr>
            </w:pPr>
          </w:p>
        </w:tc>
        <w:tc>
          <w:tcPr>
            <w:tcW w:w="3422" w:type="pct"/>
          </w:tcPr>
          <w:p w14:paraId="316FAADA" w14:textId="07E71F25"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Increase </w:t>
            </w:r>
            <w:r w:rsidRPr="00677316">
              <w:rPr>
                <w:rFonts w:asciiTheme="minorHAnsi" w:hAnsiTheme="minorHAnsi" w:cstheme="minorHAnsi"/>
                <w:color w:val="000000"/>
                <w:sz w:val="22"/>
                <w:szCs w:val="22"/>
              </w:rPr>
              <w:t>in trade receivables</w:t>
            </w:r>
          </w:p>
        </w:tc>
        <w:tc>
          <w:tcPr>
            <w:tcW w:w="333" w:type="pct"/>
          </w:tcPr>
          <w:p w14:paraId="23FA2CA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4F902377"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(15.1)</w:t>
            </w:r>
          </w:p>
        </w:tc>
        <w:tc>
          <w:tcPr>
            <w:tcW w:w="584" w:type="pct"/>
          </w:tcPr>
          <w:p w14:paraId="67AD5E6D"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(16.3)</w:t>
            </w:r>
          </w:p>
        </w:tc>
      </w:tr>
      <w:tr w:rsidR="00D72D0A" w:rsidRPr="00677316" w14:paraId="3592F788" w14:textId="77777777" w:rsidTr="00B06D81">
        <w:trPr>
          <w:trHeight w:val="247"/>
        </w:trPr>
        <w:tc>
          <w:tcPr>
            <w:tcW w:w="123" w:type="pct"/>
          </w:tcPr>
          <w:p w14:paraId="52B4CA2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7CBC5544"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Increase in</w:t>
            </w:r>
            <w:r w:rsidRPr="00677316">
              <w:rPr>
                <w:rFonts w:asciiTheme="minorHAnsi" w:hAnsiTheme="minorHAnsi" w:cstheme="minorHAnsi"/>
                <w:color w:val="000000"/>
                <w:sz w:val="22"/>
                <w:szCs w:val="22"/>
              </w:rPr>
              <w:t xml:space="preserve"> other </w:t>
            </w:r>
            <w:r>
              <w:rPr>
                <w:rFonts w:asciiTheme="minorHAnsi" w:hAnsiTheme="minorHAnsi" w:cstheme="minorHAnsi"/>
                <w:color w:val="000000"/>
                <w:sz w:val="22"/>
                <w:szCs w:val="22"/>
              </w:rPr>
              <w:t>a</w:t>
            </w:r>
            <w:r w:rsidRPr="00677316">
              <w:rPr>
                <w:rFonts w:asciiTheme="minorHAnsi" w:hAnsiTheme="minorHAnsi" w:cstheme="minorHAnsi"/>
                <w:color w:val="000000"/>
                <w:sz w:val="22"/>
                <w:szCs w:val="22"/>
              </w:rPr>
              <w:t>ssets</w:t>
            </w:r>
          </w:p>
        </w:tc>
        <w:tc>
          <w:tcPr>
            <w:tcW w:w="333" w:type="pct"/>
          </w:tcPr>
          <w:p w14:paraId="60201D38"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4B0DCF93"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(58.1)</w:t>
            </w:r>
          </w:p>
        </w:tc>
        <w:tc>
          <w:tcPr>
            <w:tcW w:w="584" w:type="pct"/>
          </w:tcPr>
          <w:p w14:paraId="6BE11942"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(0.2)</w:t>
            </w:r>
          </w:p>
        </w:tc>
      </w:tr>
      <w:tr w:rsidR="00D72D0A" w:rsidRPr="00677316" w14:paraId="23267D53" w14:textId="77777777" w:rsidTr="00B06D81">
        <w:trPr>
          <w:trHeight w:val="247"/>
        </w:trPr>
        <w:tc>
          <w:tcPr>
            <w:tcW w:w="123" w:type="pct"/>
          </w:tcPr>
          <w:p w14:paraId="622EEE4D"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3D78EE45"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Increase </w:t>
            </w:r>
            <w:r w:rsidRPr="00677316">
              <w:rPr>
                <w:rFonts w:asciiTheme="minorHAnsi" w:hAnsiTheme="minorHAnsi" w:cstheme="minorHAnsi"/>
                <w:color w:val="000000"/>
                <w:sz w:val="22"/>
                <w:szCs w:val="22"/>
              </w:rPr>
              <w:t>in trade payables</w:t>
            </w:r>
          </w:p>
        </w:tc>
        <w:tc>
          <w:tcPr>
            <w:tcW w:w="333" w:type="pct"/>
          </w:tcPr>
          <w:p w14:paraId="63598EED"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7DCD0D55"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1,028.0</w:t>
            </w:r>
          </w:p>
        </w:tc>
        <w:tc>
          <w:tcPr>
            <w:tcW w:w="584" w:type="pct"/>
          </w:tcPr>
          <w:p w14:paraId="3E858405"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69.8</w:t>
            </w:r>
          </w:p>
        </w:tc>
      </w:tr>
      <w:tr w:rsidR="00D72D0A" w:rsidRPr="00677316" w14:paraId="72DB6FB4" w14:textId="77777777" w:rsidTr="00B06D81">
        <w:trPr>
          <w:trHeight w:val="247"/>
        </w:trPr>
        <w:tc>
          <w:tcPr>
            <w:tcW w:w="123" w:type="pct"/>
          </w:tcPr>
          <w:p w14:paraId="16A293E6"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7610A19D"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w:t>
            </w:r>
            <w:r w:rsidRPr="00677316">
              <w:rPr>
                <w:rFonts w:asciiTheme="minorHAnsi" w:hAnsiTheme="minorHAnsi" w:cstheme="minorHAnsi"/>
                <w:color w:val="000000"/>
                <w:sz w:val="22"/>
                <w:szCs w:val="22"/>
              </w:rPr>
              <w:t xml:space="preserve">crease in accrued expenses </w:t>
            </w:r>
          </w:p>
        </w:tc>
        <w:tc>
          <w:tcPr>
            <w:tcW w:w="333" w:type="pct"/>
          </w:tcPr>
          <w:p w14:paraId="7714F3AD"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79D5268F"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sz w:val="22"/>
                <w:szCs w:val="22"/>
              </w:rPr>
              <w:t>(1,029.6)</w:t>
            </w:r>
          </w:p>
        </w:tc>
        <w:tc>
          <w:tcPr>
            <w:tcW w:w="584" w:type="pct"/>
          </w:tcPr>
          <w:p w14:paraId="01353FC1"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(994.0)</w:t>
            </w:r>
          </w:p>
        </w:tc>
      </w:tr>
      <w:tr w:rsidR="00D72D0A" w:rsidRPr="00677316" w14:paraId="3E24E0E5" w14:textId="77777777" w:rsidTr="00B06D81">
        <w:trPr>
          <w:trHeight w:val="247"/>
        </w:trPr>
        <w:tc>
          <w:tcPr>
            <w:tcW w:w="123" w:type="pct"/>
          </w:tcPr>
          <w:p w14:paraId="67594D1E"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67F05F86"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Decrease in other creditors</w:t>
            </w:r>
          </w:p>
        </w:tc>
        <w:tc>
          <w:tcPr>
            <w:tcW w:w="333" w:type="pct"/>
          </w:tcPr>
          <w:p w14:paraId="0B8D798A"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4D7C5F26"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w:t>
            </w:r>
          </w:p>
        </w:tc>
        <w:tc>
          <w:tcPr>
            <w:tcW w:w="584" w:type="pct"/>
          </w:tcPr>
          <w:p w14:paraId="375B219A"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sidRPr="008B2B9D">
              <w:rPr>
                <w:rFonts w:ascii="Calibri" w:hAnsi="Calibri" w:cs="Calibri"/>
                <w:bCs/>
                <w:color w:val="000000"/>
                <w:sz w:val="22"/>
                <w:szCs w:val="22"/>
              </w:rPr>
              <w:t>(</w:t>
            </w:r>
            <w:r>
              <w:rPr>
                <w:rFonts w:ascii="Calibri" w:hAnsi="Calibri" w:cs="Calibri"/>
                <w:bCs/>
                <w:color w:val="000000"/>
                <w:sz w:val="22"/>
                <w:szCs w:val="22"/>
              </w:rPr>
              <w:t>2</w:t>
            </w:r>
            <w:r w:rsidRPr="008B2B9D">
              <w:rPr>
                <w:rFonts w:ascii="Calibri" w:hAnsi="Calibri" w:cs="Calibri"/>
                <w:bCs/>
                <w:color w:val="000000"/>
                <w:sz w:val="22"/>
                <w:szCs w:val="22"/>
              </w:rPr>
              <w:t>.</w:t>
            </w:r>
            <w:r>
              <w:rPr>
                <w:rFonts w:ascii="Calibri" w:hAnsi="Calibri" w:cs="Calibri"/>
                <w:bCs/>
                <w:color w:val="000000"/>
                <w:sz w:val="22"/>
                <w:szCs w:val="22"/>
              </w:rPr>
              <w:t>8)</w:t>
            </w:r>
          </w:p>
        </w:tc>
      </w:tr>
      <w:tr w:rsidR="00D72D0A" w:rsidRPr="00677316" w14:paraId="6BEB317C" w14:textId="77777777" w:rsidTr="00B06D81">
        <w:trPr>
          <w:trHeight w:val="247"/>
        </w:trPr>
        <w:tc>
          <w:tcPr>
            <w:tcW w:w="123" w:type="pct"/>
          </w:tcPr>
          <w:p w14:paraId="27D483C4"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1ECFB020" w14:textId="63365C53" w:rsidR="00D72D0A" w:rsidRPr="00677316" w:rsidRDefault="00A3268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Decrease</w:t>
            </w:r>
            <w:r w:rsidR="00D72D0A" w:rsidRPr="00677316">
              <w:rPr>
                <w:rFonts w:asciiTheme="minorHAnsi" w:hAnsiTheme="minorHAnsi" w:cstheme="minorHAnsi"/>
                <w:color w:val="000000"/>
                <w:sz w:val="22"/>
                <w:szCs w:val="22"/>
              </w:rPr>
              <w:t xml:space="preserve"> in provisions</w:t>
            </w:r>
          </w:p>
        </w:tc>
        <w:tc>
          <w:tcPr>
            <w:tcW w:w="333" w:type="pct"/>
          </w:tcPr>
          <w:p w14:paraId="20A47EC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619FCF16"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(26.6)</w:t>
            </w:r>
          </w:p>
        </w:tc>
        <w:tc>
          <w:tcPr>
            <w:tcW w:w="584" w:type="pct"/>
          </w:tcPr>
          <w:p w14:paraId="4AD86D70"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sidRPr="008B2B9D">
              <w:rPr>
                <w:rFonts w:ascii="Calibri" w:hAnsi="Calibri" w:cs="Calibri"/>
                <w:bCs/>
                <w:color w:val="000000"/>
                <w:sz w:val="22"/>
                <w:szCs w:val="22"/>
              </w:rPr>
              <w:t>(</w:t>
            </w:r>
            <w:r>
              <w:rPr>
                <w:rFonts w:ascii="Calibri" w:hAnsi="Calibri" w:cs="Calibri"/>
                <w:bCs/>
                <w:color w:val="000000"/>
                <w:sz w:val="22"/>
                <w:szCs w:val="22"/>
              </w:rPr>
              <w:t>4.5</w:t>
            </w:r>
            <w:r w:rsidRPr="008B2B9D">
              <w:rPr>
                <w:rFonts w:ascii="Calibri" w:hAnsi="Calibri" w:cs="Calibri"/>
                <w:bCs/>
                <w:color w:val="000000"/>
                <w:sz w:val="22"/>
                <w:szCs w:val="22"/>
              </w:rPr>
              <w:t>)</w:t>
            </w:r>
          </w:p>
        </w:tc>
      </w:tr>
      <w:tr w:rsidR="00D72D0A" w:rsidRPr="00677316" w14:paraId="095285E4" w14:textId="77777777" w:rsidTr="00B06D81">
        <w:trPr>
          <w:trHeight w:val="247"/>
        </w:trPr>
        <w:tc>
          <w:tcPr>
            <w:tcW w:w="123" w:type="pct"/>
          </w:tcPr>
          <w:p w14:paraId="38D64D0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10568786" w14:textId="3425D976" w:rsidR="00D72D0A" w:rsidRDefault="00A3268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w:t>
            </w:r>
            <w:r w:rsidR="00D72D0A">
              <w:rPr>
                <w:rFonts w:asciiTheme="minorHAnsi" w:hAnsiTheme="minorHAnsi" w:cstheme="minorHAnsi"/>
                <w:color w:val="000000"/>
                <w:sz w:val="22"/>
                <w:szCs w:val="22"/>
              </w:rPr>
              <w:t>ncrease in net finance expense</w:t>
            </w:r>
          </w:p>
          <w:p w14:paraId="6299E210" w14:textId="77777777" w:rsidR="00D72D0A" w:rsidRDefault="00D72D0A" w:rsidP="00B06D81">
            <w:pPr>
              <w:autoSpaceDE w:val="0"/>
              <w:autoSpaceDN w:val="0"/>
              <w:adjustRightInd w:val="0"/>
              <w:rPr>
                <w:rFonts w:asciiTheme="minorHAnsi" w:hAnsiTheme="minorHAnsi" w:cstheme="minorHAnsi"/>
                <w:color w:val="000000"/>
                <w:sz w:val="22"/>
                <w:szCs w:val="22"/>
              </w:rPr>
            </w:pPr>
            <w:r>
              <w:rPr>
                <w:rFonts w:ascii="Calibri" w:hAnsi="Calibri" w:cs="Calibri"/>
                <w:color w:val="000000"/>
                <w:sz w:val="22"/>
                <w:szCs w:val="22"/>
              </w:rPr>
              <w:t>Share of equity accounted investment’s loss</w:t>
            </w:r>
          </w:p>
        </w:tc>
        <w:tc>
          <w:tcPr>
            <w:tcW w:w="333" w:type="pct"/>
          </w:tcPr>
          <w:p w14:paraId="44827D78"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5D142F85" w14:textId="77777777" w:rsidR="00D72D0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4.5</w:t>
            </w:r>
          </w:p>
          <w:p w14:paraId="6A6FF3BB"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w:t>
            </w:r>
          </w:p>
        </w:tc>
        <w:tc>
          <w:tcPr>
            <w:tcW w:w="584" w:type="pct"/>
          </w:tcPr>
          <w:p w14:paraId="63E634C8" w14:textId="77777777" w:rsidR="00D72D0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1.6</w:t>
            </w:r>
          </w:p>
          <w:p w14:paraId="1183D36C"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9.8</w:t>
            </w:r>
          </w:p>
        </w:tc>
      </w:tr>
      <w:tr w:rsidR="00D72D0A" w:rsidRPr="00677316" w14:paraId="21787D09" w14:textId="77777777" w:rsidTr="00B06D81">
        <w:trPr>
          <w:trHeight w:val="247"/>
        </w:trPr>
        <w:tc>
          <w:tcPr>
            <w:tcW w:w="123" w:type="pct"/>
          </w:tcPr>
          <w:p w14:paraId="3DE74363"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6C10F259"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t>
            </w:r>
            <w:r w:rsidRPr="00677316">
              <w:rPr>
                <w:rFonts w:asciiTheme="minorHAnsi" w:hAnsiTheme="minorHAnsi" w:cstheme="minorHAnsi"/>
                <w:color w:val="000000"/>
                <w:sz w:val="22"/>
                <w:szCs w:val="22"/>
              </w:rPr>
              <w:t>ax paid</w:t>
            </w:r>
          </w:p>
        </w:tc>
        <w:tc>
          <w:tcPr>
            <w:tcW w:w="333" w:type="pct"/>
          </w:tcPr>
          <w:p w14:paraId="612E21D0"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41D40E8A" w14:textId="77777777" w:rsidR="00D72D0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(75.3)</w:t>
            </w:r>
          </w:p>
        </w:tc>
        <w:tc>
          <w:tcPr>
            <w:tcW w:w="584" w:type="pct"/>
          </w:tcPr>
          <w:p w14:paraId="7F3EA623" w14:textId="77777777" w:rsidR="00D72D0A" w:rsidRDefault="00D72D0A" w:rsidP="00B06D81">
            <w:pPr>
              <w:autoSpaceDE w:val="0"/>
              <w:autoSpaceDN w:val="0"/>
              <w:adjustRightInd w:val="0"/>
              <w:jc w:val="right"/>
              <w:rPr>
                <w:rFonts w:ascii="Calibri" w:hAnsi="Calibri" w:cs="Calibri"/>
                <w:bCs/>
                <w:color w:val="000000"/>
                <w:sz w:val="22"/>
                <w:szCs w:val="22"/>
              </w:rPr>
            </w:pPr>
            <w:r w:rsidRPr="008B2B9D">
              <w:rPr>
                <w:rFonts w:ascii="Calibri" w:hAnsi="Calibri" w:cs="Calibri"/>
                <w:bCs/>
                <w:color w:val="000000"/>
                <w:sz w:val="22"/>
                <w:szCs w:val="22"/>
              </w:rPr>
              <w:t>(</w:t>
            </w:r>
            <w:r>
              <w:rPr>
                <w:rFonts w:ascii="Calibri" w:hAnsi="Calibri" w:cs="Calibri"/>
                <w:bCs/>
                <w:color w:val="000000"/>
                <w:sz w:val="22"/>
                <w:szCs w:val="22"/>
              </w:rPr>
              <w:t>71.0</w:t>
            </w:r>
            <w:r w:rsidRPr="008B2B9D">
              <w:rPr>
                <w:rFonts w:ascii="Calibri" w:hAnsi="Calibri" w:cs="Calibri"/>
                <w:bCs/>
                <w:color w:val="000000"/>
                <w:sz w:val="22"/>
                <w:szCs w:val="22"/>
              </w:rPr>
              <w:t>)</w:t>
            </w:r>
          </w:p>
        </w:tc>
      </w:tr>
      <w:tr w:rsidR="00D72D0A" w:rsidRPr="00677316" w14:paraId="661E6DC4" w14:textId="77777777" w:rsidTr="00B06D81">
        <w:trPr>
          <w:trHeight w:val="262"/>
        </w:trPr>
        <w:tc>
          <w:tcPr>
            <w:tcW w:w="3545" w:type="pct"/>
            <w:gridSpan w:val="2"/>
          </w:tcPr>
          <w:p w14:paraId="26618089"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Net cash provided by operating activities</w:t>
            </w:r>
          </w:p>
        </w:tc>
        <w:tc>
          <w:tcPr>
            <w:tcW w:w="333" w:type="pct"/>
          </w:tcPr>
          <w:p w14:paraId="058CDF7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top w:val="single" w:sz="4" w:space="0" w:color="auto"/>
              <w:bottom w:val="single" w:sz="4" w:space="0" w:color="auto"/>
            </w:tcBorders>
            <w:shd w:val="clear" w:color="auto" w:fill="auto"/>
          </w:tcPr>
          <w:p w14:paraId="08649319" w14:textId="77777777" w:rsidR="00D72D0A" w:rsidRPr="00154F4C" w:rsidRDefault="00D72D0A"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1,744.0</w:t>
            </w:r>
          </w:p>
        </w:tc>
        <w:tc>
          <w:tcPr>
            <w:tcW w:w="584" w:type="pct"/>
            <w:tcBorders>
              <w:top w:val="single" w:sz="4" w:space="0" w:color="auto"/>
              <w:bottom w:val="single" w:sz="4" w:space="0" w:color="auto"/>
            </w:tcBorders>
          </w:tcPr>
          <w:p w14:paraId="156BDD8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561.3</w:t>
            </w:r>
          </w:p>
        </w:tc>
      </w:tr>
      <w:tr w:rsidR="00D72D0A" w:rsidRPr="00677316" w14:paraId="1CAAF410" w14:textId="77777777" w:rsidTr="00B06D81">
        <w:trPr>
          <w:trHeight w:val="247"/>
        </w:trPr>
        <w:tc>
          <w:tcPr>
            <w:tcW w:w="123" w:type="pct"/>
          </w:tcPr>
          <w:p w14:paraId="3865DD5B"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36E9CE24"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42960C00"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11573C70" w14:textId="77777777" w:rsidR="00D72D0A" w:rsidRPr="00154F4C"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Borders>
              <w:top w:val="single" w:sz="4" w:space="0" w:color="auto"/>
            </w:tcBorders>
          </w:tcPr>
          <w:p w14:paraId="5AB63F65"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p>
        </w:tc>
      </w:tr>
      <w:tr w:rsidR="00D72D0A" w:rsidRPr="00677316" w14:paraId="579E2204" w14:textId="77777777" w:rsidTr="00B06D81">
        <w:trPr>
          <w:trHeight w:val="247"/>
        </w:trPr>
        <w:tc>
          <w:tcPr>
            <w:tcW w:w="3545" w:type="pct"/>
            <w:gridSpan w:val="2"/>
          </w:tcPr>
          <w:p w14:paraId="6561D2A4"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Investing activities</w:t>
            </w:r>
          </w:p>
        </w:tc>
        <w:tc>
          <w:tcPr>
            <w:tcW w:w="333" w:type="pct"/>
          </w:tcPr>
          <w:p w14:paraId="74DACCB2"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08EBB0D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Pr>
          <w:p w14:paraId="54EB07F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3CA65C87" w14:textId="77777777" w:rsidTr="00B06D81">
        <w:trPr>
          <w:trHeight w:val="247"/>
        </w:trPr>
        <w:tc>
          <w:tcPr>
            <w:tcW w:w="123" w:type="pct"/>
          </w:tcPr>
          <w:p w14:paraId="688BDAA1"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584F30E6" w14:textId="439BA59F" w:rsidR="00D72D0A" w:rsidRPr="00677316" w:rsidRDefault="00D72D0A" w:rsidP="00B06D81">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Capital expenditure purchase of property, plant and equipment</w:t>
            </w:r>
          </w:p>
        </w:tc>
        <w:tc>
          <w:tcPr>
            <w:tcW w:w="333" w:type="pct"/>
          </w:tcPr>
          <w:p w14:paraId="7113BC4C"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1D2B9A29"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(1,375.1)</w:t>
            </w:r>
          </w:p>
        </w:tc>
        <w:tc>
          <w:tcPr>
            <w:tcW w:w="584" w:type="pct"/>
          </w:tcPr>
          <w:p w14:paraId="2CC5D5C3"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sidRPr="00DB22BA">
              <w:rPr>
                <w:rFonts w:ascii="Calibri" w:hAnsi="Calibri" w:cs="Calibri"/>
                <w:bCs/>
                <w:color w:val="000000"/>
                <w:sz w:val="22"/>
                <w:szCs w:val="22"/>
              </w:rPr>
              <w:t>(</w:t>
            </w:r>
            <w:r>
              <w:rPr>
                <w:rFonts w:ascii="Calibri" w:hAnsi="Calibri" w:cs="Calibri"/>
                <w:bCs/>
                <w:color w:val="000000"/>
                <w:sz w:val="22"/>
                <w:szCs w:val="22"/>
              </w:rPr>
              <w:t>1,188.8</w:t>
            </w:r>
            <w:r w:rsidRPr="00DB22BA">
              <w:rPr>
                <w:rFonts w:ascii="Calibri" w:hAnsi="Calibri" w:cs="Calibri"/>
                <w:bCs/>
                <w:color w:val="000000"/>
                <w:sz w:val="22"/>
                <w:szCs w:val="22"/>
              </w:rPr>
              <w:t>)</w:t>
            </w:r>
          </w:p>
        </w:tc>
      </w:tr>
      <w:tr w:rsidR="00D72D0A" w:rsidRPr="00677316" w14:paraId="75B22E66" w14:textId="77777777" w:rsidTr="00B06D81">
        <w:trPr>
          <w:trHeight w:val="247"/>
        </w:trPr>
        <w:tc>
          <w:tcPr>
            <w:tcW w:w="123" w:type="pct"/>
          </w:tcPr>
          <w:p w14:paraId="553873D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71C10646"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Decrease in restricted cash</w:t>
            </w:r>
          </w:p>
        </w:tc>
        <w:tc>
          <w:tcPr>
            <w:tcW w:w="333" w:type="pct"/>
          </w:tcPr>
          <w:p w14:paraId="151A9F5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395FCCCF" w14:textId="77777777" w:rsidR="00D72D0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0.5</w:t>
            </w:r>
          </w:p>
        </w:tc>
        <w:tc>
          <w:tcPr>
            <w:tcW w:w="584" w:type="pct"/>
          </w:tcPr>
          <w:p w14:paraId="2B40F2DF"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p>
        </w:tc>
      </w:tr>
      <w:tr w:rsidR="00D72D0A" w:rsidRPr="00677316" w14:paraId="799D0E89" w14:textId="77777777" w:rsidTr="00B06D81">
        <w:trPr>
          <w:trHeight w:val="247"/>
        </w:trPr>
        <w:tc>
          <w:tcPr>
            <w:tcW w:w="123" w:type="pct"/>
          </w:tcPr>
          <w:p w14:paraId="4FAAF3A4"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6C51CCB1" w14:textId="274F2543" w:rsidR="00D72D0A" w:rsidRPr="00DB22BA" w:rsidRDefault="00A3268A" w:rsidP="00B06D81">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r w:rsidR="00D72D0A">
              <w:rPr>
                <w:rFonts w:ascii="Calibri" w:hAnsi="Calibri" w:cs="Calibri"/>
                <w:color w:val="000000"/>
                <w:sz w:val="22"/>
                <w:szCs w:val="22"/>
              </w:rPr>
              <w:t>ecrease in financial assets: cash &gt; 3 months</w:t>
            </w:r>
          </w:p>
        </w:tc>
        <w:tc>
          <w:tcPr>
            <w:tcW w:w="333" w:type="pct"/>
          </w:tcPr>
          <w:p w14:paraId="192694A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7821389B"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63.4</w:t>
            </w:r>
          </w:p>
        </w:tc>
        <w:tc>
          <w:tcPr>
            <w:tcW w:w="584" w:type="pct"/>
          </w:tcPr>
          <w:p w14:paraId="2D859B21"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770.8</w:t>
            </w:r>
          </w:p>
        </w:tc>
      </w:tr>
      <w:tr w:rsidR="00D72D0A" w:rsidRPr="00677316" w14:paraId="46117C5B" w14:textId="77777777" w:rsidTr="00B06D81">
        <w:trPr>
          <w:trHeight w:val="262"/>
        </w:trPr>
        <w:tc>
          <w:tcPr>
            <w:tcW w:w="123" w:type="pct"/>
          </w:tcPr>
          <w:p w14:paraId="19439DE6"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520D4B68" w14:textId="77777777" w:rsidR="00D72D0A" w:rsidRDefault="00D72D0A" w:rsidP="00B06D81">
            <w:pPr>
              <w:autoSpaceDE w:val="0"/>
              <w:autoSpaceDN w:val="0"/>
              <w:adjustRightInd w:val="0"/>
              <w:rPr>
                <w:rFonts w:ascii="Calibri" w:hAnsi="Calibri" w:cs="Calibri"/>
                <w:color w:val="000000"/>
                <w:sz w:val="22"/>
                <w:szCs w:val="22"/>
              </w:rPr>
            </w:pPr>
            <w:r>
              <w:rPr>
                <w:rFonts w:ascii="Calibri" w:hAnsi="Calibri" w:cs="Calibri"/>
                <w:color w:val="000000"/>
                <w:sz w:val="22"/>
                <w:szCs w:val="22"/>
              </w:rPr>
              <w:t>Investment in associate</w:t>
            </w:r>
          </w:p>
        </w:tc>
        <w:tc>
          <w:tcPr>
            <w:tcW w:w="333" w:type="pct"/>
          </w:tcPr>
          <w:p w14:paraId="6312C03A"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61655D0A" w14:textId="77777777" w:rsidR="00D72D0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w:t>
            </w:r>
          </w:p>
        </w:tc>
        <w:tc>
          <w:tcPr>
            <w:tcW w:w="584" w:type="pct"/>
          </w:tcPr>
          <w:p w14:paraId="08AF3F06" w14:textId="2F065C29" w:rsidR="00D72D0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(32.0</w:t>
            </w:r>
            <w:r w:rsidR="00A3268A">
              <w:rPr>
                <w:rFonts w:ascii="Calibri" w:hAnsi="Calibri" w:cs="Calibri"/>
                <w:bCs/>
                <w:color w:val="000000"/>
                <w:sz w:val="22"/>
                <w:szCs w:val="22"/>
              </w:rPr>
              <w:t>)</w:t>
            </w:r>
          </w:p>
        </w:tc>
      </w:tr>
      <w:tr w:rsidR="00D72D0A" w:rsidRPr="00677316" w14:paraId="6FC893FA" w14:textId="77777777" w:rsidTr="00B06D81">
        <w:trPr>
          <w:trHeight w:val="262"/>
        </w:trPr>
        <w:tc>
          <w:tcPr>
            <w:tcW w:w="123" w:type="pct"/>
          </w:tcPr>
          <w:p w14:paraId="27DC8B39"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52D5CD37" w14:textId="77777777" w:rsidR="00D72D0A" w:rsidRDefault="00D72D0A" w:rsidP="00B06D81">
            <w:pPr>
              <w:autoSpaceDE w:val="0"/>
              <w:autoSpaceDN w:val="0"/>
              <w:adjustRightInd w:val="0"/>
              <w:rPr>
                <w:rFonts w:ascii="Calibri" w:hAnsi="Calibri" w:cs="Calibri"/>
                <w:color w:val="000000"/>
                <w:sz w:val="22"/>
                <w:szCs w:val="22"/>
              </w:rPr>
            </w:pPr>
            <w:r>
              <w:rPr>
                <w:rFonts w:ascii="Calibri" w:hAnsi="Calibri" w:cs="Calibri"/>
                <w:color w:val="000000"/>
                <w:sz w:val="22"/>
                <w:szCs w:val="22"/>
              </w:rPr>
              <w:t>Cash acquired with subsidiary undertakings</w:t>
            </w:r>
          </w:p>
        </w:tc>
        <w:tc>
          <w:tcPr>
            <w:tcW w:w="333" w:type="pct"/>
          </w:tcPr>
          <w:p w14:paraId="6F2EAA1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6C3F4E60" w14:textId="77777777" w:rsidR="00D72D0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w:t>
            </w:r>
          </w:p>
        </w:tc>
        <w:tc>
          <w:tcPr>
            <w:tcW w:w="584" w:type="pct"/>
          </w:tcPr>
          <w:p w14:paraId="53AEB0FC" w14:textId="77777777" w:rsidR="00D72D0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7.0</w:t>
            </w:r>
          </w:p>
        </w:tc>
      </w:tr>
      <w:tr w:rsidR="00D72D0A" w:rsidRPr="00677316" w14:paraId="362E7798" w14:textId="77777777" w:rsidTr="00B06D81">
        <w:trPr>
          <w:trHeight w:val="262"/>
        </w:trPr>
        <w:tc>
          <w:tcPr>
            <w:tcW w:w="3545" w:type="pct"/>
            <w:gridSpan w:val="2"/>
          </w:tcPr>
          <w:p w14:paraId="7CE1D541"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Net cash </w:t>
            </w:r>
            <w:r>
              <w:rPr>
                <w:rFonts w:asciiTheme="minorHAnsi" w:hAnsiTheme="minorHAnsi" w:cstheme="minorHAnsi"/>
                <w:b/>
                <w:bCs/>
                <w:color w:val="000000"/>
                <w:sz w:val="22"/>
                <w:szCs w:val="22"/>
              </w:rPr>
              <w:t>(</w:t>
            </w:r>
            <w:r w:rsidRPr="00677316">
              <w:rPr>
                <w:rFonts w:asciiTheme="minorHAnsi" w:hAnsiTheme="minorHAnsi" w:cstheme="minorHAnsi"/>
                <w:b/>
                <w:bCs/>
                <w:color w:val="000000"/>
                <w:sz w:val="22"/>
                <w:szCs w:val="22"/>
              </w:rPr>
              <w:t>used in) investing activities</w:t>
            </w:r>
          </w:p>
        </w:tc>
        <w:tc>
          <w:tcPr>
            <w:tcW w:w="333" w:type="pct"/>
          </w:tcPr>
          <w:p w14:paraId="7EBF0D2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top w:val="single" w:sz="4" w:space="0" w:color="auto"/>
              <w:bottom w:val="single" w:sz="4" w:space="0" w:color="auto"/>
            </w:tcBorders>
            <w:shd w:val="clear" w:color="auto" w:fill="auto"/>
          </w:tcPr>
          <w:p w14:paraId="0267A833" w14:textId="77777777" w:rsidR="00D72D0A" w:rsidRPr="00DB22B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(1,311.2)</w:t>
            </w:r>
          </w:p>
        </w:tc>
        <w:tc>
          <w:tcPr>
            <w:tcW w:w="584" w:type="pct"/>
            <w:tcBorders>
              <w:top w:val="single" w:sz="4" w:space="0" w:color="auto"/>
              <w:bottom w:val="single" w:sz="4" w:space="0" w:color="auto"/>
            </w:tcBorders>
          </w:tcPr>
          <w:p w14:paraId="5DAC4DB8" w14:textId="77777777" w:rsidR="00D72D0A" w:rsidRPr="00DB22BA" w:rsidRDefault="00D72D0A" w:rsidP="00B06D8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(443.0)</w:t>
            </w:r>
          </w:p>
        </w:tc>
      </w:tr>
      <w:tr w:rsidR="00D72D0A" w:rsidRPr="00677316" w14:paraId="2BE8A766" w14:textId="77777777" w:rsidTr="00B06D81">
        <w:trPr>
          <w:trHeight w:val="247"/>
        </w:trPr>
        <w:tc>
          <w:tcPr>
            <w:tcW w:w="123" w:type="pct"/>
          </w:tcPr>
          <w:p w14:paraId="2FAED457"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highlight w:val="yellow"/>
              </w:rPr>
            </w:pPr>
          </w:p>
        </w:tc>
        <w:tc>
          <w:tcPr>
            <w:tcW w:w="3422" w:type="pct"/>
          </w:tcPr>
          <w:p w14:paraId="6114EA7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333" w:type="pct"/>
          </w:tcPr>
          <w:p w14:paraId="7A72CCE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212BFB03" w14:textId="77777777" w:rsidR="00D72D0A" w:rsidRPr="00F278E4"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Borders>
              <w:top w:val="single" w:sz="4" w:space="0" w:color="auto"/>
            </w:tcBorders>
          </w:tcPr>
          <w:p w14:paraId="2F495903" w14:textId="77777777" w:rsidR="00D72D0A" w:rsidRPr="00F278E4" w:rsidRDefault="00D72D0A" w:rsidP="00B06D81">
            <w:pPr>
              <w:autoSpaceDE w:val="0"/>
              <w:autoSpaceDN w:val="0"/>
              <w:adjustRightInd w:val="0"/>
              <w:jc w:val="right"/>
              <w:rPr>
                <w:rFonts w:asciiTheme="minorHAnsi" w:hAnsiTheme="minorHAnsi" w:cstheme="minorHAnsi"/>
                <w:bCs/>
                <w:color w:val="000000"/>
                <w:sz w:val="22"/>
                <w:szCs w:val="22"/>
              </w:rPr>
            </w:pPr>
          </w:p>
        </w:tc>
      </w:tr>
      <w:tr w:rsidR="00D72D0A" w:rsidRPr="00677316" w14:paraId="7D949A61" w14:textId="77777777" w:rsidTr="00B06D81">
        <w:trPr>
          <w:trHeight w:val="247"/>
        </w:trPr>
        <w:tc>
          <w:tcPr>
            <w:tcW w:w="3545" w:type="pct"/>
            <w:gridSpan w:val="2"/>
          </w:tcPr>
          <w:p w14:paraId="176ACFB2"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Financing activities</w:t>
            </w:r>
          </w:p>
        </w:tc>
        <w:tc>
          <w:tcPr>
            <w:tcW w:w="333" w:type="pct"/>
          </w:tcPr>
          <w:p w14:paraId="77AE98C2"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0027340E" w14:textId="77777777" w:rsidR="00D72D0A" w:rsidRPr="00F278E4"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Pr>
          <w:p w14:paraId="7B04AE03"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170D273E" w14:textId="77777777" w:rsidTr="00B06D81">
        <w:trPr>
          <w:trHeight w:val="262"/>
        </w:trPr>
        <w:tc>
          <w:tcPr>
            <w:tcW w:w="123" w:type="pct"/>
          </w:tcPr>
          <w:p w14:paraId="48F37C0A"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3FEA6EC3" w14:textId="4F4EA098" w:rsidR="00D72D0A"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Shareholder returns</w:t>
            </w:r>
            <w:r w:rsidR="00A3268A">
              <w:rPr>
                <w:rFonts w:asciiTheme="minorHAnsi" w:hAnsiTheme="minorHAnsi" w:cstheme="minorHAnsi"/>
                <w:color w:val="000000"/>
                <w:sz w:val="22"/>
                <w:szCs w:val="22"/>
              </w:rPr>
              <w:t xml:space="preserve"> (net of tax)</w:t>
            </w:r>
          </w:p>
        </w:tc>
        <w:tc>
          <w:tcPr>
            <w:tcW w:w="333" w:type="pct"/>
          </w:tcPr>
          <w:p w14:paraId="1FA81498" w14:textId="77777777" w:rsidR="00D72D0A"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13</w:t>
            </w:r>
          </w:p>
        </w:tc>
        <w:tc>
          <w:tcPr>
            <w:tcW w:w="538" w:type="pct"/>
            <w:shd w:val="clear" w:color="auto" w:fill="auto"/>
          </w:tcPr>
          <w:p w14:paraId="0E2AD853" w14:textId="77777777" w:rsidR="00D72D0A" w:rsidRDefault="00D72D0A"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(371.5)</w:t>
            </w:r>
          </w:p>
        </w:tc>
        <w:tc>
          <w:tcPr>
            <w:tcW w:w="584" w:type="pct"/>
          </w:tcPr>
          <w:p w14:paraId="1CB9981C" w14:textId="77777777" w:rsidR="00D72D0A" w:rsidRDefault="00D72D0A" w:rsidP="00B06D81">
            <w:pPr>
              <w:autoSpaceDE w:val="0"/>
              <w:autoSpaceDN w:val="0"/>
              <w:adjustRightInd w:val="0"/>
              <w:jc w:val="right"/>
              <w:rPr>
                <w:rFonts w:asciiTheme="minorHAnsi" w:hAnsiTheme="minorHAnsi" w:cstheme="minorHAnsi"/>
                <w:bCs/>
                <w:color w:val="000000"/>
                <w:sz w:val="22"/>
                <w:szCs w:val="22"/>
              </w:rPr>
            </w:pPr>
            <w:r w:rsidRPr="00DB22BA">
              <w:rPr>
                <w:rFonts w:ascii="Calibri" w:hAnsi="Calibri" w:cs="Calibri"/>
                <w:bCs/>
                <w:color w:val="000000"/>
                <w:sz w:val="22"/>
                <w:szCs w:val="22"/>
              </w:rPr>
              <w:t>(</w:t>
            </w:r>
            <w:r>
              <w:rPr>
                <w:rFonts w:ascii="Calibri" w:hAnsi="Calibri" w:cs="Calibri"/>
                <w:bCs/>
                <w:color w:val="000000"/>
                <w:sz w:val="22"/>
                <w:szCs w:val="22"/>
              </w:rPr>
              <w:t>560.5</w:t>
            </w:r>
            <w:r w:rsidRPr="00DB22BA">
              <w:rPr>
                <w:rFonts w:ascii="Calibri" w:hAnsi="Calibri" w:cs="Calibri"/>
                <w:bCs/>
                <w:color w:val="000000"/>
                <w:sz w:val="22"/>
                <w:szCs w:val="22"/>
              </w:rPr>
              <w:t>)</w:t>
            </w:r>
          </w:p>
        </w:tc>
      </w:tr>
      <w:tr w:rsidR="00D72D0A" w:rsidRPr="00677316" w14:paraId="511C316E" w14:textId="77777777" w:rsidTr="00B06D81">
        <w:trPr>
          <w:trHeight w:val="262"/>
        </w:trPr>
        <w:tc>
          <w:tcPr>
            <w:tcW w:w="123" w:type="pct"/>
          </w:tcPr>
          <w:p w14:paraId="6EA72A6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1E135438" w14:textId="77777777" w:rsidR="00D72D0A" w:rsidRDefault="00D72D0A" w:rsidP="00B06D81">
            <w:pPr>
              <w:autoSpaceDE w:val="0"/>
              <w:autoSpaceDN w:val="0"/>
              <w:adjustRightInd w:val="0"/>
              <w:rPr>
                <w:rFonts w:asciiTheme="minorHAnsi" w:hAnsiTheme="minorHAnsi" w:cstheme="minorHAnsi"/>
                <w:color w:val="000000"/>
                <w:sz w:val="22"/>
                <w:szCs w:val="22"/>
              </w:rPr>
            </w:pPr>
            <w:r>
              <w:rPr>
                <w:rFonts w:ascii="Calibri" w:hAnsi="Calibri" w:cs="Calibri"/>
                <w:color w:val="000000"/>
                <w:sz w:val="22"/>
                <w:szCs w:val="22"/>
              </w:rPr>
              <w:t>Net proceeds from shares issued</w:t>
            </w:r>
          </w:p>
        </w:tc>
        <w:tc>
          <w:tcPr>
            <w:tcW w:w="333" w:type="pct"/>
          </w:tcPr>
          <w:p w14:paraId="669299DF" w14:textId="77777777" w:rsidR="00D72D0A"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2125DC53" w14:textId="77777777" w:rsidR="00D72D0A" w:rsidRDefault="00D72D0A"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12.0</w:t>
            </w:r>
          </w:p>
        </w:tc>
        <w:tc>
          <w:tcPr>
            <w:tcW w:w="584" w:type="pct"/>
          </w:tcPr>
          <w:p w14:paraId="44822D99" w14:textId="77777777" w:rsidR="00D72D0A" w:rsidRPr="00DB22BA" w:rsidRDefault="00D72D0A"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p>
        </w:tc>
      </w:tr>
      <w:tr w:rsidR="00D72D0A" w:rsidRPr="00677316" w14:paraId="7D6C55ED" w14:textId="77777777" w:rsidTr="00B06D81">
        <w:trPr>
          <w:trHeight w:val="262"/>
        </w:trPr>
        <w:tc>
          <w:tcPr>
            <w:tcW w:w="123" w:type="pct"/>
          </w:tcPr>
          <w:p w14:paraId="41A1238D"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5DDDA2DA" w14:textId="59D649C8" w:rsidR="00D72D0A" w:rsidRDefault="00A3268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Proceeds from l</w:t>
            </w:r>
            <w:r w:rsidR="00D72D0A">
              <w:rPr>
                <w:rFonts w:asciiTheme="minorHAnsi" w:hAnsiTheme="minorHAnsi" w:cstheme="minorHAnsi"/>
                <w:color w:val="000000"/>
                <w:sz w:val="22"/>
                <w:szCs w:val="22"/>
              </w:rPr>
              <w:t>ong term borrowings</w:t>
            </w:r>
          </w:p>
        </w:tc>
        <w:tc>
          <w:tcPr>
            <w:tcW w:w="333" w:type="pct"/>
          </w:tcPr>
          <w:p w14:paraId="1ABD5BBD" w14:textId="77777777" w:rsidR="00D72D0A"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6D7533A1" w14:textId="77777777" w:rsidR="00D72D0A"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750.0</w:t>
            </w:r>
          </w:p>
        </w:tc>
        <w:tc>
          <w:tcPr>
            <w:tcW w:w="584" w:type="pct"/>
          </w:tcPr>
          <w:p w14:paraId="444A9CC0" w14:textId="77777777" w:rsidR="00D72D0A" w:rsidRDefault="00D72D0A"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p>
        </w:tc>
      </w:tr>
      <w:tr w:rsidR="00D72D0A" w:rsidRPr="00677316" w14:paraId="5B73AF4E" w14:textId="77777777" w:rsidTr="00B06D81">
        <w:trPr>
          <w:trHeight w:val="262"/>
        </w:trPr>
        <w:tc>
          <w:tcPr>
            <w:tcW w:w="123" w:type="pct"/>
          </w:tcPr>
          <w:p w14:paraId="40295FAE"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0E487659" w14:textId="77777777" w:rsidR="00D72D0A"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Repayments of </w:t>
            </w:r>
            <w:proofErr w:type="gramStart"/>
            <w:r>
              <w:rPr>
                <w:rFonts w:asciiTheme="minorHAnsi" w:hAnsiTheme="minorHAnsi" w:cstheme="minorHAnsi"/>
                <w:color w:val="000000"/>
                <w:sz w:val="22"/>
                <w:szCs w:val="22"/>
              </w:rPr>
              <w:t>long term</w:t>
            </w:r>
            <w:proofErr w:type="gramEnd"/>
            <w:r>
              <w:rPr>
                <w:rFonts w:asciiTheme="minorHAnsi" w:hAnsiTheme="minorHAnsi" w:cstheme="minorHAnsi"/>
                <w:color w:val="000000"/>
                <w:sz w:val="22"/>
                <w:szCs w:val="22"/>
              </w:rPr>
              <w:t xml:space="preserve"> borrowings</w:t>
            </w:r>
          </w:p>
        </w:tc>
        <w:tc>
          <w:tcPr>
            <w:tcW w:w="333" w:type="pct"/>
          </w:tcPr>
          <w:p w14:paraId="0CF0E989" w14:textId="77777777" w:rsidR="00D72D0A"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113BDEE6" w14:textId="77777777" w:rsidR="00D72D0A" w:rsidRDefault="00D72D0A"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(296.4)</w:t>
            </w:r>
          </w:p>
        </w:tc>
        <w:tc>
          <w:tcPr>
            <w:tcW w:w="584" w:type="pct"/>
          </w:tcPr>
          <w:p w14:paraId="40E2E4E3" w14:textId="77777777" w:rsidR="00D72D0A" w:rsidRDefault="00D72D0A" w:rsidP="00B06D81">
            <w:pPr>
              <w:autoSpaceDE w:val="0"/>
              <w:autoSpaceDN w:val="0"/>
              <w:adjustRightInd w:val="0"/>
              <w:jc w:val="right"/>
              <w:rPr>
                <w:rFonts w:asciiTheme="minorHAnsi" w:hAnsiTheme="minorHAnsi" w:cstheme="minorHAnsi"/>
                <w:bCs/>
                <w:color w:val="000000"/>
                <w:sz w:val="22"/>
                <w:szCs w:val="22"/>
              </w:rPr>
            </w:pPr>
            <w:r>
              <w:rPr>
                <w:rFonts w:ascii="Calibri" w:hAnsi="Calibri" w:cs="Calibri"/>
                <w:bCs/>
                <w:color w:val="000000"/>
                <w:sz w:val="22"/>
                <w:szCs w:val="22"/>
              </w:rPr>
              <w:t>(236.3</w:t>
            </w:r>
            <w:r w:rsidRPr="00DB22BA">
              <w:rPr>
                <w:rFonts w:ascii="Calibri" w:hAnsi="Calibri" w:cs="Calibri"/>
                <w:bCs/>
                <w:color w:val="000000"/>
                <w:sz w:val="22"/>
                <w:szCs w:val="22"/>
              </w:rPr>
              <w:t>)</w:t>
            </w:r>
          </w:p>
        </w:tc>
      </w:tr>
      <w:tr w:rsidR="00D72D0A" w:rsidRPr="00677316" w14:paraId="105613CA" w14:textId="77777777" w:rsidTr="00B06D81">
        <w:trPr>
          <w:trHeight w:val="262"/>
        </w:trPr>
        <w:tc>
          <w:tcPr>
            <w:tcW w:w="123" w:type="pct"/>
          </w:tcPr>
          <w:p w14:paraId="0019312F"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6180967D"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Calibri" w:hAnsi="Calibri" w:cs="Calibri"/>
                <w:color w:val="000000"/>
                <w:sz w:val="22"/>
                <w:szCs w:val="22"/>
              </w:rPr>
              <w:t>Lease liabilities paid</w:t>
            </w:r>
          </w:p>
        </w:tc>
        <w:tc>
          <w:tcPr>
            <w:tcW w:w="333" w:type="pct"/>
          </w:tcPr>
          <w:p w14:paraId="1D1A1F04"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0E24A942" w14:textId="77777777" w:rsidR="00D72D0A" w:rsidRPr="00F278E4" w:rsidRDefault="00D72D0A" w:rsidP="00B06D81">
            <w:pPr>
              <w:autoSpaceDE w:val="0"/>
              <w:autoSpaceDN w:val="0"/>
              <w:adjustRightInd w:val="0"/>
              <w:jc w:val="right"/>
              <w:rPr>
                <w:rFonts w:asciiTheme="minorHAnsi" w:hAnsiTheme="minorHAnsi" w:cstheme="minorHAnsi"/>
                <w:b/>
                <w:bCs/>
                <w:color w:val="000000"/>
                <w:sz w:val="22"/>
                <w:szCs w:val="22"/>
                <w:highlight w:val="yellow"/>
              </w:rPr>
            </w:pPr>
            <w:r>
              <w:rPr>
                <w:rFonts w:ascii="Calibri" w:hAnsi="Calibri" w:cs="Calibri"/>
                <w:b/>
                <w:bCs/>
                <w:color w:val="000000"/>
                <w:sz w:val="22"/>
                <w:szCs w:val="22"/>
              </w:rPr>
              <w:t>(45.9)</w:t>
            </w:r>
          </w:p>
        </w:tc>
        <w:tc>
          <w:tcPr>
            <w:tcW w:w="584" w:type="pct"/>
          </w:tcPr>
          <w:p w14:paraId="2F7E036C"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p>
        </w:tc>
      </w:tr>
      <w:tr w:rsidR="00D72D0A" w:rsidRPr="00677316" w14:paraId="7B0CBDEF" w14:textId="77777777" w:rsidTr="00B06D81">
        <w:trPr>
          <w:trHeight w:val="262"/>
        </w:trPr>
        <w:tc>
          <w:tcPr>
            <w:tcW w:w="3545" w:type="pct"/>
            <w:gridSpan w:val="2"/>
          </w:tcPr>
          <w:p w14:paraId="5141DFC8" w14:textId="2A6991AD"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Net cash</w:t>
            </w:r>
            <w:r>
              <w:rPr>
                <w:rFonts w:asciiTheme="minorHAnsi" w:hAnsiTheme="minorHAnsi" w:cstheme="minorHAnsi"/>
                <w:b/>
                <w:bCs/>
                <w:color w:val="000000"/>
                <w:sz w:val="22"/>
                <w:szCs w:val="22"/>
              </w:rPr>
              <w:t xml:space="preserve"> from/(</w:t>
            </w:r>
            <w:r w:rsidRPr="00677316">
              <w:rPr>
                <w:rFonts w:asciiTheme="minorHAnsi" w:hAnsiTheme="minorHAnsi" w:cstheme="minorHAnsi"/>
                <w:b/>
                <w:bCs/>
                <w:color w:val="000000"/>
                <w:sz w:val="22"/>
                <w:szCs w:val="22"/>
              </w:rPr>
              <w:t>used)</w:t>
            </w:r>
            <w:r w:rsidR="00A3268A">
              <w:rPr>
                <w:rFonts w:asciiTheme="minorHAnsi" w:hAnsiTheme="minorHAnsi" w:cstheme="minorHAnsi"/>
                <w:b/>
                <w:bCs/>
                <w:color w:val="000000"/>
                <w:sz w:val="22"/>
                <w:szCs w:val="22"/>
              </w:rPr>
              <w:t xml:space="preserve"> in</w:t>
            </w:r>
            <w:r w:rsidRPr="00677316">
              <w:rPr>
                <w:rFonts w:asciiTheme="minorHAnsi" w:hAnsiTheme="minorHAnsi" w:cstheme="minorHAnsi"/>
                <w:b/>
                <w:bCs/>
                <w:color w:val="000000"/>
                <w:sz w:val="22"/>
                <w:szCs w:val="22"/>
              </w:rPr>
              <w:t xml:space="preserve"> financing activities</w:t>
            </w:r>
          </w:p>
        </w:tc>
        <w:tc>
          <w:tcPr>
            <w:tcW w:w="333" w:type="pct"/>
          </w:tcPr>
          <w:p w14:paraId="6732ECB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top w:val="single" w:sz="4" w:space="0" w:color="auto"/>
              <w:bottom w:val="single" w:sz="4" w:space="0" w:color="auto"/>
            </w:tcBorders>
            <w:shd w:val="clear" w:color="auto" w:fill="auto"/>
          </w:tcPr>
          <w:p w14:paraId="27B052B8"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48.2</w:t>
            </w:r>
          </w:p>
        </w:tc>
        <w:tc>
          <w:tcPr>
            <w:tcW w:w="584" w:type="pct"/>
            <w:tcBorders>
              <w:top w:val="single" w:sz="4" w:space="0" w:color="auto"/>
              <w:bottom w:val="single" w:sz="4" w:space="0" w:color="auto"/>
            </w:tcBorders>
          </w:tcPr>
          <w:p w14:paraId="32622AB2"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sidRPr="00DB22BA">
              <w:rPr>
                <w:rFonts w:ascii="Calibri" w:hAnsi="Calibri" w:cs="Calibri"/>
                <w:color w:val="000000"/>
                <w:sz w:val="22"/>
                <w:szCs w:val="22"/>
              </w:rPr>
              <w:t>(</w:t>
            </w:r>
            <w:r>
              <w:rPr>
                <w:rFonts w:ascii="Calibri" w:hAnsi="Calibri" w:cs="Calibri"/>
                <w:color w:val="000000"/>
                <w:sz w:val="22"/>
                <w:szCs w:val="22"/>
              </w:rPr>
              <w:t>796.8</w:t>
            </w:r>
            <w:r w:rsidRPr="00DB22BA">
              <w:rPr>
                <w:rFonts w:ascii="Calibri" w:hAnsi="Calibri" w:cs="Calibri"/>
                <w:color w:val="000000"/>
                <w:sz w:val="22"/>
                <w:szCs w:val="22"/>
              </w:rPr>
              <w:t>)</w:t>
            </w:r>
          </w:p>
        </w:tc>
      </w:tr>
      <w:tr w:rsidR="00D72D0A" w:rsidRPr="00677316" w14:paraId="46336E6F" w14:textId="77777777" w:rsidTr="00B06D81">
        <w:trPr>
          <w:trHeight w:val="247"/>
        </w:trPr>
        <w:tc>
          <w:tcPr>
            <w:tcW w:w="123" w:type="pct"/>
          </w:tcPr>
          <w:p w14:paraId="32DF80C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highlight w:val="yellow"/>
              </w:rPr>
            </w:pPr>
          </w:p>
        </w:tc>
        <w:tc>
          <w:tcPr>
            <w:tcW w:w="3422" w:type="pct"/>
          </w:tcPr>
          <w:p w14:paraId="435BE4A7" w14:textId="77777777" w:rsidR="00D72D0A" w:rsidRPr="00677316" w:rsidRDefault="00D72D0A" w:rsidP="00B06D81">
            <w:pPr>
              <w:autoSpaceDE w:val="0"/>
              <w:autoSpaceDN w:val="0"/>
              <w:adjustRightInd w:val="0"/>
              <w:ind w:right="-200"/>
              <w:jc w:val="right"/>
              <w:rPr>
                <w:rFonts w:asciiTheme="minorHAnsi" w:hAnsiTheme="minorHAnsi" w:cstheme="minorHAnsi"/>
                <w:color w:val="000000"/>
                <w:sz w:val="22"/>
                <w:szCs w:val="22"/>
              </w:rPr>
            </w:pPr>
          </w:p>
        </w:tc>
        <w:tc>
          <w:tcPr>
            <w:tcW w:w="333" w:type="pct"/>
          </w:tcPr>
          <w:p w14:paraId="375FA167"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6ABFB1E0"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Borders>
              <w:top w:val="single" w:sz="4" w:space="0" w:color="auto"/>
            </w:tcBorders>
          </w:tcPr>
          <w:p w14:paraId="5717C6D3"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p>
        </w:tc>
      </w:tr>
      <w:tr w:rsidR="00D72D0A" w:rsidRPr="00677316" w14:paraId="3C37D37A" w14:textId="77777777" w:rsidTr="00B06D81">
        <w:trPr>
          <w:trHeight w:val="247"/>
        </w:trPr>
        <w:tc>
          <w:tcPr>
            <w:tcW w:w="3545" w:type="pct"/>
            <w:gridSpan w:val="2"/>
          </w:tcPr>
          <w:p w14:paraId="3E2073BD"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Increase/(decrease)</w:t>
            </w:r>
            <w:r w:rsidRPr="00677316">
              <w:rPr>
                <w:rFonts w:asciiTheme="minorHAnsi" w:hAnsiTheme="minorHAnsi" w:cstheme="minorHAnsi"/>
                <w:b/>
                <w:bCs/>
                <w:color w:val="000000"/>
                <w:sz w:val="22"/>
                <w:szCs w:val="22"/>
              </w:rPr>
              <w:t xml:space="preserve"> in cash and cash equivalents</w:t>
            </w:r>
          </w:p>
        </w:tc>
        <w:tc>
          <w:tcPr>
            <w:tcW w:w="333" w:type="pct"/>
          </w:tcPr>
          <w:p w14:paraId="7E04E436"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auto"/>
          </w:tcPr>
          <w:p w14:paraId="1CB3E18F"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481.0</w:t>
            </w:r>
          </w:p>
        </w:tc>
        <w:tc>
          <w:tcPr>
            <w:tcW w:w="584" w:type="pct"/>
            <w:shd w:val="clear" w:color="auto" w:fill="auto"/>
          </w:tcPr>
          <w:p w14:paraId="3BE0DAD4" w14:textId="77777777" w:rsidR="00D72D0A" w:rsidRPr="00DB22BA" w:rsidRDefault="00D72D0A" w:rsidP="00B06D8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(678.5)</w:t>
            </w:r>
          </w:p>
        </w:tc>
      </w:tr>
      <w:tr w:rsidR="00D72D0A" w:rsidRPr="00677316" w14:paraId="103E5505" w14:textId="77777777" w:rsidTr="00B06D81">
        <w:trPr>
          <w:trHeight w:val="247"/>
        </w:trPr>
        <w:tc>
          <w:tcPr>
            <w:tcW w:w="3545" w:type="pct"/>
            <w:gridSpan w:val="2"/>
          </w:tcPr>
          <w:p w14:paraId="44B8CEB4"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677316">
              <w:rPr>
                <w:rFonts w:asciiTheme="minorHAnsi" w:hAnsiTheme="minorHAnsi" w:cstheme="minorHAnsi"/>
                <w:color w:val="000000"/>
                <w:sz w:val="22"/>
                <w:szCs w:val="22"/>
              </w:rPr>
              <w:t xml:space="preserve">Cash and cash equivalents at beginning of </w:t>
            </w:r>
            <w:r>
              <w:rPr>
                <w:rFonts w:asciiTheme="minorHAnsi" w:hAnsiTheme="minorHAnsi" w:cstheme="minorHAnsi"/>
                <w:color w:val="000000"/>
                <w:sz w:val="22"/>
                <w:szCs w:val="22"/>
              </w:rPr>
              <w:t>the period</w:t>
            </w:r>
          </w:p>
        </w:tc>
        <w:tc>
          <w:tcPr>
            <w:tcW w:w="333" w:type="pct"/>
          </w:tcPr>
          <w:p w14:paraId="00DEB200"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bottom w:val="single" w:sz="4" w:space="0" w:color="auto"/>
            </w:tcBorders>
            <w:shd w:val="clear" w:color="auto" w:fill="auto"/>
          </w:tcPr>
          <w:p w14:paraId="7A5F5EF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1,675.6</w:t>
            </w:r>
          </w:p>
        </w:tc>
        <w:tc>
          <w:tcPr>
            <w:tcW w:w="584" w:type="pct"/>
            <w:tcBorders>
              <w:bottom w:val="single" w:sz="4" w:space="0" w:color="auto"/>
            </w:tcBorders>
            <w:shd w:val="clear" w:color="auto" w:fill="auto"/>
          </w:tcPr>
          <w:p w14:paraId="37CB606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Calibri" w:hAnsi="Calibri" w:cs="Calibri"/>
                <w:color w:val="000000"/>
                <w:sz w:val="22"/>
                <w:szCs w:val="22"/>
              </w:rPr>
              <w:t>1,515.0</w:t>
            </w:r>
          </w:p>
        </w:tc>
      </w:tr>
      <w:tr w:rsidR="00D72D0A" w:rsidRPr="00677316" w14:paraId="03594079" w14:textId="77777777" w:rsidTr="00B06D81">
        <w:trPr>
          <w:trHeight w:val="262"/>
        </w:trPr>
        <w:tc>
          <w:tcPr>
            <w:tcW w:w="3545" w:type="pct"/>
            <w:gridSpan w:val="2"/>
          </w:tcPr>
          <w:p w14:paraId="42504F1F"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Cash and cash equivalents at end of </w:t>
            </w:r>
            <w:r>
              <w:rPr>
                <w:rFonts w:asciiTheme="minorHAnsi" w:hAnsiTheme="minorHAnsi" w:cstheme="minorHAnsi"/>
                <w:b/>
                <w:bCs/>
                <w:color w:val="000000"/>
                <w:sz w:val="22"/>
                <w:szCs w:val="22"/>
              </w:rPr>
              <w:t>the period</w:t>
            </w:r>
          </w:p>
        </w:tc>
        <w:tc>
          <w:tcPr>
            <w:tcW w:w="333" w:type="pct"/>
          </w:tcPr>
          <w:p w14:paraId="1DF83BD8"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top w:val="single" w:sz="4" w:space="0" w:color="auto"/>
              <w:bottom w:val="single" w:sz="4" w:space="0" w:color="auto"/>
            </w:tcBorders>
            <w:shd w:val="clear" w:color="auto" w:fill="auto"/>
          </w:tcPr>
          <w:p w14:paraId="571C904E"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2,156.6</w:t>
            </w:r>
          </w:p>
        </w:tc>
        <w:tc>
          <w:tcPr>
            <w:tcW w:w="584" w:type="pct"/>
            <w:tcBorders>
              <w:top w:val="single" w:sz="4" w:space="0" w:color="auto"/>
              <w:bottom w:val="single" w:sz="4" w:space="0" w:color="auto"/>
            </w:tcBorders>
            <w:shd w:val="clear" w:color="auto" w:fill="auto"/>
          </w:tcPr>
          <w:p w14:paraId="7DD8DB12"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836.5</w:t>
            </w:r>
          </w:p>
        </w:tc>
      </w:tr>
      <w:tr w:rsidR="00D72D0A" w:rsidRPr="00677316" w14:paraId="2EE0973C" w14:textId="77777777" w:rsidTr="00B06D81">
        <w:trPr>
          <w:trHeight w:val="262"/>
        </w:trPr>
        <w:tc>
          <w:tcPr>
            <w:tcW w:w="3545" w:type="pct"/>
            <w:gridSpan w:val="2"/>
          </w:tcPr>
          <w:p w14:paraId="120B0A0C"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p>
        </w:tc>
        <w:tc>
          <w:tcPr>
            <w:tcW w:w="333" w:type="pct"/>
          </w:tcPr>
          <w:p w14:paraId="4C8D28A7"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top w:val="single" w:sz="4" w:space="0" w:color="auto"/>
            </w:tcBorders>
            <w:shd w:val="clear" w:color="auto" w:fill="auto"/>
          </w:tcPr>
          <w:p w14:paraId="5E5D74A5" w14:textId="77777777" w:rsidR="00D72D0A"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Borders>
              <w:top w:val="single" w:sz="4" w:space="0" w:color="auto"/>
            </w:tcBorders>
            <w:shd w:val="clear" w:color="auto" w:fill="auto"/>
          </w:tcPr>
          <w:p w14:paraId="4250BFF3" w14:textId="77777777" w:rsidR="00D72D0A" w:rsidRDefault="00D72D0A" w:rsidP="00B06D81">
            <w:pPr>
              <w:autoSpaceDE w:val="0"/>
              <w:autoSpaceDN w:val="0"/>
              <w:adjustRightInd w:val="0"/>
              <w:jc w:val="right"/>
              <w:rPr>
                <w:rFonts w:ascii="Calibri" w:hAnsi="Calibri" w:cs="Calibri"/>
                <w:color w:val="000000"/>
                <w:sz w:val="22"/>
                <w:szCs w:val="22"/>
              </w:rPr>
            </w:pPr>
          </w:p>
        </w:tc>
      </w:tr>
    </w:tbl>
    <w:p w14:paraId="791696FC" w14:textId="77777777" w:rsidR="00D72D0A" w:rsidRDefault="00D72D0A" w:rsidP="00D72D0A">
      <w:pPr>
        <w:rPr>
          <w:rFonts w:asciiTheme="minorHAnsi" w:hAnsiTheme="minorHAnsi" w:cstheme="minorHAnsi"/>
          <w:sz w:val="22"/>
          <w:szCs w:val="22"/>
          <w:highlight w:val="yellow"/>
        </w:rPr>
      </w:pPr>
    </w:p>
    <w:p w14:paraId="72AB389B" w14:textId="77777777" w:rsidR="00D72D0A" w:rsidRDefault="00D72D0A" w:rsidP="00D72D0A">
      <w:pPr>
        <w:rPr>
          <w:rFonts w:asciiTheme="minorHAnsi" w:hAnsiTheme="minorHAnsi" w:cstheme="minorHAnsi"/>
          <w:sz w:val="22"/>
          <w:szCs w:val="22"/>
          <w:highlight w:val="yellow"/>
        </w:rPr>
      </w:pPr>
    </w:p>
    <w:p w14:paraId="2DA78447" w14:textId="77777777" w:rsidR="00D72D0A" w:rsidRPr="00677316" w:rsidRDefault="00D72D0A" w:rsidP="00D72D0A">
      <w:pPr>
        <w:rPr>
          <w:rFonts w:asciiTheme="minorHAnsi" w:hAnsiTheme="minorHAnsi" w:cstheme="minorHAnsi"/>
          <w:sz w:val="22"/>
          <w:szCs w:val="22"/>
          <w:highlight w:val="yellow"/>
        </w:rPr>
      </w:pPr>
    </w:p>
    <w:p w14:paraId="0E8A55E9" w14:textId="77777777" w:rsidR="00D72D0A" w:rsidRPr="00677316" w:rsidRDefault="00D72D0A" w:rsidP="00D72D0A">
      <w:pPr>
        <w:autoSpaceDE w:val="0"/>
        <w:autoSpaceDN w:val="0"/>
        <w:adjustRightInd w:val="0"/>
        <w:ind w:left="-709" w:right="4"/>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Ryanair Holdings plc and Subsidiaries</w:t>
      </w:r>
    </w:p>
    <w:p w14:paraId="6C0E955F" w14:textId="77777777" w:rsidR="00D72D0A" w:rsidRDefault="00D72D0A" w:rsidP="00D72D0A">
      <w:pPr>
        <w:tabs>
          <w:tab w:val="left" w:pos="7655"/>
        </w:tabs>
        <w:ind w:right="4"/>
        <w:rPr>
          <w:rFonts w:ascii="Calibri" w:hAnsi="Calibri" w:cs="Calibri"/>
          <w:b/>
          <w:bCs/>
          <w:i/>
          <w:iCs/>
          <w:color w:val="000000"/>
          <w:sz w:val="22"/>
          <w:szCs w:val="22"/>
        </w:rPr>
      </w:pPr>
      <w:r w:rsidRPr="00DB22BA">
        <w:rPr>
          <w:rFonts w:ascii="Calibri" w:hAnsi="Calibri" w:cs="Calibri"/>
          <w:b/>
          <w:bCs/>
          <w:i/>
          <w:iCs/>
          <w:color w:val="000000"/>
          <w:sz w:val="22"/>
          <w:szCs w:val="22"/>
        </w:rPr>
        <w:t xml:space="preserve">Condensed Consolidated </w:t>
      </w:r>
      <w:r>
        <w:rPr>
          <w:rFonts w:ascii="Calibri" w:hAnsi="Calibri" w:cs="Calibri"/>
          <w:b/>
          <w:bCs/>
          <w:i/>
          <w:iCs/>
          <w:color w:val="000000"/>
          <w:sz w:val="22"/>
          <w:szCs w:val="22"/>
        </w:rPr>
        <w:t>Interim</w:t>
      </w:r>
      <w:r w:rsidRPr="00DB22BA">
        <w:rPr>
          <w:rFonts w:ascii="Calibri" w:hAnsi="Calibri" w:cs="Calibri"/>
          <w:b/>
          <w:bCs/>
          <w:i/>
          <w:iCs/>
          <w:color w:val="000000"/>
          <w:sz w:val="22"/>
          <w:szCs w:val="22"/>
        </w:rPr>
        <w:t xml:space="preserve"> Statement of Changes in Shareholders’ Equity for the</w:t>
      </w:r>
      <w:r>
        <w:rPr>
          <w:rFonts w:ascii="Calibri" w:hAnsi="Calibri" w:cs="Calibri"/>
          <w:b/>
          <w:bCs/>
          <w:i/>
          <w:iCs/>
          <w:color w:val="000000"/>
          <w:sz w:val="22"/>
          <w:szCs w:val="22"/>
        </w:rPr>
        <w:t xml:space="preserve"> nine months</w:t>
      </w:r>
      <w:r w:rsidRPr="00DB22BA">
        <w:rPr>
          <w:rFonts w:ascii="Calibri" w:hAnsi="Calibri" w:cs="Calibri"/>
          <w:b/>
          <w:bCs/>
          <w:i/>
          <w:iCs/>
          <w:color w:val="000000"/>
          <w:sz w:val="22"/>
          <w:szCs w:val="22"/>
        </w:rPr>
        <w:t xml:space="preserve"> ended </w:t>
      </w:r>
    </w:p>
    <w:p w14:paraId="06855387" w14:textId="77777777" w:rsidR="00D72D0A" w:rsidRDefault="00D72D0A" w:rsidP="00D72D0A">
      <w:pPr>
        <w:tabs>
          <w:tab w:val="left" w:pos="7655"/>
        </w:tabs>
        <w:ind w:right="4"/>
        <w:rPr>
          <w:rFonts w:ascii="Calibri" w:hAnsi="Calibri" w:cs="Calibri"/>
          <w:b/>
          <w:bCs/>
          <w:i/>
          <w:iCs/>
          <w:color w:val="000000"/>
          <w:sz w:val="22"/>
          <w:szCs w:val="22"/>
        </w:rPr>
      </w:pPr>
      <w:r>
        <w:rPr>
          <w:rFonts w:ascii="Calibri" w:hAnsi="Calibri" w:cs="Calibri"/>
          <w:b/>
          <w:bCs/>
          <w:i/>
          <w:iCs/>
          <w:color w:val="000000"/>
          <w:sz w:val="22"/>
          <w:szCs w:val="22"/>
        </w:rPr>
        <w:t>December</w:t>
      </w:r>
      <w:r w:rsidRPr="00DB22BA">
        <w:rPr>
          <w:rFonts w:ascii="Calibri" w:hAnsi="Calibri" w:cs="Calibri"/>
          <w:b/>
          <w:bCs/>
          <w:i/>
          <w:iCs/>
          <w:color w:val="000000"/>
          <w:sz w:val="22"/>
          <w:szCs w:val="22"/>
        </w:rPr>
        <w:t xml:space="preserve"> </w:t>
      </w:r>
      <w:r>
        <w:rPr>
          <w:rFonts w:ascii="Calibri" w:hAnsi="Calibri" w:cs="Calibri"/>
          <w:b/>
          <w:bCs/>
          <w:i/>
          <w:iCs/>
          <w:color w:val="000000"/>
          <w:sz w:val="22"/>
          <w:szCs w:val="22"/>
        </w:rPr>
        <w:t>31</w:t>
      </w:r>
      <w:r w:rsidRPr="00DB22BA">
        <w:rPr>
          <w:rFonts w:ascii="Calibri" w:hAnsi="Calibri" w:cs="Calibri"/>
          <w:b/>
          <w:bCs/>
          <w:i/>
          <w:iCs/>
          <w:color w:val="000000"/>
          <w:sz w:val="22"/>
          <w:szCs w:val="22"/>
        </w:rPr>
        <w:t>, 201</w:t>
      </w:r>
      <w:r>
        <w:rPr>
          <w:rFonts w:ascii="Calibri" w:hAnsi="Calibri" w:cs="Calibri"/>
          <w:b/>
          <w:bCs/>
          <w:i/>
          <w:iCs/>
          <w:color w:val="000000"/>
          <w:sz w:val="22"/>
          <w:szCs w:val="22"/>
        </w:rPr>
        <w:t>9</w:t>
      </w:r>
      <w:r w:rsidRPr="00DB22BA">
        <w:rPr>
          <w:rFonts w:ascii="Calibri" w:hAnsi="Calibri" w:cs="Calibri"/>
          <w:b/>
          <w:bCs/>
          <w:i/>
          <w:iCs/>
          <w:color w:val="000000"/>
          <w:sz w:val="22"/>
          <w:szCs w:val="22"/>
        </w:rPr>
        <w:t xml:space="preserve"> (unaudited)</w:t>
      </w:r>
    </w:p>
    <w:p w14:paraId="43E218D1" w14:textId="77777777" w:rsidR="00D72D0A" w:rsidRDefault="00D72D0A" w:rsidP="00D72D0A">
      <w:pPr>
        <w:tabs>
          <w:tab w:val="left" w:pos="7655"/>
        </w:tabs>
        <w:ind w:right="4"/>
        <w:rPr>
          <w:rFonts w:ascii="Calibri" w:hAnsi="Calibri" w:cs="Calibri"/>
          <w:b/>
          <w:bCs/>
          <w:i/>
          <w:iCs/>
          <w:color w:val="000000"/>
          <w:sz w:val="22"/>
          <w:szCs w:val="22"/>
        </w:rPr>
      </w:pPr>
    </w:p>
    <w:p w14:paraId="53DEDB4C" w14:textId="77777777" w:rsidR="00D72D0A" w:rsidRDefault="00D72D0A" w:rsidP="00D72D0A">
      <w:pPr>
        <w:tabs>
          <w:tab w:val="left" w:pos="7655"/>
        </w:tabs>
        <w:ind w:right="4"/>
        <w:rPr>
          <w:rFonts w:ascii="Calibri" w:hAnsi="Calibri" w:cs="Calibri"/>
          <w:b/>
          <w:bCs/>
          <w:i/>
          <w:iCs/>
          <w:color w:val="000000"/>
          <w:sz w:val="22"/>
          <w:szCs w:val="22"/>
        </w:rPr>
      </w:pPr>
    </w:p>
    <w:tbl>
      <w:tblPr>
        <w:tblW w:w="14771" w:type="dxa"/>
        <w:tblLayout w:type="fixed"/>
        <w:tblLook w:val="0000" w:firstRow="0" w:lastRow="0" w:firstColumn="0" w:lastColumn="0" w:noHBand="0" w:noVBand="0"/>
      </w:tblPr>
      <w:tblGrid>
        <w:gridCol w:w="4196"/>
        <w:gridCol w:w="1261"/>
        <w:gridCol w:w="1069"/>
        <w:gridCol w:w="1229"/>
        <w:gridCol w:w="1258"/>
        <w:gridCol w:w="1669"/>
        <w:gridCol w:w="1250"/>
        <w:gridCol w:w="1459"/>
        <w:gridCol w:w="1380"/>
      </w:tblGrid>
      <w:tr w:rsidR="00D72D0A" w:rsidRPr="00D64781" w14:paraId="6596A9A8" w14:textId="77777777" w:rsidTr="00B06D81">
        <w:trPr>
          <w:trHeight w:val="247"/>
        </w:trPr>
        <w:tc>
          <w:tcPr>
            <w:tcW w:w="1420" w:type="pct"/>
            <w:shd w:val="solid" w:color="FFFFFF" w:fill="auto"/>
          </w:tcPr>
          <w:p w14:paraId="278FD67E" w14:textId="77777777" w:rsidR="00D72D0A" w:rsidRPr="00D64781" w:rsidRDefault="00D72D0A" w:rsidP="00B06D81">
            <w:pPr>
              <w:keepNext/>
              <w:autoSpaceDE w:val="0"/>
              <w:autoSpaceDN w:val="0"/>
              <w:adjustRightInd w:val="0"/>
              <w:jc w:val="right"/>
              <w:rPr>
                <w:rFonts w:asciiTheme="minorHAnsi" w:hAnsiTheme="minorHAnsi" w:cstheme="minorHAnsi"/>
                <w:color w:val="000000"/>
                <w:sz w:val="18"/>
                <w:szCs w:val="18"/>
                <w:highlight w:val="yellow"/>
              </w:rPr>
            </w:pPr>
          </w:p>
        </w:tc>
        <w:tc>
          <w:tcPr>
            <w:tcW w:w="427" w:type="pct"/>
            <w:tcBorders>
              <w:bottom w:val="single" w:sz="4" w:space="0" w:color="auto"/>
            </w:tcBorders>
          </w:tcPr>
          <w:p w14:paraId="5424581E" w14:textId="77777777" w:rsidR="00D72D0A" w:rsidRPr="00D64781" w:rsidRDefault="00D72D0A" w:rsidP="00B06D81">
            <w:pPr>
              <w:keepNext/>
              <w:autoSpaceDE w:val="0"/>
              <w:autoSpaceDN w:val="0"/>
              <w:adjustRightInd w:val="0"/>
              <w:ind w:left="-109"/>
              <w:jc w:val="right"/>
              <w:rPr>
                <w:rFonts w:asciiTheme="minorHAnsi" w:hAnsiTheme="minorHAnsi" w:cstheme="minorHAnsi"/>
                <w:color w:val="000000"/>
                <w:sz w:val="18"/>
                <w:szCs w:val="18"/>
                <w:highlight w:val="yellow"/>
              </w:rPr>
            </w:pPr>
          </w:p>
        </w:tc>
        <w:tc>
          <w:tcPr>
            <w:tcW w:w="362" w:type="pct"/>
          </w:tcPr>
          <w:p w14:paraId="11556785" w14:textId="77777777" w:rsidR="00D72D0A" w:rsidRPr="00D64781" w:rsidRDefault="00D72D0A" w:rsidP="00B06D81">
            <w:pPr>
              <w:keepNext/>
              <w:autoSpaceDE w:val="0"/>
              <w:autoSpaceDN w:val="0"/>
              <w:adjustRightInd w:val="0"/>
              <w:ind w:left="-109"/>
              <w:jc w:val="center"/>
              <w:rPr>
                <w:rFonts w:asciiTheme="minorHAnsi" w:hAnsiTheme="minorHAnsi" w:cstheme="minorHAnsi"/>
                <w:b/>
                <w:color w:val="000000"/>
                <w:sz w:val="18"/>
                <w:szCs w:val="18"/>
              </w:rPr>
            </w:pPr>
          </w:p>
        </w:tc>
        <w:tc>
          <w:tcPr>
            <w:tcW w:w="416" w:type="pct"/>
            <w:shd w:val="solid" w:color="FFFFFF" w:fill="auto"/>
          </w:tcPr>
          <w:p w14:paraId="14710D05" w14:textId="77777777" w:rsidR="00D72D0A" w:rsidRPr="00D64781" w:rsidRDefault="00D72D0A" w:rsidP="00B06D81">
            <w:pPr>
              <w:keepNext/>
              <w:autoSpaceDE w:val="0"/>
              <w:autoSpaceDN w:val="0"/>
              <w:adjustRightInd w:val="0"/>
              <w:ind w:left="-107"/>
              <w:jc w:val="right"/>
              <w:rPr>
                <w:rFonts w:asciiTheme="minorHAnsi" w:hAnsiTheme="minorHAnsi" w:cstheme="minorHAnsi"/>
                <w:b/>
                <w:bCs/>
                <w:color w:val="000000"/>
                <w:sz w:val="18"/>
                <w:szCs w:val="18"/>
              </w:rPr>
            </w:pPr>
          </w:p>
        </w:tc>
        <w:tc>
          <w:tcPr>
            <w:tcW w:w="426" w:type="pct"/>
          </w:tcPr>
          <w:p w14:paraId="500D3908"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rPr>
            </w:pPr>
          </w:p>
        </w:tc>
        <w:tc>
          <w:tcPr>
            <w:tcW w:w="565" w:type="pct"/>
          </w:tcPr>
          <w:p w14:paraId="2651B4EF" w14:textId="77777777" w:rsidR="00D72D0A" w:rsidRPr="00D64781" w:rsidRDefault="00D72D0A" w:rsidP="00B06D81">
            <w:pPr>
              <w:keepNext/>
              <w:tabs>
                <w:tab w:val="right" w:pos="1045"/>
              </w:tabs>
              <w:autoSpaceDE w:val="0"/>
              <w:autoSpaceDN w:val="0"/>
              <w:adjustRightInd w:val="0"/>
              <w:ind w:left="-155"/>
              <w:jc w:val="right"/>
              <w:rPr>
                <w:rFonts w:asciiTheme="minorHAnsi" w:hAnsiTheme="minorHAnsi" w:cstheme="minorHAnsi"/>
                <w:b/>
                <w:bCs/>
                <w:color w:val="000000"/>
                <w:sz w:val="18"/>
                <w:szCs w:val="18"/>
              </w:rPr>
            </w:pPr>
          </w:p>
        </w:tc>
        <w:tc>
          <w:tcPr>
            <w:tcW w:w="917" w:type="pct"/>
            <w:gridSpan w:val="2"/>
            <w:tcBorders>
              <w:bottom w:val="single" w:sz="4" w:space="0" w:color="auto"/>
            </w:tcBorders>
          </w:tcPr>
          <w:p w14:paraId="2797042D" w14:textId="77777777" w:rsidR="00D72D0A" w:rsidRPr="00D64781" w:rsidRDefault="00D72D0A" w:rsidP="00B06D81">
            <w:pPr>
              <w:keepNext/>
              <w:autoSpaceDE w:val="0"/>
              <w:autoSpaceDN w:val="0"/>
              <w:adjustRightInd w:val="0"/>
              <w:rPr>
                <w:rFonts w:asciiTheme="minorHAnsi" w:hAnsiTheme="minorHAnsi" w:cstheme="minorHAnsi"/>
                <w:color w:val="000000"/>
                <w:sz w:val="18"/>
                <w:szCs w:val="18"/>
              </w:rPr>
            </w:pPr>
            <w:r>
              <w:rPr>
                <w:rFonts w:asciiTheme="minorHAnsi" w:hAnsiTheme="minorHAnsi" w:cstheme="minorHAnsi"/>
                <w:b/>
                <w:bCs/>
                <w:color w:val="000000"/>
                <w:sz w:val="18"/>
                <w:szCs w:val="18"/>
              </w:rPr>
              <w:t xml:space="preserve">               </w:t>
            </w:r>
            <w:r w:rsidRPr="00D64781">
              <w:rPr>
                <w:rFonts w:asciiTheme="minorHAnsi" w:hAnsiTheme="minorHAnsi" w:cstheme="minorHAnsi"/>
                <w:b/>
                <w:bCs/>
                <w:color w:val="000000"/>
                <w:sz w:val="18"/>
                <w:szCs w:val="18"/>
              </w:rPr>
              <w:t>Other Reserves</w:t>
            </w:r>
          </w:p>
        </w:tc>
        <w:tc>
          <w:tcPr>
            <w:tcW w:w="467" w:type="pct"/>
          </w:tcPr>
          <w:p w14:paraId="6787F388" w14:textId="77777777" w:rsidR="00D72D0A" w:rsidRPr="00D64781" w:rsidRDefault="00D72D0A" w:rsidP="00B06D81">
            <w:pPr>
              <w:keepNext/>
              <w:autoSpaceDE w:val="0"/>
              <w:autoSpaceDN w:val="0"/>
              <w:adjustRightInd w:val="0"/>
              <w:ind w:left="-111"/>
              <w:jc w:val="right"/>
              <w:rPr>
                <w:rFonts w:asciiTheme="minorHAnsi" w:hAnsiTheme="minorHAnsi" w:cstheme="minorHAnsi"/>
                <w:color w:val="000000"/>
                <w:sz w:val="18"/>
                <w:szCs w:val="18"/>
              </w:rPr>
            </w:pPr>
          </w:p>
        </w:tc>
      </w:tr>
      <w:tr w:rsidR="00D72D0A" w:rsidRPr="00D64781" w14:paraId="41375C38" w14:textId="77777777" w:rsidTr="00B06D81">
        <w:trPr>
          <w:trHeight w:val="247"/>
        </w:trPr>
        <w:tc>
          <w:tcPr>
            <w:tcW w:w="1420" w:type="pct"/>
            <w:tcBorders>
              <w:right w:val="single" w:sz="4" w:space="0" w:color="auto"/>
            </w:tcBorders>
            <w:shd w:val="solid" w:color="FFFFFF" w:fill="auto"/>
          </w:tcPr>
          <w:p w14:paraId="5FF77888" w14:textId="77777777" w:rsidR="00D72D0A" w:rsidRPr="00D64781" w:rsidRDefault="00D72D0A" w:rsidP="00B06D81">
            <w:pPr>
              <w:keepNext/>
              <w:autoSpaceDE w:val="0"/>
              <w:autoSpaceDN w:val="0"/>
              <w:adjustRightInd w:val="0"/>
              <w:jc w:val="right"/>
              <w:rPr>
                <w:rFonts w:asciiTheme="minorHAnsi" w:hAnsiTheme="minorHAnsi" w:cstheme="minorHAnsi"/>
                <w:color w:val="000000"/>
                <w:sz w:val="18"/>
                <w:szCs w:val="18"/>
              </w:rPr>
            </w:pPr>
          </w:p>
        </w:tc>
        <w:tc>
          <w:tcPr>
            <w:tcW w:w="427" w:type="pct"/>
            <w:tcBorders>
              <w:top w:val="single" w:sz="4" w:space="0" w:color="auto"/>
              <w:left w:val="single" w:sz="4" w:space="0" w:color="auto"/>
              <w:right w:val="single" w:sz="4" w:space="0" w:color="auto"/>
            </w:tcBorders>
            <w:shd w:val="solid" w:color="FFFFFF" w:fill="auto"/>
          </w:tcPr>
          <w:p w14:paraId="33D7E5D4"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rPr>
            </w:pPr>
          </w:p>
          <w:p w14:paraId="7C98C97B"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Ordinary</w:t>
            </w:r>
          </w:p>
        </w:tc>
        <w:tc>
          <w:tcPr>
            <w:tcW w:w="362" w:type="pct"/>
            <w:tcBorders>
              <w:left w:val="single" w:sz="4" w:space="0" w:color="auto"/>
            </w:tcBorders>
            <w:shd w:val="solid" w:color="FFFFFF" w:fill="auto"/>
          </w:tcPr>
          <w:p w14:paraId="0C76813A"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Issued</w:t>
            </w:r>
          </w:p>
          <w:p w14:paraId="39484631"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Share</w:t>
            </w:r>
          </w:p>
        </w:tc>
        <w:tc>
          <w:tcPr>
            <w:tcW w:w="416" w:type="pct"/>
            <w:shd w:val="solid" w:color="FFFFFF" w:fill="auto"/>
          </w:tcPr>
          <w:p w14:paraId="24B9A184" w14:textId="77777777" w:rsidR="00D72D0A" w:rsidRPr="00D64781" w:rsidRDefault="00D72D0A" w:rsidP="00B06D81">
            <w:pPr>
              <w:keepNext/>
              <w:autoSpaceDE w:val="0"/>
              <w:autoSpaceDN w:val="0"/>
              <w:adjustRightInd w:val="0"/>
              <w:ind w:left="-107"/>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Share</w:t>
            </w:r>
          </w:p>
          <w:p w14:paraId="00760505" w14:textId="77777777" w:rsidR="00D72D0A" w:rsidRPr="00D64781" w:rsidRDefault="00D72D0A" w:rsidP="00B06D81">
            <w:pPr>
              <w:keepNext/>
              <w:autoSpaceDE w:val="0"/>
              <w:autoSpaceDN w:val="0"/>
              <w:adjustRightInd w:val="0"/>
              <w:ind w:left="-107"/>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Premium</w:t>
            </w:r>
          </w:p>
        </w:tc>
        <w:tc>
          <w:tcPr>
            <w:tcW w:w="426" w:type="pct"/>
          </w:tcPr>
          <w:p w14:paraId="4AAB4FE8"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rPr>
            </w:pPr>
          </w:p>
          <w:p w14:paraId="29254EE0"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Retained</w:t>
            </w:r>
          </w:p>
        </w:tc>
        <w:tc>
          <w:tcPr>
            <w:tcW w:w="565" w:type="pct"/>
            <w:tcBorders>
              <w:right w:val="single" w:sz="4" w:space="0" w:color="auto"/>
            </w:tcBorders>
          </w:tcPr>
          <w:p w14:paraId="174FB348" w14:textId="77777777" w:rsidR="00D72D0A" w:rsidRPr="00D64781" w:rsidRDefault="00D72D0A" w:rsidP="00B06D81">
            <w:pPr>
              <w:keepNext/>
              <w:autoSpaceDE w:val="0"/>
              <w:autoSpaceDN w:val="0"/>
              <w:adjustRightInd w:val="0"/>
              <w:ind w:left="-155"/>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Other</w:t>
            </w:r>
          </w:p>
          <w:p w14:paraId="679D84B4" w14:textId="77777777" w:rsidR="00D72D0A" w:rsidRPr="00D64781" w:rsidRDefault="00D72D0A" w:rsidP="00B06D81">
            <w:pPr>
              <w:keepNext/>
              <w:autoSpaceDE w:val="0"/>
              <w:autoSpaceDN w:val="0"/>
              <w:adjustRightInd w:val="0"/>
              <w:ind w:left="-155"/>
              <w:jc w:val="right"/>
              <w:rPr>
                <w:rFonts w:asciiTheme="minorHAnsi" w:hAnsiTheme="minorHAnsi" w:cstheme="minorHAnsi"/>
                <w:b/>
                <w:bCs/>
                <w:color w:val="000000"/>
                <w:sz w:val="18"/>
                <w:szCs w:val="18"/>
              </w:rPr>
            </w:pPr>
            <w:proofErr w:type="spellStart"/>
            <w:r>
              <w:rPr>
                <w:rFonts w:asciiTheme="minorHAnsi" w:hAnsiTheme="minorHAnsi" w:cstheme="minorHAnsi"/>
                <w:b/>
                <w:bCs/>
                <w:color w:val="000000"/>
                <w:sz w:val="18"/>
                <w:szCs w:val="18"/>
              </w:rPr>
              <w:t>Undenom</w:t>
            </w:r>
            <w:proofErr w:type="spellEnd"/>
            <w:r>
              <w:rPr>
                <w:rFonts w:asciiTheme="minorHAnsi" w:hAnsiTheme="minorHAnsi" w:cstheme="minorHAnsi"/>
                <w:b/>
                <w:bCs/>
                <w:color w:val="000000"/>
                <w:sz w:val="18"/>
                <w:szCs w:val="18"/>
              </w:rPr>
              <w:t>.</w:t>
            </w:r>
          </w:p>
        </w:tc>
        <w:tc>
          <w:tcPr>
            <w:tcW w:w="423" w:type="pct"/>
            <w:tcBorders>
              <w:top w:val="single" w:sz="4" w:space="0" w:color="auto"/>
            </w:tcBorders>
          </w:tcPr>
          <w:p w14:paraId="20F8EC65" w14:textId="77777777" w:rsidR="00D72D0A" w:rsidRDefault="00D72D0A" w:rsidP="00B06D81">
            <w:pPr>
              <w:keepNext/>
              <w:autoSpaceDE w:val="0"/>
              <w:autoSpaceDN w:val="0"/>
              <w:adjustRightInd w:val="0"/>
              <w:ind w:left="-154" w:firstLine="154"/>
              <w:jc w:val="right"/>
              <w:rPr>
                <w:rFonts w:asciiTheme="minorHAnsi" w:hAnsiTheme="minorHAnsi" w:cstheme="minorHAnsi"/>
                <w:b/>
                <w:bCs/>
                <w:color w:val="000000"/>
                <w:sz w:val="18"/>
                <w:szCs w:val="18"/>
              </w:rPr>
            </w:pPr>
          </w:p>
          <w:p w14:paraId="0891B3F7" w14:textId="77777777" w:rsidR="00D72D0A" w:rsidRPr="004C68E6" w:rsidRDefault="00D72D0A" w:rsidP="00B06D81">
            <w:pPr>
              <w:jc w:val="right"/>
              <w:rPr>
                <w:rFonts w:asciiTheme="minorHAnsi" w:hAnsiTheme="minorHAnsi" w:cstheme="minorHAnsi"/>
                <w:sz w:val="18"/>
                <w:szCs w:val="18"/>
              </w:rPr>
            </w:pPr>
          </w:p>
        </w:tc>
        <w:tc>
          <w:tcPr>
            <w:tcW w:w="494" w:type="pct"/>
            <w:tcBorders>
              <w:top w:val="single" w:sz="4" w:space="0" w:color="auto"/>
              <w:right w:val="single" w:sz="4" w:space="0" w:color="auto"/>
            </w:tcBorders>
          </w:tcPr>
          <w:p w14:paraId="58B1B2F7" w14:textId="77777777" w:rsidR="00D72D0A" w:rsidRPr="00D64781" w:rsidRDefault="00D72D0A" w:rsidP="00B06D81">
            <w:pPr>
              <w:keepNext/>
              <w:autoSpaceDE w:val="0"/>
              <w:autoSpaceDN w:val="0"/>
              <w:adjustRightInd w:val="0"/>
              <w:jc w:val="right"/>
              <w:rPr>
                <w:rFonts w:asciiTheme="minorHAnsi" w:hAnsiTheme="minorHAnsi" w:cstheme="minorHAnsi"/>
                <w:b/>
                <w:bCs/>
                <w:color w:val="000000"/>
                <w:sz w:val="18"/>
                <w:szCs w:val="18"/>
              </w:rPr>
            </w:pPr>
          </w:p>
          <w:p w14:paraId="342B9C53" w14:textId="77777777" w:rsidR="00D72D0A" w:rsidRPr="00D64781" w:rsidRDefault="00D72D0A" w:rsidP="00B06D81">
            <w:pPr>
              <w:keepNext/>
              <w:autoSpaceDE w:val="0"/>
              <w:autoSpaceDN w:val="0"/>
              <w:adjustRightInd w:val="0"/>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 xml:space="preserve">Other </w:t>
            </w:r>
          </w:p>
        </w:tc>
        <w:tc>
          <w:tcPr>
            <w:tcW w:w="467" w:type="pct"/>
            <w:tcBorders>
              <w:left w:val="single" w:sz="4" w:space="0" w:color="auto"/>
            </w:tcBorders>
          </w:tcPr>
          <w:p w14:paraId="0818F9E4" w14:textId="77777777" w:rsidR="00D72D0A" w:rsidRPr="00D64781" w:rsidRDefault="00D72D0A" w:rsidP="00B06D81">
            <w:pPr>
              <w:keepNext/>
              <w:autoSpaceDE w:val="0"/>
              <w:autoSpaceDN w:val="0"/>
              <w:adjustRightInd w:val="0"/>
              <w:ind w:left="-111"/>
              <w:jc w:val="right"/>
              <w:rPr>
                <w:rFonts w:asciiTheme="minorHAnsi" w:hAnsiTheme="minorHAnsi" w:cstheme="minorHAnsi"/>
                <w:color w:val="000000"/>
                <w:sz w:val="18"/>
                <w:szCs w:val="18"/>
              </w:rPr>
            </w:pPr>
          </w:p>
        </w:tc>
      </w:tr>
      <w:tr w:rsidR="00D72D0A" w:rsidRPr="00D64781" w14:paraId="1195DF90" w14:textId="77777777" w:rsidTr="00B06D81">
        <w:trPr>
          <w:trHeight w:val="247"/>
        </w:trPr>
        <w:tc>
          <w:tcPr>
            <w:tcW w:w="1420" w:type="pct"/>
            <w:tcBorders>
              <w:right w:val="single" w:sz="4" w:space="0" w:color="auto"/>
            </w:tcBorders>
            <w:shd w:val="solid" w:color="FFFFFF" w:fill="auto"/>
          </w:tcPr>
          <w:p w14:paraId="03D9B99F" w14:textId="77777777" w:rsidR="00D72D0A" w:rsidRPr="00D64781" w:rsidRDefault="00D72D0A" w:rsidP="00B06D81">
            <w:pPr>
              <w:keepNext/>
              <w:autoSpaceDE w:val="0"/>
              <w:autoSpaceDN w:val="0"/>
              <w:adjustRightInd w:val="0"/>
              <w:jc w:val="right"/>
              <w:rPr>
                <w:rFonts w:asciiTheme="minorHAnsi" w:hAnsiTheme="minorHAnsi" w:cstheme="minorHAnsi"/>
                <w:color w:val="000000"/>
                <w:sz w:val="18"/>
                <w:szCs w:val="18"/>
              </w:rPr>
            </w:pPr>
          </w:p>
        </w:tc>
        <w:tc>
          <w:tcPr>
            <w:tcW w:w="427" w:type="pct"/>
            <w:tcBorders>
              <w:left w:val="single" w:sz="4" w:space="0" w:color="auto"/>
              <w:right w:val="single" w:sz="4" w:space="0" w:color="auto"/>
            </w:tcBorders>
            <w:shd w:val="solid" w:color="FFFFFF" w:fill="auto"/>
          </w:tcPr>
          <w:p w14:paraId="52B2C41B"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Shares</w:t>
            </w:r>
          </w:p>
        </w:tc>
        <w:tc>
          <w:tcPr>
            <w:tcW w:w="362" w:type="pct"/>
            <w:tcBorders>
              <w:left w:val="single" w:sz="4" w:space="0" w:color="auto"/>
            </w:tcBorders>
            <w:shd w:val="solid" w:color="FFFFFF" w:fill="auto"/>
          </w:tcPr>
          <w:p w14:paraId="2F1A1441"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Capital</w:t>
            </w:r>
          </w:p>
        </w:tc>
        <w:tc>
          <w:tcPr>
            <w:tcW w:w="416" w:type="pct"/>
            <w:shd w:val="solid" w:color="FFFFFF" w:fill="auto"/>
          </w:tcPr>
          <w:p w14:paraId="1687D04A" w14:textId="77777777" w:rsidR="00D72D0A" w:rsidRPr="00D64781" w:rsidRDefault="00D72D0A" w:rsidP="00B06D81">
            <w:pPr>
              <w:keepNext/>
              <w:autoSpaceDE w:val="0"/>
              <w:autoSpaceDN w:val="0"/>
              <w:adjustRightInd w:val="0"/>
              <w:ind w:left="-107"/>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Account</w:t>
            </w:r>
          </w:p>
        </w:tc>
        <w:tc>
          <w:tcPr>
            <w:tcW w:w="426" w:type="pct"/>
          </w:tcPr>
          <w:p w14:paraId="734E7614"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Earnings</w:t>
            </w:r>
          </w:p>
        </w:tc>
        <w:tc>
          <w:tcPr>
            <w:tcW w:w="565" w:type="pct"/>
            <w:tcBorders>
              <w:right w:val="single" w:sz="4" w:space="0" w:color="auto"/>
            </w:tcBorders>
          </w:tcPr>
          <w:p w14:paraId="2414DD3F" w14:textId="77777777" w:rsidR="00D72D0A" w:rsidRPr="00D64781" w:rsidRDefault="00D72D0A" w:rsidP="00B06D81">
            <w:pPr>
              <w:keepNext/>
              <w:autoSpaceDE w:val="0"/>
              <w:autoSpaceDN w:val="0"/>
              <w:adjustRightInd w:val="0"/>
              <w:ind w:left="-155"/>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Capital</w:t>
            </w:r>
          </w:p>
        </w:tc>
        <w:tc>
          <w:tcPr>
            <w:tcW w:w="423" w:type="pct"/>
          </w:tcPr>
          <w:p w14:paraId="4F7876A7" w14:textId="77777777" w:rsidR="00D72D0A" w:rsidRPr="00D64781" w:rsidRDefault="00D72D0A" w:rsidP="00B06D81">
            <w:pPr>
              <w:keepNext/>
              <w:autoSpaceDE w:val="0"/>
              <w:autoSpaceDN w:val="0"/>
              <w:adjustRightInd w:val="0"/>
              <w:ind w:left="-154" w:right="24"/>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 xml:space="preserve">Hedging </w:t>
            </w:r>
          </w:p>
        </w:tc>
        <w:tc>
          <w:tcPr>
            <w:tcW w:w="494" w:type="pct"/>
            <w:tcBorders>
              <w:right w:val="single" w:sz="4" w:space="0" w:color="auto"/>
            </w:tcBorders>
            <w:shd w:val="solid" w:color="FFFFFF" w:fill="auto"/>
          </w:tcPr>
          <w:p w14:paraId="5B6CCA6B" w14:textId="77777777" w:rsidR="00D72D0A" w:rsidRPr="00D64781" w:rsidRDefault="00D72D0A" w:rsidP="00B06D81">
            <w:pPr>
              <w:keepNext/>
              <w:autoSpaceDE w:val="0"/>
              <w:autoSpaceDN w:val="0"/>
              <w:adjustRightInd w:val="0"/>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Reserves</w:t>
            </w:r>
          </w:p>
        </w:tc>
        <w:tc>
          <w:tcPr>
            <w:tcW w:w="467" w:type="pct"/>
            <w:tcBorders>
              <w:left w:val="single" w:sz="4" w:space="0" w:color="auto"/>
            </w:tcBorders>
          </w:tcPr>
          <w:p w14:paraId="779E5E55" w14:textId="77777777" w:rsidR="00D72D0A" w:rsidRPr="00D64781" w:rsidRDefault="00D72D0A" w:rsidP="00B06D81">
            <w:pPr>
              <w:keepNext/>
              <w:autoSpaceDE w:val="0"/>
              <w:autoSpaceDN w:val="0"/>
              <w:adjustRightInd w:val="0"/>
              <w:ind w:left="-111"/>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Total</w:t>
            </w:r>
          </w:p>
        </w:tc>
      </w:tr>
      <w:tr w:rsidR="00D72D0A" w:rsidRPr="00D64781" w14:paraId="0555DD89" w14:textId="77777777" w:rsidTr="00B06D81">
        <w:trPr>
          <w:trHeight w:val="247"/>
        </w:trPr>
        <w:tc>
          <w:tcPr>
            <w:tcW w:w="1420" w:type="pct"/>
            <w:tcBorders>
              <w:right w:val="single" w:sz="4" w:space="0" w:color="auto"/>
            </w:tcBorders>
            <w:shd w:val="solid" w:color="FFFFFF" w:fill="auto"/>
          </w:tcPr>
          <w:p w14:paraId="3DAE5461" w14:textId="77777777" w:rsidR="00D72D0A" w:rsidRPr="00D64781" w:rsidRDefault="00D72D0A" w:rsidP="00B06D81">
            <w:pPr>
              <w:keepNext/>
              <w:autoSpaceDE w:val="0"/>
              <w:autoSpaceDN w:val="0"/>
              <w:adjustRightInd w:val="0"/>
              <w:jc w:val="right"/>
              <w:rPr>
                <w:rFonts w:asciiTheme="minorHAnsi" w:hAnsiTheme="minorHAnsi" w:cstheme="minorHAnsi"/>
                <w:color w:val="000000"/>
                <w:sz w:val="18"/>
                <w:szCs w:val="18"/>
              </w:rPr>
            </w:pPr>
          </w:p>
        </w:tc>
        <w:tc>
          <w:tcPr>
            <w:tcW w:w="427" w:type="pct"/>
            <w:tcBorders>
              <w:left w:val="single" w:sz="4" w:space="0" w:color="auto"/>
              <w:right w:val="single" w:sz="4" w:space="0" w:color="auto"/>
            </w:tcBorders>
            <w:shd w:val="solid" w:color="FFFFFF" w:fill="auto"/>
          </w:tcPr>
          <w:p w14:paraId="63E7E880"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u w:val="single"/>
              </w:rPr>
            </w:pPr>
            <w:r>
              <w:rPr>
                <w:rFonts w:asciiTheme="minorHAnsi" w:hAnsiTheme="minorHAnsi" w:cstheme="minorHAnsi"/>
                <w:b/>
                <w:bCs/>
                <w:color w:val="000000"/>
                <w:sz w:val="18"/>
                <w:szCs w:val="18"/>
                <w:u w:val="single"/>
              </w:rPr>
              <w:t>M</w:t>
            </w:r>
          </w:p>
        </w:tc>
        <w:tc>
          <w:tcPr>
            <w:tcW w:w="362" w:type="pct"/>
            <w:tcBorders>
              <w:left w:val="single" w:sz="4" w:space="0" w:color="auto"/>
            </w:tcBorders>
            <w:shd w:val="solid" w:color="FFFFFF" w:fill="auto"/>
          </w:tcPr>
          <w:p w14:paraId="52CF597B"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Pr>
                <w:rFonts w:asciiTheme="minorHAnsi" w:hAnsiTheme="minorHAnsi" w:cstheme="minorHAnsi"/>
                <w:b/>
                <w:bCs/>
                <w:color w:val="000000"/>
                <w:sz w:val="18"/>
                <w:szCs w:val="18"/>
                <w:u w:val="single"/>
              </w:rPr>
              <w:t>M</w:t>
            </w:r>
          </w:p>
        </w:tc>
        <w:tc>
          <w:tcPr>
            <w:tcW w:w="416" w:type="pct"/>
            <w:shd w:val="solid" w:color="FFFFFF" w:fill="auto"/>
          </w:tcPr>
          <w:p w14:paraId="77A89B7F" w14:textId="77777777" w:rsidR="00D72D0A" w:rsidRPr="00D64781" w:rsidRDefault="00D72D0A" w:rsidP="00B06D81">
            <w:pPr>
              <w:keepNext/>
              <w:autoSpaceDE w:val="0"/>
              <w:autoSpaceDN w:val="0"/>
              <w:adjustRightInd w:val="0"/>
              <w:ind w:left="-107"/>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Pr>
                <w:rFonts w:asciiTheme="minorHAnsi" w:hAnsiTheme="minorHAnsi" w:cstheme="minorHAnsi"/>
                <w:b/>
                <w:bCs/>
                <w:color w:val="000000"/>
                <w:sz w:val="18"/>
                <w:szCs w:val="18"/>
                <w:u w:val="single"/>
              </w:rPr>
              <w:t>M</w:t>
            </w:r>
          </w:p>
        </w:tc>
        <w:tc>
          <w:tcPr>
            <w:tcW w:w="426" w:type="pct"/>
          </w:tcPr>
          <w:p w14:paraId="1A6252D9" w14:textId="77777777" w:rsidR="00D72D0A" w:rsidRPr="00D64781" w:rsidRDefault="00D72D0A" w:rsidP="00B06D81">
            <w:pPr>
              <w:keepNext/>
              <w:autoSpaceDE w:val="0"/>
              <w:autoSpaceDN w:val="0"/>
              <w:adjustRightInd w:val="0"/>
              <w:ind w:left="-109"/>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Pr>
                <w:rFonts w:asciiTheme="minorHAnsi" w:hAnsiTheme="minorHAnsi" w:cstheme="minorHAnsi"/>
                <w:b/>
                <w:bCs/>
                <w:color w:val="000000"/>
                <w:sz w:val="18"/>
                <w:szCs w:val="18"/>
                <w:u w:val="single"/>
              </w:rPr>
              <w:t>M</w:t>
            </w:r>
          </w:p>
        </w:tc>
        <w:tc>
          <w:tcPr>
            <w:tcW w:w="565" w:type="pct"/>
            <w:tcBorders>
              <w:right w:val="single" w:sz="4" w:space="0" w:color="auto"/>
            </w:tcBorders>
          </w:tcPr>
          <w:p w14:paraId="4910FE1D" w14:textId="77777777" w:rsidR="00D72D0A" w:rsidRPr="00D64781" w:rsidRDefault="00D72D0A" w:rsidP="00B06D81">
            <w:pPr>
              <w:keepNext/>
              <w:autoSpaceDE w:val="0"/>
              <w:autoSpaceDN w:val="0"/>
              <w:adjustRightInd w:val="0"/>
              <w:ind w:left="-155"/>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Pr>
                <w:rFonts w:asciiTheme="minorHAnsi" w:hAnsiTheme="minorHAnsi" w:cstheme="minorHAnsi"/>
                <w:b/>
                <w:bCs/>
                <w:color w:val="000000"/>
                <w:sz w:val="18"/>
                <w:szCs w:val="18"/>
                <w:u w:val="single"/>
              </w:rPr>
              <w:t>M</w:t>
            </w:r>
          </w:p>
        </w:tc>
        <w:tc>
          <w:tcPr>
            <w:tcW w:w="423" w:type="pct"/>
          </w:tcPr>
          <w:p w14:paraId="2BF1699D" w14:textId="77777777" w:rsidR="00D72D0A" w:rsidRPr="00D64781" w:rsidRDefault="00D72D0A" w:rsidP="00B06D81">
            <w:pPr>
              <w:keepNext/>
              <w:autoSpaceDE w:val="0"/>
              <w:autoSpaceDN w:val="0"/>
              <w:adjustRightInd w:val="0"/>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Pr>
                <w:rFonts w:asciiTheme="minorHAnsi" w:hAnsiTheme="minorHAnsi" w:cstheme="minorHAnsi"/>
                <w:b/>
                <w:bCs/>
                <w:color w:val="000000"/>
                <w:sz w:val="18"/>
                <w:szCs w:val="18"/>
                <w:u w:val="single"/>
              </w:rPr>
              <w:t>M</w:t>
            </w:r>
          </w:p>
        </w:tc>
        <w:tc>
          <w:tcPr>
            <w:tcW w:w="494" w:type="pct"/>
            <w:tcBorders>
              <w:right w:val="single" w:sz="4" w:space="0" w:color="auto"/>
            </w:tcBorders>
          </w:tcPr>
          <w:p w14:paraId="676D8606" w14:textId="77777777" w:rsidR="00D72D0A" w:rsidRPr="00D64781" w:rsidRDefault="00D72D0A" w:rsidP="00B06D81">
            <w:pPr>
              <w:keepNext/>
              <w:autoSpaceDE w:val="0"/>
              <w:autoSpaceDN w:val="0"/>
              <w:adjustRightInd w:val="0"/>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Pr>
                <w:rFonts w:asciiTheme="minorHAnsi" w:hAnsiTheme="minorHAnsi" w:cstheme="minorHAnsi"/>
                <w:b/>
                <w:bCs/>
                <w:color w:val="000000"/>
                <w:sz w:val="18"/>
                <w:szCs w:val="18"/>
                <w:u w:val="single"/>
              </w:rPr>
              <w:t>M</w:t>
            </w:r>
          </w:p>
        </w:tc>
        <w:tc>
          <w:tcPr>
            <w:tcW w:w="467" w:type="pct"/>
            <w:tcBorders>
              <w:left w:val="single" w:sz="4" w:space="0" w:color="auto"/>
            </w:tcBorders>
          </w:tcPr>
          <w:p w14:paraId="6FBB73C9" w14:textId="77777777" w:rsidR="00D72D0A" w:rsidRPr="00D64781" w:rsidRDefault="00D72D0A" w:rsidP="00B06D81">
            <w:pPr>
              <w:keepNext/>
              <w:autoSpaceDE w:val="0"/>
              <w:autoSpaceDN w:val="0"/>
              <w:adjustRightInd w:val="0"/>
              <w:ind w:left="-111"/>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Pr>
                <w:rFonts w:asciiTheme="minorHAnsi" w:hAnsiTheme="minorHAnsi" w:cstheme="minorHAnsi"/>
                <w:b/>
                <w:bCs/>
                <w:color w:val="000000"/>
                <w:sz w:val="18"/>
                <w:szCs w:val="18"/>
                <w:u w:val="single"/>
              </w:rPr>
              <w:t>M</w:t>
            </w:r>
          </w:p>
        </w:tc>
      </w:tr>
      <w:tr w:rsidR="00D72D0A" w:rsidRPr="00D64781" w14:paraId="67D65697" w14:textId="77777777" w:rsidTr="00B06D81">
        <w:trPr>
          <w:trHeight w:val="247"/>
        </w:trPr>
        <w:tc>
          <w:tcPr>
            <w:tcW w:w="1420" w:type="pct"/>
            <w:tcBorders>
              <w:right w:val="single" w:sz="4" w:space="0" w:color="auto"/>
            </w:tcBorders>
            <w:shd w:val="solid" w:color="FFFFFF" w:fill="auto"/>
          </w:tcPr>
          <w:p w14:paraId="4A207975" w14:textId="77777777" w:rsidR="00D72D0A" w:rsidRPr="00DB22BA" w:rsidRDefault="00D72D0A" w:rsidP="00B06D81">
            <w:pPr>
              <w:keepNext/>
              <w:autoSpaceDE w:val="0"/>
              <w:autoSpaceDN w:val="0"/>
              <w:adjustRightInd w:val="0"/>
              <w:rPr>
                <w:rFonts w:ascii="Calibri" w:hAnsi="Calibri" w:cs="Calibri"/>
                <w:b/>
                <w:bCs/>
                <w:color w:val="000000"/>
                <w:sz w:val="18"/>
                <w:szCs w:val="18"/>
              </w:rPr>
            </w:pPr>
            <w:r w:rsidRPr="00DB22BA">
              <w:rPr>
                <w:rFonts w:ascii="Calibri" w:hAnsi="Calibri" w:cs="Calibri"/>
                <w:b/>
                <w:bCs/>
                <w:color w:val="000000"/>
                <w:sz w:val="18"/>
                <w:szCs w:val="18"/>
              </w:rPr>
              <w:t>Balance at March 31, 201</w:t>
            </w:r>
            <w:r>
              <w:rPr>
                <w:rFonts w:ascii="Calibri" w:hAnsi="Calibri" w:cs="Calibri"/>
                <w:b/>
                <w:bCs/>
                <w:color w:val="000000"/>
                <w:sz w:val="18"/>
                <w:szCs w:val="18"/>
              </w:rPr>
              <w:t>8</w:t>
            </w:r>
          </w:p>
        </w:tc>
        <w:tc>
          <w:tcPr>
            <w:tcW w:w="427" w:type="pct"/>
            <w:tcBorders>
              <w:left w:val="single" w:sz="4" w:space="0" w:color="auto"/>
              <w:right w:val="single" w:sz="4" w:space="0" w:color="auto"/>
            </w:tcBorders>
          </w:tcPr>
          <w:p w14:paraId="5AE0492E" w14:textId="77777777" w:rsidR="00D72D0A" w:rsidRPr="00DB22BA" w:rsidRDefault="00D72D0A" w:rsidP="00B06D81">
            <w:pPr>
              <w:keepNext/>
              <w:autoSpaceDE w:val="0"/>
              <w:autoSpaceDN w:val="0"/>
              <w:adjustRightInd w:val="0"/>
              <w:ind w:firstLine="143"/>
              <w:jc w:val="right"/>
              <w:rPr>
                <w:rFonts w:ascii="Calibri" w:hAnsi="Calibri" w:cs="Calibri"/>
                <w:b/>
                <w:bCs/>
                <w:color w:val="000000"/>
                <w:sz w:val="18"/>
                <w:szCs w:val="18"/>
              </w:rPr>
            </w:pPr>
            <w:r w:rsidRPr="00DB22BA">
              <w:rPr>
                <w:rFonts w:ascii="Calibri" w:hAnsi="Calibri" w:cs="Calibri"/>
                <w:b/>
                <w:bCs/>
                <w:color w:val="000000"/>
                <w:sz w:val="18"/>
                <w:szCs w:val="18"/>
              </w:rPr>
              <w:t>1,</w:t>
            </w:r>
            <w:r>
              <w:rPr>
                <w:rFonts w:ascii="Calibri" w:hAnsi="Calibri" w:cs="Calibri"/>
                <w:b/>
                <w:bCs/>
                <w:color w:val="000000"/>
                <w:sz w:val="18"/>
                <w:szCs w:val="18"/>
              </w:rPr>
              <w:t>171.2</w:t>
            </w:r>
          </w:p>
        </w:tc>
        <w:tc>
          <w:tcPr>
            <w:tcW w:w="362" w:type="pct"/>
            <w:tcBorders>
              <w:left w:val="single" w:sz="4" w:space="0" w:color="auto"/>
            </w:tcBorders>
          </w:tcPr>
          <w:p w14:paraId="69645515" w14:textId="77777777" w:rsidR="00D72D0A" w:rsidRPr="00DB22BA" w:rsidRDefault="00D72D0A" w:rsidP="00B06D81">
            <w:pPr>
              <w:keepNext/>
              <w:autoSpaceDE w:val="0"/>
              <w:autoSpaceDN w:val="0"/>
              <w:adjustRightInd w:val="0"/>
              <w:jc w:val="right"/>
              <w:rPr>
                <w:rFonts w:ascii="Calibri" w:hAnsi="Calibri" w:cs="Calibri"/>
                <w:b/>
                <w:bCs/>
                <w:color w:val="000000"/>
                <w:sz w:val="18"/>
                <w:szCs w:val="18"/>
              </w:rPr>
            </w:pPr>
            <w:r w:rsidRPr="00DB22BA">
              <w:rPr>
                <w:rFonts w:ascii="Calibri" w:hAnsi="Calibri" w:cs="Calibri"/>
                <w:b/>
                <w:bCs/>
                <w:color w:val="000000"/>
                <w:sz w:val="18"/>
                <w:szCs w:val="18"/>
              </w:rPr>
              <w:t>7.</w:t>
            </w:r>
            <w:r>
              <w:rPr>
                <w:rFonts w:ascii="Calibri" w:hAnsi="Calibri" w:cs="Calibri"/>
                <w:b/>
                <w:bCs/>
                <w:color w:val="000000"/>
                <w:sz w:val="18"/>
                <w:szCs w:val="18"/>
              </w:rPr>
              <w:t>0</w:t>
            </w:r>
          </w:p>
        </w:tc>
        <w:tc>
          <w:tcPr>
            <w:tcW w:w="416" w:type="pct"/>
          </w:tcPr>
          <w:p w14:paraId="4920EBA2" w14:textId="77777777" w:rsidR="00D72D0A" w:rsidRPr="00DB22BA" w:rsidRDefault="00D72D0A" w:rsidP="00B06D81">
            <w:pPr>
              <w:keepNext/>
              <w:autoSpaceDE w:val="0"/>
              <w:autoSpaceDN w:val="0"/>
              <w:adjustRightInd w:val="0"/>
              <w:jc w:val="right"/>
              <w:rPr>
                <w:rFonts w:ascii="Calibri" w:hAnsi="Calibri" w:cs="Calibri"/>
                <w:b/>
                <w:bCs/>
                <w:color w:val="000000"/>
                <w:sz w:val="18"/>
                <w:szCs w:val="18"/>
              </w:rPr>
            </w:pPr>
            <w:r w:rsidRPr="00DB22BA">
              <w:rPr>
                <w:rFonts w:ascii="Calibri" w:hAnsi="Calibri" w:cs="Calibri"/>
                <w:b/>
                <w:bCs/>
                <w:color w:val="000000"/>
                <w:sz w:val="18"/>
                <w:szCs w:val="18"/>
              </w:rPr>
              <w:t>719.4</w:t>
            </w:r>
          </w:p>
        </w:tc>
        <w:tc>
          <w:tcPr>
            <w:tcW w:w="426" w:type="pct"/>
          </w:tcPr>
          <w:p w14:paraId="0EFC7A00" w14:textId="77777777" w:rsidR="00D72D0A" w:rsidRPr="00DB22BA" w:rsidRDefault="00D72D0A" w:rsidP="00B06D81">
            <w:pPr>
              <w:keepNext/>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4,077.9</w:t>
            </w:r>
          </w:p>
        </w:tc>
        <w:tc>
          <w:tcPr>
            <w:tcW w:w="565" w:type="pct"/>
            <w:tcBorders>
              <w:right w:val="single" w:sz="4" w:space="0" w:color="auto"/>
            </w:tcBorders>
          </w:tcPr>
          <w:p w14:paraId="06E104CE" w14:textId="77777777" w:rsidR="00D72D0A" w:rsidRPr="00DB22BA" w:rsidRDefault="00D72D0A" w:rsidP="00B06D81">
            <w:pPr>
              <w:keepNext/>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3.0</w:t>
            </w:r>
          </w:p>
        </w:tc>
        <w:tc>
          <w:tcPr>
            <w:tcW w:w="423" w:type="pct"/>
            <w:tcBorders>
              <w:left w:val="single" w:sz="4" w:space="0" w:color="auto"/>
            </w:tcBorders>
          </w:tcPr>
          <w:p w14:paraId="01820C29" w14:textId="77777777" w:rsidR="00D72D0A" w:rsidRPr="00DB22BA" w:rsidRDefault="00D72D0A" w:rsidP="00B06D81">
            <w:pPr>
              <w:keepNext/>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(359.7)</w:t>
            </w:r>
          </w:p>
        </w:tc>
        <w:tc>
          <w:tcPr>
            <w:tcW w:w="494" w:type="pct"/>
            <w:tcBorders>
              <w:right w:val="single" w:sz="4" w:space="0" w:color="auto"/>
            </w:tcBorders>
          </w:tcPr>
          <w:p w14:paraId="751932A5" w14:textId="77777777" w:rsidR="00D72D0A" w:rsidRPr="00DB22BA" w:rsidRDefault="00D72D0A" w:rsidP="00B06D81">
            <w:pPr>
              <w:keepNext/>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21.3</w:t>
            </w:r>
          </w:p>
        </w:tc>
        <w:tc>
          <w:tcPr>
            <w:tcW w:w="467" w:type="pct"/>
            <w:tcBorders>
              <w:left w:val="single" w:sz="4" w:space="0" w:color="auto"/>
            </w:tcBorders>
          </w:tcPr>
          <w:p w14:paraId="62B8D528" w14:textId="77777777" w:rsidR="00D72D0A" w:rsidRPr="00DB22BA" w:rsidRDefault="00D72D0A" w:rsidP="00B06D81">
            <w:pPr>
              <w:keepNext/>
              <w:tabs>
                <w:tab w:val="left" w:pos="963"/>
              </w:tabs>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4,468.9</w:t>
            </w:r>
          </w:p>
        </w:tc>
      </w:tr>
      <w:tr w:rsidR="00D72D0A" w:rsidRPr="00D64781" w14:paraId="7C766CB7" w14:textId="77777777" w:rsidTr="00B06D81">
        <w:trPr>
          <w:trHeight w:val="247"/>
        </w:trPr>
        <w:tc>
          <w:tcPr>
            <w:tcW w:w="1420" w:type="pct"/>
            <w:tcBorders>
              <w:right w:val="single" w:sz="4" w:space="0" w:color="auto"/>
            </w:tcBorders>
            <w:shd w:val="solid" w:color="FFFFFF" w:fill="auto"/>
          </w:tcPr>
          <w:p w14:paraId="24C4D0C0" w14:textId="77777777" w:rsidR="00D72D0A" w:rsidRPr="00DB22BA" w:rsidRDefault="00D72D0A" w:rsidP="00B06D81">
            <w:pPr>
              <w:keepNext/>
              <w:autoSpaceDE w:val="0"/>
              <w:autoSpaceDN w:val="0"/>
              <w:adjustRightInd w:val="0"/>
              <w:rPr>
                <w:rFonts w:ascii="Calibri" w:hAnsi="Calibri" w:cs="Calibri"/>
                <w:b/>
                <w:bCs/>
                <w:color w:val="000000"/>
                <w:sz w:val="18"/>
                <w:szCs w:val="18"/>
              </w:rPr>
            </w:pPr>
            <w:r>
              <w:rPr>
                <w:rFonts w:ascii="Calibri" w:hAnsi="Calibri" w:cs="Calibri"/>
                <w:bCs/>
                <w:color w:val="000000"/>
                <w:sz w:val="18"/>
                <w:szCs w:val="18"/>
              </w:rPr>
              <w:t>Adjustment on initial application of IFRS 15 (net of tax)</w:t>
            </w:r>
          </w:p>
        </w:tc>
        <w:tc>
          <w:tcPr>
            <w:tcW w:w="427" w:type="pct"/>
            <w:tcBorders>
              <w:left w:val="single" w:sz="4" w:space="0" w:color="auto"/>
              <w:right w:val="single" w:sz="4" w:space="0" w:color="auto"/>
            </w:tcBorders>
          </w:tcPr>
          <w:p w14:paraId="2D890CD3" w14:textId="77777777" w:rsidR="00D72D0A" w:rsidRDefault="00D72D0A" w:rsidP="00B06D81">
            <w:pPr>
              <w:keepNext/>
              <w:autoSpaceDE w:val="0"/>
              <w:autoSpaceDN w:val="0"/>
              <w:adjustRightInd w:val="0"/>
              <w:ind w:left="-109"/>
              <w:jc w:val="right"/>
              <w:rPr>
                <w:rFonts w:ascii="Calibri" w:hAnsi="Calibri" w:cs="Calibri"/>
                <w:bCs/>
                <w:color w:val="000000"/>
                <w:sz w:val="18"/>
                <w:szCs w:val="18"/>
              </w:rPr>
            </w:pPr>
          </w:p>
          <w:p w14:paraId="7DBDC188" w14:textId="77777777" w:rsidR="00D72D0A" w:rsidRDefault="00D72D0A" w:rsidP="00B06D81">
            <w:pPr>
              <w:keepNext/>
              <w:autoSpaceDE w:val="0"/>
              <w:autoSpaceDN w:val="0"/>
              <w:adjustRightInd w:val="0"/>
              <w:ind w:left="-109"/>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tcPr>
          <w:p w14:paraId="73B67829" w14:textId="77777777" w:rsidR="00D72D0A" w:rsidRDefault="00D72D0A" w:rsidP="00B06D81">
            <w:pPr>
              <w:keepNext/>
              <w:autoSpaceDE w:val="0"/>
              <w:autoSpaceDN w:val="0"/>
              <w:adjustRightInd w:val="0"/>
              <w:ind w:left="-109"/>
              <w:jc w:val="right"/>
              <w:rPr>
                <w:rFonts w:ascii="Calibri" w:hAnsi="Calibri" w:cs="Calibri"/>
                <w:bCs/>
                <w:color w:val="000000"/>
                <w:sz w:val="18"/>
                <w:szCs w:val="18"/>
              </w:rPr>
            </w:pPr>
          </w:p>
          <w:p w14:paraId="3A2CC38B" w14:textId="77777777" w:rsidR="00D72D0A" w:rsidRDefault="00D72D0A" w:rsidP="00B06D81">
            <w:pPr>
              <w:keepNext/>
              <w:autoSpaceDE w:val="0"/>
              <w:autoSpaceDN w:val="0"/>
              <w:adjustRightInd w:val="0"/>
              <w:ind w:left="-109"/>
              <w:jc w:val="right"/>
              <w:rPr>
                <w:rFonts w:ascii="Calibri" w:hAnsi="Calibri" w:cs="Calibri"/>
                <w:bCs/>
                <w:color w:val="000000"/>
                <w:sz w:val="18"/>
                <w:szCs w:val="18"/>
              </w:rPr>
            </w:pPr>
            <w:r>
              <w:rPr>
                <w:rFonts w:ascii="Calibri" w:hAnsi="Calibri" w:cs="Calibri"/>
                <w:bCs/>
                <w:color w:val="000000"/>
                <w:sz w:val="18"/>
                <w:szCs w:val="18"/>
              </w:rPr>
              <w:t>-</w:t>
            </w:r>
          </w:p>
        </w:tc>
        <w:tc>
          <w:tcPr>
            <w:tcW w:w="416" w:type="pct"/>
          </w:tcPr>
          <w:p w14:paraId="62566EB4" w14:textId="77777777" w:rsidR="00D72D0A" w:rsidRDefault="00D72D0A" w:rsidP="00B06D81">
            <w:pPr>
              <w:keepNext/>
              <w:autoSpaceDE w:val="0"/>
              <w:autoSpaceDN w:val="0"/>
              <w:adjustRightInd w:val="0"/>
              <w:ind w:left="-107"/>
              <w:jc w:val="right"/>
              <w:rPr>
                <w:rFonts w:ascii="Calibri" w:hAnsi="Calibri" w:cs="Calibri"/>
                <w:bCs/>
                <w:color w:val="000000"/>
                <w:sz w:val="18"/>
                <w:szCs w:val="18"/>
              </w:rPr>
            </w:pPr>
          </w:p>
          <w:p w14:paraId="28E1ECF9" w14:textId="77777777" w:rsidR="00D72D0A" w:rsidRDefault="00D72D0A" w:rsidP="00B06D81">
            <w:pPr>
              <w:keepNext/>
              <w:autoSpaceDE w:val="0"/>
              <w:autoSpaceDN w:val="0"/>
              <w:adjustRightInd w:val="0"/>
              <w:ind w:left="-107"/>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7E4CD06A" w14:textId="77777777" w:rsidR="00D72D0A" w:rsidRDefault="00D72D0A" w:rsidP="00B06D81">
            <w:pPr>
              <w:keepNext/>
              <w:autoSpaceDE w:val="0"/>
              <w:autoSpaceDN w:val="0"/>
              <w:adjustRightInd w:val="0"/>
              <w:ind w:left="-109"/>
              <w:jc w:val="right"/>
              <w:rPr>
                <w:rFonts w:ascii="Calibri" w:hAnsi="Calibri" w:cs="Calibri"/>
                <w:bCs/>
                <w:color w:val="000000"/>
                <w:sz w:val="18"/>
                <w:szCs w:val="18"/>
              </w:rPr>
            </w:pPr>
          </w:p>
          <w:p w14:paraId="63E4690B" w14:textId="77777777" w:rsidR="00D72D0A" w:rsidRDefault="00D72D0A" w:rsidP="00B06D81">
            <w:pPr>
              <w:keepNext/>
              <w:autoSpaceDE w:val="0"/>
              <w:autoSpaceDN w:val="0"/>
              <w:adjustRightInd w:val="0"/>
              <w:ind w:left="-109"/>
              <w:jc w:val="right"/>
              <w:rPr>
                <w:rFonts w:ascii="Calibri" w:hAnsi="Calibri" w:cs="Calibri"/>
                <w:bCs/>
                <w:color w:val="000000"/>
                <w:sz w:val="18"/>
                <w:szCs w:val="18"/>
              </w:rPr>
            </w:pPr>
            <w:r>
              <w:rPr>
                <w:rFonts w:ascii="Calibri" w:hAnsi="Calibri" w:cs="Calibri"/>
                <w:bCs/>
                <w:color w:val="000000"/>
                <w:sz w:val="18"/>
                <w:szCs w:val="18"/>
              </w:rPr>
              <w:t>(249.4)</w:t>
            </w:r>
          </w:p>
        </w:tc>
        <w:tc>
          <w:tcPr>
            <w:tcW w:w="565" w:type="pct"/>
            <w:tcBorders>
              <w:right w:val="single" w:sz="4" w:space="0" w:color="auto"/>
            </w:tcBorders>
          </w:tcPr>
          <w:p w14:paraId="4C9EB29F" w14:textId="77777777" w:rsidR="00D72D0A" w:rsidRDefault="00D72D0A" w:rsidP="00B06D81">
            <w:pPr>
              <w:keepNext/>
              <w:autoSpaceDE w:val="0"/>
              <w:autoSpaceDN w:val="0"/>
              <w:adjustRightInd w:val="0"/>
              <w:ind w:left="-155"/>
              <w:jc w:val="right"/>
              <w:rPr>
                <w:rFonts w:ascii="Calibri" w:hAnsi="Calibri" w:cs="Calibri"/>
                <w:bCs/>
                <w:color w:val="000000"/>
                <w:sz w:val="18"/>
                <w:szCs w:val="18"/>
              </w:rPr>
            </w:pPr>
          </w:p>
          <w:p w14:paraId="7F375F9D" w14:textId="77777777" w:rsidR="00D72D0A" w:rsidRDefault="00D72D0A" w:rsidP="00B06D81">
            <w:pPr>
              <w:keepNext/>
              <w:autoSpaceDE w:val="0"/>
              <w:autoSpaceDN w:val="0"/>
              <w:adjustRightInd w:val="0"/>
              <w:ind w:left="-155"/>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0A5C12C8" w14:textId="77777777" w:rsidR="00D72D0A" w:rsidRDefault="00D72D0A" w:rsidP="00B06D81">
            <w:pPr>
              <w:keepNext/>
              <w:autoSpaceDE w:val="0"/>
              <w:autoSpaceDN w:val="0"/>
              <w:adjustRightInd w:val="0"/>
              <w:jc w:val="right"/>
              <w:rPr>
                <w:rFonts w:ascii="Calibri" w:hAnsi="Calibri" w:cs="Calibri"/>
                <w:bCs/>
                <w:color w:val="000000"/>
                <w:sz w:val="18"/>
                <w:szCs w:val="18"/>
              </w:rPr>
            </w:pPr>
          </w:p>
          <w:p w14:paraId="0949492B" w14:textId="77777777" w:rsidR="00D72D0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94" w:type="pct"/>
            <w:tcBorders>
              <w:right w:val="single" w:sz="4" w:space="0" w:color="auto"/>
            </w:tcBorders>
          </w:tcPr>
          <w:p w14:paraId="5B88A72C" w14:textId="77777777" w:rsidR="00D72D0A" w:rsidRDefault="00D72D0A" w:rsidP="00B06D81">
            <w:pPr>
              <w:keepNext/>
              <w:autoSpaceDE w:val="0"/>
              <w:autoSpaceDN w:val="0"/>
              <w:adjustRightInd w:val="0"/>
              <w:jc w:val="right"/>
              <w:rPr>
                <w:rFonts w:ascii="Calibri" w:hAnsi="Calibri" w:cs="Calibri"/>
                <w:bCs/>
                <w:color w:val="000000"/>
                <w:sz w:val="18"/>
                <w:szCs w:val="18"/>
              </w:rPr>
            </w:pPr>
          </w:p>
          <w:p w14:paraId="248237CD" w14:textId="77777777" w:rsidR="00D72D0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32A36DC5" w14:textId="77777777" w:rsidR="00D72D0A" w:rsidRDefault="00D72D0A" w:rsidP="00B06D81">
            <w:pPr>
              <w:keepNext/>
              <w:tabs>
                <w:tab w:val="left" w:pos="963"/>
              </w:tabs>
              <w:autoSpaceDE w:val="0"/>
              <w:autoSpaceDN w:val="0"/>
              <w:adjustRightInd w:val="0"/>
              <w:ind w:left="-111"/>
              <w:jc w:val="right"/>
              <w:rPr>
                <w:rFonts w:ascii="Calibri" w:hAnsi="Calibri" w:cs="Calibri"/>
                <w:bCs/>
                <w:color w:val="000000"/>
                <w:sz w:val="18"/>
                <w:szCs w:val="18"/>
              </w:rPr>
            </w:pPr>
          </w:p>
          <w:p w14:paraId="42B6DE2E" w14:textId="77777777" w:rsidR="00D72D0A" w:rsidRDefault="00D72D0A" w:rsidP="00B06D81">
            <w:pPr>
              <w:keepNext/>
              <w:tabs>
                <w:tab w:val="left" w:pos="963"/>
              </w:tabs>
              <w:autoSpaceDE w:val="0"/>
              <w:autoSpaceDN w:val="0"/>
              <w:adjustRightInd w:val="0"/>
              <w:ind w:left="-111"/>
              <w:jc w:val="right"/>
              <w:rPr>
                <w:rFonts w:ascii="Calibri" w:hAnsi="Calibri" w:cs="Calibri"/>
                <w:bCs/>
                <w:color w:val="000000"/>
                <w:sz w:val="18"/>
                <w:szCs w:val="18"/>
              </w:rPr>
            </w:pPr>
            <w:r>
              <w:rPr>
                <w:rFonts w:ascii="Calibri" w:hAnsi="Calibri" w:cs="Calibri"/>
                <w:bCs/>
                <w:color w:val="000000"/>
                <w:sz w:val="18"/>
                <w:szCs w:val="18"/>
              </w:rPr>
              <w:t>(249.4)</w:t>
            </w:r>
          </w:p>
        </w:tc>
      </w:tr>
      <w:tr w:rsidR="00D72D0A" w:rsidRPr="00492249" w14:paraId="12962B24" w14:textId="77777777" w:rsidTr="00B06D81">
        <w:trPr>
          <w:trHeight w:val="247"/>
        </w:trPr>
        <w:tc>
          <w:tcPr>
            <w:tcW w:w="1420" w:type="pct"/>
            <w:tcBorders>
              <w:right w:val="single" w:sz="4" w:space="0" w:color="auto"/>
            </w:tcBorders>
            <w:shd w:val="solid" w:color="FFFFFF" w:fill="auto"/>
          </w:tcPr>
          <w:p w14:paraId="663598CC" w14:textId="77777777" w:rsidR="00D72D0A" w:rsidRDefault="00D72D0A" w:rsidP="00B06D81">
            <w:pPr>
              <w:keepNext/>
              <w:autoSpaceDE w:val="0"/>
              <w:autoSpaceDN w:val="0"/>
              <w:adjustRightInd w:val="0"/>
              <w:rPr>
                <w:rFonts w:ascii="Calibri" w:hAnsi="Calibri" w:cs="Calibri"/>
                <w:bCs/>
                <w:color w:val="000000"/>
                <w:sz w:val="18"/>
                <w:szCs w:val="18"/>
              </w:rPr>
            </w:pPr>
            <w:r w:rsidRPr="00492249">
              <w:rPr>
                <w:rFonts w:ascii="Calibri" w:hAnsi="Calibri" w:cs="Calibri"/>
                <w:b/>
                <w:bCs/>
                <w:color w:val="000000"/>
                <w:sz w:val="18"/>
                <w:szCs w:val="18"/>
              </w:rPr>
              <w:t>Adj</w:t>
            </w:r>
            <w:r>
              <w:rPr>
                <w:rFonts w:ascii="Calibri" w:hAnsi="Calibri" w:cs="Calibri"/>
                <w:b/>
                <w:bCs/>
                <w:color w:val="000000"/>
                <w:sz w:val="18"/>
                <w:szCs w:val="18"/>
              </w:rPr>
              <w:t>.</w:t>
            </w:r>
            <w:r w:rsidRPr="00492249">
              <w:rPr>
                <w:rFonts w:ascii="Calibri" w:hAnsi="Calibri" w:cs="Calibri"/>
                <w:b/>
                <w:bCs/>
                <w:color w:val="000000"/>
                <w:sz w:val="18"/>
                <w:szCs w:val="18"/>
              </w:rPr>
              <w:t xml:space="preserve"> balance at March 31, 2</w:t>
            </w:r>
            <w:r>
              <w:rPr>
                <w:rFonts w:ascii="Calibri" w:hAnsi="Calibri" w:cs="Calibri"/>
                <w:b/>
                <w:bCs/>
                <w:color w:val="000000"/>
                <w:sz w:val="18"/>
                <w:szCs w:val="18"/>
              </w:rPr>
              <w:t>0</w:t>
            </w:r>
            <w:r w:rsidRPr="00492249">
              <w:rPr>
                <w:rFonts w:ascii="Calibri" w:hAnsi="Calibri" w:cs="Calibri"/>
                <w:b/>
                <w:bCs/>
                <w:color w:val="000000"/>
                <w:sz w:val="18"/>
                <w:szCs w:val="18"/>
              </w:rPr>
              <w:t>18</w:t>
            </w:r>
          </w:p>
        </w:tc>
        <w:tc>
          <w:tcPr>
            <w:tcW w:w="427" w:type="pct"/>
            <w:tcBorders>
              <w:left w:val="single" w:sz="4" w:space="0" w:color="auto"/>
              <w:right w:val="single" w:sz="4" w:space="0" w:color="auto"/>
            </w:tcBorders>
          </w:tcPr>
          <w:p w14:paraId="3133AEBD" w14:textId="77777777" w:rsidR="00D72D0A" w:rsidRPr="00492249" w:rsidRDefault="00D72D0A" w:rsidP="00B06D81">
            <w:pPr>
              <w:keepNext/>
              <w:pBdr>
                <w:top w:val="single" w:sz="4" w:space="1" w:color="auto"/>
                <w:bottom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1,171.2</w:t>
            </w:r>
          </w:p>
        </w:tc>
        <w:tc>
          <w:tcPr>
            <w:tcW w:w="362" w:type="pct"/>
            <w:tcBorders>
              <w:left w:val="single" w:sz="4" w:space="0" w:color="auto"/>
            </w:tcBorders>
          </w:tcPr>
          <w:p w14:paraId="26C36054" w14:textId="77777777" w:rsidR="00D72D0A" w:rsidRPr="00492249" w:rsidRDefault="00D72D0A" w:rsidP="00B06D81">
            <w:pPr>
              <w:keepNext/>
              <w:pBdr>
                <w:top w:val="single" w:sz="4" w:space="1" w:color="auto"/>
                <w:bottom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7.0</w:t>
            </w:r>
          </w:p>
        </w:tc>
        <w:tc>
          <w:tcPr>
            <w:tcW w:w="416" w:type="pct"/>
          </w:tcPr>
          <w:p w14:paraId="30533DEC" w14:textId="77777777" w:rsidR="00D72D0A" w:rsidRPr="00492249" w:rsidRDefault="00D72D0A" w:rsidP="00B06D81">
            <w:pPr>
              <w:keepNext/>
              <w:pBdr>
                <w:top w:val="single" w:sz="4" w:space="1" w:color="auto"/>
                <w:bottom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719.4</w:t>
            </w:r>
          </w:p>
        </w:tc>
        <w:tc>
          <w:tcPr>
            <w:tcW w:w="426" w:type="pct"/>
          </w:tcPr>
          <w:p w14:paraId="047B648C" w14:textId="77777777" w:rsidR="00D72D0A" w:rsidRPr="00492249" w:rsidRDefault="00D72D0A" w:rsidP="00B06D81">
            <w:pPr>
              <w:keepNext/>
              <w:pBdr>
                <w:top w:val="single" w:sz="4" w:space="1" w:color="auto"/>
                <w:bottom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3,828.5</w:t>
            </w:r>
          </w:p>
        </w:tc>
        <w:tc>
          <w:tcPr>
            <w:tcW w:w="565" w:type="pct"/>
            <w:tcBorders>
              <w:right w:val="single" w:sz="4" w:space="0" w:color="auto"/>
            </w:tcBorders>
          </w:tcPr>
          <w:p w14:paraId="0CCD1239" w14:textId="77777777" w:rsidR="00D72D0A" w:rsidRPr="00492249" w:rsidRDefault="00D72D0A" w:rsidP="00B06D81">
            <w:pPr>
              <w:keepNext/>
              <w:pBdr>
                <w:top w:val="single" w:sz="4" w:space="1" w:color="auto"/>
                <w:bottom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3.0</w:t>
            </w:r>
          </w:p>
        </w:tc>
        <w:tc>
          <w:tcPr>
            <w:tcW w:w="423" w:type="pct"/>
            <w:tcBorders>
              <w:left w:val="single" w:sz="4" w:space="0" w:color="auto"/>
            </w:tcBorders>
          </w:tcPr>
          <w:p w14:paraId="3240D380" w14:textId="77777777" w:rsidR="00D72D0A" w:rsidRPr="00492249" w:rsidRDefault="00D72D0A" w:rsidP="00B06D81">
            <w:pPr>
              <w:keepNext/>
              <w:pBdr>
                <w:top w:val="single" w:sz="4" w:space="1" w:color="auto"/>
                <w:bottom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(359.7)</w:t>
            </w:r>
          </w:p>
        </w:tc>
        <w:tc>
          <w:tcPr>
            <w:tcW w:w="494" w:type="pct"/>
            <w:tcBorders>
              <w:right w:val="single" w:sz="4" w:space="0" w:color="auto"/>
            </w:tcBorders>
          </w:tcPr>
          <w:p w14:paraId="7BFE9137" w14:textId="77777777" w:rsidR="00D72D0A" w:rsidRPr="00492249" w:rsidRDefault="00D72D0A" w:rsidP="00B06D81">
            <w:pPr>
              <w:keepNext/>
              <w:pBdr>
                <w:top w:val="single" w:sz="4" w:space="1" w:color="auto"/>
                <w:bottom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21.3</w:t>
            </w:r>
          </w:p>
        </w:tc>
        <w:tc>
          <w:tcPr>
            <w:tcW w:w="467" w:type="pct"/>
            <w:tcBorders>
              <w:left w:val="single" w:sz="4" w:space="0" w:color="auto"/>
            </w:tcBorders>
          </w:tcPr>
          <w:p w14:paraId="7015E244" w14:textId="77777777" w:rsidR="00D72D0A" w:rsidRPr="00492249" w:rsidRDefault="00D72D0A" w:rsidP="00B06D81">
            <w:pPr>
              <w:keepNext/>
              <w:pBdr>
                <w:top w:val="single" w:sz="4" w:space="1" w:color="auto"/>
                <w:bottom w:val="single" w:sz="4" w:space="1" w:color="auto"/>
              </w:pBdr>
              <w:tabs>
                <w:tab w:val="left" w:pos="963"/>
              </w:tabs>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4,219.5</w:t>
            </w:r>
          </w:p>
        </w:tc>
      </w:tr>
      <w:tr w:rsidR="00D72D0A" w:rsidRPr="00DB22BA" w14:paraId="2DF29DDE" w14:textId="77777777" w:rsidTr="00B06D81">
        <w:trPr>
          <w:trHeight w:val="247"/>
        </w:trPr>
        <w:tc>
          <w:tcPr>
            <w:tcW w:w="1420" w:type="pct"/>
            <w:tcBorders>
              <w:right w:val="single" w:sz="4" w:space="0" w:color="auto"/>
            </w:tcBorders>
            <w:shd w:val="solid" w:color="FFFFFF" w:fill="auto"/>
          </w:tcPr>
          <w:p w14:paraId="2601AEDD"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Profit for the</w:t>
            </w:r>
            <w:r>
              <w:rPr>
                <w:rFonts w:ascii="Calibri" w:hAnsi="Calibri" w:cs="Calibri"/>
                <w:color w:val="000000"/>
                <w:sz w:val="18"/>
                <w:szCs w:val="18"/>
              </w:rPr>
              <w:t xml:space="preserve"> nine months</w:t>
            </w:r>
          </w:p>
        </w:tc>
        <w:tc>
          <w:tcPr>
            <w:tcW w:w="427" w:type="pct"/>
            <w:tcBorders>
              <w:left w:val="single" w:sz="4" w:space="0" w:color="auto"/>
              <w:right w:val="single" w:sz="4" w:space="0" w:color="auto"/>
            </w:tcBorders>
          </w:tcPr>
          <w:p w14:paraId="299E2343"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362" w:type="pct"/>
            <w:tcBorders>
              <w:left w:val="single" w:sz="4" w:space="0" w:color="auto"/>
            </w:tcBorders>
          </w:tcPr>
          <w:p w14:paraId="32BB860D"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416" w:type="pct"/>
          </w:tcPr>
          <w:p w14:paraId="5F1269DA"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426" w:type="pct"/>
          </w:tcPr>
          <w:p w14:paraId="6073B4D3"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1,084.6</w:t>
            </w:r>
          </w:p>
        </w:tc>
        <w:tc>
          <w:tcPr>
            <w:tcW w:w="565" w:type="pct"/>
            <w:tcBorders>
              <w:right w:val="single" w:sz="4" w:space="0" w:color="auto"/>
            </w:tcBorders>
          </w:tcPr>
          <w:p w14:paraId="51ECDA51"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423" w:type="pct"/>
            <w:tcBorders>
              <w:left w:val="single" w:sz="4" w:space="0" w:color="auto"/>
            </w:tcBorders>
          </w:tcPr>
          <w:p w14:paraId="06804333"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494" w:type="pct"/>
            <w:tcBorders>
              <w:right w:val="single" w:sz="4" w:space="0" w:color="auto"/>
            </w:tcBorders>
          </w:tcPr>
          <w:p w14:paraId="019EB2FA"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467" w:type="pct"/>
            <w:tcBorders>
              <w:left w:val="single" w:sz="4" w:space="0" w:color="auto"/>
            </w:tcBorders>
          </w:tcPr>
          <w:p w14:paraId="4044E42E"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1,084.6</w:t>
            </w:r>
          </w:p>
        </w:tc>
      </w:tr>
      <w:tr w:rsidR="00D72D0A" w:rsidRPr="00DB22BA" w14:paraId="21A30C9D" w14:textId="77777777" w:rsidTr="00B06D81">
        <w:trPr>
          <w:trHeight w:val="247"/>
        </w:trPr>
        <w:tc>
          <w:tcPr>
            <w:tcW w:w="1420" w:type="pct"/>
            <w:tcBorders>
              <w:right w:val="single" w:sz="4" w:space="0" w:color="auto"/>
            </w:tcBorders>
            <w:shd w:val="solid" w:color="FFFFFF" w:fill="auto"/>
          </w:tcPr>
          <w:p w14:paraId="4F9F14D4" w14:textId="77777777" w:rsidR="00D72D0A" w:rsidRPr="00DB22BA" w:rsidRDefault="00D72D0A" w:rsidP="00B06D81">
            <w:pPr>
              <w:keepNext/>
              <w:autoSpaceDE w:val="0"/>
              <w:autoSpaceDN w:val="0"/>
              <w:adjustRightInd w:val="0"/>
              <w:rPr>
                <w:rFonts w:ascii="Calibri" w:hAnsi="Calibri" w:cs="Calibri"/>
                <w:i/>
                <w:color w:val="000000"/>
                <w:sz w:val="18"/>
                <w:szCs w:val="18"/>
              </w:rPr>
            </w:pPr>
            <w:r w:rsidRPr="00DB22BA">
              <w:rPr>
                <w:rFonts w:ascii="Calibri" w:hAnsi="Calibri" w:cs="Calibri"/>
                <w:i/>
                <w:color w:val="000000"/>
                <w:sz w:val="18"/>
                <w:szCs w:val="18"/>
              </w:rPr>
              <w:t>Other comprehensive income</w:t>
            </w:r>
          </w:p>
        </w:tc>
        <w:tc>
          <w:tcPr>
            <w:tcW w:w="427" w:type="pct"/>
            <w:tcBorders>
              <w:left w:val="single" w:sz="4" w:space="0" w:color="auto"/>
              <w:right w:val="single" w:sz="4" w:space="0" w:color="auto"/>
            </w:tcBorders>
          </w:tcPr>
          <w:p w14:paraId="24EEF849"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362" w:type="pct"/>
            <w:tcBorders>
              <w:left w:val="single" w:sz="4" w:space="0" w:color="auto"/>
            </w:tcBorders>
          </w:tcPr>
          <w:p w14:paraId="7EB7D83D"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16" w:type="pct"/>
          </w:tcPr>
          <w:p w14:paraId="6DEFA68D"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26" w:type="pct"/>
          </w:tcPr>
          <w:p w14:paraId="1DD55BF2"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565" w:type="pct"/>
            <w:tcBorders>
              <w:right w:val="single" w:sz="4" w:space="0" w:color="auto"/>
            </w:tcBorders>
          </w:tcPr>
          <w:p w14:paraId="1D351BF9"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23" w:type="pct"/>
            <w:tcBorders>
              <w:left w:val="single" w:sz="4" w:space="0" w:color="auto"/>
            </w:tcBorders>
          </w:tcPr>
          <w:p w14:paraId="197ED6C2"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94" w:type="pct"/>
            <w:tcBorders>
              <w:right w:val="single" w:sz="4" w:space="0" w:color="auto"/>
            </w:tcBorders>
          </w:tcPr>
          <w:p w14:paraId="320185E7"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67" w:type="pct"/>
            <w:tcBorders>
              <w:left w:val="single" w:sz="4" w:space="0" w:color="auto"/>
            </w:tcBorders>
          </w:tcPr>
          <w:p w14:paraId="7F7AB5F2"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r>
      <w:tr w:rsidR="00D72D0A" w:rsidRPr="00DB22BA" w14:paraId="56166F3B" w14:textId="77777777" w:rsidTr="00B06D81">
        <w:trPr>
          <w:trHeight w:val="247"/>
        </w:trPr>
        <w:tc>
          <w:tcPr>
            <w:tcW w:w="1420" w:type="pct"/>
            <w:tcBorders>
              <w:right w:val="single" w:sz="4" w:space="0" w:color="auto"/>
            </w:tcBorders>
            <w:shd w:val="solid" w:color="FFFFFF" w:fill="auto"/>
          </w:tcPr>
          <w:p w14:paraId="072794B7"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Net movements in cash flow reserve</w:t>
            </w:r>
          </w:p>
        </w:tc>
        <w:tc>
          <w:tcPr>
            <w:tcW w:w="427" w:type="pct"/>
            <w:tcBorders>
              <w:left w:val="single" w:sz="4" w:space="0" w:color="auto"/>
              <w:right w:val="single" w:sz="4" w:space="0" w:color="auto"/>
            </w:tcBorders>
          </w:tcPr>
          <w:p w14:paraId="1480F45E"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tcPr>
          <w:p w14:paraId="322B835B"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tcPr>
          <w:p w14:paraId="4A5AFF4B"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2000B3CB"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565" w:type="pct"/>
            <w:tcBorders>
              <w:right w:val="single" w:sz="4" w:space="0" w:color="auto"/>
            </w:tcBorders>
          </w:tcPr>
          <w:p w14:paraId="55FE3A87"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15182756"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134.0</w:t>
            </w:r>
          </w:p>
        </w:tc>
        <w:tc>
          <w:tcPr>
            <w:tcW w:w="494" w:type="pct"/>
            <w:tcBorders>
              <w:right w:val="single" w:sz="4" w:space="0" w:color="auto"/>
            </w:tcBorders>
          </w:tcPr>
          <w:p w14:paraId="5AA9BCFF"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3CC469AA" w14:textId="77777777" w:rsidR="00D72D0A" w:rsidRPr="00DB22BA" w:rsidRDefault="00D72D0A"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134.0</w:t>
            </w:r>
          </w:p>
        </w:tc>
      </w:tr>
      <w:tr w:rsidR="00D72D0A" w:rsidRPr="00DB22BA" w14:paraId="5CBD3E10" w14:textId="77777777" w:rsidTr="00B06D81">
        <w:trPr>
          <w:trHeight w:val="247"/>
        </w:trPr>
        <w:tc>
          <w:tcPr>
            <w:tcW w:w="1420" w:type="pct"/>
            <w:tcBorders>
              <w:right w:val="single" w:sz="4" w:space="0" w:color="auto"/>
            </w:tcBorders>
            <w:shd w:val="solid" w:color="FFFFFF" w:fill="auto"/>
          </w:tcPr>
          <w:p w14:paraId="35B6076C"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Total other comprehensive income</w:t>
            </w:r>
          </w:p>
        </w:tc>
        <w:tc>
          <w:tcPr>
            <w:tcW w:w="427" w:type="pct"/>
            <w:tcBorders>
              <w:left w:val="single" w:sz="4" w:space="0" w:color="auto"/>
              <w:right w:val="single" w:sz="4" w:space="0" w:color="auto"/>
            </w:tcBorders>
            <w:shd w:val="solid" w:color="FFFFFF" w:fill="auto"/>
          </w:tcPr>
          <w:p w14:paraId="23477DAC"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shd w:val="solid" w:color="FFFFFF" w:fill="auto"/>
          </w:tcPr>
          <w:p w14:paraId="08ACF53F"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shd w:val="solid" w:color="FFFFFF" w:fill="auto"/>
          </w:tcPr>
          <w:p w14:paraId="6E49297B"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07C94B59"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565" w:type="pct"/>
            <w:tcBorders>
              <w:right w:val="single" w:sz="4" w:space="0" w:color="auto"/>
            </w:tcBorders>
          </w:tcPr>
          <w:p w14:paraId="505C4BF4"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7FDAB970"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134.0</w:t>
            </w:r>
          </w:p>
        </w:tc>
        <w:tc>
          <w:tcPr>
            <w:tcW w:w="494" w:type="pct"/>
            <w:tcBorders>
              <w:right w:val="single" w:sz="4" w:space="0" w:color="auto"/>
            </w:tcBorders>
            <w:shd w:val="solid" w:color="FFFFFF" w:fill="auto"/>
          </w:tcPr>
          <w:p w14:paraId="0508E9D0"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41FE883C" w14:textId="77777777" w:rsidR="00D72D0A" w:rsidRPr="00DB22BA" w:rsidRDefault="00D72D0A" w:rsidP="00B06D81">
            <w:pPr>
              <w:keepNext/>
              <w:pBdr>
                <w:top w:val="single" w:sz="4" w:space="1" w:color="auto"/>
                <w:bottom w:val="single" w:sz="4" w:space="1" w:color="auto"/>
              </w:pBdr>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134.0</w:t>
            </w:r>
          </w:p>
        </w:tc>
      </w:tr>
      <w:tr w:rsidR="00D72D0A" w:rsidRPr="00DB22BA" w14:paraId="28923F75" w14:textId="77777777" w:rsidTr="00B06D81">
        <w:trPr>
          <w:trHeight w:val="247"/>
        </w:trPr>
        <w:tc>
          <w:tcPr>
            <w:tcW w:w="1420" w:type="pct"/>
            <w:tcBorders>
              <w:right w:val="single" w:sz="4" w:space="0" w:color="auto"/>
            </w:tcBorders>
            <w:shd w:val="solid" w:color="FFFFFF" w:fill="auto"/>
          </w:tcPr>
          <w:p w14:paraId="6302C49A"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Total comprehensive income</w:t>
            </w:r>
          </w:p>
        </w:tc>
        <w:tc>
          <w:tcPr>
            <w:tcW w:w="427" w:type="pct"/>
            <w:tcBorders>
              <w:left w:val="single" w:sz="4" w:space="0" w:color="auto"/>
              <w:bottom w:val="single" w:sz="4" w:space="0" w:color="auto"/>
              <w:right w:val="single" w:sz="4" w:space="0" w:color="auto"/>
            </w:tcBorders>
            <w:shd w:val="solid" w:color="FFFFFF" w:fill="auto"/>
          </w:tcPr>
          <w:p w14:paraId="7C3D2B26"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bottom w:val="single" w:sz="4" w:space="0" w:color="auto"/>
            </w:tcBorders>
            <w:shd w:val="solid" w:color="FFFFFF" w:fill="auto"/>
          </w:tcPr>
          <w:p w14:paraId="51AD3D86"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tcBorders>
              <w:bottom w:val="single" w:sz="4" w:space="0" w:color="auto"/>
            </w:tcBorders>
            <w:shd w:val="solid" w:color="FFFFFF" w:fill="auto"/>
          </w:tcPr>
          <w:p w14:paraId="7E1E2D18"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Borders>
              <w:bottom w:val="single" w:sz="4" w:space="0" w:color="auto"/>
            </w:tcBorders>
          </w:tcPr>
          <w:p w14:paraId="66B4F5BE"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1,084.6</w:t>
            </w:r>
          </w:p>
        </w:tc>
        <w:tc>
          <w:tcPr>
            <w:tcW w:w="565" w:type="pct"/>
            <w:tcBorders>
              <w:bottom w:val="single" w:sz="4" w:space="0" w:color="auto"/>
              <w:right w:val="single" w:sz="4" w:space="0" w:color="auto"/>
            </w:tcBorders>
          </w:tcPr>
          <w:p w14:paraId="474455F6"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bottom w:val="single" w:sz="4" w:space="0" w:color="auto"/>
            </w:tcBorders>
          </w:tcPr>
          <w:p w14:paraId="23A29357"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134.0</w:t>
            </w:r>
          </w:p>
        </w:tc>
        <w:tc>
          <w:tcPr>
            <w:tcW w:w="494" w:type="pct"/>
            <w:tcBorders>
              <w:bottom w:val="single" w:sz="4" w:space="0" w:color="auto"/>
              <w:right w:val="single" w:sz="4" w:space="0" w:color="auto"/>
            </w:tcBorders>
            <w:shd w:val="solid" w:color="FFFFFF" w:fill="auto"/>
          </w:tcPr>
          <w:p w14:paraId="2EFB2355"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bottom w:val="single" w:sz="4" w:space="0" w:color="auto"/>
            </w:tcBorders>
          </w:tcPr>
          <w:p w14:paraId="73874C97" w14:textId="77777777" w:rsidR="00D72D0A" w:rsidRPr="00DB22BA" w:rsidRDefault="00D72D0A"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1,218.6</w:t>
            </w:r>
          </w:p>
        </w:tc>
      </w:tr>
      <w:tr w:rsidR="00D72D0A" w:rsidRPr="00DB22BA" w14:paraId="5B635707" w14:textId="77777777" w:rsidTr="00B06D81">
        <w:trPr>
          <w:trHeight w:val="247"/>
        </w:trPr>
        <w:tc>
          <w:tcPr>
            <w:tcW w:w="1420" w:type="pct"/>
            <w:tcBorders>
              <w:right w:val="single" w:sz="4" w:space="0" w:color="auto"/>
            </w:tcBorders>
            <w:shd w:val="solid" w:color="FFFFFF" w:fill="auto"/>
          </w:tcPr>
          <w:p w14:paraId="0D993610"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i/>
                <w:color w:val="000000"/>
                <w:sz w:val="18"/>
                <w:szCs w:val="18"/>
              </w:rPr>
              <w:t>Transactions with owners of the Company recognised directly in equity</w:t>
            </w:r>
          </w:p>
        </w:tc>
        <w:tc>
          <w:tcPr>
            <w:tcW w:w="427" w:type="pct"/>
            <w:tcBorders>
              <w:top w:val="single" w:sz="4" w:space="0" w:color="auto"/>
              <w:left w:val="single" w:sz="4" w:space="0" w:color="auto"/>
              <w:right w:val="single" w:sz="4" w:space="0" w:color="auto"/>
            </w:tcBorders>
            <w:shd w:val="solid" w:color="FFFFFF" w:fill="auto"/>
          </w:tcPr>
          <w:p w14:paraId="49BBAD06"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362" w:type="pct"/>
            <w:tcBorders>
              <w:top w:val="single" w:sz="4" w:space="0" w:color="auto"/>
              <w:left w:val="single" w:sz="4" w:space="0" w:color="auto"/>
            </w:tcBorders>
            <w:shd w:val="solid" w:color="FFFFFF" w:fill="auto"/>
          </w:tcPr>
          <w:p w14:paraId="3FE99546"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16" w:type="pct"/>
            <w:tcBorders>
              <w:top w:val="single" w:sz="4" w:space="0" w:color="auto"/>
            </w:tcBorders>
            <w:shd w:val="solid" w:color="FFFFFF" w:fill="auto"/>
          </w:tcPr>
          <w:p w14:paraId="7F106CF3"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26" w:type="pct"/>
            <w:tcBorders>
              <w:top w:val="single" w:sz="4" w:space="0" w:color="auto"/>
            </w:tcBorders>
          </w:tcPr>
          <w:p w14:paraId="3430B444"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565" w:type="pct"/>
            <w:tcBorders>
              <w:top w:val="single" w:sz="4" w:space="0" w:color="auto"/>
              <w:right w:val="single" w:sz="4" w:space="0" w:color="auto"/>
            </w:tcBorders>
          </w:tcPr>
          <w:p w14:paraId="4B8076A2"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23" w:type="pct"/>
            <w:tcBorders>
              <w:top w:val="single" w:sz="4" w:space="0" w:color="auto"/>
              <w:left w:val="single" w:sz="4" w:space="0" w:color="auto"/>
            </w:tcBorders>
          </w:tcPr>
          <w:p w14:paraId="1A540E34"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94" w:type="pct"/>
            <w:tcBorders>
              <w:top w:val="single" w:sz="4" w:space="0" w:color="auto"/>
              <w:right w:val="single" w:sz="4" w:space="0" w:color="auto"/>
            </w:tcBorders>
            <w:shd w:val="solid" w:color="FFFFFF" w:fill="auto"/>
          </w:tcPr>
          <w:p w14:paraId="25B1A334"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67" w:type="pct"/>
            <w:tcBorders>
              <w:top w:val="single" w:sz="4" w:space="0" w:color="auto"/>
              <w:left w:val="single" w:sz="4" w:space="0" w:color="auto"/>
            </w:tcBorders>
          </w:tcPr>
          <w:p w14:paraId="2ACED237"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r>
      <w:tr w:rsidR="00D72D0A" w:rsidRPr="00DB22BA" w14:paraId="540EAF3C" w14:textId="77777777" w:rsidTr="00B06D81">
        <w:trPr>
          <w:trHeight w:val="247"/>
        </w:trPr>
        <w:tc>
          <w:tcPr>
            <w:tcW w:w="1420" w:type="pct"/>
            <w:tcBorders>
              <w:right w:val="single" w:sz="4" w:space="0" w:color="auto"/>
            </w:tcBorders>
            <w:shd w:val="solid" w:color="FFFFFF" w:fill="auto"/>
          </w:tcPr>
          <w:p w14:paraId="0D0E9996"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 xml:space="preserve">Share-based payments </w:t>
            </w:r>
          </w:p>
        </w:tc>
        <w:tc>
          <w:tcPr>
            <w:tcW w:w="427" w:type="pct"/>
            <w:tcBorders>
              <w:left w:val="single" w:sz="4" w:space="0" w:color="auto"/>
              <w:right w:val="single" w:sz="4" w:space="0" w:color="auto"/>
            </w:tcBorders>
            <w:shd w:val="solid" w:color="FFFFFF" w:fill="auto"/>
          </w:tcPr>
          <w:p w14:paraId="0426D481"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shd w:val="solid" w:color="FFFFFF" w:fill="auto"/>
          </w:tcPr>
          <w:p w14:paraId="60B31780"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shd w:val="solid" w:color="FFFFFF" w:fill="auto"/>
          </w:tcPr>
          <w:p w14:paraId="51998402"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096A19E5"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565" w:type="pct"/>
            <w:tcBorders>
              <w:right w:val="single" w:sz="4" w:space="0" w:color="auto"/>
            </w:tcBorders>
          </w:tcPr>
          <w:p w14:paraId="46701F83"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5675BCB4"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94" w:type="pct"/>
            <w:tcBorders>
              <w:right w:val="single" w:sz="4" w:space="0" w:color="auto"/>
            </w:tcBorders>
            <w:shd w:val="solid" w:color="FFFFFF" w:fill="auto"/>
          </w:tcPr>
          <w:p w14:paraId="7DD5369B"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7.5</w:t>
            </w:r>
          </w:p>
        </w:tc>
        <w:tc>
          <w:tcPr>
            <w:tcW w:w="467" w:type="pct"/>
            <w:tcBorders>
              <w:left w:val="single" w:sz="4" w:space="0" w:color="auto"/>
            </w:tcBorders>
          </w:tcPr>
          <w:p w14:paraId="779CC3C1" w14:textId="77777777" w:rsidR="00D72D0A" w:rsidRPr="00DB22BA" w:rsidRDefault="00D72D0A"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7.5</w:t>
            </w:r>
          </w:p>
        </w:tc>
      </w:tr>
      <w:tr w:rsidR="00D72D0A" w:rsidRPr="00DB22BA" w14:paraId="59EAC042" w14:textId="77777777" w:rsidTr="00B06D81">
        <w:trPr>
          <w:trHeight w:val="247"/>
        </w:trPr>
        <w:tc>
          <w:tcPr>
            <w:tcW w:w="1420" w:type="pct"/>
            <w:tcBorders>
              <w:right w:val="single" w:sz="4" w:space="0" w:color="auto"/>
            </w:tcBorders>
            <w:shd w:val="solid" w:color="FFFFFF" w:fill="auto"/>
          </w:tcPr>
          <w:p w14:paraId="52656ED5"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Repurchase of ordinary equity shares</w:t>
            </w:r>
          </w:p>
        </w:tc>
        <w:tc>
          <w:tcPr>
            <w:tcW w:w="427" w:type="pct"/>
            <w:tcBorders>
              <w:left w:val="single" w:sz="4" w:space="0" w:color="auto"/>
              <w:right w:val="single" w:sz="4" w:space="0" w:color="auto"/>
            </w:tcBorders>
            <w:shd w:val="solid" w:color="FFFFFF" w:fill="auto"/>
          </w:tcPr>
          <w:p w14:paraId="1859B9A6"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shd w:val="solid" w:color="FFFFFF" w:fill="auto"/>
          </w:tcPr>
          <w:p w14:paraId="4533C7BB"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shd w:val="solid" w:color="FFFFFF" w:fill="auto"/>
          </w:tcPr>
          <w:p w14:paraId="6E823423"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14170F70"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(560.5)</w:t>
            </w:r>
          </w:p>
        </w:tc>
        <w:tc>
          <w:tcPr>
            <w:tcW w:w="565" w:type="pct"/>
            <w:tcBorders>
              <w:right w:val="single" w:sz="4" w:space="0" w:color="auto"/>
            </w:tcBorders>
          </w:tcPr>
          <w:p w14:paraId="53B804BE"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559ACAAF"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94" w:type="pct"/>
            <w:tcBorders>
              <w:right w:val="single" w:sz="4" w:space="0" w:color="auto"/>
            </w:tcBorders>
            <w:shd w:val="solid" w:color="FFFFFF" w:fill="auto"/>
          </w:tcPr>
          <w:p w14:paraId="2E5E775D"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7915F1D0" w14:textId="77777777" w:rsidR="00D72D0A" w:rsidRPr="00DB22BA" w:rsidRDefault="00D72D0A"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(560.5)</w:t>
            </w:r>
          </w:p>
        </w:tc>
      </w:tr>
      <w:tr w:rsidR="00D72D0A" w:rsidRPr="00DB22BA" w14:paraId="4AAA7079" w14:textId="77777777" w:rsidTr="00B06D81">
        <w:trPr>
          <w:trHeight w:val="247"/>
        </w:trPr>
        <w:tc>
          <w:tcPr>
            <w:tcW w:w="1420" w:type="pct"/>
            <w:tcBorders>
              <w:right w:val="single" w:sz="4" w:space="0" w:color="auto"/>
            </w:tcBorders>
            <w:shd w:val="solid" w:color="FFFFFF" w:fill="auto"/>
          </w:tcPr>
          <w:p w14:paraId="1DDE7C05" w14:textId="77777777" w:rsidR="00D72D0A" w:rsidRPr="00DB22BA" w:rsidRDefault="00D72D0A" w:rsidP="00B06D81">
            <w:pPr>
              <w:keepNext/>
              <w:autoSpaceDE w:val="0"/>
              <w:autoSpaceDN w:val="0"/>
              <w:adjustRightInd w:val="0"/>
              <w:rPr>
                <w:rFonts w:ascii="Calibri" w:hAnsi="Calibri" w:cs="Calibri"/>
                <w:color w:val="000000"/>
                <w:sz w:val="18"/>
                <w:szCs w:val="18"/>
              </w:rPr>
            </w:pPr>
            <w:r>
              <w:rPr>
                <w:rFonts w:ascii="Calibri" w:hAnsi="Calibri" w:cs="Calibri"/>
                <w:color w:val="000000"/>
                <w:sz w:val="18"/>
                <w:szCs w:val="18"/>
              </w:rPr>
              <w:t>Cancellation of repurchased ordinary shares</w:t>
            </w:r>
          </w:p>
        </w:tc>
        <w:tc>
          <w:tcPr>
            <w:tcW w:w="427" w:type="pct"/>
            <w:tcBorders>
              <w:left w:val="single" w:sz="4" w:space="0" w:color="auto"/>
              <w:right w:val="single" w:sz="4" w:space="0" w:color="auto"/>
            </w:tcBorders>
            <w:shd w:val="solid" w:color="FFFFFF" w:fill="auto"/>
          </w:tcPr>
          <w:p w14:paraId="7B488FB3"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(37.8)</w:t>
            </w:r>
          </w:p>
        </w:tc>
        <w:tc>
          <w:tcPr>
            <w:tcW w:w="362" w:type="pct"/>
            <w:tcBorders>
              <w:left w:val="single" w:sz="4" w:space="0" w:color="auto"/>
            </w:tcBorders>
            <w:shd w:val="solid" w:color="FFFFFF" w:fill="auto"/>
          </w:tcPr>
          <w:p w14:paraId="29BDB599"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(0.2)</w:t>
            </w:r>
          </w:p>
        </w:tc>
        <w:tc>
          <w:tcPr>
            <w:tcW w:w="416" w:type="pct"/>
            <w:shd w:val="solid" w:color="FFFFFF" w:fill="auto"/>
          </w:tcPr>
          <w:p w14:paraId="6DEC73E3"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p>
        </w:tc>
        <w:tc>
          <w:tcPr>
            <w:tcW w:w="426" w:type="pct"/>
          </w:tcPr>
          <w:p w14:paraId="2326CC58"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26.8</w:t>
            </w:r>
          </w:p>
        </w:tc>
        <w:tc>
          <w:tcPr>
            <w:tcW w:w="565" w:type="pct"/>
            <w:tcBorders>
              <w:right w:val="single" w:sz="4" w:space="0" w:color="auto"/>
            </w:tcBorders>
          </w:tcPr>
          <w:p w14:paraId="227A0FA2"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0.2</w:t>
            </w:r>
          </w:p>
        </w:tc>
        <w:tc>
          <w:tcPr>
            <w:tcW w:w="423" w:type="pct"/>
            <w:tcBorders>
              <w:left w:val="single" w:sz="4" w:space="0" w:color="auto"/>
            </w:tcBorders>
          </w:tcPr>
          <w:p w14:paraId="3FB66E27"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94" w:type="pct"/>
            <w:tcBorders>
              <w:right w:val="single" w:sz="4" w:space="0" w:color="auto"/>
            </w:tcBorders>
            <w:shd w:val="solid" w:color="FFFFFF" w:fill="auto"/>
          </w:tcPr>
          <w:p w14:paraId="54AC9FC4"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7D79F49F" w14:textId="77777777" w:rsidR="00D72D0A" w:rsidRPr="00DB22BA" w:rsidRDefault="00D72D0A"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26.8</w:t>
            </w:r>
          </w:p>
        </w:tc>
      </w:tr>
      <w:tr w:rsidR="00D72D0A" w:rsidRPr="00DB22BA" w14:paraId="6BE2FC01" w14:textId="77777777" w:rsidTr="00B06D81">
        <w:trPr>
          <w:trHeight w:val="247"/>
        </w:trPr>
        <w:tc>
          <w:tcPr>
            <w:tcW w:w="1420" w:type="pct"/>
            <w:tcBorders>
              <w:right w:val="single" w:sz="4" w:space="0" w:color="auto"/>
            </w:tcBorders>
            <w:shd w:val="solid" w:color="FFFFFF" w:fill="auto"/>
          </w:tcPr>
          <w:p w14:paraId="07A99D6A" w14:textId="221643A1" w:rsidR="00D72D0A" w:rsidRPr="00F53A5D" w:rsidRDefault="00D72D0A" w:rsidP="00B06D81">
            <w:pPr>
              <w:keepNext/>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B</w:t>
            </w:r>
            <w:r w:rsidRPr="00492249">
              <w:rPr>
                <w:rFonts w:ascii="Calibri" w:hAnsi="Calibri" w:cs="Calibri"/>
                <w:b/>
                <w:bCs/>
                <w:color w:val="000000"/>
                <w:sz w:val="18"/>
                <w:szCs w:val="18"/>
              </w:rPr>
              <w:t xml:space="preserve">alance at </w:t>
            </w:r>
            <w:r w:rsidR="00555666">
              <w:rPr>
                <w:rFonts w:ascii="Calibri" w:hAnsi="Calibri" w:cs="Calibri"/>
                <w:b/>
                <w:bCs/>
                <w:color w:val="000000"/>
                <w:sz w:val="18"/>
                <w:szCs w:val="18"/>
              </w:rPr>
              <w:t>December 31</w:t>
            </w:r>
            <w:r w:rsidRPr="00492249">
              <w:rPr>
                <w:rFonts w:ascii="Calibri" w:hAnsi="Calibri" w:cs="Calibri"/>
                <w:b/>
                <w:bCs/>
                <w:color w:val="000000"/>
                <w:sz w:val="18"/>
                <w:szCs w:val="18"/>
              </w:rPr>
              <w:t>, 2</w:t>
            </w:r>
            <w:r>
              <w:rPr>
                <w:rFonts w:ascii="Calibri" w:hAnsi="Calibri" w:cs="Calibri"/>
                <w:b/>
                <w:bCs/>
                <w:color w:val="000000"/>
                <w:sz w:val="18"/>
                <w:szCs w:val="18"/>
              </w:rPr>
              <w:t>0</w:t>
            </w:r>
            <w:r w:rsidRPr="00492249">
              <w:rPr>
                <w:rFonts w:ascii="Calibri" w:hAnsi="Calibri" w:cs="Calibri"/>
                <w:b/>
                <w:bCs/>
                <w:color w:val="000000"/>
                <w:sz w:val="18"/>
                <w:szCs w:val="18"/>
              </w:rPr>
              <w:t>18</w:t>
            </w:r>
          </w:p>
        </w:tc>
        <w:tc>
          <w:tcPr>
            <w:tcW w:w="427" w:type="pct"/>
            <w:tcBorders>
              <w:left w:val="single" w:sz="4" w:space="0" w:color="auto"/>
              <w:right w:val="single" w:sz="4" w:space="0" w:color="auto"/>
            </w:tcBorders>
            <w:shd w:val="solid" w:color="FFFFFF" w:fill="auto"/>
          </w:tcPr>
          <w:p w14:paraId="11089B9D"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1,133.4</w:t>
            </w:r>
          </w:p>
        </w:tc>
        <w:tc>
          <w:tcPr>
            <w:tcW w:w="362" w:type="pct"/>
            <w:tcBorders>
              <w:left w:val="single" w:sz="4" w:space="0" w:color="auto"/>
            </w:tcBorders>
            <w:shd w:val="solid" w:color="FFFFFF" w:fill="auto"/>
          </w:tcPr>
          <w:p w14:paraId="1246A10B"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6.8</w:t>
            </w:r>
          </w:p>
        </w:tc>
        <w:tc>
          <w:tcPr>
            <w:tcW w:w="416" w:type="pct"/>
            <w:shd w:val="solid" w:color="FFFFFF" w:fill="auto"/>
          </w:tcPr>
          <w:p w14:paraId="3A9CCFA7"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719.4</w:t>
            </w:r>
          </w:p>
        </w:tc>
        <w:tc>
          <w:tcPr>
            <w:tcW w:w="426" w:type="pct"/>
          </w:tcPr>
          <w:p w14:paraId="2CD71D66"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4,379.4</w:t>
            </w:r>
          </w:p>
        </w:tc>
        <w:tc>
          <w:tcPr>
            <w:tcW w:w="565" w:type="pct"/>
            <w:tcBorders>
              <w:right w:val="single" w:sz="4" w:space="0" w:color="auto"/>
            </w:tcBorders>
          </w:tcPr>
          <w:p w14:paraId="538FA2D4"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3.2</w:t>
            </w:r>
          </w:p>
        </w:tc>
        <w:tc>
          <w:tcPr>
            <w:tcW w:w="423" w:type="pct"/>
            <w:tcBorders>
              <w:left w:val="single" w:sz="4" w:space="0" w:color="auto"/>
            </w:tcBorders>
          </w:tcPr>
          <w:p w14:paraId="48667183"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(225.7)</w:t>
            </w:r>
          </w:p>
        </w:tc>
        <w:tc>
          <w:tcPr>
            <w:tcW w:w="494" w:type="pct"/>
            <w:tcBorders>
              <w:right w:val="single" w:sz="4" w:space="0" w:color="auto"/>
            </w:tcBorders>
            <w:shd w:val="solid" w:color="FFFFFF" w:fill="auto"/>
          </w:tcPr>
          <w:p w14:paraId="1D1D87E8"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28.8</w:t>
            </w:r>
          </w:p>
        </w:tc>
        <w:tc>
          <w:tcPr>
            <w:tcW w:w="467" w:type="pct"/>
            <w:tcBorders>
              <w:left w:val="single" w:sz="4" w:space="0" w:color="auto"/>
            </w:tcBorders>
          </w:tcPr>
          <w:p w14:paraId="10F3968B" w14:textId="77777777" w:rsidR="00D72D0A" w:rsidRPr="00DB22BA" w:rsidRDefault="00D72D0A" w:rsidP="00B06D81">
            <w:pPr>
              <w:keepNext/>
              <w:pBdr>
                <w:top w:val="single" w:sz="4" w:space="1" w:color="auto"/>
              </w:pBdr>
              <w:tabs>
                <w:tab w:val="left" w:pos="963"/>
              </w:tabs>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4,911.9</w:t>
            </w:r>
          </w:p>
        </w:tc>
      </w:tr>
      <w:tr w:rsidR="00D72D0A" w:rsidRPr="00D64781" w14:paraId="2C036DDF" w14:textId="77777777" w:rsidTr="00B06D81">
        <w:trPr>
          <w:trHeight w:val="247"/>
        </w:trPr>
        <w:tc>
          <w:tcPr>
            <w:tcW w:w="1420" w:type="pct"/>
            <w:tcBorders>
              <w:right w:val="single" w:sz="4" w:space="0" w:color="auto"/>
            </w:tcBorders>
            <w:shd w:val="solid" w:color="FFFFFF" w:fill="auto"/>
          </w:tcPr>
          <w:p w14:paraId="7DEAA453" w14:textId="472FB9FC" w:rsidR="00D72D0A" w:rsidRPr="00DB22BA" w:rsidRDefault="00D72D0A" w:rsidP="00B06D81">
            <w:pPr>
              <w:keepNext/>
              <w:autoSpaceDE w:val="0"/>
              <w:autoSpaceDN w:val="0"/>
              <w:adjustRightInd w:val="0"/>
              <w:rPr>
                <w:rFonts w:ascii="Calibri" w:hAnsi="Calibri" w:cs="Calibri"/>
                <w:color w:val="000000"/>
                <w:sz w:val="18"/>
                <w:szCs w:val="18"/>
              </w:rPr>
            </w:pPr>
            <w:r>
              <w:rPr>
                <w:rFonts w:ascii="Calibri" w:hAnsi="Calibri" w:cs="Calibri"/>
                <w:color w:val="000000"/>
                <w:sz w:val="18"/>
                <w:szCs w:val="18"/>
              </w:rPr>
              <w:t>Loss</w:t>
            </w:r>
            <w:r w:rsidRPr="00DB22BA">
              <w:rPr>
                <w:rFonts w:ascii="Calibri" w:hAnsi="Calibri" w:cs="Calibri"/>
                <w:color w:val="000000"/>
                <w:sz w:val="18"/>
                <w:szCs w:val="18"/>
              </w:rPr>
              <w:t xml:space="preserve"> for the</w:t>
            </w:r>
            <w:r>
              <w:rPr>
                <w:rFonts w:ascii="Calibri" w:hAnsi="Calibri" w:cs="Calibri"/>
                <w:color w:val="000000"/>
                <w:sz w:val="18"/>
                <w:szCs w:val="18"/>
              </w:rPr>
              <w:t xml:space="preserve"> </w:t>
            </w:r>
            <w:r w:rsidR="00555666">
              <w:rPr>
                <w:rFonts w:ascii="Calibri" w:hAnsi="Calibri" w:cs="Calibri"/>
                <w:color w:val="000000"/>
                <w:sz w:val="18"/>
                <w:szCs w:val="18"/>
              </w:rPr>
              <w:t>three months</w:t>
            </w:r>
          </w:p>
        </w:tc>
        <w:tc>
          <w:tcPr>
            <w:tcW w:w="427" w:type="pct"/>
            <w:tcBorders>
              <w:left w:val="single" w:sz="4" w:space="0" w:color="auto"/>
              <w:right w:val="single" w:sz="4" w:space="0" w:color="auto"/>
            </w:tcBorders>
          </w:tcPr>
          <w:p w14:paraId="2DAF0EFF"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362" w:type="pct"/>
            <w:tcBorders>
              <w:left w:val="single" w:sz="4" w:space="0" w:color="auto"/>
            </w:tcBorders>
          </w:tcPr>
          <w:p w14:paraId="2FDF1671"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416" w:type="pct"/>
          </w:tcPr>
          <w:p w14:paraId="1C6CC3AC"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426" w:type="pct"/>
          </w:tcPr>
          <w:p w14:paraId="139B5010"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(199.6)</w:t>
            </w:r>
          </w:p>
        </w:tc>
        <w:tc>
          <w:tcPr>
            <w:tcW w:w="565" w:type="pct"/>
            <w:tcBorders>
              <w:right w:val="single" w:sz="4" w:space="0" w:color="auto"/>
            </w:tcBorders>
          </w:tcPr>
          <w:p w14:paraId="485B4097"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423" w:type="pct"/>
            <w:tcBorders>
              <w:left w:val="single" w:sz="4" w:space="0" w:color="auto"/>
            </w:tcBorders>
          </w:tcPr>
          <w:p w14:paraId="6FC9C555"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494" w:type="pct"/>
            <w:tcBorders>
              <w:right w:val="single" w:sz="4" w:space="0" w:color="auto"/>
            </w:tcBorders>
          </w:tcPr>
          <w:p w14:paraId="2AA43DF9"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sidRPr="00DB22BA">
              <w:rPr>
                <w:rFonts w:ascii="Calibri" w:hAnsi="Calibri" w:cs="Calibri"/>
                <w:color w:val="000000"/>
                <w:sz w:val="18"/>
                <w:szCs w:val="18"/>
              </w:rPr>
              <w:t>-</w:t>
            </w:r>
          </w:p>
        </w:tc>
        <w:tc>
          <w:tcPr>
            <w:tcW w:w="467" w:type="pct"/>
            <w:tcBorders>
              <w:left w:val="single" w:sz="4" w:space="0" w:color="auto"/>
            </w:tcBorders>
          </w:tcPr>
          <w:p w14:paraId="79EA491A" w14:textId="77777777" w:rsidR="00D72D0A" w:rsidRPr="00DB22BA" w:rsidRDefault="00D72D0A" w:rsidP="00B06D81">
            <w:pPr>
              <w:keepNext/>
              <w:pBdr>
                <w:top w:val="single" w:sz="4" w:space="1" w:color="auto"/>
              </w:pBd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(199.6)</w:t>
            </w:r>
          </w:p>
        </w:tc>
      </w:tr>
      <w:tr w:rsidR="00D72D0A" w:rsidRPr="00D64781" w14:paraId="08CB874A" w14:textId="77777777" w:rsidTr="00B06D81">
        <w:trPr>
          <w:trHeight w:val="247"/>
        </w:trPr>
        <w:tc>
          <w:tcPr>
            <w:tcW w:w="1420" w:type="pct"/>
            <w:tcBorders>
              <w:right w:val="single" w:sz="4" w:space="0" w:color="auto"/>
            </w:tcBorders>
            <w:shd w:val="solid" w:color="FFFFFF" w:fill="auto"/>
          </w:tcPr>
          <w:p w14:paraId="1A9ACE91" w14:textId="77777777" w:rsidR="00D72D0A" w:rsidRPr="00DB22BA" w:rsidRDefault="00D72D0A" w:rsidP="00B06D81">
            <w:pPr>
              <w:keepNext/>
              <w:autoSpaceDE w:val="0"/>
              <w:autoSpaceDN w:val="0"/>
              <w:adjustRightInd w:val="0"/>
              <w:rPr>
                <w:rFonts w:ascii="Calibri" w:hAnsi="Calibri" w:cs="Calibri"/>
                <w:i/>
                <w:color w:val="000000"/>
                <w:sz w:val="18"/>
                <w:szCs w:val="18"/>
              </w:rPr>
            </w:pPr>
            <w:r w:rsidRPr="00DB22BA">
              <w:rPr>
                <w:rFonts w:ascii="Calibri" w:hAnsi="Calibri" w:cs="Calibri"/>
                <w:i/>
                <w:color w:val="000000"/>
                <w:sz w:val="18"/>
                <w:szCs w:val="18"/>
              </w:rPr>
              <w:t>Other comprehensive income</w:t>
            </w:r>
          </w:p>
        </w:tc>
        <w:tc>
          <w:tcPr>
            <w:tcW w:w="427" w:type="pct"/>
            <w:tcBorders>
              <w:left w:val="single" w:sz="4" w:space="0" w:color="auto"/>
              <w:right w:val="single" w:sz="4" w:space="0" w:color="auto"/>
            </w:tcBorders>
          </w:tcPr>
          <w:p w14:paraId="3FF36040"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362" w:type="pct"/>
            <w:tcBorders>
              <w:left w:val="single" w:sz="4" w:space="0" w:color="auto"/>
            </w:tcBorders>
          </w:tcPr>
          <w:p w14:paraId="76C04D57"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16" w:type="pct"/>
          </w:tcPr>
          <w:p w14:paraId="4A63F77E"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26" w:type="pct"/>
          </w:tcPr>
          <w:p w14:paraId="781A8465"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565" w:type="pct"/>
            <w:tcBorders>
              <w:right w:val="single" w:sz="4" w:space="0" w:color="auto"/>
            </w:tcBorders>
          </w:tcPr>
          <w:p w14:paraId="2C561EEA"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23" w:type="pct"/>
            <w:tcBorders>
              <w:left w:val="single" w:sz="4" w:space="0" w:color="auto"/>
            </w:tcBorders>
          </w:tcPr>
          <w:p w14:paraId="7EECB32C"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94" w:type="pct"/>
            <w:tcBorders>
              <w:right w:val="single" w:sz="4" w:space="0" w:color="auto"/>
            </w:tcBorders>
          </w:tcPr>
          <w:p w14:paraId="59A299B7"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67" w:type="pct"/>
            <w:tcBorders>
              <w:left w:val="single" w:sz="4" w:space="0" w:color="auto"/>
            </w:tcBorders>
          </w:tcPr>
          <w:p w14:paraId="4DEFEFB3"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r>
      <w:tr w:rsidR="00D72D0A" w:rsidRPr="00D64781" w14:paraId="030851EC" w14:textId="77777777" w:rsidTr="00B06D81">
        <w:trPr>
          <w:trHeight w:val="247"/>
        </w:trPr>
        <w:tc>
          <w:tcPr>
            <w:tcW w:w="1420" w:type="pct"/>
            <w:tcBorders>
              <w:right w:val="single" w:sz="4" w:space="0" w:color="auto"/>
            </w:tcBorders>
            <w:shd w:val="solid" w:color="FFFFFF" w:fill="auto"/>
          </w:tcPr>
          <w:p w14:paraId="0311CC85"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Net movements in cash flow reserve</w:t>
            </w:r>
          </w:p>
        </w:tc>
        <w:tc>
          <w:tcPr>
            <w:tcW w:w="427" w:type="pct"/>
            <w:tcBorders>
              <w:left w:val="single" w:sz="4" w:space="0" w:color="auto"/>
              <w:right w:val="single" w:sz="4" w:space="0" w:color="auto"/>
            </w:tcBorders>
          </w:tcPr>
          <w:p w14:paraId="5CDFCB5A"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tcPr>
          <w:p w14:paraId="10892F04"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tcPr>
          <w:p w14:paraId="79DD6578"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3D8AB590"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565" w:type="pct"/>
            <w:tcBorders>
              <w:right w:val="single" w:sz="4" w:space="0" w:color="auto"/>
            </w:tcBorders>
          </w:tcPr>
          <w:p w14:paraId="0D6430A7"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57AB3A41"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500.3</w:t>
            </w:r>
          </w:p>
        </w:tc>
        <w:tc>
          <w:tcPr>
            <w:tcW w:w="494" w:type="pct"/>
            <w:tcBorders>
              <w:right w:val="single" w:sz="4" w:space="0" w:color="auto"/>
            </w:tcBorders>
          </w:tcPr>
          <w:p w14:paraId="5EE6A34E"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5113E36B" w14:textId="77777777" w:rsidR="00D72D0A" w:rsidRPr="00DB22BA" w:rsidRDefault="00D72D0A"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500.3</w:t>
            </w:r>
          </w:p>
        </w:tc>
      </w:tr>
      <w:tr w:rsidR="00D72D0A" w:rsidRPr="00D64781" w14:paraId="7D380F3C" w14:textId="77777777" w:rsidTr="00B06D81">
        <w:trPr>
          <w:trHeight w:val="247"/>
        </w:trPr>
        <w:tc>
          <w:tcPr>
            <w:tcW w:w="1420" w:type="pct"/>
            <w:tcBorders>
              <w:right w:val="single" w:sz="4" w:space="0" w:color="auto"/>
            </w:tcBorders>
            <w:shd w:val="solid" w:color="FFFFFF" w:fill="auto"/>
          </w:tcPr>
          <w:p w14:paraId="713B7A3C"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Total other comprehensive income</w:t>
            </w:r>
          </w:p>
        </w:tc>
        <w:tc>
          <w:tcPr>
            <w:tcW w:w="427" w:type="pct"/>
            <w:tcBorders>
              <w:left w:val="single" w:sz="4" w:space="0" w:color="auto"/>
              <w:right w:val="single" w:sz="4" w:space="0" w:color="auto"/>
            </w:tcBorders>
            <w:shd w:val="solid" w:color="FFFFFF" w:fill="auto"/>
          </w:tcPr>
          <w:p w14:paraId="11CD5626"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shd w:val="solid" w:color="FFFFFF" w:fill="auto"/>
          </w:tcPr>
          <w:p w14:paraId="0D6EAE13"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shd w:val="solid" w:color="FFFFFF" w:fill="auto"/>
          </w:tcPr>
          <w:p w14:paraId="6A18C034"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529278A9"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565" w:type="pct"/>
            <w:tcBorders>
              <w:right w:val="single" w:sz="4" w:space="0" w:color="auto"/>
            </w:tcBorders>
          </w:tcPr>
          <w:p w14:paraId="582BC934"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22D2B99E"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500.3</w:t>
            </w:r>
          </w:p>
        </w:tc>
        <w:tc>
          <w:tcPr>
            <w:tcW w:w="494" w:type="pct"/>
            <w:tcBorders>
              <w:right w:val="single" w:sz="4" w:space="0" w:color="auto"/>
            </w:tcBorders>
            <w:shd w:val="solid" w:color="FFFFFF" w:fill="auto"/>
          </w:tcPr>
          <w:p w14:paraId="0927A131" w14:textId="77777777" w:rsidR="00D72D0A" w:rsidRPr="00DB22BA" w:rsidRDefault="00D72D0A"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505F9085" w14:textId="77777777" w:rsidR="00D72D0A" w:rsidRPr="00DB22BA" w:rsidRDefault="00D72D0A" w:rsidP="00B06D81">
            <w:pPr>
              <w:keepNext/>
              <w:pBdr>
                <w:top w:val="single" w:sz="4" w:space="1" w:color="auto"/>
                <w:bottom w:val="single" w:sz="4" w:space="1" w:color="auto"/>
              </w:pBdr>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500.3</w:t>
            </w:r>
          </w:p>
        </w:tc>
      </w:tr>
      <w:tr w:rsidR="00D72D0A" w:rsidRPr="00D64781" w14:paraId="4A1E0183" w14:textId="77777777" w:rsidTr="00B06D81">
        <w:trPr>
          <w:trHeight w:val="247"/>
        </w:trPr>
        <w:tc>
          <w:tcPr>
            <w:tcW w:w="1420" w:type="pct"/>
            <w:tcBorders>
              <w:right w:val="single" w:sz="4" w:space="0" w:color="auto"/>
            </w:tcBorders>
            <w:shd w:val="solid" w:color="FFFFFF" w:fill="auto"/>
          </w:tcPr>
          <w:p w14:paraId="6AAD7797"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Total comprehensive income</w:t>
            </w:r>
          </w:p>
        </w:tc>
        <w:tc>
          <w:tcPr>
            <w:tcW w:w="427" w:type="pct"/>
            <w:tcBorders>
              <w:left w:val="single" w:sz="4" w:space="0" w:color="auto"/>
              <w:bottom w:val="single" w:sz="4" w:space="0" w:color="auto"/>
              <w:right w:val="single" w:sz="4" w:space="0" w:color="auto"/>
            </w:tcBorders>
            <w:shd w:val="solid" w:color="FFFFFF" w:fill="auto"/>
          </w:tcPr>
          <w:p w14:paraId="1BD1D35E"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bottom w:val="single" w:sz="4" w:space="0" w:color="auto"/>
            </w:tcBorders>
            <w:shd w:val="solid" w:color="FFFFFF" w:fill="auto"/>
          </w:tcPr>
          <w:p w14:paraId="5BA68C1F"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tcBorders>
              <w:bottom w:val="single" w:sz="4" w:space="0" w:color="auto"/>
            </w:tcBorders>
            <w:shd w:val="solid" w:color="FFFFFF" w:fill="auto"/>
          </w:tcPr>
          <w:p w14:paraId="1F5A6C56"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Borders>
              <w:bottom w:val="single" w:sz="4" w:space="0" w:color="auto"/>
            </w:tcBorders>
          </w:tcPr>
          <w:p w14:paraId="6AFAE85F"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(199.6)</w:t>
            </w:r>
          </w:p>
        </w:tc>
        <w:tc>
          <w:tcPr>
            <w:tcW w:w="565" w:type="pct"/>
            <w:tcBorders>
              <w:bottom w:val="single" w:sz="4" w:space="0" w:color="auto"/>
              <w:right w:val="single" w:sz="4" w:space="0" w:color="auto"/>
            </w:tcBorders>
          </w:tcPr>
          <w:p w14:paraId="36B16924"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bottom w:val="single" w:sz="4" w:space="0" w:color="auto"/>
            </w:tcBorders>
          </w:tcPr>
          <w:p w14:paraId="4F1B61D2"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500.3</w:t>
            </w:r>
          </w:p>
        </w:tc>
        <w:tc>
          <w:tcPr>
            <w:tcW w:w="494" w:type="pct"/>
            <w:tcBorders>
              <w:bottom w:val="single" w:sz="4" w:space="0" w:color="auto"/>
              <w:right w:val="single" w:sz="4" w:space="0" w:color="auto"/>
            </w:tcBorders>
            <w:shd w:val="solid" w:color="FFFFFF" w:fill="auto"/>
          </w:tcPr>
          <w:p w14:paraId="688483A9"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bottom w:val="single" w:sz="4" w:space="0" w:color="auto"/>
            </w:tcBorders>
          </w:tcPr>
          <w:p w14:paraId="3EBBEA73" w14:textId="77777777" w:rsidR="00D72D0A" w:rsidRPr="00DB22BA" w:rsidRDefault="00D72D0A"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300.7</w:t>
            </w:r>
          </w:p>
        </w:tc>
      </w:tr>
      <w:tr w:rsidR="00D72D0A" w:rsidRPr="00D64781" w14:paraId="3529BDAD" w14:textId="77777777" w:rsidTr="00B06D81">
        <w:trPr>
          <w:trHeight w:val="247"/>
        </w:trPr>
        <w:tc>
          <w:tcPr>
            <w:tcW w:w="1420" w:type="pct"/>
            <w:tcBorders>
              <w:right w:val="single" w:sz="4" w:space="0" w:color="auto"/>
            </w:tcBorders>
            <w:shd w:val="solid" w:color="FFFFFF" w:fill="auto"/>
          </w:tcPr>
          <w:p w14:paraId="7C2CE038"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i/>
                <w:color w:val="000000"/>
                <w:sz w:val="18"/>
                <w:szCs w:val="18"/>
              </w:rPr>
              <w:t>Transactions with owners of the Company recognised directly in equity</w:t>
            </w:r>
          </w:p>
        </w:tc>
        <w:tc>
          <w:tcPr>
            <w:tcW w:w="427" w:type="pct"/>
            <w:tcBorders>
              <w:top w:val="single" w:sz="4" w:space="0" w:color="auto"/>
              <w:left w:val="single" w:sz="4" w:space="0" w:color="auto"/>
              <w:right w:val="single" w:sz="4" w:space="0" w:color="auto"/>
            </w:tcBorders>
            <w:shd w:val="solid" w:color="FFFFFF" w:fill="auto"/>
          </w:tcPr>
          <w:p w14:paraId="60A2B82E"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362" w:type="pct"/>
            <w:tcBorders>
              <w:top w:val="single" w:sz="4" w:space="0" w:color="auto"/>
              <w:left w:val="single" w:sz="4" w:space="0" w:color="auto"/>
            </w:tcBorders>
            <w:shd w:val="solid" w:color="FFFFFF" w:fill="auto"/>
          </w:tcPr>
          <w:p w14:paraId="5D80B605"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16" w:type="pct"/>
            <w:tcBorders>
              <w:top w:val="single" w:sz="4" w:space="0" w:color="auto"/>
            </w:tcBorders>
            <w:shd w:val="solid" w:color="FFFFFF" w:fill="auto"/>
          </w:tcPr>
          <w:p w14:paraId="2DD3BA94"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26" w:type="pct"/>
            <w:tcBorders>
              <w:top w:val="single" w:sz="4" w:space="0" w:color="auto"/>
            </w:tcBorders>
          </w:tcPr>
          <w:p w14:paraId="2EA994A9"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565" w:type="pct"/>
            <w:tcBorders>
              <w:top w:val="single" w:sz="4" w:space="0" w:color="auto"/>
              <w:right w:val="single" w:sz="4" w:space="0" w:color="auto"/>
            </w:tcBorders>
          </w:tcPr>
          <w:p w14:paraId="3AB8E984"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23" w:type="pct"/>
            <w:tcBorders>
              <w:top w:val="single" w:sz="4" w:space="0" w:color="auto"/>
              <w:left w:val="single" w:sz="4" w:space="0" w:color="auto"/>
            </w:tcBorders>
          </w:tcPr>
          <w:p w14:paraId="62E349CA"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94" w:type="pct"/>
            <w:tcBorders>
              <w:top w:val="single" w:sz="4" w:space="0" w:color="auto"/>
              <w:right w:val="single" w:sz="4" w:space="0" w:color="auto"/>
            </w:tcBorders>
            <w:shd w:val="solid" w:color="FFFFFF" w:fill="auto"/>
          </w:tcPr>
          <w:p w14:paraId="4492A63F"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c>
          <w:tcPr>
            <w:tcW w:w="467" w:type="pct"/>
            <w:tcBorders>
              <w:top w:val="single" w:sz="4" w:space="0" w:color="auto"/>
              <w:left w:val="single" w:sz="4" w:space="0" w:color="auto"/>
            </w:tcBorders>
          </w:tcPr>
          <w:p w14:paraId="49008CE3" w14:textId="77777777" w:rsidR="00D72D0A" w:rsidRPr="00DB22BA" w:rsidRDefault="00D72D0A" w:rsidP="00B06D81">
            <w:pPr>
              <w:keepNext/>
              <w:autoSpaceDE w:val="0"/>
              <w:autoSpaceDN w:val="0"/>
              <w:adjustRightInd w:val="0"/>
              <w:jc w:val="right"/>
              <w:rPr>
                <w:rFonts w:ascii="Calibri" w:hAnsi="Calibri" w:cs="Calibri"/>
                <w:color w:val="000000"/>
                <w:sz w:val="18"/>
                <w:szCs w:val="18"/>
              </w:rPr>
            </w:pPr>
          </w:p>
        </w:tc>
      </w:tr>
      <w:tr w:rsidR="00D72D0A" w:rsidRPr="00D64781" w14:paraId="0AEF641C" w14:textId="77777777" w:rsidTr="00B06D81">
        <w:trPr>
          <w:trHeight w:val="247"/>
        </w:trPr>
        <w:tc>
          <w:tcPr>
            <w:tcW w:w="1420" w:type="pct"/>
            <w:tcBorders>
              <w:right w:val="single" w:sz="4" w:space="0" w:color="auto"/>
            </w:tcBorders>
            <w:shd w:val="solid" w:color="FFFFFF" w:fill="auto"/>
          </w:tcPr>
          <w:p w14:paraId="1D5E6E31"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 xml:space="preserve">Share-based payments </w:t>
            </w:r>
          </w:p>
        </w:tc>
        <w:tc>
          <w:tcPr>
            <w:tcW w:w="427" w:type="pct"/>
            <w:tcBorders>
              <w:left w:val="single" w:sz="4" w:space="0" w:color="auto"/>
              <w:right w:val="single" w:sz="4" w:space="0" w:color="auto"/>
            </w:tcBorders>
            <w:shd w:val="solid" w:color="FFFFFF" w:fill="auto"/>
          </w:tcPr>
          <w:p w14:paraId="4AB60732"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shd w:val="solid" w:color="FFFFFF" w:fill="auto"/>
          </w:tcPr>
          <w:p w14:paraId="443EE840"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shd w:val="solid" w:color="FFFFFF" w:fill="auto"/>
          </w:tcPr>
          <w:p w14:paraId="3C60A5FC"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62CC7A01"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565" w:type="pct"/>
            <w:tcBorders>
              <w:right w:val="single" w:sz="4" w:space="0" w:color="auto"/>
            </w:tcBorders>
          </w:tcPr>
          <w:p w14:paraId="597160D0"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6D9BED57"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94" w:type="pct"/>
            <w:tcBorders>
              <w:right w:val="single" w:sz="4" w:space="0" w:color="auto"/>
            </w:tcBorders>
            <w:shd w:val="solid" w:color="FFFFFF" w:fill="auto"/>
          </w:tcPr>
          <w:p w14:paraId="11ED2462"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0.2</w:t>
            </w:r>
          </w:p>
        </w:tc>
        <w:tc>
          <w:tcPr>
            <w:tcW w:w="467" w:type="pct"/>
            <w:tcBorders>
              <w:left w:val="single" w:sz="4" w:space="0" w:color="auto"/>
            </w:tcBorders>
          </w:tcPr>
          <w:p w14:paraId="51998E28" w14:textId="77777777" w:rsidR="00D72D0A" w:rsidRPr="00DB22BA" w:rsidRDefault="00D72D0A"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0.2</w:t>
            </w:r>
          </w:p>
        </w:tc>
      </w:tr>
      <w:tr w:rsidR="00D72D0A" w:rsidRPr="00D64781" w14:paraId="03CF84DB" w14:textId="77777777" w:rsidTr="00B06D81">
        <w:trPr>
          <w:trHeight w:val="247"/>
        </w:trPr>
        <w:tc>
          <w:tcPr>
            <w:tcW w:w="1420" w:type="pct"/>
            <w:tcBorders>
              <w:right w:val="single" w:sz="4" w:space="0" w:color="auto"/>
            </w:tcBorders>
            <w:shd w:val="solid" w:color="FFFFFF" w:fill="auto"/>
          </w:tcPr>
          <w:p w14:paraId="1CE035E7" w14:textId="77777777" w:rsidR="00D72D0A" w:rsidRPr="00DB22BA" w:rsidRDefault="00D72D0A"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Repurchase of ordinary equity shares</w:t>
            </w:r>
          </w:p>
        </w:tc>
        <w:tc>
          <w:tcPr>
            <w:tcW w:w="427" w:type="pct"/>
            <w:tcBorders>
              <w:left w:val="single" w:sz="4" w:space="0" w:color="auto"/>
              <w:right w:val="single" w:sz="4" w:space="0" w:color="auto"/>
            </w:tcBorders>
            <w:shd w:val="solid" w:color="FFFFFF" w:fill="auto"/>
          </w:tcPr>
          <w:p w14:paraId="6080AD71"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shd w:val="solid" w:color="FFFFFF" w:fill="auto"/>
          </w:tcPr>
          <w:p w14:paraId="438AAFAD"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shd w:val="solid" w:color="FFFFFF" w:fill="auto"/>
          </w:tcPr>
          <w:p w14:paraId="3A8261B4"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36EB18C6"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565" w:type="pct"/>
            <w:tcBorders>
              <w:right w:val="single" w:sz="4" w:space="0" w:color="auto"/>
            </w:tcBorders>
          </w:tcPr>
          <w:p w14:paraId="74222A5C"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5DC001BB"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94" w:type="pct"/>
            <w:tcBorders>
              <w:right w:val="single" w:sz="4" w:space="0" w:color="auto"/>
            </w:tcBorders>
            <w:shd w:val="solid" w:color="FFFFFF" w:fill="auto"/>
          </w:tcPr>
          <w:p w14:paraId="2A0F5BF2" w14:textId="77777777" w:rsidR="00D72D0A" w:rsidRPr="00DB22BA" w:rsidRDefault="00D72D0A"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2A4713CE" w14:textId="77777777" w:rsidR="00D72D0A" w:rsidRPr="00DB22BA" w:rsidRDefault="00D72D0A"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r>
      <w:tr w:rsidR="005B4C2E" w:rsidRPr="00D64781" w14:paraId="05D35B61" w14:textId="77777777" w:rsidTr="00B06D81">
        <w:trPr>
          <w:trHeight w:val="247"/>
        </w:trPr>
        <w:tc>
          <w:tcPr>
            <w:tcW w:w="1420" w:type="pct"/>
            <w:tcBorders>
              <w:right w:val="single" w:sz="4" w:space="0" w:color="auto"/>
            </w:tcBorders>
            <w:shd w:val="solid" w:color="FFFFFF" w:fill="auto"/>
          </w:tcPr>
          <w:p w14:paraId="4B286FD1" w14:textId="51E773DA" w:rsidR="005B4C2E" w:rsidRPr="00DB22BA" w:rsidRDefault="005B4C2E" w:rsidP="00B06D81">
            <w:pPr>
              <w:keepNext/>
              <w:autoSpaceDE w:val="0"/>
              <w:autoSpaceDN w:val="0"/>
              <w:adjustRightInd w:val="0"/>
              <w:rPr>
                <w:rFonts w:ascii="Calibri" w:hAnsi="Calibri" w:cs="Calibri"/>
                <w:color w:val="000000"/>
                <w:sz w:val="18"/>
                <w:szCs w:val="18"/>
              </w:rPr>
            </w:pPr>
            <w:r>
              <w:rPr>
                <w:rFonts w:ascii="Calibri" w:hAnsi="Calibri" w:cs="Calibri"/>
                <w:color w:val="000000"/>
                <w:sz w:val="18"/>
                <w:szCs w:val="18"/>
              </w:rPr>
              <w:t>Other</w:t>
            </w:r>
          </w:p>
        </w:tc>
        <w:tc>
          <w:tcPr>
            <w:tcW w:w="427" w:type="pct"/>
            <w:tcBorders>
              <w:left w:val="single" w:sz="4" w:space="0" w:color="auto"/>
              <w:right w:val="single" w:sz="4" w:space="0" w:color="auto"/>
            </w:tcBorders>
            <w:shd w:val="solid" w:color="FFFFFF" w:fill="auto"/>
          </w:tcPr>
          <w:p w14:paraId="69568FD9" w14:textId="3BE3D9AE" w:rsidR="005B4C2E"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shd w:val="solid" w:color="FFFFFF" w:fill="auto"/>
          </w:tcPr>
          <w:p w14:paraId="38D95964" w14:textId="5FFA66BE" w:rsidR="005B4C2E"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shd w:val="solid" w:color="FFFFFF" w:fill="auto"/>
          </w:tcPr>
          <w:p w14:paraId="054717D7" w14:textId="712A6E97" w:rsidR="005B4C2E"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136A43A9" w14:textId="7C3F9C4D" w:rsidR="005B4C2E"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2.1</w:t>
            </w:r>
          </w:p>
        </w:tc>
        <w:tc>
          <w:tcPr>
            <w:tcW w:w="565" w:type="pct"/>
            <w:tcBorders>
              <w:right w:val="single" w:sz="4" w:space="0" w:color="auto"/>
            </w:tcBorders>
          </w:tcPr>
          <w:p w14:paraId="6EB278D8" w14:textId="0057C582" w:rsidR="005B4C2E"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4FD2D720" w14:textId="49EA43D9" w:rsidR="005B4C2E"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94" w:type="pct"/>
            <w:tcBorders>
              <w:right w:val="single" w:sz="4" w:space="0" w:color="auto"/>
            </w:tcBorders>
            <w:shd w:val="solid" w:color="FFFFFF" w:fill="auto"/>
          </w:tcPr>
          <w:p w14:paraId="6693CCC0" w14:textId="2F46414E" w:rsidR="005B4C2E"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4F22D1B1" w14:textId="11386B30" w:rsidR="005B4C2E" w:rsidRDefault="005B4C2E"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2.1</w:t>
            </w:r>
          </w:p>
        </w:tc>
      </w:tr>
      <w:tr w:rsidR="005B4C2E" w:rsidRPr="00D64781" w14:paraId="46A5660C" w14:textId="77777777" w:rsidTr="00B06D81">
        <w:trPr>
          <w:trHeight w:val="247"/>
        </w:trPr>
        <w:tc>
          <w:tcPr>
            <w:tcW w:w="1420" w:type="pct"/>
            <w:tcBorders>
              <w:right w:val="single" w:sz="4" w:space="0" w:color="auto"/>
            </w:tcBorders>
            <w:shd w:val="solid" w:color="FFFFFF" w:fill="auto"/>
          </w:tcPr>
          <w:p w14:paraId="1865572E" w14:textId="68F0FE22" w:rsidR="005B4C2E" w:rsidRPr="00DB22BA" w:rsidRDefault="005B4C2E" w:rsidP="00B06D81">
            <w:pPr>
              <w:keepNext/>
              <w:autoSpaceDE w:val="0"/>
              <w:autoSpaceDN w:val="0"/>
              <w:adjustRightInd w:val="0"/>
              <w:rPr>
                <w:rFonts w:ascii="Calibri" w:hAnsi="Calibri" w:cs="Calibri"/>
                <w:color w:val="000000"/>
                <w:sz w:val="18"/>
                <w:szCs w:val="18"/>
              </w:rPr>
            </w:pPr>
            <w:r w:rsidRPr="00F53A5D">
              <w:rPr>
                <w:rFonts w:ascii="Calibri" w:hAnsi="Calibri" w:cs="Calibri"/>
                <w:b/>
                <w:bCs/>
                <w:color w:val="000000"/>
                <w:sz w:val="18"/>
                <w:szCs w:val="18"/>
              </w:rPr>
              <w:t xml:space="preserve">Balance at </w:t>
            </w:r>
            <w:r>
              <w:rPr>
                <w:rFonts w:ascii="Calibri" w:hAnsi="Calibri" w:cs="Calibri"/>
                <w:b/>
                <w:bCs/>
                <w:color w:val="000000"/>
                <w:sz w:val="18"/>
                <w:szCs w:val="18"/>
              </w:rPr>
              <w:t>March</w:t>
            </w:r>
            <w:r w:rsidRPr="00F53A5D">
              <w:rPr>
                <w:rFonts w:ascii="Calibri" w:hAnsi="Calibri" w:cs="Calibri"/>
                <w:b/>
                <w:bCs/>
                <w:color w:val="000000"/>
                <w:sz w:val="18"/>
                <w:szCs w:val="18"/>
              </w:rPr>
              <w:t xml:space="preserve"> 3</w:t>
            </w:r>
            <w:r>
              <w:rPr>
                <w:rFonts w:ascii="Calibri" w:hAnsi="Calibri" w:cs="Calibri"/>
                <w:b/>
                <w:bCs/>
                <w:color w:val="000000"/>
                <w:sz w:val="18"/>
                <w:szCs w:val="18"/>
              </w:rPr>
              <w:t>1</w:t>
            </w:r>
            <w:r w:rsidRPr="00F53A5D">
              <w:rPr>
                <w:rFonts w:ascii="Calibri" w:hAnsi="Calibri" w:cs="Calibri"/>
                <w:b/>
                <w:bCs/>
                <w:color w:val="000000"/>
                <w:sz w:val="18"/>
                <w:szCs w:val="18"/>
              </w:rPr>
              <w:t>, 201</w:t>
            </w:r>
            <w:r>
              <w:rPr>
                <w:rFonts w:ascii="Calibri" w:hAnsi="Calibri" w:cs="Calibri"/>
                <w:b/>
                <w:bCs/>
                <w:color w:val="000000"/>
                <w:sz w:val="18"/>
                <w:szCs w:val="18"/>
              </w:rPr>
              <w:t>9</w:t>
            </w:r>
          </w:p>
        </w:tc>
        <w:tc>
          <w:tcPr>
            <w:tcW w:w="427" w:type="pct"/>
            <w:tcBorders>
              <w:left w:val="single" w:sz="4" w:space="0" w:color="auto"/>
              <w:right w:val="single" w:sz="4" w:space="0" w:color="auto"/>
            </w:tcBorders>
            <w:shd w:val="solid" w:color="FFFFFF" w:fill="auto"/>
          </w:tcPr>
          <w:p w14:paraId="02CE495F" w14:textId="6DE09A5B"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
                <w:bCs/>
                <w:color w:val="000000"/>
                <w:sz w:val="18"/>
                <w:szCs w:val="18"/>
              </w:rPr>
              <w:t>1,133.4</w:t>
            </w:r>
          </w:p>
        </w:tc>
        <w:tc>
          <w:tcPr>
            <w:tcW w:w="362" w:type="pct"/>
            <w:tcBorders>
              <w:left w:val="single" w:sz="4" w:space="0" w:color="auto"/>
            </w:tcBorders>
            <w:shd w:val="solid" w:color="FFFFFF" w:fill="auto"/>
          </w:tcPr>
          <w:p w14:paraId="3EE163D4" w14:textId="6576E618"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
                <w:bCs/>
                <w:color w:val="000000"/>
                <w:sz w:val="18"/>
                <w:szCs w:val="18"/>
              </w:rPr>
              <w:t>6.8</w:t>
            </w:r>
          </w:p>
        </w:tc>
        <w:tc>
          <w:tcPr>
            <w:tcW w:w="416" w:type="pct"/>
            <w:shd w:val="solid" w:color="FFFFFF" w:fill="auto"/>
          </w:tcPr>
          <w:p w14:paraId="67BF9D33" w14:textId="6FD3C13A"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
                <w:bCs/>
                <w:color w:val="000000"/>
                <w:sz w:val="18"/>
                <w:szCs w:val="18"/>
              </w:rPr>
              <w:t>719.4</w:t>
            </w:r>
          </w:p>
        </w:tc>
        <w:tc>
          <w:tcPr>
            <w:tcW w:w="426" w:type="pct"/>
          </w:tcPr>
          <w:p w14:paraId="3CFE8E8F" w14:textId="4A85960B"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
                <w:bCs/>
                <w:color w:val="000000"/>
                <w:sz w:val="18"/>
                <w:szCs w:val="18"/>
              </w:rPr>
              <w:t>4,181.9</w:t>
            </w:r>
          </w:p>
        </w:tc>
        <w:tc>
          <w:tcPr>
            <w:tcW w:w="565" w:type="pct"/>
            <w:tcBorders>
              <w:right w:val="single" w:sz="4" w:space="0" w:color="auto"/>
            </w:tcBorders>
          </w:tcPr>
          <w:p w14:paraId="0CAFE669" w14:textId="2344E868"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
                <w:bCs/>
                <w:color w:val="000000"/>
                <w:sz w:val="18"/>
                <w:szCs w:val="18"/>
              </w:rPr>
              <w:t>3.2</w:t>
            </w:r>
          </w:p>
        </w:tc>
        <w:tc>
          <w:tcPr>
            <w:tcW w:w="423" w:type="pct"/>
            <w:tcBorders>
              <w:left w:val="single" w:sz="4" w:space="0" w:color="auto"/>
            </w:tcBorders>
          </w:tcPr>
          <w:p w14:paraId="5326F12E" w14:textId="535E2E11"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
                <w:bCs/>
                <w:color w:val="000000"/>
                <w:sz w:val="18"/>
                <w:szCs w:val="18"/>
              </w:rPr>
              <w:t>274.6</w:t>
            </w:r>
          </w:p>
        </w:tc>
        <w:tc>
          <w:tcPr>
            <w:tcW w:w="494" w:type="pct"/>
            <w:tcBorders>
              <w:right w:val="single" w:sz="4" w:space="0" w:color="auto"/>
            </w:tcBorders>
            <w:shd w:val="solid" w:color="FFFFFF" w:fill="auto"/>
          </w:tcPr>
          <w:p w14:paraId="17FF63E8" w14:textId="0ADC32A9"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
                <w:bCs/>
                <w:color w:val="000000"/>
                <w:sz w:val="18"/>
                <w:szCs w:val="18"/>
              </w:rPr>
              <w:t>29.0</w:t>
            </w:r>
          </w:p>
        </w:tc>
        <w:tc>
          <w:tcPr>
            <w:tcW w:w="467" w:type="pct"/>
            <w:tcBorders>
              <w:left w:val="single" w:sz="4" w:space="0" w:color="auto"/>
            </w:tcBorders>
          </w:tcPr>
          <w:p w14:paraId="3BA867DD" w14:textId="00EF40DD" w:rsidR="005B4C2E" w:rsidRPr="00DB22BA" w:rsidRDefault="005B4C2E"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
                <w:bCs/>
                <w:color w:val="000000"/>
                <w:sz w:val="18"/>
                <w:szCs w:val="18"/>
              </w:rPr>
              <w:t>5,214.9</w:t>
            </w:r>
          </w:p>
        </w:tc>
      </w:tr>
      <w:tr w:rsidR="005B4C2E" w:rsidRPr="00D64781" w14:paraId="0762E248" w14:textId="77777777" w:rsidTr="00B06D81">
        <w:trPr>
          <w:trHeight w:val="247"/>
        </w:trPr>
        <w:tc>
          <w:tcPr>
            <w:tcW w:w="1420" w:type="pct"/>
            <w:tcBorders>
              <w:right w:val="single" w:sz="4" w:space="0" w:color="auto"/>
            </w:tcBorders>
            <w:shd w:val="solid" w:color="FFFFFF" w:fill="auto"/>
          </w:tcPr>
          <w:p w14:paraId="5248AF41" w14:textId="64788853" w:rsidR="005B4C2E" w:rsidRPr="00F53A5D" w:rsidRDefault="005B4C2E" w:rsidP="00B06D81">
            <w:pPr>
              <w:keepNext/>
              <w:autoSpaceDE w:val="0"/>
              <w:autoSpaceDN w:val="0"/>
              <w:adjustRightInd w:val="0"/>
              <w:rPr>
                <w:rFonts w:ascii="Calibri" w:hAnsi="Calibri" w:cs="Calibri"/>
                <w:b/>
                <w:bCs/>
                <w:color w:val="000000"/>
                <w:sz w:val="18"/>
                <w:szCs w:val="18"/>
              </w:rPr>
            </w:pPr>
            <w:r w:rsidRPr="00776EC2">
              <w:rPr>
                <w:rFonts w:ascii="Calibri" w:hAnsi="Calibri" w:cs="Calibri"/>
                <w:bCs/>
                <w:color w:val="000000"/>
                <w:sz w:val="18"/>
                <w:szCs w:val="18"/>
              </w:rPr>
              <w:t>Adjustment on initial application of IFRS 16</w:t>
            </w:r>
          </w:p>
        </w:tc>
        <w:tc>
          <w:tcPr>
            <w:tcW w:w="427" w:type="pct"/>
            <w:tcBorders>
              <w:left w:val="single" w:sz="4" w:space="0" w:color="auto"/>
              <w:right w:val="single" w:sz="4" w:space="0" w:color="auto"/>
            </w:tcBorders>
            <w:shd w:val="solid" w:color="FFFFFF" w:fill="auto"/>
          </w:tcPr>
          <w:p w14:paraId="497822BC" w14:textId="0CB8DE23"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Cs/>
                <w:sz w:val="18"/>
                <w:szCs w:val="18"/>
              </w:rPr>
              <w:t>-</w:t>
            </w:r>
          </w:p>
        </w:tc>
        <w:tc>
          <w:tcPr>
            <w:tcW w:w="362" w:type="pct"/>
            <w:tcBorders>
              <w:left w:val="single" w:sz="4" w:space="0" w:color="auto"/>
            </w:tcBorders>
            <w:shd w:val="solid" w:color="FFFFFF" w:fill="auto"/>
          </w:tcPr>
          <w:p w14:paraId="20D96323" w14:textId="35B3DFEC"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sidRPr="005824A6">
              <w:rPr>
                <w:rFonts w:ascii="Calibri" w:hAnsi="Calibri" w:cs="Calibri"/>
                <w:bCs/>
                <w:sz w:val="18"/>
                <w:szCs w:val="18"/>
              </w:rPr>
              <w:t>-</w:t>
            </w:r>
          </w:p>
        </w:tc>
        <w:tc>
          <w:tcPr>
            <w:tcW w:w="416" w:type="pct"/>
            <w:shd w:val="solid" w:color="FFFFFF" w:fill="auto"/>
          </w:tcPr>
          <w:p w14:paraId="4EBCEB37" w14:textId="78F33EFD"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sidRPr="005824A6">
              <w:rPr>
                <w:rFonts w:ascii="Calibri" w:hAnsi="Calibri" w:cs="Calibri"/>
                <w:bCs/>
                <w:sz w:val="18"/>
                <w:szCs w:val="18"/>
              </w:rPr>
              <w:t>-</w:t>
            </w:r>
          </w:p>
        </w:tc>
        <w:tc>
          <w:tcPr>
            <w:tcW w:w="426" w:type="pct"/>
          </w:tcPr>
          <w:p w14:paraId="40986AFB" w14:textId="565BF952"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Cs/>
                <w:sz w:val="18"/>
                <w:szCs w:val="18"/>
              </w:rPr>
              <w:t>(9.7)</w:t>
            </w:r>
          </w:p>
        </w:tc>
        <w:tc>
          <w:tcPr>
            <w:tcW w:w="565" w:type="pct"/>
            <w:tcBorders>
              <w:right w:val="single" w:sz="4" w:space="0" w:color="auto"/>
            </w:tcBorders>
          </w:tcPr>
          <w:p w14:paraId="324CFC65" w14:textId="2A3C4D65"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Cs/>
                <w:sz w:val="18"/>
                <w:szCs w:val="18"/>
              </w:rPr>
              <w:t>-</w:t>
            </w:r>
          </w:p>
        </w:tc>
        <w:tc>
          <w:tcPr>
            <w:tcW w:w="423" w:type="pct"/>
            <w:tcBorders>
              <w:left w:val="single" w:sz="4" w:space="0" w:color="auto"/>
            </w:tcBorders>
          </w:tcPr>
          <w:p w14:paraId="4E7B8708" w14:textId="3B0529AD"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sidRPr="0039141C">
              <w:rPr>
                <w:rFonts w:ascii="Calibri" w:hAnsi="Calibri" w:cs="Calibri"/>
                <w:bCs/>
                <w:sz w:val="18"/>
                <w:szCs w:val="18"/>
              </w:rPr>
              <w:t>-</w:t>
            </w:r>
          </w:p>
        </w:tc>
        <w:tc>
          <w:tcPr>
            <w:tcW w:w="494" w:type="pct"/>
            <w:tcBorders>
              <w:right w:val="single" w:sz="4" w:space="0" w:color="auto"/>
            </w:tcBorders>
            <w:shd w:val="solid" w:color="FFFFFF" w:fill="auto"/>
          </w:tcPr>
          <w:p w14:paraId="73F81DA9" w14:textId="7688F564"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sidRPr="0039141C">
              <w:rPr>
                <w:rFonts w:ascii="Calibri" w:hAnsi="Calibri" w:cs="Calibri"/>
                <w:bCs/>
                <w:sz w:val="18"/>
                <w:szCs w:val="18"/>
              </w:rPr>
              <w:t>-</w:t>
            </w:r>
          </w:p>
        </w:tc>
        <w:tc>
          <w:tcPr>
            <w:tcW w:w="467" w:type="pct"/>
            <w:tcBorders>
              <w:left w:val="single" w:sz="4" w:space="0" w:color="auto"/>
            </w:tcBorders>
          </w:tcPr>
          <w:p w14:paraId="1096E1D8" w14:textId="14E67E8A" w:rsidR="005B4C2E" w:rsidRPr="00DB22BA" w:rsidRDefault="005B4C2E" w:rsidP="00B06D81">
            <w:pPr>
              <w:keepNext/>
              <w:pBdr>
                <w:top w:val="single" w:sz="4" w:space="1" w:color="auto"/>
              </w:pBdr>
              <w:tabs>
                <w:tab w:val="left" w:pos="963"/>
              </w:tabs>
              <w:autoSpaceDE w:val="0"/>
              <w:autoSpaceDN w:val="0"/>
              <w:adjustRightInd w:val="0"/>
              <w:jc w:val="right"/>
              <w:rPr>
                <w:rFonts w:ascii="Calibri" w:hAnsi="Calibri" w:cs="Calibri"/>
                <w:b/>
                <w:bCs/>
                <w:color w:val="000000"/>
                <w:sz w:val="18"/>
                <w:szCs w:val="18"/>
              </w:rPr>
            </w:pPr>
            <w:r>
              <w:rPr>
                <w:rFonts w:ascii="Calibri" w:hAnsi="Calibri" w:cs="Calibri"/>
                <w:bCs/>
                <w:sz w:val="18"/>
                <w:szCs w:val="18"/>
              </w:rPr>
              <w:t>(9.7)</w:t>
            </w:r>
          </w:p>
        </w:tc>
      </w:tr>
      <w:tr w:rsidR="005B4C2E" w:rsidRPr="00D64781" w14:paraId="5919429A" w14:textId="77777777" w:rsidTr="00B06D81">
        <w:trPr>
          <w:trHeight w:val="247"/>
        </w:trPr>
        <w:tc>
          <w:tcPr>
            <w:tcW w:w="1420" w:type="pct"/>
            <w:tcBorders>
              <w:right w:val="single" w:sz="4" w:space="0" w:color="auto"/>
            </w:tcBorders>
            <w:shd w:val="solid" w:color="FFFFFF" w:fill="auto"/>
          </w:tcPr>
          <w:p w14:paraId="778F8A37" w14:textId="00D75B47" w:rsidR="005B4C2E" w:rsidRPr="00776EC2" w:rsidRDefault="005B4C2E" w:rsidP="00B06D81">
            <w:pPr>
              <w:keepNext/>
              <w:autoSpaceDE w:val="0"/>
              <w:autoSpaceDN w:val="0"/>
              <w:adjustRightInd w:val="0"/>
              <w:rPr>
                <w:rFonts w:ascii="Calibri" w:hAnsi="Calibri" w:cs="Calibri"/>
                <w:bCs/>
                <w:color w:val="000000"/>
                <w:sz w:val="18"/>
                <w:szCs w:val="18"/>
              </w:rPr>
            </w:pPr>
            <w:r>
              <w:rPr>
                <w:rFonts w:ascii="Calibri" w:hAnsi="Calibri" w:cs="Calibri"/>
                <w:b/>
                <w:bCs/>
                <w:color w:val="000000"/>
                <w:sz w:val="18"/>
                <w:szCs w:val="18"/>
              </w:rPr>
              <w:t>Adj. b</w:t>
            </w:r>
            <w:r w:rsidRPr="00F53A5D">
              <w:rPr>
                <w:rFonts w:ascii="Calibri" w:hAnsi="Calibri" w:cs="Calibri"/>
                <w:b/>
                <w:bCs/>
                <w:color w:val="000000"/>
                <w:sz w:val="18"/>
                <w:szCs w:val="18"/>
              </w:rPr>
              <w:t xml:space="preserve">alance at </w:t>
            </w:r>
            <w:r>
              <w:rPr>
                <w:rFonts w:ascii="Calibri" w:hAnsi="Calibri" w:cs="Calibri"/>
                <w:b/>
                <w:bCs/>
                <w:color w:val="000000"/>
                <w:sz w:val="18"/>
                <w:szCs w:val="18"/>
              </w:rPr>
              <w:t>April 01</w:t>
            </w:r>
            <w:r w:rsidRPr="00F53A5D">
              <w:rPr>
                <w:rFonts w:ascii="Calibri" w:hAnsi="Calibri" w:cs="Calibri"/>
                <w:b/>
                <w:bCs/>
                <w:color w:val="000000"/>
                <w:sz w:val="18"/>
                <w:szCs w:val="18"/>
              </w:rPr>
              <w:t>, 201</w:t>
            </w:r>
            <w:r>
              <w:rPr>
                <w:rFonts w:ascii="Calibri" w:hAnsi="Calibri" w:cs="Calibri"/>
                <w:b/>
                <w:bCs/>
                <w:color w:val="000000"/>
                <w:sz w:val="18"/>
                <w:szCs w:val="18"/>
              </w:rPr>
              <w:t>9</w:t>
            </w:r>
          </w:p>
        </w:tc>
        <w:tc>
          <w:tcPr>
            <w:tcW w:w="427" w:type="pct"/>
            <w:tcBorders>
              <w:left w:val="single" w:sz="4" w:space="0" w:color="auto"/>
              <w:right w:val="single" w:sz="4" w:space="0" w:color="auto"/>
            </w:tcBorders>
            <w:shd w:val="solid" w:color="FFFFFF" w:fill="auto"/>
          </w:tcPr>
          <w:p w14:paraId="58B66AAC" w14:textId="774DE4E4" w:rsidR="005B4C2E" w:rsidRPr="005824A6" w:rsidRDefault="005B4C2E" w:rsidP="00B06D81">
            <w:pPr>
              <w:keepNext/>
              <w:autoSpaceDE w:val="0"/>
              <w:autoSpaceDN w:val="0"/>
              <w:adjustRightInd w:val="0"/>
              <w:jc w:val="right"/>
              <w:rPr>
                <w:rFonts w:ascii="Calibri" w:hAnsi="Calibri" w:cs="Calibri"/>
                <w:bCs/>
                <w:sz w:val="18"/>
                <w:szCs w:val="18"/>
              </w:rPr>
            </w:pPr>
            <w:r>
              <w:rPr>
                <w:rFonts w:ascii="Calibri" w:hAnsi="Calibri" w:cs="Calibri"/>
                <w:b/>
                <w:bCs/>
                <w:color w:val="000000"/>
                <w:sz w:val="18"/>
                <w:szCs w:val="18"/>
              </w:rPr>
              <w:t>1,133.4</w:t>
            </w:r>
          </w:p>
        </w:tc>
        <w:tc>
          <w:tcPr>
            <w:tcW w:w="362" w:type="pct"/>
            <w:tcBorders>
              <w:left w:val="single" w:sz="4" w:space="0" w:color="auto"/>
            </w:tcBorders>
            <w:shd w:val="solid" w:color="FFFFFF" w:fill="auto"/>
          </w:tcPr>
          <w:p w14:paraId="69272AB7" w14:textId="41F82B25" w:rsidR="005B4C2E" w:rsidRPr="005824A6" w:rsidRDefault="005B4C2E" w:rsidP="00B06D81">
            <w:pPr>
              <w:keepNext/>
              <w:autoSpaceDE w:val="0"/>
              <w:autoSpaceDN w:val="0"/>
              <w:adjustRightInd w:val="0"/>
              <w:jc w:val="right"/>
              <w:rPr>
                <w:rFonts w:ascii="Calibri" w:hAnsi="Calibri" w:cs="Calibri"/>
                <w:bCs/>
                <w:sz w:val="18"/>
                <w:szCs w:val="18"/>
              </w:rPr>
            </w:pPr>
            <w:r>
              <w:rPr>
                <w:rFonts w:ascii="Calibri" w:hAnsi="Calibri" w:cs="Calibri"/>
                <w:b/>
                <w:bCs/>
                <w:color w:val="000000"/>
                <w:sz w:val="18"/>
                <w:szCs w:val="18"/>
              </w:rPr>
              <w:t>6.8</w:t>
            </w:r>
          </w:p>
        </w:tc>
        <w:tc>
          <w:tcPr>
            <w:tcW w:w="416" w:type="pct"/>
            <w:shd w:val="solid" w:color="FFFFFF" w:fill="auto"/>
          </w:tcPr>
          <w:p w14:paraId="1E9E8D58" w14:textId="41A86600" w:rsidR="005B4C2E" w:rsidRPr="005824A6" w:rsidRDefault="005B4C2E" w:rsidP="00B06D81">
            <w:pPr>
              <w:keepNext/>
              <w:autoSpaceDE w:val="0"/>
              <w:autoSpaceDN w:val="0"/>
              <w:adjustRightInd w:val="0"/>
              <w:jc w:val="right"/>
              <w:rPr>
                <w:rFonts w:ascii="Calibri" w:hAnsi="Calibri" w:cs="Calibri"/>
                <w:bCs/>
                <w:sz w:val="18"/>
                <w:szCs w:val="18"/>
              </w:rPr>
            </w:pPr>
            <w:r>
              <w:rPr>
                <w:rFonts w:ascii="Calibri" w:hAnsi="Calibri" w:cs="Calibri"/>
                <w:b/>
                <w:bCs/>
                <w:color w:val="000000"/>
                <w:sz w:val="18"/>
                <w:szCs w:val="18"/>
              </w:rPr>
              <w:t>719.4</w:t>
            </w:r>
          </w:p>
        </w:tc>
        <w:tc>
          <w:tcPr>
            <w:tcW w:w="426" w:type="pct"/>
          </w:tcPr>
          <w:p w14:paraId="43A11ACC" w14:textId="4F830C93" w:rsidR="005B4C2E" w:rsidRPr="0039141C" w:rsidRDefault="005B4C2E" w:rsidP="00B06D81">
            <w:pPr>
              <w:keepNext/>
              <w:autoSpaceDE w:val="0"/>
              <w:autoSpaceDN w:val="0"/>
              <w:adjustRightInd w:val="0"/>
              <w:jc w:val="right"/>
              <w:rPr>
                <w:rFonts w:ascii="Calibri" w:hAnsi="Calibri" w:cs="Calibri"/>
                <w:bCs/>
                <w:sz w:val="18"/>
                <w:szCs w:val="18"/>
              </w:rPr>
            </w:pPr>
            <w:r>
              <w:rPr>
                <w:rFonts w:ascii="Calibri" w:hAnsi="Calibri" w:cs="Calibri"/>
                <w:b/>
                <w:bCs/>
                <w:color w:val="000000"/>
                <w:sz w:val="18"/>
                <w:szCs w:val="18"/>
              </w:rPr>
              <w:t>4,172.2</w:t>
            </w:r>
          </w:p>
        </w:tc>
        <w:tc>
          <w:tcPr>
            <w:tcW w:w="565" w:type="pct"/>
            <w:tcBorders>
              <w:right w:val="single" w:sz="4" w:space="0" w:color="auto"/>
            </w:tcBorders>
          </w:tcPr>
          <w:p w14:paraId="168DD5EF" w14:textId="4483D53B" w:rsidR="005B4C2E" w:rsidRPr="0039141C" w:rsidRDefault="005B4C2E" w:rsidP="00B06D81">
            <w:pPr>
              <w:keepNext/>
              <w:autoSpaceDE w:val="0"/>
              <w:autoSpaceDN w:val="0"/>
              <w:adjustRightInd w:val="0"/>
              <w:jc w:val="right"/>
              <w:rPr>
                <w:rFonts w:ascii="Calibri" w:hAnsi="Calibri" w:cs="Calibri"/>
                <w:bCs/>
                <w:sz w:val="18"/>
                <w:szCs w:val="18"/>
              </w:rPr>
            </w:pPr>
            <w:r>
              <w:rPr>
                <w:rFonts w:ascii="Calibri" w:hAnsi="Calibri" w:cs="Calibri"/>
                <w:b/>
                <w:bCs/>
                <w:color w:val="000000"/>
                <w:sz w:val="18"/>
                <w:szCs w:val="18"/>
              </w:rPr>
              <w:t>3.2</w:t>
            </w:r>
          </w:p>
        </w:tc>
        <w:tc>
          <w:tcPr>
            <w:tcW w:w="423" w:type="pct"/>
            <w:tcBorders>
              <w:left w:val="single" w:sz="4" w:space="0" w:color="auto"/>
            </w:tcBorders>
          </w:tcPr>
          <w:p w14:paraId="5A54F2C9" w14:textId="36CDC469" w:rsidR="005B4C2E" w:rsidRPr="0039141C" w:rsidRDefault="005B4C2E" w:rsidP="00B06D81">
            <w:pPr>
              <w:keepNext/>
              <w:autoSpaceDE w:val="0"/>
              <w:autoSpaceDN w:val="0"/>
              <w:adjustRightInd w:val="0"/>
              <w:jc w:val="right"/>
              <w:rPr>
                <w:rFonts w:ascii="Calibri" w:hAnsi="Calibri" w:cs="Calibri"/>
                <w:bCs/>
                <w:sz w:val="18"/>
                <w:szCs w:val="18"/>
              </w:rPr>
            </w:pPr>
            <w:r>
              <w:rPr>
                <w:rFonts w:ascii="Calibri" w:hAnsi="Calibri" w:cs="Calibri"/>
                <w:b/>
                <w:bCs/>
                <w:color w:val="000000"/>
                <w:sz w:val="18"/>
                <w:szCs w:val="18"/>
              </w:rPr>
              <w:t>274.6</w:t>
            </w:r>
          </w:p>
        </w:tc>
        <w:tc>
          <w:tcPr>
            <w:tcW w:w="494" w:type="pct"/>
            <w:tcBorders>
              <w:right w:val="single" w:sz="4" w:space="0" w:color="auto"/>
            </w:tcBorders>
            <w:shd w:val="solid" w:color="FFFFFF" w:fill="auto"/>
          </w:tcPr>
          <w:p w14:paraId="07F2F55F" w14:textId="5ED06769" w:rsidR="005B4C2E" w:rsidRPr="0039141C" w:rsidRDefault="005B4C2E" w:rsidP="00B06D81">
            <w:pPr>
              <w:keepNext/>
              <w:autoSpaceDE w:val="0"/>
              <w:autoSpaceDN w:val="0"/>
              <w:adjustRightInd w:val="0"/>
              <w:jc w:val="right"/>
              <w:rPr>
                <w:rFonts w:ascii="Calibri" w:hAnsi="Calibri" w:cs="Calibri"/>
                <w:bCs/>
                <w:sz w:val="18"/>
                <w:szCs w:val="18"/>
              </w:rPr>
            </w:pPr>
            <w:r>
              <w:rPr>
                <w:rFonts w:ascii="Calibri" w:hAnsi="Calibri" w:cs="Calibri"/>
                <w:b/>
                <w:bCs/>
                <w:color w:val="000000"/>
                <w:sz w:val="18"/>
                <w:szCs w:val="18"/>
              </w:rPr>
              <w:t>29.0</w:t>
            </w:r>
          </w:p>
        </w:tc>
        <w:tc>
          <w:tcPr>
            <w:tcW w:w="467" w:type="pct"/>
            <w:tcBorders>
              <w:left w:val="single" w:sz="4" w:space="0" w:color="auto"/>
            </w:tcBorders>
          </w:tcPr>
          <w:p w14:paraId="0EBBE3A7" w14:textId="590E18D7" w:rsidR="005B4C2E" w:rsidRPr="0039141C" w:rsidRDefault="005B4C2E" w:rsidP="00B06D81">
            <w:pPr>
              <w:keepNext/>
              <w:tabs>
                <w:tab w:val="left" w:pos="963"/>
              </w:tabs>
              <w:autoSpaceDE w:val="0"/>
              <w:autoSpaceDN w:val="0"/>
              <w:adjustRightInd w:val="0"/>
              <w:jc w:val="right"/>
              <w:rPr>
                <w:rFonts w:ascii="Calibri" w:hAnsi="Calibri" w:cs="Calibri"/>
                <w:bCs/>
                <w:sz w:val="18"/>
                <w:szCs w:val="18"/>
              </w:rPr>
            </w:pPr>
            <w:r>
              <w:rPr>
                <w:rFonts w:ascii="Calibri" w:hAnsi="Calibri" w:cs="Calibri"/>
                <w:b/>
                <w:bCs/>
                <w:color w:val="000000"/>
                <w:sz w:val="18"/>
                <w:szCs w:val="18"/>
              </w:rPr>
              <w:t>5,205.2</w:t>
            </w:r>
          </w:p>
        </w:tc>
      </w:tr>
      <w:tr w:rsidR="005B4C2E" w:rsidRPr="00D64781" w14:paraId="6A8E37B5" w14:textId="77777777" w:rsidTr="00B06D81">
        <w:trPr>
          <w:trHeight w:val="247"/>
        </w:trPr>
        <w:tc>
          <w:tcPr>
            <w:tcW w:w="1420" w:type="pct"/>
            <w:tcBorders>
              <w:right w:val="single" w:sz="4" w:space="0" w:color="auto"/>
            </w:tcBorders>
            <w:shd w:val="solid" w:color="FFFFFF" w:fill="auto"/>
          </w:tcPr>
          <w:p w14:paraId="391CEBFB" w14:textId="66DF1A95" w:rsidR="005B4C2E" w:rsidRPr="00F53A5D" w:rsidRDefault="005B4C2E" w:rsidP="00B06D81">
            <w:pPr>
              <w:keepNext/>
              <w:autoSpaceDE w:val="0"/>
              <w:autoSpaceDN w:val="0"/>
              <w:adjustRightInd w:val="0"/>
              <w:rPr>
                <w:rFonts w:ascii="Calibri" w:hAnsi="Calibri" w:cs="Calibri"/>
                <w:b/>
                <w:bCs/>
                <w:color w:val="000000"/>
                <w:sz w:val="18"/>
                <w:szCs w:val="18"/>
              </w:rPr>
            </w:pPr>
            <w:r>
              <w:rPr>
                <w:rFonts w:ascii="Calibri" w:hAnsi="Calibri" w:cs="Calibri"/>
                <w:bCs/>
                <w:color w:val="000000"/>
                <w:sz w:val="18"/>
                <w:szCs w:val="18"/>
              </w:rPr>
              <w:t>Profit for the nine months</w:t>
            </w:r>
          </w:p>
        </w:tc>
        <w:tc>
          <w:tcPr>
            <w:tcW w:w="427" w:type="pct"/>
            <w:tcBorders>
              <w:left w:val="single" w:sz="4" w:space="0" w:color="auto"/>
              <w:right w:val="single" w:sz="4" w:space="0" w:color="auto"/>
            </w:tcBorders>
            <w:shd w:val="solid" w:color="FFFFFF" w:fill="auto"/>
          </w:tcPr>
          <w:p w14:paraId="2595D473" w14:textId="16B33D54"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Cs/>
                <w:color w:val="000000"/>
                <w:sz w:val="18"/>
                <w:szCs w:val="18"/>
              </w:rPr>
              <w:t>-</w:t>
            </w:r>
          </w:p>
        </w:tc>
        <w:tc>
          <w:tcPr>
            <w:tcW w:w="362" w:type="pct"/>
            <w:tcBorders>
              <w:left w:val="single" w:sz="4" w:space="0" w:color="auto"/>
            </w:tcBorders>
            <w:shd w:val="solid" w:color="FFFFFF" w:fill="auto"/>
          </w:tcPr>
          <w:p w14:paraId="00041892" w14:textId="619FA20B"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Cs/>
                <w:color w:val="000000"/>
                <w:sz w:val="18"/>
                <w:szCs w:val="18"/>
              </w:rPr>
              <w:t>-</w:t>
            </w:r>
          </w:p>
        </w:tc>
        <w:tc>
          <w:tcPr>
            <w:tcW w:w="416" w:type="pct"/>
            <w:shd w:val="solid" w:color="FFFFFF" w:fill="auto"/>
          </w:tcPr>
          <w:p w14:paraId="382F55E2" w14:textId="764F2BFF"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Cs/>
                <w:color w:val="000000"/>
                <w:sz w:val="18"/>
                <w:szCs w:val="18"/>
              </w:rPr>
              <w:t>-</w:t>
            </w:r>
          </w:p>
        </w:tc>
        <w:tc>
          <w:tcPr>
            <w:tcW w:w="426" w:type="pct"/>
          </w:tcPr>
          <w:p w14:paraId="0AFE8577" w14:textId="00D64053"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Cs/>
                <w:color w:val="000000"/>
                <w:sz w:val="18"/>
                <w:szCs w:val="18"/>
              </w:rPr>
              <w:t>1,240.4</w:t>
            </w:r>
          </w:p>
        </w:tc>
        <w:tc>
          <w:tcPr>
            <w:tcW w:w="565" w:type="pct"/>
            <w:tcBorders>
              <w:right w:val="single" w:sz="4" w:space="0" w:color="auto"/>
            </w:tcBorders>
          </w:tcPr>
          <w:p w14:paraId="6152D6B5" w14:textId="43F3C908"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4203CB99" w14:textId="52E21229"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Cs/>
                <w:color w:val="000000"/>
                <w:sz w:val="18"/>
                <w:szCs w:val="18"/>
              </w:rPr>
              <w:t>-</w:t>
            </w:r>
          </w:p>
        </w:tc>
        <w:tc>
          <w:tcPr>
            <w:tcW w:w="494" w:type="pct"/>
            <w:tcBorders>
              <w:right w:val="single" w:sz="4" w:space="0" w:color="auto"/>
            </w:tcBorders>
            <w:shd w:val="solid" w:color="FFFFFF" w:fill="auto"/>
          </w:tcPr>
          <w:p w14:paraId="26A6915D" w14:textId="2C2E5EBA" w:rsidR="005B4C2E" w:rsidRPr="00DB22BA" w:rsidRDefault="005B4C2E" w:rsidP="00B06D81">
            <w:pPr>
              <w:keepNext/>
              <w:pBdr>
                <w:top w:val="single" w:sz="4" w:space="1" w:color="auto"/>
              </w:pBdr>
              <w:autoSpaceDE w:val="0"/>
              <w:autoSpaceDN w:val="0"/>
              <w:adjustRightInd w:val="0"/>
              <w:jc w:val="right"/>
              <w:rPr>
                <w:rFonts w:ascii="Calibri" w:hAnsi="Calibri" w:cs="Calibri"/>
                <w:b/>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5F235C06" w14:textId="120352A1" w:rsidR="005B4C2E" w:rsidRPr="00DB22BA" w:rsidRDefault="005B4C2E" w:rsidP="00B06D81">
            <w:pPr>
              <w:keepNext/>
              <w:pBdr>
                <w:top w:val="single" w:sz="4" w:space="1" w:color="auto"/>
              </w:pBdr>
              <w:tabs>
                <w:tab w:val="left" w:pos="963"/>
              </w:tabs>
              <w:autoSpaceDE w:val="0"/>
              <w:autoSpaceDN w:val="0"/>
              <w:adjustRightInd w:val="0"/>
              <w:jc w:val="right"/>
              <w:rPr>
                <w:rFonts w:ascii="Calibri" w:hAnsi="Calibri" w:cs="Calibri"/>
                <w:b/>
                <w:bCs/>
                <w:color w:val="000000"/>
                <w:sz w:val="18"/>
                <w:szCs w:val="18"/>
              </w:rPr>
            </w:pPr>
            <w:r>
              <w:rPr>
                <w:rFonts w:ascii="Calibri" w:hAnsi="Calibri" w:cs="Calibri"/>
                <w:bCs/>
                <w:color w:val="000000"/>
                <w:sz w:val="18"/>
                <w:szCs w:val="18"/>
              </w:rPr>
              <w:t>1,240.4</w:t>
            </w:r>
          </w:p>
        </w:tc>
      </w:tr>
      <w:tr w:rsidR="005B4C2E" w:rsidRPr="00D64781" w14:paraId="57546BA8" w14:textId="77777777" w:rsidTr="00B06D81">
        <w:trPr>
          <w:trHeight w:val="247"/>
        </w:trPr>
        <w:tc>
          <w:tcPr>
            <w:tcW w:w="1420" w:type="pct"/>
            <w:tcBorders>
              <w:right w:val="single" w:sz="4" w:space="0" w:color="auto"/>
            </w:tcBorders>
            <w:shd w:val="solid" w:color="FFFFFF" w:fill="auto"/>
          </w:tcPr>
          <w:p w14:paraId="6CFBF950" w14:textId="37DE3DD0" w:rsidR="005B4C2E" w:rsidRPr="00C5758B" w:rsidRDefault="005B4C2E" w:rsidP="00B06D81">
            <w:pPr>
              <w:keepNext/>
              <w:autoSpaceDE w:val="0"/>
              <w:autoSpaceDN w:val="0"/>
              <w:adjustRightInd w:val="0"/>
              <w:rPr>
                <w:rFonts w:ascii="Calibri" w:hAnsi="Calibri" w:cs="Calibri"/>
                <w:bCs/>
                <w:color w:val="000000"/>
                <w:sz w:val="18"/>
                <w:szCs w:val="18"/>
              </w:rPr>
            </w:pPr>
            <w:r>
              <w:rPr>
                <w:rFonts w:ascii="Calibri" w:hAnsi="Calibri" w:cs="Calibri"/>
                <w:bCs/>
                <w:i/>
                <w:color w:val="000000"/>
                <w:sz w:val="18"/>
                <w:szCs w:val="18"/>
              </w:rPr>
              <w:t>Other comprehensive income</w:t>
            </w:r>
          </w:p>
        </w:tc>
        <w:tc>
          <w:tcPr>
            <w:tcW w:w="427" w:type="pct"/>
            <w:tcBorders>
              <w:left w:val="single" w:sz="4" w:space="0" w:color="auto"/>
              <w:right w:val="single" w:sz="4" w:space="0" w:color="auto"/>
            </w:tcBorders>
            <w:shd w:val="solid" w:color="FFFFFF" w:fill="auto"/>
          </w:tcPr>
          <w:p w14:paraId="199854BF" w14:textId="63F62B41"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362" w:type="pct"/>
            <w:tcBorders>
              <w:left w:val="single" w:sz="4" w:space="0" w:color="auto"/>
            </w:tcBorders>
            <w:shd w:val="solid" w:color="FFFFFF" w:fill="auto"/>
          </w:tcPr>
          <w:p w14:paraId="03F7DF69" w14:textId="75E63C85"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416" w:type="pct"/>
            <w:shd w:val="solid" w:color="FFFFFF" w:fill="auto"/>
          </w:tcPr>
          <w:p w14:paraId="57425F36" w14:textId="1CACA757"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426" w:type="pct"/>
          </w:tcPr>
          <w:p w14:paraId="284B90EE" w14:textId="269C732C"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565" w:type="pct"/>
            <w:tcBorders>
              <w:right w:val="single" w:sz="4" w:space="0" w:color="auto"/>
            </w:tcBorders>
          </w:tcPr>
          <w:p w14:paraId="7603CD07" w14:textId="5AFB2C29"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423" w:type="pct"/>
            <w:tcBorders>
              <w:left w:val="single" w:sz="4" w:space="0" w:color="auto"/>
            </w:tcBorders>
          </w:tcPr>
          <w:p w14:paraId="0ADD8C31" w14:textId="70D9FE2D"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494" w:type="pct"/>
            <w:tcBorders>
              <w:right w:val="single" w:sz="4" w:space="0" w:color="auto"/>
            </w:tcBorders>
            <w:shd w:val="solid" w:color="FFFFFF" w:fill="auto"/>
          </w:tcPr>
          <w:p w14:paraId="7057F702" w14:textId="75F90A04"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467" w:type="pct"/>
            <w:tcBorders>
              <w:left w:val="single" w:sz="4" w:space="0" w:color="auto"/>
            </w:tcBorders>
          </w:tcPr>
          <w:p w14:paraId="79AC054E" w14:textId="6E023D74" w:rsidR="005B4C2E" w:rsidRPr="00DB22BA" w:rsidRDefault="005B4C2E" w:rsidP="00B06D81">
            <w:pPr>
              <w:keepNext/>
              <w:tabs>
                <w:tab w:val="left" w:pos="963"/>
              </w:tabs>
              <w:autoSpaceDE w:val="0"/>
              <w:autoSpaceDN w:val="0"/>
              <w:adjustRightInd w:val="0"/>
              <w:jc w:val="right"/>
              <w:rPr>
                <w:rFonts w:ascii="Calibri" w:hAnsi="Calibri" w:cs="Calibri"/>
                <w:bCs/>
                <w:color w:val="000000"/>
                <w:sz w:val="18"/>
                <w:szCs w:val="18"/>
              </w:rPr>
            </w:pPr>
          </w:p>
        </w:tc>
      </w:tr>
      <w:tr w:rsidR="005B4C2E" w:rsidRPr="00D64781" w14:paraId="627CB11E" w14:textId="77777777" w:rsidTr="00B06D81">
        <w:trPr>
          <w:trHeight w:val="247"/>
        </w:trPr>
        <w:tc>
          <w:tcPr>
            <w:tcW w:w="1420" w:type="pct"/>
            <w:tcBorders>
              <w:right w:val="single" w:sz="4" w:space="0" w:color="auto"/>
            </w:tcBorders>
            <w:shd w:val="solid" w:color="FFFFFF" w:fill="auto"/>
          </w:tcPr>
          <w:p w14:paraId="5CB302A4" w14:textId="7C953919" w:rsidR="005B4C2E" w:rsidRPr="00DB22BA" w:rsidRDefault="005B4C2E" w:rsidP="00B06D81">
            <w:pPr>
              <w:keepNext/>
              <w:autoSpaceDE w:val="0"/>
              <w:autoSpaceDN w:val="0"/>
              <w:adjustRightInd w:val="0"/>
              <w:rPr>
                <w:rFonts w:ascii="Calibri" w:hAnsi="Calibri" w:cs="Calibri"/>
                <w:bCs/>
                <w:i/>
                <w:color w:val="000000"/>
                <w:sz w:val="18"/>
                <w:szCs w:val="18"/>
              </w:rPr>
            </w:pPr>
            <w:r w:rsidRPr="00DB22BA">
              <w:rPr>
                <w:rFonts w:ascii="Calibri" w:hAnsi="Calibri" w:cs="Calibri"/>
                <w:bCs/>
                <w:color w:val="000000"/>
                <w:sz w:val="18"/>
                <w:szCs w:val="18"/>
              </w:rPr>
              <w:t>Net movements in cash flow reserve</w:t>
            </w:r>
          </w:p>
        </w:tc>
        <w:tc>
          <w:tcPr>
            <w:tcW w:w="427" w:type="pct"/>
            <w:tcBorders>
              <w:left w:val="single" w:sz="4" w:space="0" w:color="auto"/>
              <w:right w:val="single" w:sz="4" w:space="0" w:color="auto"/>
            </w:tcBorders>
            <w:shd w:val="solid" w:color="FFFFFF" w:fill="auto"/>
          </w:tcPr>
          <w:p w14:paraId="5A793C05" w14:textId="03BC7483"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shd w:val="solid" w:color="FFFFFF" w:fill="auto"/>
          </w:tcPr>
          <w:p w14:paraId="780081FA" w14:textId="6FCE85F3"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shd w:val="solid" w:color="FFFFFF" w:fill="auto"/>
          </w:tcPr>
          <w:p w14:paraId="46873ED1" w14:textId="60F5BC9A"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4D81C073" w14:textId="4E514D91"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565" w:type="pct"/>
            <w:tcBorders>
              <w:right w:val="single" w:sz="4" w:space="0" w:color="auto"/>
            </w:tcBorders>
          </w:tcPr>
          <w:p w14:paraId="05C0E488" w14:textId="2019838D"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540BE655" w14:textId="0DD883D4"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164.8</w:t>
            </w:r>
          </w:p>
        </w:tc>
        <w:tc>
          <w:tcPr>
            <w:tcW w:w="494" w:type="pct"/>
            <w:tcBorders>
              <w:right w:val="single" w:sz="4" w:space="0" w:color="auto"/>
            </w:tcBorders>
            <w:shd w:val="solid" w:color="FFFFFF" w:fill="auto"/>
          </w:tcPr>
          <w:p w14:paraId="67903C2B" w14:textId="46461A0E"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2361300A" w14:textId="0A627437" w:rsidR="005B4C2E" w:rsidRPr="00DB22BA" w:rsidRDefault="005B4C2E"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164.8</w:t>
            </w:r>
          </w:p>
        </w:tc>
      </w:tr>
      <w:tr w:rsidR="005B4C2E" w:rsidRPr="00D64781" w14:paraId="7C5F43B7" w14:textId="77777777" w:rsidTr="00B06D81">
        <w:trPr>
          <w:trHeight w:val="247"/>
        </w:trPr>
        <w:tc>
          <w:tcPr>
            <w:tcW w:w="1420" w:type="pct"/>
            <w:tcBorders>
              <w:right w:val="single" w:sz="4" w:space="0" w:color="auto"/>
            </w:tcBorders>
            <w:shd w:val="solid" w:color="FFFFFF" w:fill="auto"/>
          </w:tcPr>
          <w:p w14:paraId="64A3C2A8" w14:textId="6F8825A6" w:rsidR="005B4C2E" w:rsidRPr="00DB22BA" w:rsidRDefault="005B4C2E" w:rsidP="00B06D81">
            <w:pPr>
              <w:keepNext/>
              <w:autoSpaceDE w:val="0"/>
              <w:autoSpaceDN w:val="0"/>
              <w:adjustRightInd w:val="0"/>
              <w:rPr>
                <w:rFonts w:ascii="Calibri" w:hAnsi="Calibri" w:cs="Calibri"/>
                <w:bCs/>
                <w:color w:val="000000"/>
                <w:sz w:val="18"/>
                <w:szCs w:val="18"/>
              </w:rPr>
            </w:pPr>
            <w:r w:rsidRPr="00DB22BA">
              <w:rPr>
                <w:rFonts w:ascii="Calibri" w:hAnsi="Calibri" w:cs="Calibri"/>
                <w:bCs/>
                <w:color w:val="000000"/>
                <w:sz w:val="18"/>
                <w:szCs w:val="18"/>
              </w:rPr>
              <w:t>Total other comprehensive income</w:t>
            </w:r>
          </w:p>
        </w:tc>
        <w:tc>
          <w:tcPr>
            <w:tcW w:w="427" w:type="pct"/>
            <w:tcBorders>
              <w:left w:val="single" w:sz="4" w:space="0" w:color="auto"/>
              <w:right w:val="single" w:sz="4" w:space="0" w:color="auto"/>
            </w:tcBorders>
            <w:shd w:val="solid" w:color="FFFFFF" w:fill="auto"/>
          </w:tcPr>
          <w:p w14:paraId="796FA369" w14:textId="45928E68"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tcBorders>
            <w:shd w:val="solid" w:color="FFFFFF" w:fill="auto"/>
          </w:tcPr>
          <w:p w14:paraId="4ADCE110" w14:textId="72AC4CFD"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shd w:val="solid" w:color="FFFFFF" w:fill="auto"/>
          </w:tcPr>
          <w:p w14:paraId="16B30EA3" w14:textId="7D876EA7"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Pr>
          <w:p w14:paraId="6E45454D" w14:textId="3C1FD54E"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565" w:type="pct"/>
            <w:tcBorders>
              <w:right w:val="single" w:sz="4" w:space="0" w:color="auto"/>
            </w:tcBorders>
          </w:tcPr>
          <w:p w14:paraId="72807CC0" w14:textId="3879865B"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tcBorders>
          </w:tcPr>
          <w:p w14:paraId="463ED39A" w14:textId="6A5AF910"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164.8</w:t>
            </w:r>
          </w:p>
        </w:tc>
        <w:tc>
          <w:tcPr>
            <w:tcW w:w="494" w:type="pct"/>
            <w:tcBorders>
              <w:right w:val="single" w:sz="4" w:space="0" w:color="auto"/>
            </w:tcBorders>
            <w:shd w:val="solid" w:color="FFFFFF" w:fill="auto"/>
          </w:tcPr>
          <w:p w14:paraId="73488C8A" w14:textId="28123C66"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tcBorders>
          </w:tcPr>
          <w:p w14:paraId="414482EB" w14:textId="4EEE9CF2"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164.8</w:t>
            </w:r>
          </w:p>
        </w:tc>
      </w:tr>
      <w:tr w:rsidR="005B4C2E" w:rsidRPr="00D64781" w14:paraId="0C017D1A" w14:textId="77777777" w:rsidTr="00B06D81">
        <w:trPr>
          <w:trHeight w:val="247"/>
        </w:trPr>
        <w:tc>
          <w:tcPr>
            <w:tcW w:w="1420" w:type="pct"/>
            <w:tcBorders>
              <w:right w:val="single" w:sz="4" w:space="0" w:color="auto"/>
            </w:tcBorders>
            <w:shd w:val="solid" w:color="FFFFFF" w:fill="auto"/>
          </w:tcPr>
          <w:p w14:paraId="6DB5B538" w14:textId="4C976580" w:rsidR="005B4C2E" w:rsidRPr="00DB22BA" w:rsidRDefault="005B4C2E" w:rsidP="00B06D81">
            <w:pPr>
              <w:keepNext/>
              <w:autoSpaceDE w:val="0"/>
              <w:autoSpaceDN w:val="0"/>
              <w:adjustRightInd w:val="0"/>
              <w:rPr>
                <w:rFonts w:ascii="Calibri" w:hAnsi="Calibri" w:cs="Calibri"/>
                <w:bCs/>
                <w:color w:val="000000"/>
                <w:sz w:val="18"/>
                <w:szCs w:val="18"/>
              </w:rPr>
            </w:pPr>
            <w:r w:rsidRPr="00DB22BA">
              <w:rPr>
                <w:rFonts w:ascii="Calibri" w:hAnsi="Calibri" w:cs="Calibri"/>
                <w:bCs/>
                <w:color w:val="000000"/>
                <w:sz w:val="18"/>
                <w:szCs w:val="18"/>
              </w:rPr>
              <w:lastRenderedPageBreak/>
              <w:t>Total comprehensive income</w:t>
            </w:r>
          </w:p>
        </w:tc>
        <w:tc>
          <w:tcPr>
            <w:tcW w:w="427" w:type="pct"/>
            <w:tcBorders>
              <w:left w:val="single" w:sz="4" w:space="0" w:color="auto"/>
              <w:bottom w:val="single" w:sz="4" w:space="0" w:color="auto"/>
              <w:right w:val="single" w:sz="4" w:space="0" w:color="auto"/>
            </w:tcBorders>
            <w:shd w:val="solid" w:color="FFFFFF" w:fill="auto"/>
          </w:tcPr>
          <w:p w14:paraId="6EF61B5A" w14:textId="7BC3601C" w:rsidR="005B4C2E" w:rsidRPr="00DB22BA" w:rsidRDefault="005B4C2E"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362" w:type="pct"/>
            <w:tcBorders>
              <w:left w:val="single" w:sz="4" w:space="0" w:color="auto"/>
              <w:bottom w:val="single" w:sz="4" w:space="0" w:color="auto"/>
            </w:tcBorders>
            <w:shd w:val="solid" w:color="FFFFFF" w:fill="auto"/>
          </w:tcPr>
          <w:p w14:paraId="72844F31" w14:textId="0585FBCD" w:rsidR="005B4C2E" w:rsidRPr="00DB22BA" w:rsidRDefault="005B4C2E"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tcBorders>
              <w:bottom w:val="single" w:sz="4" w:space="0" w:color="auto"/>
            </w:tcBorders>
            <w:shd w:val="solid" w:color="FFFFFF" w:fill="auto"/>
          </w:tcPr>
          <w:p w14:paraId="58DF029C" w14:textId="6E99EDA2" w:rsidR="005B4C2E" w:rsidRPr="00DB22BA" w:rsidRDefault="005B4C2E"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6" w:type="pct"/>
            <w:tcBorders>
              <w:bottom w:val="single" w:sz="4" w:space="0" w:color="auto"/>
            </w:tcBorders>
          </w:tcPr>
          <w:p w14:paraId="7E740597" w14:textId="49FB6674" w:rsidR="005B4C2E" w:rsidRPr="00DB22BA" w:rsidRDefault="005B4C2E"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1,240.4</w:t>
            </w:r>
          </w:p>
        </w:tc>
        <w:tc>
          <w:tcPr>
            <w:tcW w:w="565" w:type="pct"/>
            <w:tcBorders>
              <w:bottom w:val="single" w:sz="4" w:space="0" w:color="auto"/>
              <w:right w:val="single" w:sz="4" w:space="0" w:color="auto"/>
            </w:tcBorders>
          </w:tcPr>
          <w:p w14:paraId="440779C7" w14:textId="3FC2EFC6" w:rsidR="005B4C2E" w:rsidRPr="00DB22BA" w:rsidRDefault="005B4C2E"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left w:val="single" w:sz="4" w:space="0" w:color="auto"/>
              <w:bottom w:val="single" w:sz="4" w:space="0" w:color="auto"/>
            </w:tcBorders>
          </w:tcPr>
          <w:p w14:paraId="6DD78DF3" w14:textId="14F52E14" w:rsidR="005B4C2E" w:rsidRPr="00DB22BA" w:rsidRDefault="005B4C2E"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164.8</w:t>
            </w:r>
          </w:p>
        </w:tc>
        <w:tc>
          <w:tcPr>
            <w:tcW w:w="494" w:type="pct"/>
            <w:tcBorders>
              <w:bottom w:val="single" w:sz="4" w:space="0" w:color="auto"/>
              <w:right w:val="single" w:sz="4" w:space="0" w:color="auto"/>
            </w:tcBorders>
            <w:shd w:val="solid" w:color="FFFFFF" w:fill="auto"/>
          </w:tcPr>
          <w:p w14:paraId="016D8823" w14:textId="0DDFB147" w:rsidR="005B4C2E" w:rsidRPr="00DB22BA" w:rsidRDefault="005B4C2E"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left w:val="single" w:sz="4" w:space="0" w:color="auto"/>
              <w:bottom w:val="single" w:sz="4" w:space="0" w:color="auto"/>
            </w:tcBorders>
          </w:tcPr>
          <w:p w14:paraId="620C46B5" w14:textId="01AE298C" w:rsidR="005B4C2E" w:rsidRPr="00DB22BA" w:rsidRDefault="005B4C2E" w:rsidP="00B06D81">
            <w:pPr>
              <w:keepNext/>
              <w:pBdr>
                <w:top w:val="single" w:sz="4" w:space="1" w:color="auto"/>
                <w:bottom w:val="single" w:sz="4" w:space="1" w:color="auto"/>
              </w:pBdr>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1,405.2</w:t>
            </w:r>
          </w:p>
        </w:tc>
      </w:tr>
      <w:tr w:rsidR="005B4C2E" w:rsidRPr="00D64781" w14:paraId="29BA0DAF" w14:textId="77777777" w:rsidTr="00B06D81">
        <w:trPr>
          <w:trHeight w:val="247"/>
        </w:trPr>
        <w:tc>
          <w:tcPr>
            <w:tcW w:w="1420" w:type="pct"/>
            <w:tcBorders>
              <w:right w:val="single" w:sz="4" w:space="0" w:color="auto"/>
            </w:tcBorders>
            <w:shd w:val="solid" w:color="FFFFFF" w:fill="auto"/>
          </w:tcPr>
          <w:p w14:paraId="30290A3D" w14:textId="710254E0" w:rsidR="005B4C2E" w:rsidRPr="00DB22BA" w:rsidRDefault="005B4C2E" w:rsidP="00B06D81">
            <w:pPr>
              <w:keepNext/>
              <w:autoSpaceDE w:val="0"/>
              <w:autoSpaceDN w:val="0"/>
              <w:adjustRightInd w:val="0"/>
              <w:rPr>
                <w:rFonts w:ascii="Calibri" w:hAnsi="Calibri" w:cs="Calibri"/>
                <w:bCs/>
                <w:color w:val="000000"/>
                <w:sz w:val="18"/>
                <w:szCs w:val="18"/>
              </w:rPr>
            </w:pPr>
            <w:r w:rsidRPr="00DB22BA">
              <w:rPr>
                <w:rFonts w:ascii="Calibri" w:hAnsi="Calibri" w:cs="Calibri"/>
                <w:bCs/>
                <w:i/>
                <w:color w:val="000000"/>
                <w:sz w:val="18"/>
                <w:szCs w:val="18"/>
              </w:rPr>
              <w:t>Transactions with owners of the Company recognised directly in equity</w:t>
            </w:r>
          </w:p>
        </w:tc>
        <w:tc>
          <w:tcPr>
            <w:tcW w:w="427" w:type="pct"/>
            <w:tcBorders>
              <w:top w:val="single" w:sz="4" w:space="0" w:color="auto"/>
              <w:left w:val="single" w:sz="4" w:space="0" w:color="auto"/>
              <w:bottom w:val="single" w:sz="4" w:space="0" w:color="auto"/>
              <w:right w:val="single" w:sz="4" w:space="0" w:color="auto"/>
            </w:tcBorders>
            <w:shd w:val="solid" w:color="FFFFFF" w:fill="auto"/>
          </w:tcPr>
          <w:p w14:paraId="317A9E0D" w14:textId="017EFB82"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362" w:type="pct"/>
            <w:tcBorders>
              <w:top w:val="single" w:sz="4" w:space="0" w:color="auto"/>
              <w:left w:val="single" w:sz="4" w:space="0" w:color="auto"/>
              <w:bottom w:val="single" w:sz="4" w:space="0" w:color="auto"/>
            </w:tcBorders>
            <w:shd w:val="solid" w:color="FFFFFF" w:fill="auto"/>
          </w:tcPr>
          <w:p w14:paraId="480E3509" w14:textId="7F834D84"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416" w:type="pct"/>
            <w:tcBorders>
              <w:top w:val="single" w:sz="4" w:space="0" w:color="auto"/>
              <w:bottom w:val="single" w:sz="4" w:space="0" w:color="auto"/>
            </w:tcBorders>
            <w:shd w:val="solid" w:color="FFFFFF" w:fill="auto"/>
          </w:tcPr>
          <w:p w14:paraId="64156BB7" w14:textId="6B41AFFF"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426" w:type="pct"/>
            <w:tcBorders>
              <w:top w:val="single" w:sz="4" w:space="0" w:color="auto"/>
              <w:bottom w:val="single" w:sz="4" w:space="0" w:color="auto"/>
            </w:tcBorders>
          </w:tcPr>
          <w:p w14:paraId="24D23655" w14:textId="5209B65B"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565" w:type="pct"/>
            <w:tcBorders>
              <w:top w:val="single" w:sz="4" w:space="0" w:color="auto"/>
              <w:bottom w:val="single" w:sz="4" w:space="0" w:color="auto"/>
              <w:right w:val="single" w:sz="4" w:space="0" w:color="auto"/>
            </w:tcBorders>
          </w:tcPr>
          <w:p w14:paraId="2F7B0F1B" w14:textId="59A5B07A"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423" w:type="pct"/>
            <w:tcBorders>
              <w:top w:val="single" w:sz="4" w:space="0" w:color="auto"/>
              <w:left w:val="single" w:sz="4" w:space="0" w:color="auto"/>
              <w:bottom w:val="single" w:sz="4" w:space="0" w:color="auto"/>
            </w:tcBorders>
          </w:tcPr>
          <w:p w14:paraId="1EFF4971" w14:textId="447015FB"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494" w:type="pct"/>
            <w:tcBorders>
              <w:top w:val="single" w:sz="4" w:space="0" w:color="auto"/>
              <w:bottom w:val="single" w:sz="4" w:space="0" w:color="auto"/>
              <w:right w:val="single" w:sz="4" w:space="0" w:color="auto"/>
            </w:tcBorders>
            <w:shd w:val="solid" w:color="FFFFFF" w:fill="auto"/>
          </w:tcPr>
          <w:p w14:paraId="42B1243B" w14:textId="1B0819F9" w:rsidR="005B4C2E" w:rsidRPr="00DB22BA" w:rsidRDefault="005B4C2E" w:rsidP="00B06D81">
            <w:pPr>
              <w:keepNext/>
              <w:autoSpaceDE w:val="0"/>
              <w:autoSpaceDN w:val="0"/>
              <w:adjustRightInd w:val="0"/>
              <w:jc w:val="right"/>
              <w:rPr>
                <w:rFonts w:ascii="Calibri" w:hAnsi="Calibri" w:cs="Calibri"/>
                <w:bCs/>
                <w:color w:val="000000"/>
                <w:sz w:val="18"/>
                <w:szCs w:val="18"/>
              </w:rPr>
            </w:pPr>
          </w:p>
        </w:tc>
        <w:tc>
          <w:tcPr>
            <w:tcW w:w="467" w:type="pct"/>
            <w:tcBorders>
              <w:top w:val="single" w:sz="4" w:space="0" w:color="auto"/>
              <w:left w:val="single" w:sz="4" w:space="0" w:color="auto"/>
              <w:bottom w:val="single" w:sz="4" w:space="0" w:color="auto"/>
            </w:tcBorders>
          </w:tcPr>
          <w:p w14:paraId="20C7BD68" w14:textId="20D92C7E" w:rsidR="005B4C2E" w:rsidRPr="00DB22BA" w:rsidRDefault="005B4C2E" w:rsidP="00B06D81">
            <w:pPr>
              <w:keepNext/>
              <w:tabs>
                <w:tab w:val="left" w:pos="963"/>
              </w:tabs>
              <w:autoSpaceDE w:val="0"/>
              <w:autoSpaceDN w:val="0"/>
              <w:adjustRightInd w:val="0"/>
              <w:jc w:val="right"/>
              <w:rPr>
                <w:rFonts w:ascii="Calibri" w:hAnsi="Calibri" w:cs="Calibri"/>
                <w:bCs/>
                <w:color w:val="000000"/>
                <w:sz w:val="18"/>
                <w:szCs w:val="18"/>
              </w:rPr>
            </w:pPr>
          </w:p>
        </w:tc>
      </w:tr>
      <w:tr w:rsidR="005B4C2E" w:rsidRPr="00D64781" w14:paraId="0EC1DE5C" w14:textId="77777777" w:rsidTr="00B06D81">
        <w:trPr>
          <w:trHeight w:val="247"/>
        </w:trPr>
        <w:tc>
          <w:tcPr>
            <w:tcW w:w="1420" w:type="pct"/>
            <w:tcBorders>
              <w:right w:val="single" w:sz="4" w:space="0" w:color="auto"/>
            </w:tcBorders>
            <w:shd w:val="solid" w:color="FFFFFF" w:fill="auto"/>
          </w:tcPr>
          <w:p w14:paraId="61ABB050" w14:textId="1ACC88FE" w:rsidR="005B4C2E" w:rsidRPr="00DB22BA" w:rsidRDefault="005B4C2E" w:rsidP="00B06D81">
            <w:pPr>
              <w:keepNext/>
              <w:autoSpaceDE w:val="0"/>
              <w:autoSpaceDN w:val="0"/>
              <w:adjustRightInd w:val="0"/>
              <w:rPr>
                <w:rFonts w:ascii="Calibri" w:hAnsi="Calibri" w:cs="Calibri"/>
                <w:bCs/>
                <w:i/>
                <w:color w:val="000000"/>
                <w:sz w:val="18"/>
                <w:szCs w:val="18"/>
              </w:rPr>
            </w:pPr>
            <w:r>
              <w:rPr>
                <w:rFonts w:ascii="Calibri" w:hAnsi="Calibri" w:cs="Calibri"/>
                <w:bCs/>
                <w:color w:val="000000"/>
                <w:sz w:val="18"/>
                <w:szCs w:val="18"/>
              </w:rPr>
              <w:t>Issue of ordinary equity shares</w:t>
            </w:r>
          </w:p>
        </w:tc>
        <w:tc>
          <w:tcPr>
            <w:tcW w:w="427" w:type="pct"/>
            <w:tcBorders>
              <w:top w:val="single" w:sz="4" w:space="0" w:color="auto"/>
              <w:left w:val="single" w:sz="4" w:space="0" w:color="auto"/>
              <w:right w:val="single" w:sz="4" w:space="0" w:color="auto"/>
            </w:tcBorders>
            <w:shd w:val="solid" w:color="FFFFFF" w:fill="auto"/>
          </w:tcPr>
          <w:p w14:paraId="1297E0AE" w14:textId="33B03531"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1.9</w:t>
            </w:r>
          </w:p>
        </w:tc>
        <w:tc>
          <w:tcPr>
            <w:tcW w:w="362" w:type="pct"/>
            <w:tcBorders>
              <w:top w:val="single" w:sz="4" w:space="0" w:color="auto"/>
              <w:left w:val="single" w:sz="4" w:space="0" w:color="auto"/>
            </w:tcBorders>
            <w:shd w:val="solid" w:color="FFFFFF" w:fill="auto"/>
          </w:tcPr>
          <w:p w14:paraId="6793311A" w14:textId="09F56621"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16" w:type="pct"/>
            <w:tcBorders>
              <w:top w:val="single" w:sz="4" w:space="0" w:color="auto"/>
            </w:tcBorders>
            <w:shd w:val="solid" w:color="FFFFFF" w:fill="auto"/>
          </w:tcPr>
          <w:p w14:paraId="14CF8DA3" w14:textId="265BC4D9"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12.0</w:t>
            </w:r>
          </w:p>
        </w:tc>
        <w:tc>
          <w:tcPr>
            <w:tcW w:w="426" w:type="pct"/>
            <w:tcBorders>
              <w:top w:val="single" w:sz="4" w:space="0" w:color="auto"/>
            </w:tcBorders>
          </w:tcPr>
          <w:p w14:paraId="79795BDC" w14:textId="299B8FE7"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565" w:type="pct"/>
            <w:tcBorders>
              <w:top w:val="single" w:sz="4" w:space="0" w:color="auto"/>
              <w:right w:val="single" w:sz="4" w:space="0" w:color="auto"/>
            </w:tcBorders>
          </w:tcPr>
          <w:p w14:paraId="3FC60939" w14:textId="4FEC46F1"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23" w:type="pct"/>
            <w:tcBorders>
              <w:top w:val="single" w:sz="4" w:space="0" w:color="auto"/>
              <w:left w:val="single" w:sz="4" w:space="0" w:color="auto"/>
            </w:tcBorders>
          </w:tcPr>
          <w:p w14:paraId="2B5CA4C1" w14:textId="366A63F8"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94" w:type="pct"/>
            <w:tcBorders>
              <w:top w:val="single" w:sz="4" w:space="0" w:color="auto"/>
              <w:right w:val="single" w:sz="4" w:space="0" w:color="auto"/>
            </w:tcBorders>
            <w:shd w:val="solid" w:color="FFFFFF" w:fill="auto"/>
          </w:tcPr>
          <w:p w14:paraId="1C2939D0" w14:textId="2A89E175"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w:t>
            </w:r>
          </w:p>
        </w:tc>
        <w:tc>
          <w:tcPr>
            <w:tcW w:w="467" w:type="pct"/>
            <w:tcBorders>
              <w:top w:val="single" w:sz="4" w:space="0" w:color="auto"/>
              <w:left w:val="single" w:sz="4" w:space="0" w:color="auto"/>
            </w:tcBorders>
          </w:tcPr>
          <w:p w14:paraId="749B8ECA" w14:textId="069B2078" w:rsidR="005B4C2E" w:rsidRPr="00DB22BA" w:rsidRDefault="005B4C2E"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color w:val="000000"/>
                <w:sz w:val="18"/>
                <w:szCs w:val="18"/>
              </w:rPr>
              <w:t>12.0</w:t>
            </w:r>
          </w:p>
        </w:tc>
      </w:tr>
      <w:tr w:rsidR="005B4C2E" w:rsidRPr="00D64781" w14:paraId="39B271F5" w14:textId="77777777" w:rsidTr="00B06D81">
        <w:trPr>
          <w:trHeight w:val="247"/>
        </w:trPr>
        <w:tc>
          <w:tcPr>
            <w:tcW w:w="1420" w:type="pct"/>
            <w:tcBorders>
              <w:right w:val="single" w:sz="4" w:space="0" w:color="auto"/>
            </w:tcBorders>
            <w:shd w:val="clear" w:color="auto" w:fill="auto"/>
          </w:tcPr>
          <w:p w14:paraId="3E7C3661" w14:textId="1C8C5554" w:rsidR="005B4C2E" w:rsidRPr="005824A6" w:rsidRDefault="005B4C2E" w:rsidP="00B06D81">
            <w:pPr>
              <w:keepNext/>
              <w:autoSpaceDE w:val="0"/>
              <w:autoSpaceDN w:val="0"/>
              <w:adjustRightInd w:val="0"/>
              <w:rPr>
                <w:rFonts w:ascii="Calibri" w:hAnsi="Calibri" w:cs="Calibri"/>
                <w:bCs/>
                <w:color w:val="000000"/>
                <w:sz w:val="18"/>
                <w:szCs w:val="18"/>
              </w:rPr>
            </w:pPr>
            <w:r w:rsidRPr="00DB22BA">
              <w:rPr>
                <w:rFonts w:ascii="Calibri" w:hAnsi="Calibri" w:cs="Calibri"/>
                <w:bCs/>
                <w:color w:val="000000"/>
                <w:sz w:val="18"/>
                <w:szCs w:val="18"/>
              </w:rPr>
              <w:t>Share-based payments</w:t>
            </w:r>
          </w:p>
        </w:tc>
        <w:tc>
          <w:tcPr>
            <w:tcW w:w="427" w:type="pct"/>
            <w:tcBorders>
              <w:left w:val="single" w:sz="4" w:space="0" w:color="auto"/>
              <w:right w:val="single" w:sz="4" w:space="0" w:color="auto"/>
            </w:tcBorders>
            <w:shd w:val="clear" w:color="auto" w:fill="auto"/>
          </w:tcPr>
          <w:p w14:paraId="3E3F019A" w14:textId="2901EC14" w:rsidR="005B4C2E" w:rsidRPr="00DB22BA" w:rsidRDefault="005B4C2E" w:rsidP="00B06D81">
            <w:pPr>
              <w:keepNext/>
              <w:autoSpaceDE w:val="0"/>
              <w:autoSpaceDN w:val="0"/>
              <w:adjustRightInd w:val="0"/>
              <w:jc w:val="right"/>
              <w:rPr>
                <w:rFonts w:ascii="Calibri" w:hAnsi="Calibri" w:cs="Calibri"/>
                <w:bCs/>
                <w:color w:val="000000"/>
                <w:sz w:val="18"/>
                <w:szCs w:val="18"/>
              </w:rPr>
            </w:pPr>
            <w:r w:rsidRPr="00D427C2">
              <w:rPr>
                <w:rFonts w:ascii="Calibri" w:hAnsi="Calibri" w:cs="Calibri"/>
                <w:bCs/>
                <w:sz w:val="18"/>
                <w:szCs w:val="18"/>
              </w:rPr>
              <w:t>-</w:t>
            </w:r>
          </w:p>
        </w:tc>
        <w:tc>
          <w:tcPr>
            <w:tcW w:w="362" w:type="pct"/>
            <w:tcBorders>
              <w:left w:val="single" w:sz="4" w:space="0" w:color="auto"/>
            </w:tcBorders>
            <w:shd w:val="clear" w:color="auto" w:fill="auto"/>
          </w:tcPr>
          <w:p w14:paraId="122D4D09" w14:textId="795FDA27" w:rsidR="005B4C2E" w:rsidRPr="00DB22BA" w:rsidRDefault="005B4C2E" w:rsidP="00B06D81">
            <w:pPr>
              <w:keepNext/>
              <w:autoSpaceDE w:val="0"/>
              <w:autoSpaceDN w:val="0"/>
              <w:adjustRightInd w:val="0"/>
              <w:jc w:val="right"/>
              <w:rPr>
                <w:rFonts w:ascii="Calibri" w:hAnsi="Calibri" w:cs="Calibri"/>
                <w:bCs/>
                <w:color w:val="000000"/>
                <w:sz w:val="18"/>
                <w:szCs w:val="18"/>
              </w:rPr>
            </w:pPr>
            <w:r w:rsidRPr="005824A6">
              <w:rPr>
                <w:rFonts w:ascii="Calibri" w:hAnsi="Calibri" w:cs="Calibri"/>
                <w:bCs/>
                <w:sz w:val="18"/>
                <w:szCs w:val="18"/>
              </w:rPr>
              <w:t>-</w:t>
            </w:r>
          </w:p>
        </w:tc>
        <w:tc>
          <w:tcPr>
            <w:tcW w:w="416" w:type="pct"/>
            <w:shd w:val="clear" w:color="auto" w:fill="auto"/>
          </w:tcPr>
          <w:p w14:paraId="6EF10ECF" w14:textId="731531CF" w:rsidR="005B4C2E" w:rsidRPr="00DB22BA" w:rsidRDefault="005B4C2E" w:rsidP="00B06D81">
            <w:pPr>
              <w:keepNext/>
              <w:autoSpaceDE w:val="0"/>
              <w:autoSpaceDN w:val="0"/>
              <w:adjustRightInd w:val="0"/>
              <w:jc w:val="right"/>
              <w:rPr>
                <w:rFonts w:ascii="Calibri" w:hAnsi="Calibri" w:cs="Calibri"/>
                <w:bCs/>
                <w:color w:val="000000"/>
                <w:sz w:val="18"/>
                <w:szCs w:val="18"/>
              </w:rPr>
            </w:pPr>
            <w:r w:rsidRPr="005824A6">
              <w:rPr>
                <w:rFonts w:ascii="Calibri" w:hAnsi="Calibri" w:cs="Calibri"/>
                <w:bCs/>
                <w:sz w:val="18"/>
                <w:szCs w:val="18"/>
              </w:rPr>
              <w:t>-</w:t>
            </w:r>
          </w:p>
        </w:tc>
        <w:tc>
          <w:tcPr>
            <w:tcW w:w="426" w:type="pct"/>
            <w:shd w:val="clear" w:color="auto" w:fill="auto"/>
          </w:tcPr>
          <w:p w14:paraId="30D21269" w14:textId="0F8F2EDD" w:rsidR="005B4C2E" w:rsidRPr="00DB22BA" w:rsidRDefault="005B4C2E" w:rsidP="00B06D81">
            <w:pPr>
              <w:keepNext/>
              <w:autoSpaceDE w:val="0"/>
              <w:autoSpaceDN w:val="0"/>
              <w:adjustRightInd w:val="0"/>
              <w:jc w:val="right"/>
              <w:rPr>
                <w:rFonts w:ascii="Calibri" w:hAnsi="Calibri" w:cs="Calibri"/>
                <w:bCs/>
                <w:color w:val="000000"/>
                <w:sz w:val="18"/>
                <w:szCs w:val="18"/>
              </w:rPr>
            </w:pPr>
            <w:r w:rsidRPr="00D427C2">
              <w:rPr>
                <w:rFonts w:ascii="Calibri" w:hAnsi="Calibri" w:cs="Calibri"/>
                <w:bCs/>
                <w:sz w:val="18"/>
                <w:szCs w:val="18"/>
              </w:rPr>
              <w:t>-</w:t>
            </w:r>
          </w:p>
        </w:tc>
        <w:tc>
          <w:tcPr>
            <w:tcW w:w="565" w:type="pct"/>
            <w:tcBorders>
              <w:right w:val="single" w:sz="4" w:space="0" w:color="auto"/>
            </w:tcBorders>
            <w:shd w:val="clear" w:color="auto" w:fill="auto"/>
          </w:tcPr>
          <w:p w14:paraId="06191FB0" w14:textId="052AC18B" w:rsidR="005B4C2E" w:rsidRPr="00DB22BA" w:rsidRDefault="005B4C2E" w:rsidP="00B06D81">
            <w:pPr>
              <w:keepNext/>
              <w:autoSpaceDE w:val="0"/>
              <w:autoSpaceDN w:val="0"/>
              <w:adjustRightInd w:val="0"/>
              <w:jc w:val="right"/>
              <w:rPr>
                <w:rFonts w:ascii="Calibri" w:hAnsi="Calibri" w:cs="Calibri"/>
                <w:bCs/>
                <w:color w:val="000000"/>
                <w:sz w:val="18"/>
                <w:szCs w:val="18"/>
              </w:rPr>
            </w:pPr>
            <w:r w:rsidRPr="00D427C2">
              <w:rPr>
                <w:rFonts w:ascii="Calibri" w:hAnsi="Calibri" w:cs="Calibri"/>
                <w:bCs/>
                <w:sz w:val="18"/>
                <w:szCs w:val="18"/>
              </w:rPr>
              <w:t>-</w:t>
            </w:r>
          </w:p>
        </w:tc>
        <w:tc>
          <w:tcPr>
            <w:tcW w:w="423" w:type="pct"/>
            <w:tcBorders>
              <w:left w:val="single" w:sz="4" w:space="0" w:color="auto"/>
            </w:tcBorders>
            <w:shd w:val="clear" w:color="auto" w:fill="auto"/>
          </w:tcPr>
          <w:p w14:paraId="0CE158BD" w14:textId="0E592E8C" w:rsidR="005B4C2E" w:rsidRPr="00DB22BA" w:rsidRDefault="005B4C2E" w:rsidP="00B06D81">
            <w:pPr>
              <w:keepNext/>
              <w:autoSpaceDE w:val="0"/>
              <w:autoSpaceDN w:val="0"/>
              <w:adjustRightInd w:val="0"/>
              <w:jc w:val="right"/>
              <w:rPr>
                <w:rFonts w:ascii="Calibri" w:hAnsi="Calibri" w:cs="Calibri"/>
                <w:bCs/>
                <w:color w:val="000000"/>
                <w:sz w:val="18"/>
                <w:szCs w:val="18"/>
              </w:rPr>
            </w:pPr>
            <w:r w:rsidRPr="00D427C2">
              <w:rPr>
                <w:rFonts w:ascii="Calibri" w:hAnsi="Calibri" w:cs="Calibri"/>
                <w:bCs/>
                <w:sz w:val="18"/>
                <w:szCs w:val="18"/>
              </w:rPr>
              <w:t>-</w:t>
            </w:r>
          </w:p>
        </w:tc>
        <w:tc>
          <w:tcPr>
            <w:tcW w:w="494" w:type="pct"/>
            <w:tcBorders>
              <w:right w:val="single" w:sz="4" w:space="0" w:color="auto"/>
            </w:tcBorders>
            <w:shd w:val="clear" w:color="auto" w:fill="auto"/>
          </w:tcPr>
          <w:p w14:paraId="3C160E2C" w14:textId="6638A57A" w:rsidR="005B4C2E" w:rsidRPr="00DB22BA" w:rsidRDefault="005B4C2E" w:rsidP="00B06D81">
            <w:pPr>
              <w:keepNext/>
              <w:autoSpaceDE w:val="0"/>
              <w:autoSpaceDN w:val="0"/>
              <w:adjustRightInd w:val="0"/>
              <w:jc w:val="right"/>
              <w:rPr>
                <w:rFonts w:ascii="Calibri" w:hAnsi="Calibri" w:cs="Calibri"/>
                <w:bCs/>
                <w:color w:val="000000"/>
                <w:sz w:val="18"/>
                <w:szCs w:val="18"/>
              </w:rPr>
            </w:pPr>
            <w:r>
              <w:rPr>
                <w:rFonts w:ascii="Calibri" w:hAnsi="Calibri" w:cs="Calibri"/>
                <w:bCs/>
                <w:sz w:val="18"/>
                <w:szCs w:val="18"/>
              </w:rPr>
              <w:t>5.9</w:t>
            </w:r>
          </w:p>
        </w:tc>
        <w:tc>
          <w:tcPr>
            <w:tcW w:w="467" w:type="pct"/>
            <w:tcBorders>
              <w:left w:val="single" w:sz="4" w:space="0" w:color="auto"/>
            </w:tcBorders>
            <w:shd w:val="clear" w:color="auto" w:fill="auto"/>
          </w:tcPr>
          <w:p w14:paraId="352A7AB6" w14:textId="46E938D6" w:rsidR="005B4C2E" w:rsidRPr="00DB22BA" w:rsidRDefault="005B4C2E" w:rsidP="00B06D81">
            <w:pPr>
              <w:keepNext/>
              <w:tabs>
                <w:tab w:val="left" w:pos="963"/>
              </w:tabs>
              <w:autoSpaceDE w:val="0"/>
              <w:autoSpaceDN w:val="0"/>
              <w:adjustRightInd w:val="0"/>
              <w:jc w:val="right"/>
              <w:rPr>
                <w:rFonts w:ascii="Calibri" w:hAnsi="Calibri" w:cs="Calibri"/>
                <w:bCs/>
                <w:color w:val="000000"/>
                <w:sz w:val="18"/>
                <w:szCs w:val="18"/>
              </w:rPr>
            </w:pPr>
            <w:r>
              <w:rPr>
                <w:rFonts w:ascii="Calibri" w:hAnsi="Calibri" w:cs="Calibri"/>
                <w:bCs/>
                <w:sz w:val="18"/>
                <w:szCs w:val="18"/>
              </w:rPr>
              <w:t>5.9</w:t>
            </w:r>
          </w:p>
        </w:tc>
      </w:tr>
      <w:tr w:rsidR="005B4C2E" w:rsidRPr="00D64781" w14:paraId="38C3E787" w14:textId="77777777" w:rsidTr="00B06D81">
        <w:trPr>
          <w:trHeight w:val="247"/>
        </w:trPr>
        <w:tc>
          <w:tcPr>
            <w:tcW w:w="1420" w:type="pct"/>
            <w:tcBorders>
              <w:right w:val="single" w:sz="4" w:space="0" w:color="auto"/>
            </w:tcBorders>
            <w:shd w:val="clear" w:color="auto" w:fill="auto"/>
          </w:tcPr>
          <w:p w14:paraId="0DCA95AE" w14:textId="4B8E9CFC" w:rsidR="005B4C2E" w:rsidRPr="00DB22BA" w:rsidRDefault="005B4C2E" w:rsidP="00B06D81">
            <w:pPr>
              <w:keepNext/>
              <w:autoSpaceDE w:val="0"/>
              <w:autoSpaceDN w:val="0"/>
              <w:adjustRightInd w:val="0"/>
              <w:rPr>
                <w:rFonts w:ascii="Calibri" w:hAnsi="Calibri" w:cs="Calibri"/>
                <w:bCs/>
                <w:color w:val="000000"/>
                <w:sz w:val="18"/>
                <w:szCs w:val="18"/>
              </w:rPr>
            </w:pPr>
            <w:r w:rsidRPr="00DB22BA">
              <w:rPr>
                <w:rFonts w:ascii="Calibri" w:hAnsi="Calibri" w:cs="Calibri"/>
                <w:color w:val="000000"/>
                <w:sz w:val="18"/>
                <w:szCs w:val="18"/>
              </w:rPr>
              <w:t>Repurchase of ordinary equity shares</w:t>
            </w:r>
          </w:p>
        </w:tc>
        <w:tc>
          <w:tcPr>
            <w:tcW w:w="427" w:type="pct"/>
            <w:tcBorders>
              <w:left w:val="single" w:sz="4" w:space="0" w:color="auto"/>
              <w:right w:val="single" w:sz="4" w:space="0" w:color="auto"/>
            </w:tcBorders>
            <w:shd w:val="clear" w:color="auto" w:fill="auto"/>
          </w:tcPr>
          <w:p w14:paraId="2FDCE73D" w14:textId="032D0765" w:rsidR="005B4C2E" w:rsidRPr="00D427C2" w:rsidRDefault="005B4C2E" w:rsidP="00B06D81">
            <w:pPr>
              <w:keepNext/>
              <w:autoSpaceDE w:val="0"/>
              <w:autoSpaceDN w:val="0"/>
              <w:adjustRightInd w:val="0"/>
              <w:jc w:val="right"/>
              <w:rPr>
                <w:rFonts w:ascii="Calibri" w:hAnsi="Calibri" w:cs="Calibri"/>
                <w:bCs/>
                <w:sz w:val="18"/>
                <w:szCs w:val="18"/>
              </w:rPr>
            </w:pPr>
            <w:r>
              <w:rPr>
                <w:rFonts w:ascii="Calibri" w:hAnsi="Calibri" w:cs="Calibri"/>
                <w:bCs/>
                <w:sz w:val="18"/>
                <w:szCs w:val="18"/>
              </w:rPr>
              <w:t>-</w:t>
            </w:r>
          </w:p>
        </w:tc>
        <w:tc>
          <w:tcPr>
            <w:tcW w:w="362" w:type="pct"/>
            <w:tcBorders>
              <w:left w:val="single" w:sz="4" w:space="0" w:color="auto"/>
            </w:tcBorders>
            <w:shd w:val="clear" w:color="auto" w:fill="auto"/>
          </w:tcPr>
          <w:p w14:paraId="489FDD63" w14:textId="0BC43CF0" w:rsidR="005B4C2E" w:rsidRPr="005824A6" w:rsidRDefault="005B4C2E" w:rsidP="00B06D81">
            <w:pPr>
              <w:keepNext/>
              <w:autoSpaceDE w:val="0"/>
              <w:autoSpaceDN w:val="0"/>
              <w:adjustRightInd w:val="0"/>
              <w:jc w:val="right"/>
              <w:rPr>
                <w:rFonts w:ascii="Calibri" w:hAnsi="Calibri" w:cs="Calibri"/>
                <w:bCs/>
                <w:sz w:val="18"/>
                <w:szCs w:val="18"/>
              </w:rPr>
            </w:pPr>
            <w:r w:rsidRPr="005824A6">
              <w:rPr>
                <w:rFonts w:ascii="Calibri" w:hAnsi="Calibri" w:cs="Calibri"/>
                <w:bCs/>
                <w:sz w:val="18"/>
                <w:szCs w:val="18"/>
              </w:rPr>
              <w:t>-</w:t>
            </w:r>
          </w:p>
        </w:tc>
        <w:tc>
          <w:tcPr>
            <w:tcW w:w="416" w:type="pct"/>
            <w:shd w:val="clear" w:color="auto" w:fill="auto"/>
          </w:tcPr>
          <w:p w14:paraId="37FCEAB8" w14:textId="154436E2" w:rsidR="005B4C2E" w:rsidRPr="005824A6" w:rsidRDefault="005B4C2E" w:rsidP="00B06D81">
            <w:pPr>
              <w:keepNext/>
              <w:autoSpaceDE w:val="0"/>
              <w:autoSpaceDN w:val="0"/>
              <w:adjustRightInd w:val="0"/>
              <w:jc w:val="right"/>
              <w:rPr>
                <w:rFonts w:ascii="Calibri" w:hAnsi="Calibri" w:cs="Calibri"/>
                <w:bCs/>
                <w:sz w:val="18"/>
                <w:szCs w:val="18"/>
              </w:rPr>
            </w:pPr>
            <w:r w:rsidRPr="005824A6">
              <w:rPr>
                <w:rFonts w:ascii="Calibri" w:hAnsi="Calibri" w:cs="Calibri"/>
                <w:bCs/>
                <w:sz w:val="18"/>
                <w:szCs w:val="18"/>
              </w:rPr>
              <w:t>-</w:t>
            </w:r>
          </w:p>
        </w:tc>
        <w:tc>
          <w:tcPr>
            <w:tcW w:w="426" w:type="pct"/>
            <w:shd w:val="clear" w:color="auto" w:fill="auto"/>
          </w:tcPr>
          <w:p w14:paraId="7CC560D1" w14:textId="3DEBDED6" w:rsidR="005B4C2E" w:rsidRPr="00D427C2" w:rsidRDefault="005B4C2E" w:rsidP="00B06D81">
            <w:pPr>
              <w:keepNext/>
              <w:autoSpaceDE w:val="0"/>
              <w:autoSpaceDN w:val="0"/>
              <w:adjustRightInd w:val="0"/>
              <w:jc w:val="right"/>
              <w:rPr>
                <w:rFonts w:ascii="Calibri" w:hAnsi="Calibri" w:cs="Calibri"/>
                <w:bCs/>
                <w:sz w:val="18"/>
                <w:szCs w:val="18"/>
              </w:rPr>
            </w:pPr>
            <w:r>
              <w:rPr>
                <w:rFonts w:ascii="Calibri" w:hAnsi="Calibri" w:cs="Calibri"/>
                <w:bCs/>
                <w:sz w:val="18"/>
                <w:szCs w:val="18"/>
              </w:rPr>
              <w:t>(371.5</w:t>
            </w:r>
            <w:r w:rsidRPr="00D427C2">
              <w:rPr>
                <w:rFonts w:ascii="Calibri" w:hAnsi="Calibri" w:cs="Calibri"/>
                <w:bCs/>
                <w:sz w:val="18"/>
                <w:szCs w:val="18"/>
              </w:rPr>
              <w:t>)</w:t>
            </w:r>
          </w:p>
        </w:tc>
        <w:tc>
          <w:tcPr>
            <w:tcW w:w="565" w:type="pct"/>
            <w:tcBorders>
              <w:right w:val="single" w:sz="4" w:space="0" w:color="auto"/>
            </w:tcBorders>
            <w:shd w:val="clear" w:color="auto" w:fill="auto"/>
          </w:tcPr>
          <w:p w14:paraId="3B20392C" w14:textId="081D566D" w:rsidR="005B4C2E" w:rsidRPr="00D427C2" w:rsidRDefault="005B4C2E" w:rsidP="00B06D81">
            <w:pPr>
              <w:keepNext/>
              <w:autoSpaceDE w:val="0"/>
              <w:autoSpaceDN w:val="0"/>
              <w:adjustRightInd w:val="0"/>
              <w:jc w:val="right"/>
              <w:rPr>
                <w:rFonts w:ascii="Calibri" w:hAnsi="Calibri" w:cs="Calibri"/>
                <w:bCs/>
                <w:sz w:val="18"/>
                <w:szCs w:val="18"/>
              </w:rPr>
            </w:pPr>
            <w:r w:rsidRPr="00D427C2">
              <w:rPr>
                <w:rFonts w:ascii="Calibri" w:hAnsi="Calibri" w:cs="Calibri"/>
                <w:bCs/>
                <w:sz w:val="18"/>
                <w:szCs w:val="18"/>
              </w:rPr>
              <w:t>-</w:t>
            </w:r>
          </w:p>
        </w:tc>
        <w:tc>
          <w:tcPr>
            <w:tcW w:w="423" w:type="pct"/>
            <w:tcBorders>
              <w:left w:val="single" w:sz="4" w:space="0" w:color="auto"/>
            </w:tcBorders>
            <w:shd w:val="clear" w:color="auto" w:fill="auto"/>
          </w:tcPr>
          <w:p w14:paraId="5E3E2194" w14:textId="7572B5D4" w:rsidR="005B4C2E" w:rsidRPr="00D427C2" w:rsidRDefault="005B4C2E" w:rsidP="00B06D81">
            <w:pPr>
              <w:keepNext/>
              <w:autoSpaceDE w:val="0"/>
              <w:autoSpaceDN w:val="0"/>
              <w:adjustRightInd w:val="0"/>
              <w:jc w:val="right"/>
              <w:rPr>
                <w:rFonts w:ascii="Calibri" w:hAnsi="Calibri" w:cs="Calibri"/>
                <w:bCs/>
                <w:sz w:val="18"/>
                <w:szCs w:val="18"/>
              </w:rPr>
            </w:pPr>
            <w:r w:rsidRPr="00D427C2">
              <w:rPr>
                <w:rFonts w:ascii="Calibri" w:hAnsi="Calibri" w:cs="Calibri"/>
                <w:bCs/>
                <w:sz w:val="18"/>
                <w:szCs w:val="18"/>
              </w:rPr>
              <w:t>-</w:t>
            </w:r>
          </w:p>
        </w:tc>
        <w:tc>
          <w:tcPr>
            <w:tcW w:w="494" w:type="pct"/>
            <w:tcBorders>
              <w:right w:val="single" w:sz="4" w:space="0" w:color="auto"/>
            </w:tcBorders>
            <w:shd w:val="clear" w:color="auto" w:fill="auto"/>
          </w:tcPr>
          <w:p w14:paraId="109B0761" w14:textId="1272D6A5" w:rsidR="005B4C2E" w:rsidRPr="00D427C2" w:rsidRDefault="005B4C2E" w:rsidP="00B06D81">
            <w:pPr>
              <w:keepNext/>
              <w:autoSpaceDE w:val="0"/>
              <w:autoSpaceDN w:val="0"/>
              <w:adjustRightInd w:val="0"/>
              <w:jc w:val="right"/>
              <w:rPr>
                <w:rFonts w:ascii="Calibri" w:hAnsi="Calibri" w:cs="Calibri"/>
                <w:bCs/>
                <w:sz w:val="18"/>
                <w:szCs w:val="18"/>
              </w:rPr>
            </w:pPr>
            <w:r w:rsidRPr="00D427C2">
              <w:rPr>
                <w:rFonts w:ascii="Calibri" w:hAnsi="Calibri" w:cs="Calibri"/>
                <w:bCs/>
                <w:sz w:val="18"/>
                <w:szCs w:val="18"/>
              </w:rPr>
              <w:t>-</w:t>
            </w:r>
          </w:p>
        </w:tc>
        <w:tc>
          <w:tcPr>
            <w:tcW w:w="467" w:type="pct"/>
            <w:tcBorders>
              <w:left w:val="single" w:sz="4" w:space="0" w:color="auto"/>
            </w:tcBorders>
            <w:shd w:val="clear" w:color="auto" w:fill="auto"/>
          </w:tcPr>
          <w:p w14:paraId="2676DB32" w14:textId="740899AB" w:rsidR="005B4C2E" w:rsidRPr="00D427C2" w:rsidRDefault="005B4C2E" w:rsidP="00B06D81">
            <w:pPr>
              <w:keepNext/>
              <w:tabs>
                <w:tab w:val="left" w:pos="963"/>
              </w:tabs>
              <w:autoSpaceDE w:val="0"/>
              <w:autoSpaceDN w:val="0"/>
              <w:adjustRightInd w:val="0"/>
              <w:jc w:val="right"/>
              <w:rPr>
                <w:rFonts w:ascii="Calibri" w:hAnsi="Calibri" w:cs="Calibri"/>
                <w:bCs/>
                <w:sz w:val="18"/>
                <w:szCs w:val="18"/>
              </w:rPr>
            </w:pPr>
            <w:r>
              <w:rPr>
                <w:rFonts w:ascii="Calibri" w:hAnsi="Calibri" w:cs="Calibri"/>
                <w:bCs/>
                <w:sz w:val="18"/>
                <w:szCs w:val="18"/>
              </w:rPr>
              <w:t>(371.5</w:t>
            </w:r>
            <w:r w:rsidRPr="00D427C2">
              <w:rPr>
                <w:rFonts w:ascii="Calibri" w:hAnsi="Calibri" w:cs="Calibri"/>
                <w:bCs/>
                <w:sz w:val="18"/>
                <w:szCs w:val="18"/>
              </w:rPr>
              <w:t>)</w:t>
            </w:r>
          </w:p>
        </w:tc>
      </w:tr>
      <w:tr w:rsidR="005B4C2E" w:rsidRPr="00D64781" w14:paraId="7025AEF6" w14:textId="77777777" w:rsidTr="00B06D81">
        <w:trPr>
          <w:trHeight w:val="247"/>
        </w:trPr>
        <w:tc>
          <w:tcPr>
            <w:tcW w:w="1420" w:type="pct"/>
            <w:tcBorders>
              <w:right w:val="single" w:sz="4" w:space="0" w:color="auto"/>
            </w:tcBorders>
            <w:shd w:val="clear" w:color="auto" w:fill="auto"/>
          </w:tcPr>
          <w:p w14:paraId="4E960221" w14:textId="4F235C7D" w:rsidR="005B4C2E" w:rsidRPr="00DB22BA" w:rsidRDefault="005B4C2E" w:rsidP="00B06D81">
            <w:pPr>
              <w:keepNext/>
              <w:autoSpaceDE w:val="0"/>
              <w:autoSpaceDN w:val="0"/>
              <w:adjustRightInd w:val="0"/>
              <w:rPr>
                <w:rFonts w:ascii="Calibri" w:hAnsi="Calibri" w:cs="Calibri"/>
                <w:color w:val="000000"/>
                <w:sz w:val="18"/>
                <w:szCs w:val="18"/>
              </w:rPr>
            </w:pPr>
            <w:r>
              <w:rPr>
                <w:rFonts w:ascii="Calibri" w:hAnsi="Calibri" w:cs="Calibri"/>
                <w:color w:val="000000"/>
                <w:sz w:val="18"/>
                <w:szCs w:val="18"/>
              </w:rPr>
              <w:t>Other</w:t>
            </w:r>
          </w:p>
        </w:tc>
        <w:tc>
          <w:tcPr>
            <w:tcW w:w="427" w:type="pct"/>
            <w:tcBorders>
              <w:left w:val="single" w:sz="4" w:space="0" w:color="auto"/>
              <w:right w:val="single" w:sz="4" w:space="0" w:color="auto"/>
            </w:tcBorders>
            <w:shd w:val="clear" w:color="auto" w:fill="auto"/>
          </w:tcPr>
          <w:p w14:paraId="6BDC8EE4" w14:textId="05C77829" w:rsidR="005B4C2E" w:rsidRPr="00D427C2" w:rsidRDefault="005B4C2E" w:rsidP="00B06D81">
            <w:pPr>
              <w:keepNext/>
              <w:autoSpaceDE w:val="0"/>
              <w:autoSpaceDN w:val="0"/>
              <w:adjustRightInd w:val="0"/>
              <w:jc w:val="right"/>
              <w:rPr>
                <w:rFonts w:ascii="Calibri" w:hAnsi="Calibri" w:cs="Calibri"/>
                <w:bCs/>
                <w:sz w:val="18"/>
                <w:szCs w:val="18"/>
              </w:rPr>
            </w:pPr>
            <w:r w:rsidRPr="00D427C2">
              <w:rPr>
                <w:rFonts w:ascii="Calibri" w:hAnsi="Calibri" w:cs="Calibri"/>
                <w:bCs/>
                <w:sz w:val="18"/>
                <w:szCs w:val="18"/>
              </w:rPr>
              <w:t>-</w:t>
            </w:r>
          </w:p>
        </w:tc>
        <w:tc>
          <w:tcPr>
            <w:tcW w:w="362" w:type="pct"/>
            <w:tcBorders>
              <w:left w:val="single" w:sz="4" w:space="0" w:color="auto"/>
            </w:tcBorders>
            <w:shd w:val="clear" w:color="auto" w:fill="auto"/>
          </w:tcPr>
          <w:p w14:paraId="0762B80B" w14:textId="12FF1543" w:rsidR="005B4C2E" w:rsidRPr="005824A6" w:rsidRDefault="005B4C2E" w:rsidP="00B06D81">
            <w:pPr>
              <w:keepNext/>
              <w:autoSpaceDE w:val="0"/>
              <w:autoSpaceDN w:val="0"/>
              <w:adjustRightInd w:val="0"/>
              <w:jc w:val="right"/>
              <w:rPr>
                <w:rFonts w:ascii="Calibri" w:hAnsi="Calibri" w:cs="Calibri"/>
                <w:bCs/>
                <w:sz w:val="18"/>
                <w:szCs w:val="18"/>
              </w:rPr>
            </w:pPr>
            <w:r w:rsidRPr="005824A6">
              <w:rPr>
                <w:rFonts w:ascii="Calibri" w:hAnsi="Calibri" w:cs="Calibri"/>
                <w:bCs/>
                <w:sz w:val="18"/>
                <w:szCs w:val="18"/>
              </w:rPr>
              <w:t>-</w:t>
            </w:r>
          </w:p>
        </w:tc>
        <w:tc>
          <w:tcPr>
            <w:tcW w:w="416" w:type="pct"/>
            <w:shd w:val="clear" w:color="auto" w:fill="auto"/>
          </w:tcPr>
          <w:p w14:paraId="713B312B" w14:textId="3D954372" w:rsidR="005B4C2E" w:rsidRPr="005824A6" w:rsidRDefault="005B4C2E" w:rsidP="00B06D81">
            <w:pPr>
              <w:keepNext/>
              <w:autoSpaceDE w:val="0"/>
              <w:autoSpaceDN w:val="0"/>
              <w:adjustRightInd w:val="0"/>
              <w:jc w:val="right"/>
              <w:rPr>
                <w:rFonts w:ascii="Calibri" w:hAnsi="Calibri" w:cs="Calibri"/>
                <w:bCs/>
                <w:sz w:val="18"/>
                <w:szCs w:val="18"/>
              </w:rPr>
            </w:pPr>
            <w:r w:rsidRPr="005824A6">
              <w:rPr>
                <w:rFonts w:ascii="Calibri" w:hAnsi="Calibri" w:cs="Calibri"/>
                <w:bCs/>
                <w:sz w:val="18"/>
                <w:szCs w:val="18"/>
              </w:rPr>
              <w:t>-</w:t>
            </w:r>
          </w:p>
        </w:tc>
        <w:tc>
          <w:tcPr>
            <w:tcW w:w="426" w:type="pct"/>
            <w:shd w:val="clear" w:color="auto" w:fill="auto"/>
          </w:tcPr>
          <w:p w14:paraId="06DA4126" w14:textId="71D0C97F" w:rsidR="005B4C2E" w:rsidRPr="00D427C2" w:rsidRDefault="005B4C2E" w:rsidP="00B06D81">
            <w:pPr>
              <w:keepNext/>
              <w:autoSpaceDE w:val="0"/>
              <w:autoSpaceDN w:val="0"/>
              <w:adjustRightInd w:val="0"/>
              <w:jc w:val="right"/>
              <w:rPr>
                <w:rFonts w:ascii="Calibri" w:hAnsi="Calibri" w:cs="Calibri"/>
                <w:bCs/>
                <w:sz w:val="18"/>
                <w:szCs w:val="18"/>
              </w:rPr>
            </w:pPr>
            <w:r>
              <w:rPr>
                <w:rFonts w:ascii="Calibri" w:hAnsi="Calibri" w:cs="Calibri"/>
                <w:bCs/>
                <w:sz w:val="18"/>
                <w:szCs w:val="18"/>
              </w:rPr>
              <w:t>0.9</w:t>
            </w:r>
          </w:p>
        </w:tc>
        <w:tc>
          <w:tcPr>
            <w:tcW w:w="565" w:type="pct"/>
            <w:tcBorders>
              <w:right w:val="single" w:sz="4" w:space="0" w:color="auto"/>
            </w:tcBorders>
            <w:shd w:val="clear" w:color="auto" w:fill="auto"/>
          </w:tcPr>
          <w:p w14:paraId="7E021276" w14:textId="2CAD520B" w:rsidR="005B4C2E" w:rsidRPr="00D427C2" w:rsidRDefault="005B4C2E" w:rsidP="00B06D81">
            <w:pPr>
              <w:keepNext/>
              <w:autoSpaceDE w:val="0"/>
              <w:autoSpaceDN w:val="0"/>
              <w:adjustRightInd w:val="0"/>
              <w:jc w:val="right"/>
              <w:rPr>
                <w:rFonts w:ascii="Calibri" w:hAnsi="Calibri" w:cs="Calibri"/>
                <w:bCs/>
                <w:sz w:val="18"/>
                <w:szCs w:val="18"/>
              </w:rPr>
            </w:pPr>
            <w:r w:rsidRPr="00D427C2">
              <w:rPr>
                <w:rFonts w:ascii="Calibri" w:hAnsi="Calibri" w:cs="Calibri"/>
                <w:bCs/>
                <w:sz w:val="18"/>
                <w:szCs w:val="18"/>
              </w:rPr>
              <w:t>-</w:t>
            </w:r>
          </w:p>
        </w:tc>
        <w:tc>
          <w:tcPr>
            <w:tcW w:w="423" w:type="pct"/>
            <w:tcBorders>
              <w:left w:val="single" w:sz="4" w:space="0" w:color="auto"/>
            </w:tcBorders>
            <w:shd w:val="clear" w:color="auto" w:fill="auto"/>
          </w:tcPr>
          <w:p w14:paraId="308B39E5" w14:textId="4DA56B84" w:rsidR="005B4C2E" w:rsidRPr="00D427C2" w:rsidRDefault="005B4C2E" w:rsidP="00B06D81">
            <w:pPr>
              <w:keepNext/>
              <w:autoSpaceDE w:val="0"/>
              <w:autoSpaceDN w:val="0"/>
              <w:adjustRightInd w:val="0"/>
              <w:jc w:val="right"/>
              <w:rPr>
                <w:rFonts w:ascii="Calibri" w:hAnsi="Calibri" w:cs="Calibri"/>
                <w:bCs/>
                <w:sz w:val="18"/>
                <w:szCs w:val="18"/>
              </w:rPr>
            </w:pPr>
            <w:r w:rsidRPr="00D427C2">
              <w:rPr>
                <w:rFonts w:ascii="Calibri" w:hAnsi="Calibri" w:cs="Calibri"/>
                <w:bCs/>
                <w:sz w:val="18"/>
                <w:szCs w:val="18"/>
              </w:rPr>
              <w:t>-</w:t>
            </w:r>
          </w:p>
        </w:tc>
        <w:tc>
          <w:tcPr>
            <w:tcW w:w="494" w:type="pct"/>
            <w:tcBorders>
              <w:right w:val="single" w:sz="4" w:space="0" w:color="auto"/>
            </w:tcBorders>
            <w:shd w:val="clear" w:color="auto" w:fill="auto"/>
          </w:tcPr>
          <w:p w14:paraId="6838D7F0" w14:textId="3D0D57EA" w:rsidR="005B4C2E" w:rsidRPr="00D427C2" w:rsidRDefault="005B4C2E" w:rsidP="00B06D81">
            <w:pPr>
              <w:keepNext/>
              <w:autoSpaceDE w:val="0"/>
              <w:autoSpaceDN w:val="0"/>
              <w:adjustRightInd w:val="0"/>
              <w:jc w:val="right"/>
              <w:rPr>
                <w:rFonts w:ascii="Calibri" w:hAnsi="Calibri" w:cs="Calibri"/>
                <w:bCs/>
                <w:sz w:val="18"/>
                <w:szCs w:val="18"/>
              </w:rPr>
            </w:pPr>
            <w:r w:rsidRPr="00D427C2">
              <w:rPr>
                <w:rFonts w:ascii="Calibri" w:hAnsi="Calibri" w:cs="Calibri"/>
                <w:bCs/>
                <w:sz w:val="18"/>
                <w:szCs w:val="18"/>
              </w:rPr>
              <w:t>-</w:t>
            </w:r>
          </w:p>
        </w:tc>
        <w:tc>
          <w:tcPr>
            <w:tcW w:w="467" w:type="pct"/>
            <w:tcBorders>
              <w:left w:val="single" w:sz="4" w:space="0" w:color="auto"/>
            </w:tcBorders>
            <w:shd w:val="clear" w:color="auto" w:fill="auto"/>
          </w:tcPr>
          <w:p w14:paraId="67C0F28B" w14:textId="4914325E" w:rsidR="005B4C2E" w:rsidRPr="00D427C2" w:rsidRDefault="005B4C2E" w:rsidP="00B06D81">
            <w:pPr>
              <w:keepNext/>
              <w:tabs>
                <w:tab w:val="left" w:pos="963"/>
              </w:tabs>
              <w:autoSpaceDE w:val="0"/>
              <w:autoSpaceDN w:val="0"/>
              <w:adjustRightInd w:val="0"/>
              <w:jc w:val="right"/>
              <w:rPr>
                <w:rFonts w:ascii="Calibri" w:hAnsi="Calibri" w:cs="Calibri"/>
                <w:bCs/>
                <w:sz w:val="18"/>
                <w:szCs w:val="18"/>
              </w:rPr>
            </w:pPr>
            <w:r>
              <w:rPr>
                <w:rFonts w:ascii="Calibri" w:hAnsi="Calibri" w:cs="Calibri"/>
                <w:bCs/>
                <w:sz w:val="18"/>
                <w:szCs w:val="18"/>
              </w:rPr>
              <w:t>0</w:t>
            </w:r>
            <w:r w:rsidRPr="00D427C2">
              <w:rPr>
                <w:rFonts w:ascii="Calibri" w:hAnsi="Calibri" w:cs="Calibri"/>
                <w:bCs/>
                <w:sz w:val="18"/>
                <w:szCs w:val="18"/>
              </w:rPr>
              <w:t>.9</w:t>
            </w:r>
          </w:p>
        </w:tc>
      </w:tr>
      <w:tr w:rsidR="005B4C2E" w:rsidRPr="00D64781" w14:paraId="025B14E4" w14:textId="77777777" w:rsidTr="00B06D81">
        <w:trPr>
          <w:trHeight w:val="247"/>
        </w:trPr>
        <w:tc>
          <w:tcPr>
            <w:tcW w:w="1420" w:type="pct"/>
            <w:tcBorders>
              <w:right w:val="single" w:sz="4" w:space="0" w:color="auto"/>
            </w:tcBorders>
            <w:shd w:val="clear" w:color="auto" w:fill="auto"/>
          </w:tcPr>
          <w:p w14:paraId="70B605DB" w14:textId="0B4C0FCF" w:rsidR="005B4C2E" w:rsidRPr="00DB22BA" w:rsidRDefault="005B4C2E" w:rsidP="00B06D81">
            <w:pPr>
              <w:keepNext/>
              <w:autoSpaceDE w:val="0"/>
              <w:autoSpaceDN w:val="0"/>
              <w:adjustRightInd w:val="0"/>
              <w:rPr>
                <w:rFonts w:ascii="Calibri" w:hAnsi="Calibri" w:cs="Calibri"/>
                <w:color w:val="000000"/>
                <w:sz w:val="18"/>
                <w:szCs w:val="18"/>
              </w:rPr>
            </w:pPr>
            <w:r w:rsidRPr="00DB22BA">
              <w:rPr>
                <w:rFonts w:ascii="Calibri" w:hAnsi="Calibri" w:cs="Calibri"/>
                <w:color w:val="000000"/>
                <w:sz w:val="18"/>
                <w:szCs w:val="18"/>
              </w:rPr>
              <w:t xml:space="preserve">Cancellation of repurchased ordinary shares </w:t>
            </w:r>
          </w:p>
        </w:tc>
        <w:tc>
          <w:tcPr>
            <w:tcW w:w="427" w:type="pct"/>
            <w:tcBorders>
              <w:left w:val="single" w:sz="4" w:space="0" w:color="auto"/>
              <w:right w:val="single" w:sz="4" w:space="0" w:color="auto"/>
            </w:tcBorders>
            <w:shd w:val="clear" w:color="auto" w:fill="auto"/>
          </w:tcPr>
          <w:p w14:paraId="120B9161" w14:textId="301D46C2" w:rsidR="005B4C2E" w:rsidRPr="00D427C2" w:rsidRDefault="005B4C2E" w:rsidP="00B06D81">
            <w:pPr>
              <w:keepNext/>
              <w:autoSpaceDE w:val="0"/>
              <w:autoSpaceDN w:val="0"/>
              <w:adjustRightInd w:val="0"/>
              <w:jc w:val="right"/>
              <w:rPr>
                <w:rFonts w:ascii="Calibri" w:hAnsi="Calibri" w:cs="Calibri"/>
                <w:bCs/>
                <w:sz w:val="18"/>
                <w:szCs w:val="18"/>
              </w:rPr>
            </w:pPr>
            <w:r w:rsidRPr="005824A6">
              <w:rPr>
                <w:rFonts w:ascii="Calibri" w:hAnsi="Calibri" w:cs="Calibri"/>
                <w:bCs/>
                <w:sz w:val="18"/>
                <w:szCs w:val="18"/>
              </w:rPr>
              <w:t>(</w:t>
            </w:r>
            <w:r>
              <w:rPr>
                <w:rFonts w:ascii="Calibri" w:hAnsi="Calibri" w:cs="Calibri"/>
                <w:bCs/>
                <w:sz w:val="18"/>
                <w:szCs w:val="18"/>
              </w:rPr>
              <w:t>32.3</w:t>
            </w:r>
            <w:r w:rsidRPr="005824A6">
              <w:rPr>
                <w:rFonts w:ascii="Calibri" w:hAnsi="Calibri" w:cs="Calibri"/>
                <w:bCs/>
                <w:sz w:val="18"/>
                <w:szCs w:val="18"/>
              </w:rPr>
              <w:t>)</w:t>
            </w:r>
          </w:p>
        </w:tc>
        <w:tc>
          <w:tcPr>
            <w:tcW w:w="362" w:type="pct"/>
            <w:tcBorders>
              <w:left w:val="single" w:sz="4" w:space="0" w:color="auto"/>
            </w:tcBorders>
            <w:shd w:val="clear" w:color="auto" w:fill="auto"/>
          </w:tcPr>
          <w:p w14:paraId="60D50297" w14:textId="507E6F4D" w:rsidR="005B4C2E" w:rsidRPr="005824A6" w:rsidRDefault="005B4C2E" w:rsidP="00B06D81">
            <w:pPr>
              <w:keepNext/>
              <w:autoSpaceDE w:val="0"/>
              <w:autoSpaceDN w:val="0"/>
              <w:adjustRightInd w:val="0"/>
              <w:jc w:val="right"/>
              <w:rPr>
                <w:rFonts w:ascii="Calibri" w:hAnsi="Calibri" w:cs="Calibri"/>
                <w:bCs/>
                <w:sz w:val="18"/>
                <w:szCs w:val="18"/>
              </w:rPr>
            </w:pPr>
            <w:r>
              <w:rPr>
                <w:rFonts w:ascii="Calibri" w:hAnsi="Calibri" w:cs="Calibri"/>
                <w:bCs/>
                <w:sz w:val="18"/>
                <w:szCs w:val="18"/>
              </w:rPr>
              <w:t>(0.2)</w:t>
            </w:r>
          </w:p>
        </w:tc>
        <w:tc>
          <w:tcPr>
            <w:tcW w:w="416" w:type="pct"/>
            <w:shd w:val="clear" w:color="auto" w:fill="auto"/>
          </w:tcPr>
          <w:p w14:paraId="66D13837" w14:textId="710B778A" w:rsidR="005B4C2E" w:rsidRPr="005824A6" w:rsidRDefault="005B4C2E" w:rsidP="00B06D81">
            <w:pPr>
              <w:keepNext/>
              <w:autoSpaceDE w:val="0"/>
              <w:autoSpaceDN w:val="0"/>
              <w:adjustRightInd w:val="0"/>
              <w:jc w:val="right"/>
              <w:rPr>
                <w:rFonts w:ascii="Calibri" w:hAnsi="Calibri" w:cs="Calibri"/>
                <w:bCs/>
                <w:sz w:val="18"/>
                <w:szCs w:val="18"/>
              </w:rPr>
            </w:pPr>
            <w:r w:rsidRPr="005824A6">
              <w:rPr>
                <w:rFonts w:ascii="Calibri" w:hAnsi="Calibri" w:cs="Calibri"/>
                <w:bCs/>
                <w:sz w:val="18"/>
                <w:szCs w:val="18"/>
              </w:rPr>
              <w:t>-</w:t>
            </w:r>
          </w:p>
        </w:tc>
        <w:tc>
          <w:tcPr>
            <w:tcW w:w="426" w:type="pct"/>
            <w:shd w:val="clear" w:color="auto" w:fill="auto"/>
          </w:tcPr>
          <w:p w14:paraId="03667C43" w14:textId="7439C5B3" w:rsidR="005B4C2E" w:rsidRPr="00D427C2" w:rsidRDefault="005B4C2E" w:rsidP="00B06D81">
            <w:pPr>
              <w:keepNext/>
              <w:autoSpaceDE w:val="0"/>
              <w:autoSpaceDN w:val="0"/>
              <w:adjustRightInd w:val="0"/>
              <w:jc w:val="right"/>
              <w:rPr>
                <w:rFonts w:ascii="Calibri" w:hAnsi="Calibri" w:cs="Calibri"/>
                <w:bCs/>
                <w:sz w:val="18"/>
                <w:szCs w:val="18"/>
              </w:rPr>
            </w:pPr>
            <w:r w:rsidRPr="0039141C">
              <w:rPr>
                <w:rFonts w:ascii="Calibri" w:hAnsi="Calibri" w:cs="Calibri"/>
                <w:bCs/>
                <w:sz w:val="18"/>
                <w:szCs w:val="18"/>
              </w:rPr>
              <w:t>-</w:t>
            </w:r>
          </w:p>
        </w:tc>
        <w:tc>
          <w:tcPr>
            <w:tcW w:w="565" w:type="pct"/>
            <w:tcBorders>
              <w:right w:val="single" w:sz="4" w:space="0" w:color="auto"/>
            </w:tcBorders>
            <w:shd w:val="clear" w:color="auto" w:fill="auto"/>
          </w:tcPr>
          <w:p w14:paraId="0DB9C77F" w14:textId="41AC7FA3" w:rsidR="005B4C2E" w:rsidRPr="00D427C2" w:rsidRDefault="005B4C2E" w:rsidP="00B06D81">
            <w:pPr>
              <w:keepNext/>
              <w:autoSpaceDE w:val="0"/>
              <w:autoSpaceDN w:val="0"/>
              <w:adjustRightInd w:val="0"/>
              <w:jc w:val="right"/>
              <w:rPr>
                <w:rFonts w:ascii="Calibri" w:hAnsi="Calibri" w:cs="Calibri"/>
                <w:bCs/>
                <w:sz w:val="18"/>
                <w:szCs w:val="18"/>
              </w:rPr>
            </w:pPr>
            <w:r>
              <w:rPr>
                <w:rFonts w:ascii="Calibri" w:hAnsi="Calibri" w:cs="Calibri"/>
                <w:bCs/>
                <w:sz w:val="18"/>
                <w:szCs w:val="18"/>
              </w:rPr>
              <w:t>0.2</w:t>
            </w:r>
          </w:p>
        </w:tc>
        <w:tc>
          <w:tcPr>
            <w:tcW w:w="423" w:type="pct"/>
            <w:tcBorders>
              <w:left w:val="single" w:sz="4" w:space="0" w:color="auto"/>
            </w:tcBorders>
            <w:shd w:val="clear" w:color="auto" w:fill="auto"/>
          </w:tcPr>
          <w:p w14:paraId="2B270C9C" w14:textId="2970A29E" w:rsidR="005B4C2E" w:rsidRPr="00D427C2" w:rsidRDefault="005B4C2E" w:rsidP="00B06D81">
            <w:pPr>
              <w:keepNext/>
              <w:autoSpaceDE w:val="0"/>
              <w:autoSpaceDN w:val="0"/>
              <w:adjustRightInd w:val="0"/>
              <w:jc w:val="right"/>
              <w:rPr>
                <w:rFonts w:ascii="Calibri" w:hAnsi="Calibri" w:cs="Calibri"/>
                <w:bCs/>
                <w:sz w:val="18"/>
                <w:szCs w:val="18"/>
              </w:rPr>
            </w:pPr>
            <w:r w:rsidRPr="0039141C">
              <w:rPr>
                <w:rFonts w:ascii="Calibri" w:hAnsi="Calibri" w:cs="Calibri"/>
                <w:bCs/>
                <w:sz w:val="18"/>
                <w:szCs w:val="18"/>
              </w:rPr>
              <w:t>-</w:t>
            </w:r>
          </w:p>
        </w:tc>
        <w:tc>
          <w:tcPr>
            <w:tcW w:w="494" w:type="pct"/>
            <w:tcBorders>
              <w:right w:val="single" w:sz="4" w:space="0" w:color="auto"/>
            </w:tcBorders>
            <w:shd w:val="clear" w:color="auto" w:fill="auto"/>
          </w:tcPr>
          <w:p w14:paraId="141B7C5D" w14:textId="6D804B9B" w:rsidR="005B4C2E" w:rsidRPr="00D427C2" w:rsidRDefault="005B4C2E" w:rsidP="00B06D81">
            <w:pPr>
              <w:keepNext/>
              <w:autoSpaceDE w:val="0"/>
              <w:autoSpaceDN w:val="0"/>
              <w:adjustRightInd w:val="0"/>
              <w:jc w:val="right"/>
              <w:rPr>
                <w:rFonts w:ascii="Calibri" w:hAnsi="Calibri" w:cs="Calibri"/>
                <w:bCs/>
                <w:sz w:val="18"/>
                <w:szCs w:val="18"/>
              </w:rPr>
            </w:pPr>
            <w:r w:rsidRPr="0039141C">
              <w:rPr>
                <w:rFonts w:ascii="Calibri" w:hAnsi="Calibri" w:cs="Calibri"/>
                <w:bCs/>
                <w:sz w:val="18"/>
                <w:szCs w:val="18"/>
              </w:rPr>
              <w:t>-</w:t>
            </w:r>
          </w:p>
        </w:tc>
        <w:tc>
          <w:tcPr>
            <w:tcW w:w="467" w:type="pct"/>
            <w:tcBorders>
              <w:left w:val="single" w:sz="4" w:space="0" w:color="auto"/>
            </w:tcBorders>
            <w:shd w:val="clear" w:color="auto" w:fill="auto"/>
          </w:tcPr>
          <w:p w14:paraId="7D7EBE65" w14:textId="791740EC" w:rsidR="005B4C2E" w:rsidRPr="00D427C2" w:rsidRDefault="005B4C2E" w:rsidP="00B06D81">
            <w:pPr>
              <w:keepNext/>
              <w:tabs>
                <w:tab w:val="left" w:pos="963"/>
              </w:tabs>
              <w:autoSpaceDE w:val="0"/>
              <w:autoSpaceDN w:val="0"/>
              <w:adjustRightInd w:val="0"/>
              <w:jc w:val="right"/>
              <w:rPr>
                <w:rFonts w:ascii="Calibri" w:hAnsi="Calibri" w:cs="Calibri"/>
                <w:bCs/>
                <w:sz w:val="18"/>
                <w:szCs w:val="18"/>
              </w:rPr>
            </w:pPr>
            <w:r w:rsidRPr="0039141C">
              <w:rPr>
                <w:rFonts w:ascii="Calibri" w:hAnsi="Calibri" w:cs="Calibri"/>
                <w:bCs/>
                <w:sz w:val="18"/>
                <w:szCs w:val="18"/>
              </w:rPr>
              <w:t>-</w:t>
            </w:r>
          </w:p>
        </w:tc>
      </w:tr>
      <w:tr w:rsidR="005B4C2E" w:rsidRPr="00D64781" w14:paraId="3E36478A" w14:textId="77777777" w:rsidTr="00B06D81">
        <w:trPr>
          <w:trHeight w:val="247"/>
        </w:trPr>
        <w:tc>
          <w:tcPr>
            <w:tcW w:w="1420" w:type="pct"/>
            <w:tcBorders>
              <w:right w:val="single" w:sz="4" w:space="0" w:color="auto"/>
            </w:tcBorders>
            <w:shd w:val="clear" w:color="auto" w:fill="auto"/>
          </w:tcPr>
          <w:p w14:paraId="7B3D2D64" w14:textId="28C6BE47" w:rsidR="005B4C2E" w:rsidRPr="00DB22BA" w:rsidRDefault="005B4C2E" w:rsidP="00B06D81">
            <w:pPr>
              <w:keepNext/>
              <w:autoSpaceDE w:val="0"/>
              <w:autoSpaceDN w:val="0"/>
              <w:adjustRightInd w:val="0"/>
              <w:rPr>
                <w:rFonts w:ascii="Calibri" w:hAnsi="Calibri" w:cs="Calibri"/>
                <w:color w:val="000000"/>
                <w:sz w:val="18"/>
                <w:szCs w:val="18"/>
              </w:rPr>
            </w:pPr>
            <w:r w:rsidRPr="00B22B23">
              <w:rPr>
                <w:rFonts w:ascii="Calibri" w:hAnsi="Calibri" w:cs="Calibri"/>
                <w:bCs/>
                <w:color w:val="000000"/>
                <w:sz w:val="18"/>
                <w:szCs w:val="18"/>
              </w:rPr>
              <w:t xml:space="preserve">Transfer of exercised and expired </w:t>
            </w:r>
            <w:proofErr w:type="gramStart"/>
            <w:r w:rsidRPr="00B22B23">
              <w:rPr>
                <w:rFonts w:ascii="Calibri" w:hAnsi="Calibri" w:cs="Calibri"/>
                <w:bCs/>
                <w:color w:val="000000"/>
                <w:sz w:val="18"/>
                <w:szCs w:val="18"/>
              </w:rPr>
              <w:t>share based</w:t>
            </w:r>
            <w:proofErr w:type="gramEnd"/>
            <w:r w:rsidRPr="00B22B23">
              <w:rPr>
                <w:rFonts w:ascii="Calibri" w:hAnsi="Calibri" w:cs="Calibri"/>
                <w:bCs/>
                <w:color w:val="000000"/>
                <w:sz w:val="18"/>
                <w:szCs w:val="18"/>
              </w:rPr>
              <w:t xml:space="preserve"> awards</w:t>
            </w:r>
          </w:p>
        </w:tc>
        <w:tc>
          <w:tcPr>
            <w:tcW w:w="427" w:type="pct"/>
            <w:tcBorders>
              <w:left w:val="single" w:sz="4" w:space="0" w:color="auto"/>
              <w:right w:val="single" w:sz="4" w:space="0" w:color="auto"/>
            </w:tcBorders>
            <w:shd w:val="clear" w:color="auto" w:fill="auto"/>
          </w:tcPr>
          <w:p w14:paraId="750348DE" w14:textId="6EA3D9FF" w:rsidR="005B4C2E" w:rsidRPr="005824A6" w:rsidRDefault="005B4C2E" w:rsidP="00B06D81">
            <w:pPr>
              <w:keepNext/>
              <w:autoSpaceDE w:val="0"/>
              <w:autoSpaceDN w:val="0"/>
              <w:adjustRightInd w:val="0"/>
              <w:jc w:val="right"/>
              <w:rPr>
                <w:rFonts w:ascii="Calibri" w:hAnsi="Calibri" w:cs="Calibri"/>
                <w:bCs/>
                <w:sz w:val="18"/>
                <w:szCs w:val="18"/>
              </w:rPr>
            </w:pPr>
            <w:r>
              <w:rPr>
                <w:rFonts w:ascii="Calibri" w:hAnsi="Calibri" w:cs="Calibri"/>
                <w:bCs/>
                <w:sz w:val="18"/>
                <w:szCs w:val="18"/>
              </w:rPr>
              <w:t>-</w:t>
            </w:r>
          </w:p>
        </w:tc>
        <w:tc>
          <w:tcPr>
            <w:tcW w:w="362" w:type="pct"/>
            <w:tcBorders>
              <w:left w:val="single" w:sz="4" w:space="0" w:color="auto"/>
            </w:tcBorders>
            <w:shd w:val="clear" w:color="auto" w:fill="auto"/>
          </w:tcPr>
          <w:p w14:paraId="1A0F6104" w14:textId="51DFDD49" w:rsidR="005B4C2E" w:rsidRPr="005824A6" w:rsidRDefault="005B4C2E" w:rsidP="00B06D81">
            <w:pPr>
              <w:keepNext/>
              <w:autoSpaceDE w:val="0"/>
              <w:autoSpaceDN w:val="0"/>
              <w:adjustRightInd w:val="0"/>
              <w:jc w:val="right"/>
              <w:rPr>
                <w:rFonts w:ascii="Calibri" w:hAnsi="Calibri" w:cs="Calibri"/>
                <w:bCs/>
                <w:sz w:val="18"/>
                <w:szCs w:val="18"/>
              </w:rPr>
            </w:pPr>
            <w:r>
              <w:rPr>
                <w:rFonts w:ascii="Calibri" w:hAnsi="Calibri" w:cs="Calibri"/>
                <w:bCs/>
                <w:sz w:val="18"/>
                <w:szCs w:val="18"/>
              </w:rPr>
              <w:t>-</w:t>
            </w:r>
          </w:p>
        </w:tc>
        <w:tc>
          <w:tcPr>
            <w:tcW w:w="416" w:type="pct"/>
            <w:shd w:val="clear" w:color="auto" w:fill="auto"/>
          </w:tcPr>
          <w:p w14:paraId="5B098D60" w14:textId="6D7A58A7" w:rsidR="005B4C2E" w:rsidRPr="005824A6" w:rsidRDefault="005B4C2E" w:rsidP="00B06D81">
            <w:pPr>
              <w:keepNext/>
              <w:autoSpaceDE w:val="0"/>
              <w:autoSpaceDN w:val="0"/>
              <w:adjustRightInd w:val="0"/>
              <w:jc w:val="right"/>
              <w:rPr>
                <w:rFonts w:ascii="Calibri" w:hAnsi="Calibri" w:cs="Calibri"/>
                <w:bCs/>
                <w:sz w:val="18"/>
                <w:szCs w:val="18"/>
              </w:rPr>
            </w:pPr>
            <w:r>
              <w:rPr>
                <w:rFonts w:ascii="Calibri" w:hAnsi="Calibri" w:cs="Calibri"/>
                <w:bCs/>
                <w:sz w:val="18"/>
                <w:szCs w:val="18"/>
              </w:rPr>
              <w:t>-</w:t>
            </w:r>
          </w:p>
        </w:tc>
        <w:tc>
          <w:tcPr>
            <w:tcW w:w="426" w:type="pct"/>
            <w:shd w:val="clear" w:color="auto" w:fill="auto"/>
          </w:tcPr>
          <w:p w14:paraId="18817B30" w14:textId="08015B5A" w:rsidR="005B4C2E" w:rsidRPr="0039141C" w:rsidRDefault="005B4C2E" w:rsidP="00B06D81">
            <w:pPr>
              <w:keepNext/>
              <w:autoSpaceDE w:val="0"/>
              <w:autoSpaceDN w:val="0"/>
              <w:adjustRightInd w:val="0"/>
              <w:jc w:val="right"/>
              <w:rPr>
                <w:rFonts w:ascii="Calibri" w:hAnsi="Calibri" w:cs="Calibri"/>
                <w:bCs/>
                <w:sz w:val="18"/>
                <w:szCs w:val="18"/>
              </w:rPr>
            </w:pPr>
            <w:r>
              <w:rPr>
                <w:rFonts w:ascii="Calibri" w:hAnsi="Calibri" w:cs="Calibri"/>
                <w:bCs/>
                <w:sz w:val="18"/>
                <w:szCs w:val="18"/>
              </w:rPr>
              <w:t>2.4</w:t>
            </w:r>
          </w:p>
        </w:tc>
        <w:tc>
          <w:tcPr>
            <w:tcW w:w="565" w:type="pct"/>
            <w:tcBorders>
              <w:right w:val="single" w:sz="4" w:space="0" w:color="auto"/>
            </w:tcBorders>
            <w:shd w:val="clear" w:color="auto" w:fill="auto"/>
          </w:tcPr>
          <w:p w14:paraId="3A5F95B6" w14:textId="06A85922" w:rsidR="005B4C2E" w:rsidRPr="0039141C" w:rsidRDefault="005B4C2E" w:rsidP="00B06D81">
            <w:pPr>
              <w:keepNext/>
              <w:autoSpaceDE w:val="0"/>
              <w:autoSpaceDN w:val="0"/>
              <w:adjustRightInd w:val="0"/>
              <w:jc w:val="right"/>
              <w:rPr>
                <w:rFonts w:ascii="Calibri" w:hAnsi="Calibri" w:cs="Calibri"/>
                <w:bCs/>
                <w:sz w:val="18"/>
                <w:szCs w:val="18"/>
              </w:rPr>
            </w:pPr>
            <w:r>
              <w:rPr>
                <w:rFonts w:ascii="Calibri" w:hAnsi="Calibri" w:cs="Calibri"/>
                <w:bCs/>
                <w:sz w:val="18"/>
                <w:szCs w:val="18"/>
              </w:rPr>
              <w:t>-</w:t>
            </w:r>
          </w:p>
        </w:tc>
        <w:tc>
          <w:tcPr>
            <w:tcW w:w="423" w:type="pct"/>
            <w:tcBorders>
              <w:left w:val="single" w:sz="4" w:space="0" w:color="auto"/>
            </w:tcBorders>
            <w:shd w:val="clear" w:color="auto" w:fill="auto"/>
          </w:tcPr>
          <w:p w14:paraId="7FFF4692" w14:textId="7E522613" w:rsidR="005B4C2E" w:rsidRPr="0039141C" w:rsidRDefault="005B4C2E" w:rsidP="00B06D81">
            <w:pPr>
              <w:keepNext/>
              <w:autoSpaceDE w:val="0"/>
              <w:autoSpaceDN w:val="0"/>
              <w:adjustRightInd w:val="0"/>
              <w:jc w:val="right"/>
              <w:rPr>
                <w:rFonts w:ascii="Calibri" w:hAnsi="Calibri" w:cs="Calibri"/>
                <w:bCs/>
                <w:sz w:val="18"/>
                <w:szCs w:val="18"/>
              </w:rPr>
            </w:pPr>
            <w:r w:rsidRPr="00B22B23">
              <w:rPr>
                <w:rFonts w:ascii="Calibri" w:hAnsi="Calibri" w:cs="Calibri"/>
                <w:bCs/>
                <w:sz w:val="18"/>
                <w:szCs w:val="18"/>
              </w:rPr>
              <w:t>-</w:t>
            </w:r>
          </w:p>
        </w:tc>
        <w:tc>
          <w:tcPr>
            <w:tcW w:w="494" w:type="pct"/>
            <w:tcBorders>
              <w:right w:val="single" w:sz="4" w:space="0" w:color="auto"/>
            </w:tcBorders>
            <w:shd w:val="clear" w:color="auto" w:fill="auto"/>
          </w:tcPr>
          <w:p w14:paraId="7F435EF9" w14:textId="774637C2" w:rsidR="005B4C2E" w:rsidRPr="0039141C" w:rsidRDefault="005B4C2E" w:rsidP="00B06D81">
            <w:pPr>
              <w:keepNext/>
              <w:autoSpaceDE w:val="0"/>
              <w:autoSpaceDN w:val="0"/>
              <w:adjustRightInd w:val="0"/>
              <w:jc w:val="right"/>
              <w:rPr>
                <w:rFonts w:ascii="Calibri" w:hAnsi="Calibri" w:cs="Calibri"/>
                <w:bCs/>
                <w:sz w:val="18"/>
                <w:szCs w:val="18"/>
              </w:rPr>
            </w:pPr>
            <w:r>
              <w:rPr>
                <w:rFonts w:ascii="Calibri" w:hAnsi="Calibri" w:cs="Calibri"/>
                <w:bCs/>
                <w:sz w:val="18"/>
                <w:szCs w:val="18"/>
              </w:rPr>
              <w:t>(2.4)</w:t>
            </w:r>
          </w:p>
        </w:tc>
        <w:tc>
          <w:tcPr>
            <w:tcW w:w="467" w:type="pct"/>
            <w:tcBorders>
              <w:left w:val="single" w:sz="4" w:space="0" w:color="auto"/>
            </w:tcBorders>
            <w:shd w:val="clear" w:color="auto" w:fill="auto"/>
          </w:tcPr>
          <w:p w14:paraId="569F741C" w14:textId="3D61C356" w:rsidR="005B4C2E" w:rsidRPr="0039141C" w:rsidRDefault="005B4C2E" w:rsidP="00B06D81">
            <w:pPr>
              <w:keepNext/>
              <w:tabs>
                <w:tab w:val="left" w:pos="963"/>
              </w:tabs>
              <w:autoSpaceDE w:val="0"/>
              <w:autoSpaceDN w:val="0"/>
              <w:adjustRightInd w:val="0"/>
              <w:jc w:val="right"/>
              <w:rPr>
                <w:rFonts w:ascii="Calibri" w:hAnsi="Calibri" w:cs="Calibri"/>
                <w:bCs/>
                <w:sz w:val="18"/>
                <w:szCs w:val="18"/>
              </w:rPr>
            </w:pPr>
            <w:r w:rsidRPr="00B22B23">
              <w:rPr>
                <w:rFonts w:ascii="Calibri" w:hAnsi="Calibri" w:cs="Calibri"/>
                <w:bCs/>
                <w:sz w:val="18"/>
                <w:szCs w:val="18"/>
              </w:rPr>
              <w:t>-</w:t>
            </w:r>
          </w:p>
        </w:tc>
      </w:tr>
      <w:tr w:rsidR="005B4C2E" w:rsidRPr="00D64781" w14:paraId="0F7F5134" w14:textId="77777777" w:rsidTr="00B06D81">
        <w:trPr>
          <w:trHeight w:val="247"/>
        </w:trPr>
        <w:tc>
          <w:tcPr>
            <w:tcW w:w="1420" w:type="pct"/>
            <w:tcBorders>
              <w:right w:val="single" w:sz="4" w:space="0" w:color="auto"/>
            </w:tcBorders>
            <w:shd w:val="clear" w:color="auto" w:fill="auto"/>
          </w:tcPr>
          <w:p w14:paraId="43634C27" w14:textId="1FC96B78" w:rsidR="005B4C2E" w:rsidRPr="00DB22BA" w:rsidRDefault="005B4C2E" w:rsidP="00B06D81">
            <w:pPr>
              <w:keepNext/>
              <w:autoSpaceDE w:val="0"/>
              <w:autoSpaceDN w:val="0"/>
              <w:adjustRightInd w:val="0"/>
              <w:rPr>
                <w:rFonts w:ascii="Calibri" w:hAnsi="Calibri" w:cs="Calibri"/>
                <w:color w:val="000000"/>
                <w:sz w:val="18"/>
                <w:szCs w:val="18"/>
              </w:rPr>
            </w:pPr>
            <w:r>
              <w:rPr>
                <w:rFonts w:ascii="Calibri" w:hAnsi="Calibri" w:cs="Calibri"/>
                <w:b/>
                <w:bCs/>
                <w:color w:val="000000"/>
                <w:sz w:val="18"/>
                <w:szCs w:val="18"/>
              </w:rPr>
              <w:t>Balance at December 31</w:t>
            </w:r>
            <w:r w:rsidRPr="00DB22BA">
              <w:rPr>
                <w:rFonts w:ascii="Calibri" w:hAnsi="Calibri" w:cs="Calibri"/>
                <w:b/>
                <w:bCs/>
                <w:color w:val="000000"/>
                <w:sz w:val="18"/>
                <w:szCs w:val="18"/>
              </w:rPr>
              <w:t>, 201</w:t>
            </w:r>
            <w:r>
              <w:rPr>
                <w:rFonts w:ascii="Calibri" w:hAnsi="Calibri" w:cs="Calibri"/>
                <w:b/>
                <w:bCs/>
                <w:color w:val="000000"/>
                <w:sz w:val="18"/>
                <w:szCs w:val="18"/>
              </w:rPr>
              <w:t>9</w:t>
            </w:r>
          </w:p>
        </w:tc>
        <w:tc>
          <w:tcPr>
            <w:tcW w:w="427" w:type="pct"/>
            <w:tcBorders>
              <w:left w:val="single" w:sz="4" w:space="0" w:color="auto"/>
              <w:right w:val="single" w:sz="4" w:space="0" w:color="auto"/>
            </w:tcBorders>
            <w:shd w:val="clear" w:color="auto" w:fill="auto"/>
          </w:tcPr>
          <w:p w14:paraId="536D57E6" w14:textId="03B75EAB" w:rsidR="005B4C2E" w:rsidRPr="005824A6" w:rsidRDefault="005B4C2E" w:rsidP="00B06D81">
            <w:pPr>
              <w:keepNext/>
              <w:autoSpaceDE w:val="0"/>
              <w:autoSpaceDN w:val="0"/>
              <w:adjustRightInd w:val="0"/>
              <w:jc w:val="right"/>
              <w:rPr>
                <w:rFonts w:ascii="Calibri" w:hAnsi="Calibri" w:cs="Calibri"/>
                <w:bCs/>
                <w:sz w:val="18"/>
                <w:szCs w:val="18"/>
              </w:rPr>
            </w:pPr>
            <w:r w:rsidRPr="005824A6">
              <w:rPr>
                <w:rFonts w:ascii="Calibri" w:hAnsi="Calibri" w:cs="Calibri"/>
                <w:b/>
                <w:bCs/>
                <w:sz w:val="18"/>
                <w:szCs w:val="18"/>
              </w:rPr>
              <w:t>1</w:t>
            </w:r>
            <w:r>
              <w:rPr>
                <w:rFonts w:ascii="Calibri" w:hAnsi="Calibri" w:cs="Calibri"/>
                <w:b/>
                <w:bCs/>
                <w:sz w:val="18"/>
                <w:szCs w:val="18"/>
              </w:rPr>
              <w:t>,103.0</w:t>
            </w:r>
          </w:p>
        </w:tc>
        <w:tc>
          <w:tcPr>
            <w:tcW w:w="362" w:type="pct"/>
            <w:tcBorders>
              <w:left w:val="single" w:sz="4" w:space="0" w:color="auto"/>
            </w:tcBorders>
            <w:shd w:val="clear" w:color="auto" w:fill="auto"/>
          </w:tcPr>
          <w:p w14:paraId="24D1E354" w14:textId="165ECD25" w:rsidR="005B4C2E" w:rsidRPr="005824A6" w:rsidRDefault="005B4C2E" w:rsidP="00B06D81">
            <w:pPr>
              <w:keepNext/>
              <w:autoSpaceDE w:val="0"/>
              <w:autoSpaceDN w:val="0"/>
              <w:adjustRightInd w:val="0"/>
              <w:jc w:val="right"/>
              <w:rPr>
                <w:rFonts w:ascii="Calibri" w:hAnsi="Calibri" w:cs="Calibri"/>
                <w:bCs/>
                <w:sz w:val="18"/>
                <w:szCs w:val="18"/>
              </w:rPr>
            </w:pPr>
            <w:r w:rsidRPr="005824A6">
              <w:rPr>
                <w:rFonts w:ascii="Calibri" w:hAnsi="Calibri" w:cs="Calibri"/>
                <w:b/>
                <w:bCs/>
                <w:sz w:val="18"/>
                <w:szCs w:val="18"/>
              </w:rPr>
              <w:t>6.</w:t>
            </w:r>
            <w:r>
              <w:rPr>
                <w:rFonts w:ascii="Calibri" w:hAnsi="Calibri" w:cs="Calibri"/>
                <w:b/>
                <w:bCs/>
                <w:sz w:val="18"/>
                <w:szCs w:val="18"/>
              </w:rPr>
              <w:t>6</w:t>
            </w:r>
          </w:p>
        </w:tc>
        <w:tc>
          <w:tcPr>
            <w:tcW w:w="416" w:type="pct"/>
            <w:shd w:val="clear" w:color="auto" w:fill="auto"/>
          </w:tcPr>
          <w:p w14:paraId="230AE004" w14:textId="27425EBE" w:rsidR="005B4C2E" w:rsidRPr="005824A6" w:rsidRDefault="005B4C2E" w:rsidP="00B06D81">
            <w:pPr>
              <w:keepNext/>
              <w:autoSpaceDE w:val="0"/>
              <w:autoSpaceDN w:val="0"/>
              <w:adjustRightInd w:val="0"/>
              <w:jc w:val="right"/>
              <w:rPr>
                <w:rFonts w:ascii="Calibri" w:hAnsi="Calibri" w:cs="Calibri"/>
                <w:bCs/>
                <w:sz w:val="18"/>
                <w:szCs w:val="18"/>
              </w:rPr>
            </w:pPr>
            <w:r>
              <w:rPr>
                <w:rFonts w:ascii="Calibri" w:hAnsi="Calibri" w:cs="Calibri"/>
                <w:b/>
                <w:bCs/>
                <w:sz w:val="18"/>
                <w:szCs w:val="18"/>
              </w:rPr>
              <w:t>731.4</w:t>
            </w:r>
          </w:p>
        </w:tc>
        <w:tc>
          <w:tcPr>
            <w:tcW w:w="426" w:type="pct"/>
            <w:shd w:val="clear" w:color="auto" w:fill="auto"/>
          </w:tcPr>
          <w:p w14:paraId="7340AC67" w14:textId="0D7A4382" w:rsidR="005B4C2E" w:rsidRPr="00B22B23" w:rsidRDefault="005B4C2E" w:rsidP="00B06D81">
            <w:pPr>
              <w:keepNext/>
              <w:autoSpaceDE w:val="0"/>
              <w:autoSpaceDN w:val="0"/>
              <w:adjustRightInd w:val="0"/>
              <w:jc w:val="right"/>
              <w:rPr>
                <w:rFonts w:ascii="Calibri" w:hAnsi="Calibri" w:cs="Calibri"/>
                <w:bCs/>
                <w:sz w:val="18"/>
                <w:szCs w:val="18"/>
              </w:rPr>
            </w:pPr>
            <w:r>
              <w:rPr>
                <w:rFonts w:ascii="Calibri" w:hAnsi="Calibri" w:cs="Calibri"/>
                <w:b/>
                <w:bCs/>
                <w:sz w:val="18"/>
                <w:szCs w:val="18"/>
              </w:rPr>
              <w:t>5,044.4</w:t>
            </w:r>
          </w:p>
        </w:tc>
        <w:tc>
          <w:tcPr>
            <w:tcW w:w="565" w:type="pct"/>
            <w:tcBorders>
              <w:right w:val="single" w:sz="4" w:space="0" w:color="auto"/>
            </w:tcBorders>
            <w:shd w:val="clear" w:color="auto" w:fill="auto"/>
          </w:tcPr>
          <w:p w14:paraId="1322D90B" w14:textId="116184BB" w:rsidR="005B4C2E" w:rsidRPr="00B22B23" w:rsidRDefault="005B4C2E" w:rsidP="00B06D81">
            <w:pPr>
              <w:keepNext/>
              <w:autoSpaceDE w:val="0"/>
              <w:autoSpaceDN w:val="0"/>
              <w:adjustRightInd w:val="0"/>
              <w:jc w:val="right"/>
              <w:rPr>
                <w:rFonts w:ascii="Calibri" w:hAnsi="Calibri" w:cs="Calibri"/>
                <w:bCs/>
                <w:sz w:val="18"/>
                <w:szCs w:val="18"/>
              </w:rPr>
            </w:pPr>
            <w:r w:rsidRPr="0039141C">
              <w:rPr>
                <w:rFonts w:ascii="Calibri" w:hAnsi="Calibri" w:cs="Calibri"/>
                <w:b/>
                <w:bCs/>
                <w:sz w:val="18"/>
                <w:szCs w:val="18"/>
              </w:rPr>
              <w:t>3.</w:t>
            </w:r>
            <w:r>
              <w:rPr>
                <w:rFonts w:ascii="Calibri" w:hAnsi="Calibri" w:cs="Calibri"/>
                <w:b/>
                <w:bCs/>
                <w:sz w:val="18"/>
                <w:szCs w:val="18"/>
              </w:rPr>
              <w:t>4</w:t>
            </w:r>
          </w:p>
        </w:tc>
        <w:tc>
          <w:tcPr>
            <w:tcW w:w="423" w:type="pct"/>
            <w:tcBorders>
              <w:left w:val="single" w:sz="4" w:space="0" w:color="auto"/>
            </w:tcBorders>
            <w:shd w:val="clear" w:color="auto" w:fill="auto"/>
          </w:tcPr>
          <w:p w14:paraId="3AED2495" w14:textId="25737A88" w:rsidR="005B4C2E" w:rsidRPr="00B22B23" w:rsidRDefault="005B4C2E" w:rsidP="00B06D81">
            <w:pPr>
              <w:keepNext/>
              <w:autoSpaceDE w:val="0"/>
              <w:autoSpaceDN w:val="0"/>
              <w:adjustRightInd w:val="0"/>
              <w:jc w:val="right"/>
              <w:rPr>
                <w:rFonts w:ascii="Calibri" w:hAnsi="Calibri" w:cs="Calibri"/>
                <w:bCs/>
                <w:sz w:val="18"/>
                <w:szCs w:val="18"/>
              </w:rPr>
            </w:pPr>
            <w:r>
              <w:rPr>
                <w:rFonts w:ascii="Calibri" w:hAnsi="Calibri" w:cs="Calibri"/>
                <w:b/>
                <w:bCs/>
                <w:sz w:val="18"/>
                <w:szCs w:val="18"/>
              </w:rPr>
              <w:t>439.4</w:t>
            </w:r>
          </w:p>
        </w:tc>
        <w:tc>
          <w:tcPr>
            <w:tcW w:w="494" w:type="pct"/>
            <w:tcBorders>
              <w:right w:val="single" w:sz="4" w:space="0" w:color="auto"/>
            </w:tcBorders>
            <w:shd w:val="clear" w:color="auto" w:fill="auto"/>
          </w:tcPr>
          <w:p w14:paraId="36A13AB3" w14:textId="126869EB" w:rsidR="005B4C2E" w:rsidRPr="00B22B23" w:rsidRDefault="005B4C2E" w:rsidP="00B06D81">
            <w:pPr>
              <w:keepNext/>
              <w:autoSpaceDE w:val="0"/>
              <w:autoSpaceDN w:val="0"/>
              <w:adjustRightInd w:val="0"/>
              <w:jc w:val="right"/>
              <w:rPr>
                <w:rFonts w:ascii="Calibri" w:hAnsi="Calibri" w:cs="Calibri"/>
                <w:bCs/>
                <w:sz w:val="18"/>
                <w:szCs w:val="18"/>
              </w:rPr>
            </w:pPr>
            <w:r>
              <w:rPr>
                <w:rFonts w:ascii="Calibri" w:hAnsi="Calibri" w:cs="Calibri"/>
                <w:b/>
                <w:bCs/>
                <w:sz w:val="18"/>
                <w:szCs w:val="18"/>
              </w:rPr>
              <w:t>32.5</w:t>
            </w:r>
          </w:p>
        </w:tc>
        <w:tc>
          <w:tcPr>
            <w:tcW w:w="467" w:type="pct"/>
            <w:tcBorders>
              <w:left w:val="single" w:sz="4" w:space="0" w:color="auto"/>
            </w:tcBorders>
            <w:shd w:val="clear" w:color="auto" w:fill="auto"/>
          </w:tcPr>
          <w:p w14:paraId="6255C54F" w14:textId="784F6F52" w:rsidR="005B4C2E" w:rsidRPr="00B22B23" w:rsidRDefault="005B4C2E" w:rsidP="00B06D81">
            <w:pPr>
              <w:keepNext/>
              <w:tabs>
                <w:tab w:val="left" w:pos="963"/>
              </w:tabs>
              <w:autoSpaceDE w:val="0"/>
              <w:autoSpaceDN w:val="0"/>
              <w:adjustRightInd w:val="0"/>
              <w:jc w:val="right"/>
              <w:rPr>
                <w:rFonts w:ascii="Calibri" w:hAnsi="Calibri" w:cs="Calibri"/>
                <w:bCs/>
                <w:sz w:val="18"/>
                <w:szCs w:val="18"/>
              </w:rPr>
            </w:pPr>
            <w:r>
              <w:rPr>
                <w:rFonts w:ascii="Calibri" w:hAnsi="Calibri" w:cs="Calibri"/>
                <w:b/>
                <w:bCs/>
                <w:sz w:val="18"/>
                <w:szCs w:val="18"/>
              </w:rPr>
              <w:t>6</w:t>
            </w:r>
            <w:r w:rsidRPr="0039141C">
              <w:rPr>
                <w:rFonts w:ascii="Calibri" w:hAnsi="Calibri" w:cs="Calibri"/>
                <w:b/>
                <w:bCs/>
                <w:sz w:val="18"/>
                <w:szCs w:val="18"/>
              </w:rPr>
              <w:t>,</w:t>
            </w:r>
            <w:r>
              <w:rPr>
                <w:rFonts w:ascii="Calibri" w:hAnsi="Calibri" w:cs="Calibri"/>
                <w:b/>
                <w:bCs/>
                <w:sz w:val="18"/>
                <w:szCs w:val="18"/>
              </w:rPr>
              <w:t>257.7</w:t>
            </w:r>
          </w:p>
        </w:tc>
      </w:tr>
      <w:tr w:rsidR="005B4C2E" w:rsidRPr="00D64781" w14:paraId="13E6D4CD" w14:textId="77777777" w:rsidTr="00B06D81">
        <w:trPr>
          <w:trHeight w:val="247"/>
        </w:trPr>
        <w:tc>
          <w:tcPr>
            <w:tcW w:w="1420" w:type="pct"/>
            <w:tcBorders>
              <w:right w:val="single" w:sz="4" w:space="0" w:color="auto"/>
            </w:tcBorders>
            <w:shd w:val="clear" w:color="auto" w:fill="auto"/>
          </w:tcPr>
          <w:p w14:paraId="225AE1C7" w14:textId="1A6E962D" w:rsidR="005B4C2E" w:rsidRPr="00DB22BA" w:rsidRDefault="005B4C2E" w:rsidP="00B06D81">
            <w:pPr>
              <w:keepNext/>
              <w:autoSpaceDE w:val="0"/>
              <w:autoSpaceDN w:val="0"/>
              <w:adjustRightInd w:val="0"/>
              <w:rPr>
                <w:rFonts w:ascii="Calibri" w:hAnsi="Calibri" w:cs="Calibri"/>
                <w:b/>
                <w:bCs/>
                <w:color w:val="000000"/>
                <w:sz w:val="18"/>
                <w:szCs w:val="18"/>
              </w:rPr>
            </w:pPr>
          </w:p>
        </w:tc>
        <w:tc>
          <w:tcPr>
            <w:tcW w:w="427" w:type="pct"/>
            <w:tcBorders>
              <w:left w:val="single" w:sz="4" w:space="0" w:color="auto"/>
              <w:bottom w:val="single" w:sz="4" w:space="0" w:color="auto"/>
              <w:right w:val="single" w:sz="4" w:space="0" w:color="auto"/>
            </w:tcBorders>
            <w:shd w:val="clear" w:color="auto" w:fill="auto"/>
          </w:tcPr>
          <w:p w14:paraId="13945761" w14:textId="1F83F9B7" w:rsidR="005B4C2E" w:rsidRPr="005824A6"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362" w:type="pct"/>
            <w:tcBorders>
              <w:left w:val="single" w:sz="4" w:space="0" w:color="auto"/>
            </w:tcBorders>
            <w:shd w:val="clear" w:color="auto" w:fill="auto"/>
          </w:tcPr>
          <w:p w14:paraId="3CE8CDAD" w14:textId="250FB241" w:rsidR="005B4C2E" w:rsidRPr="005824A6"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416" w:type="pct"/>
            <w:shd w:val="clear" w:color="auto" w:fill="auto"/>
          </w:tcPr>
          <w:p w14:paraId="4A272A7B" w14:textId="66363A1B" w:rsidR="005B4C2E" w:rsidRPr="005824A6"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426" w:type="pct"/>
            <w:shd w:val="clear" w:color="auto" w:fill="auto"/>
          </w:tcPr>
          <w:p w14:paraId="5B959935" w14:textId="49601D7C" w:rsidR="005B4C2E" w:rsidRPr="0039141C"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565" w:type="pct"/>
            <w:tcBorders>
              <w:right w:val="single" w:sz="4" w:space="0" w:color="auto"/>
            </w:tcBorders>
            <w:shd w:val="clear" w:color="auto" w:fill="auto"/>
          </w:tcPr>
          <w:p w14:paraId="15236F02" w14:textId="07580BAC" w:rsidR="005B4C2E" w:rsidRPr="0039141C"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423" w:type="pct"/>
            <w:tcBorders>
              <w:left w:val="single" w:sz="4" w:space="0" w:color="auto"/>
              <w:bottom w:val="single" w:sz="4" w:space="0" w:color="auto"/>
            </w:tcBorders>
            <w:shd w:val="clear" w:color="auto" w:fill="auto"/>
          </w:tcPr>
          <w:p w14:paraId="0B6650A9" w14:textId="57C46EFE" w:rsidR="005B4C2E" w:rsidRPr="0039141C"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494" w:type="pct"/>
            <w:tcBorders>
              <w:bottom w:val="single" w:sz="4" w:space="0" w:color="auto"/>
              <w:right w:val="single" w:sz="4" w:space="0" w:color="auto"/>
            </w:tcBorders>
            <w:shd w:val="clear" w:color="auto" w:fill="auto"/>
          </w:tcPr>
          <w:p w14:paraId="6F3107F5" w14:textId="25E2F83E" w:rsidR="005B4C2E" w:rsidRPr="0039141C"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467" w:type="pct"/>
            <w:tcBorders>
              <w:left w:val="single" w:sz="4" w:space="0" w:color="auto"/>
            </w:tcBorders>
            <w:shd w:val="clear" w:color="auto" w:fill="auto"/>
          </w:tcPr>
          <w:p w14:paraId="470B346B" w14:textId="0F5A2091" w:rsidR="005B4C2E" w:rsidRPr="0039141C" w:rsidRDefault="005B4C2E" w:rsidP="00B06D81">
            <w:pPr>
              <w:keepNext/>
              <w:pBdr>
                <w:top w:val="single" w:sz="4" w:space="1" w:color="auto"/>
              </w:pBdr>
              <w:tabs>
                <w:tab w:val="left" w:pos="963"/>
              </w:tabs>
              <w:autoSpaceDE w:val="0"/>
              <w:autoSpaceDN w:val="0"/>
              <w:adjustRightInd w:val="0"/>
              <w:jc w:val="right"/>
              <w:rPr>
                <w:rFonts w:ascii="Calibri" w:hAnsi="Calibri" w:cs="Calibri"/>
                <w:b/>
                <w:bCs/>
                <w:sz w:val="18"/>
                <w:szCs w:val="18"/>
              </w:rPr>
            </w:pPr>
          </w:p>
        </w:tc>
      </w:tr>
      <w:tr w:rsidR="005B4C2E" w:rsidRPr="00D64781" w14:paraId="74AEEAA3" w14:textId="77777777" w:rsidTr="00B06D81">
        <w:trPr>
          <w:trHeight w:val="247"/>
        </w:trPr>
        <w:tc>
          <w:tcPr>
            <w:tcW w:w="1420" w:type="pct"/>
            <w:tcBorders>
              <w:right w:val="single" w:sz="4" w:space="0" w:color="auto"/>
            </w:tcBorders>
            <w:shd w:val="clear" w:color="auto" w:fill="auto"/>
          </w:tcPr>
          <w:p w14:paraId="197E6D7A" w14:textId="77777777" w:rsidR="005B4C2E" w:rsidRDefault="005B4C2E" w:rsidP="00B06D81">
            <w:pPr>
              <w:keepNext/>
              <w:autoSpaceDE w:val="0"/>
              <w:autoSpaceDN w:val="0"/>
              <w:adjustRightInd w:val="0"/>
              <w:rPr>
                <w:rFonts w:ascii="Calibri" w:hAnsi="Calibri" w:cs="Calibri"/>
                <w:b/>
                <w:bCs/>
                <w:color w:val="000000"/>
                <w:sz w:val="18"/>
                <w:szCs w:val="18"/>
              </w:rPr>
            </w:pPr>
          </w:p>
        </w:tc>
        <w:tc>
          <w:tcPr>
            <w:tcW w:w="427" w:type="pct"/>
            <w:tcBorders>
              <w:left w:val="single" w:sz="4" w:space="0" w:color="auto"/>
              <w:bottom w:val="single" w:sz="4" w:space="0" w:color="auto"/>
              <w:right w:val="single" w:sz="4" w:space="0" w:color="auto"/>
            </w:tcBorders>
            <w:shd w:val="clear" w:color="auto" w:fill="auto"/>
          </w:tcPr>
          <w:p w14:paraId="223AB338" w14:textId="77777777" w:rsidR="005B4C2E" w:rsidRPr="005824A6"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362" w:type="pct"/>
            <w:tcBorders>
              <w:left w:val="single" w:sz="4" w:space="0" w:color="auto"/>
            </w:tcBorders>
            <w:shd w:val="clear" w:color="auto" w:fill="auto"/>
          </w:tcPr>
          <w:p w14:paraId="40FA3346" w14:textId="77777777" w:rsidR="005B4C2E" w:rsidRPr="005824A6"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416" w:type="pct"/>
            <w:shd w:val="clear" w:color="auto" w:fill="auto"/>
          </w:tcPr>
          <w:p w14:paraId="598DECA7" w14:textId="77777777" w:rsidR="005B4C2E"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426" w:type="pct"/>
            <w:shd w:val="clear" w:color="auto" w:fill="auto"/>
          </w:tcPr>
          <w:p w14:paraId="34BCB5E9" w14:textId="77777777" w:rsidR="005B4C2E" w:rsidRPr="0039141C"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565" w:type="pct"/>
            <w:tcBorders>
              <w:right w:val="single" w:sz="4" w:space="0" w:color="auto"/>
            </w:tcBorders>
            <w:shd w:val="clear" w:color="auto" w:fill="auto"/>
          </w:tcPr>
          <w:p w14:paraId="469B6D0F" w14:textId="77777777" w:rsidR="005B4C2E" w:rsidRPr="0039141C"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423" w:type="pct"/>
            <w:tcBorders>
              <w:left w:val="single" w:sz="4" w:space="0" w:color="auto"/>
              <w:bottom w:val="single" w:sz="4" w:space="0" w:color="auto"/>
            </w:tcBorders>
            <w:shd w:val="clear" w:color="auto" w:fill="auto"/>
          </w:tcPr>
          <w:p w14:paraId="53B3A1E1" w14:textId="77777777" w:rsidR="005B4C2E"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494" w:type="pct"/>
            <w:tcBorders>
              <w:bottom w:val="single" w:sz="4" w:space="0" w:color="auto"/>
              <w:right w:val="single" w:sz="4" w:space="0" w:color="auto"/>
            </w:tcBorders>
            <w:shd w:val="clear" w:color="auto" w:fill="auto"/>
          </w:tcPr>
          <w:p w14:paraId="2D560EE1" w14:textId="77777777" w:rsidR="005B4C2E" w:rsidRDefault="005B4C2E" w:rsidP="00B06D81">
            <w:pPr>
              <w:keepNext/>
              <w:pBdr>
                <w:top w:val="single" w:sz="4" w:space="1" w:color="auto"/>
              </w:pBdr>
              <w:autoSpaceDE w:val="0"/>
              <w:autoSpaceDN w:val="0"/>
              <w:adjustRightInd w:val="0"/>
              <w:jc w:val="right"/>
              <w:rPr>
                <w:rFonts w:ascii="Calibri" w:hAnsi="Calibri" w:cs="Calibri"/>
                <w:b/>
                <w:bCs/>
                <w:sz w:val="18"/>
                <w:szCs w:val="18"/>
              </w:rPr>
            </w:pPr>
          </w:p>
        </w:tc>
        <w:tc>
          <w:tcPr>
            <w:tcW w:w="467" w:type="pct"/>
            <w:tcBorders>
              <w:left w:val="single" w:sz="4" w:space="0" w:color="auto"/>
            </w:tcBorders>
            <w:shd w:val="clear" w:color="auto" w:fill="auto"/>
          </w:tcPr>
          <w:p w14:paraId="598594EB" w14:textId="77777777" w:rsidR="005B4C2E" w:rsidRPr="0039141C" w:rsidRDefault="005B4C2E" w:rsidP="00B06D81">
            <w:pPr>
              <w:keepNext/>
              <w:pBdr>
                <w:top w:val="single" w:sz="4" w:space="1" w:color="auto"/>
              </w:pBdr>
              <w:tabs>
                <w:tab w:val="left" w:pos="963"/>
              </w:tabs>
              <w:autoSpaceDE w:val="0"/>
              <w:autoSpaceDN w:val="0"/>
              <w:adjustRightInd w:val="0"/>
              <w:jc w:val="right"/>
              <w:rPr>
                <w:rFonts w:ascii="Calibri" w:hAnsi="Calibri" w:cs="Calibri"/>
                <w:b/>
                <w:bCs/>
                <w:sz w:val="18"/>
                <w:szCs w:val="18"/>
              </w:rPr>
            </w:pPr>
          </w:p>
        </w:tc>
      </w:tr>
    </w:tbl>
    <w:p w14:paraId="2FC4C94F" w14:textId="77777777" w:rsidR="002B5EDD" w:rsidRDefault="002B5EDD" w:rsidP="00677316">
      <w:pPr>
        <w:rPr>
          <w:rFonts w:asciiTheme="minorHAnsi" w:hAnsiTheme="minorHAnsi" w:cstheme="minorHAnsi"/>
          <w:b/>
        </w:rPr>
      </w:pPr>
    </w:p>
    <w:p w14:paraId="2B6B9D91" w14:textId="77777777" w:rsidR="00866A24" w:rsidRPr="00DB22BA" w:rsidRDefault="00866A24" w:rsidP="00866A24">
      <w:pPr>
        <w:rPr>
          <w:rFonts w:ascii="Calibri" w:hAnsi="Calibri" w:cs="Calibri"/>
          <w:b/>
          <w:bCs/>
          <w:color w:val="000000"/>
          <w:sz w:val="22"/>
          <w:szCs w:val="22"/>
        </w:rPr>
      </w:pPr>
    </w:p>
    <w:p w14:paraId="33DC1825" w14:textId="77777777" w:rsidR="00832D00" w:rsidRPr="00961368" w:rsidRDefault="00832D00" w:rsidP="00832D00">
      <w:pPr>
        <w:tabs>
          <w:tab w:val="left" w:pos="7655"/>
        </w:tabs>
        <w:ind w:right="4"/>
        <w:rPr>
          <w:rFonts w:ascii="Calibri" w:hAnsi="Calibri" w:cs="Calibri"/>
          <w:b/>
          <w:bCs/>
          <w:i/>
          <w:iCs/>
          <w:color w:val="000000"/>
          <w:sz w:val="22"/>
          <w:szCs w:val="22"/>
        </w:rPr>
      </w:pPr>
      <w:bookmarkStart w:id="1" w:name="_Hlk496863115"/>
      <w:r w:rsidRPr="00961368">
        <w:rPr>
          <w:rFonts w:ascii="Calibri" w:hAnsi="Calibri" w:cs="Calibri"/>
          <w:b/>
        </w:rPr>
        <w:t>Ryanair Holdings plc and Subsidiaries</w:t>
      </w:r>
    </w:p>
    <w:p w14:paraId="1D970382" w14:textId="77777777" w:rsidR="00832D00" w:rsidRPr="00961368" w:rsidRDefault="00832D00" w:rsidP="00832D00">
      <w:pPr>
        <w:rPr>
          <w:rFonts w:ascii="Calibri" w:hAnsi="Calibri" w:cs="Calibri"/>
          <w:b/>
        </w:rPr>
      </w:pPr>
    </w:p>
    <w:p w14:paraId="456E5151" w14:textId="77777777" w:rsidR="00832D00" w:rsidRPr="00961368" w:rsidRDefault="00832D00" w:rsidP="00832D00">
      <w:pPr>
        <w:rPr>
          <w:rFonts w:ascii="Calibri" w:hAnsi="Calibri" w:cs="Calibri"/>
          <w:b/>
        </w:rPr>
      </w:pPr>
      <w:r w:rsidRPr="00961368">
        <w:rPr>
          <w:rFonts w:ascii="Calibri" w:hAnsi="Calibri" w:cs="Calibri"/>
          <w:b/>
        </w:rPr>
        <w:t>MD&amp;A Quarter Ended December 31, 2019</w:t>
      </w:r>
    </w:p>
    <w:p w14:paraId="34326805" w14:textId="77777777" w:rsidR="00832D00" w:rsidRPr="00961368" w:rsidRDefault="00832D00" w:rsidP="00832D00">
      <w:pPr>
        <w:rPr>
          <w:rFonts w:ascii="Calibri" w:hAnsi="Calibri" w:cs="Calibri"/>
          <w:b/>
        </w:rPr>
      </w:pPr>
    </w:p>
    <w:p w14:paraId="0CCD4842" w14:textId="77777777" w:rsidR="00832D00" w:rsidRPr="00B40600" w:rsidRDefault="00832D00" w:rsidP="00832D00">
      <w:pPr>
        <w:rPr>
          <w:rFonts w:ascii="Calibri" w:hAnsi="Calibri" w:cs="Calibri"/>
          <w:b/>
          <w:sz w:val="22"/>
          <w:szCs w:val="22"/>
          <w:u w:val="single"/>
        </w:rPr>
      </w:pPr>
      <w:r w:rsidRPr="00B40600">
        <w:rPr>
          <w:rFonts w:ascii="Calibri" w:hAnsi="Calibri" w:cs="Calibri"/>
          <w:b/>
          <w:sz w:val="22"/>
          <w:szCs w:val="22"/>
          <w:u w:val="single"/>
        </w:rPr>
        <w:t>Income Statement</w:t>
      </w:r>
    </w:p>
    <w:p w14:paraId="3A59C78C" w14:textId="77777777" w:rsidR="00832D00" w:rsidRPr="00B40600" w:rsidRDefault="00832D00" w:rsidP="00832D00">
      <w:pPr>
        <w:rPr>
          <w:rFonts w:ascii="Calibri" w:hAnsi="Calibri" w:cs="Calibri"/>
          <w:b/>
          <w:sz w:val="22"/>
          <w:szCs w:val="22"/>
        </w:rPr>
      </w:pPr>
    </w:p>
    <w:p w14:paraId="214908D9" w14:textId="77777777" w:rsidR="00832D00" w:rsidRPr="00B40600" w:rsidRDefault="00832D00" w:rsidP="00832D00">
      <w:pPr>
        <w:keepNext/>
        <w:jc w:val="both"/>
        <w:rPr>
          <w:rFonts w:ascii="Calibri" w:hAnsi="Calibri" w:cs="Calibri"/>
          <w:b/>
          <w:sz w:val="22"/>
          <w:szCs w:val="22"/>
        </w:rPr>
      </w:pPr>
      <w:r w:rsidRPr="00B40600">
        <w:rPr>
          <w:rFonts w:ascii="Calibri" w:hAnsi="Calibri" w:cs="Calibri"/>
          <w:b/>
          <w:sz w:val="22"/>
          <w:szCs w:val="22"/>
        </w:rPr>
        <w:t>Scheduled revenues:</w:t>
      </w:r>
      <w:r w:rsidRPr="00B40600">
        <w:rPr>
          <w:rFonts w:ascii="Calibri" w:hAnsi="Calibri" w:cs="Calibri"/>
          <w:b/>
          <w:sz w:val="22"/>
          <w:szCs w:val="22"/>
        </w:rPr>
        <w:tab/>
      </w:r>
    </w:p>
    <w:p w14:paraId="09E52F26" w14:textId="77777777" w:rsidR="00832D00" w:rsidRPr="00961368" w:rsidRDefault="00832D00" w:rsidP="00832D00">
      <w:pPr>
        <w:keepNext/>
        <w:jc w:val="both"/>
        <w:rPr>
          <w:rFonts w:ascii="Calibri" w:hAnsi="Calibri" w:cs="Calibri"/>
          <w:sz w:val="22"/>
          <w:szCs w:val="22"/>
          <w:highlight w:val="yellow"/>
        </w:rPr>
      </w:pPr>
      <w:r w:rsidRPr="00B40600">
        <w:rPr>
          <w:rFonts w:ascii="Calibri" w:hAnsi="Calibri" w:cs="Calibri"/>
          <w:sz w:val="22"/>
          <w:szCs w:val="22"/>
        </w:rPr>
        <w:t>Scheduled revenues increased by</w:t>
      </w:r>
      <w:r w:rsidRPr="00B40600">
        <w:rPr>
          <w:rFonts w:ascii="Calibri" w:hAnsi="Calibri" w:cs="Calibri"/>
          <w:b/>
          <w:sz w:val="22"/>
          <w:szCs w:val="22"/>
        </w:rPr>
        <w:t xml:space="preserve"> 1</w:t>
      </w:r>
      <w:r>
        <w:rPr>
          <w:rFonts w:ascii="Calibri" w:hAnsi="Calibri" w:cs="Calibri"/>
          <w:b/>
          <w:sz w:val="22"/>
          <w:szCs w:val="22"/>
        </w:rPr>
        <w:t>6</w:t>
      </w:r>
      <w:r w:rsidRPr="00B40600">
        <w:rPr>
          <w:rFonts w:ascii="Calibri" w:hAnsi="Calibri" w:cs="Calibri"/>
          <w:b/>
          <w:sz w:val="22"/>
          <w:szCs w:val="22"/>
        </w:rPr>
        <w:t>% to €1,1</w:t>
      </w:r>
      <w:r>
        <w:rPr>
          <w:rFonts w:ascii="Calibri" w:hAnsi="Calibri" w:cs="Calibri"/>
          <w:b/>
          <w:sz w:val="22"/>
          <w:szCs w:val="22"/>
        </w:rPr>
        <w:t>86.0</w:t>
      </w:r>
      <w:r w:rsidRPr="00B40600">
        <w:rPr>
          <w:rFonts w:ascii="Calibri" w:hAnsi="Calibri" w:cs="Calibri"/>
          <w:b/>
          <w:sz w:val="22"/>
          <w:szCs w:val="22"/>
        </w:rPr>
        <w:t>M</w:t>
      </w:r>
      <w:r w:rsidRPr="00B40600">
        <w:rPr>
          <w:rFonts w:ascii="Calibri" w:hAnsi="Calibri" w:cs="Calibri"/>
          <w:sz w:val="22"/>
          <w:szCs w:val="22"/>
        </w:rPr>
        <w:t xml:space="preserve"> due to 6% traffic growth to 35.9M guests and a </w:t>
      </w:r>
      <w:r>
        <w:rPr>
          <w:rFonts w:ascii="Calibri" w:hAnsi="Calibri" w:cs="Calibri"/>
          <w:sz w:val="22"/>
          <w:szCs w:val="22"/>
        </w:rPr>
        <w:t>9</w:t>
      </w:r>
      <w:r w:rsidRPr="00B40600">
        <w:rPr>
          <w:rFonts w:ascii="Calibri" w:hAnsi="Calibri" w:cs="Calibri"/>
          <w:sz w:val="22"/>
          <w:szCs w:val="22"/>
        </w:rPr>
        <w:t xml:space="preserve">% </w:t>
      </w:r>
      <w:r>
        <w:rPr>
          <w:rFonts w:ascii="Calibri" w:hAnsi="Calibri" w:cs="Calibri"/>
          <w:sz w:val="22"/>
          <w:szCs w:val="22"/>
        </w:rPr>
        <w:t>increase</w:t>
      </w:r>
      <w:r w:rsidRPr="00B40600">
        <w:rPr>
          <w:rFonts w:ascii="Calibri" w:hAnsi="Calibri" w:cs="Calibri"/>
          <w:sz w:val="22"/>
          <w:szCs w:val="22"/>
        </w:rPr>
        <w:t xml:space="preserve"> in average fares. </w:t>
      </w:r>
    </w:p>
    <w:p w14:paraId="384E6EC4" w14:textId="77777777" w:rsidR="00832D00" w:rsidRPr="00961368" w:rsidRDefault="00832D00" w:rsidP="00832D00">
      <w:pPr>
        <w:keepNext/>
        <w:ind w:left="720"/>
        <w:jc w:val="both"/>
        <w:rPr>
          <w:rFonts w:ascii="Calibri" w:hAnsi="Calibri" w:cs="Calibri"/>
          <w:sz w:val="18"/>
          <w:szCs w:val="18"/>
          <w:highlight w:val="yellow"/>
        </w:rPr>
      </w:pPr>
    </w:p>
    <w:p w14:paraId="33FC2441" w14:textId="77777777" w:rsidR="00832D00" w:rsidRPr="00D41BF7" w:rsidRDefault="00832D00" w:rsidP="00832D00">
      <w:pPr>
        <w:jc w:val="both"/>
        <w:rPr>
          <w:rFonts w:ascii="Calibri" w:hAnsi="Calibri" w:cs="Calibri"/>
          <w:b/>
          <w:sz w:val="22"/>
          <w:szCs w:val="22"/>
        </w:rPr>
      </w:pPr>
      <w:r w:rsidRPr="00D41BF7">
        <w:rPr>
          <w:rFonts w:ascii="Calibri" w:hAnsi="Calibri" w:cs="Calibri"/>
          <w:b/>
          <w:sz w:val="22"/>
          <w:szCs w:val="22"/>
        </w:rPr>
        <w:t xml:space="preserve">Ancillary revenues: </w:t>
      </w:r>
      <w:r w:rsidRPr="00D41BF7">
        <w:rPr>
          <w:rFonts w:ascii="Calibri" w:hAnsi="Calibri" w:cs="Calibri"/>
          <w:b/>
          <w:sz w:val="22"/>
          <w:szCs w:val="22"/>
        </w:rPr>
        <w:tab/>
      </w:r>
      <w:r w:rsidRPr="00D41BF7">
        <w:rPr>
          <w:rFonts w:ascii="Calibri" w:hAnsi="Calibri" w:cs="Calibri"/>
          <w:b/>
          <w:sz w:val="22"/>
          <w:szCs w:val="22"/>
        </w:rPr>
        <w:tab/>
      </w:r>
      <w:r w:rsidRPr="00D41BF7">
        <w:rPr>
          <w:rFonts w:ascii="Calibri" w:hAnsi="Calibri" w:cs="Calibri"/>
          <w:b/>
          <w:sz w:val="22"/>
          <w:szCs w:val="22"/>
        </w:rPr>
        <w:tab/>
      </w:r>
      <w:r w:rsidRPr="00D41BF7">
        <w:rPr>
          <w:rFonts w:ascii="Calibri" w:hAnsi="Calibri" w:cs="Calibri"/>
          <w:b/>
          <w:sz w:val="22"/>
          <w:szCs w:val="22"/>
        </w:rPr>
        <w:tab/>
      </w:r>
      <w:r w:rsidRPr="00D41BF7">
        <w:rPr>
          <w:rFonts w:ascii="Calibri" w:hAnsi="Calibri" w:cs="Calibri"/>
          <w:b/>
          <w:sz w:val="22"/>
          <w:szCs w:val="22"/>
        </w:rPr>
        <w:tab/>
      </w:r>
      <w:r w:rsidRPr="00D41BF7">
        <w:rPr>
          <w:rFonts w:ascii="Calibri" w:hAnsi="Calibri" w:cs="Calibri"/>
          <w:b/>
          <w:sz w:val="22"/>
          <w:szCs w:val="22"/>
        </w:rPr>
        <w:tab/>
      </w:r>
      <w:r w:rsidRPr="00D41BF7">
        <w:rPr>
          <w:rFonts w:ascii="Calibri" w:hAnsi="Calibri" w:cs="Calibri"/>
          <w:b/>
          <w:sz w:val="22"/>
          <w:szCs w:val="22"/>
        </w:rPr>
        <w:tab/>
      </w:r>
      <w:r w:rsidRPr="00D41BF7">
        <w:rPr>
          <w:rFonts w:ascii="Calibri" w:hAnsi="Calibri" w:cs="Calibri"/>
          <w:b/>
          <w:sz w:val="22"/>
          <w:szCs w:val="22"/>
        </w:rPr>
        <w:tab/>
        <w:t xml:space="preserve">      </w:t>
      </w:r>
    </w:p>
    <w:p w14:paraId="6B079D4A" w14:textId="77777777" w:rsidR="00832D00" w:rsidRPr="00D41BF7" w:rsidRDefault="00832D00" w:rsidP="00832D00">
      <w:pPr>
        <w:contextualSpacing/>
        <w:jc w:val="both"/>
        <w:rPr>
          <w:rFonts w:ascii="Calibri" w:hAnsi="Calibri" w:cs="Calibri"/>
          <w:sz w:val="22"/>
          <w:szCs w:val="22"/>
        </w:rPr>
      </w:pPr>
      <w:r w:rsidRPr="00D41BF7">
        <w:rPr>
          <w:rFonts w:ascii="Calibri" w:hAnsi="Calibri" w:cs="Calibri"/>
          <w:sz w:val="22"/>
          <w:szCs w:val="22"/>
        </w:rPr>
        <w:t xml:space="preserve">Ancillary revenues </w:t>
      </w:r>
      <w:r>
        <w:rPr>
          <w:rFonts w:ascii="Calibri" w:hAnsi="Calibri" w:cs="Calibri"/>
          <w:sz w:val="22"/>
          <w:szCs w:val="22"/>
        </w:rPr>
        <w:t>increased</w:t>
      </w:r>
      <w:r w:rsidRPr="00D41BF7">
        <w:rPr>
          <w:rFonts w:ascii="Calibri" w:hAnsi="Calibri" w:cs="Calibri"/>
          <w:sz w:val="22"/>
          <w:szCs w:val="22"/>
        </w:rPr>
        <w:t xml:space="preserve"> by </w:t>
      </w:r>
      <w:r w:rsidRPr="00D41BF7">
        <w:rPr>
          <w:rFonts w:ascii="Calibri" w:hAnsi="Calibri" w:cs="Calibri"/>
          <w:b/>
          <w:sz w:val="22"/>
          <w:szCs w:val="22"/>
        </w:rPr>
        <w:t>2</w:t>
      </w:r>
      <w:r>
        <w:rPr>
          <w:rFonts w:ascii="Calibri" w:hAnsi="Calibri" w:cs="Calibri"/>
          <w:b/>
          <w:sz w:val="22"/>
          <w:szCs w:val="22"/>
        </w:rPr>
        <w:t>8</w:t>
      </w:r>
      <w:r w:rsidRPr="00D41BF7">
        <w:rPr>
          <w:rFonts w:ascii="Calibri" w:hAnsi="Calibri" w:cs="Calibri"/>
          <w:b/>
          <w:sz w:val="22"/>
          <w:szCs w:val="22"/>
        </w:rPr>
        <w:t>% to €72</w:t>
      </w:r>
      <w:r>
        <w:rPr>
          <w:rFonts w:ascii="Calibri" w:hAnsi="Calibri" w:cs="Calibri"/>
          <w:b/>
          <w:sz w:val="22"/>
          <w:szCs w:val="22"/>
        </w:rPr>
        <w:t>0</w:t>
      </w:r>
      <w:r w:rsidRPr="00D41BF7">
        <w:rPr>
          <w:rFonts w:ascii="Calibri" w:hAnsi="Calibri" w:cs="Calibri"/>
          <w:b/>
          <w:sz w:val="22"/>
          <w:szCs w:val="22"/>
        </w:rPr>
        <w:t>.</w:t>
      </w:r>
      <w:r>
        <w:rPr>
          <w:rFonts w:ascii="Calibri" w:hAnsi="Calibri" w:cs="Calibri"/>
          <w:b/>
          <w:sz w:val="22"/>
          <w:szCs w:val="22"/>
        </w:rPr>
        <w:t>0</w:t>
      </w:r>
      <w:r w:rsidRPr="00D41BF7">
        <w:rPr>
          <w:rFonts w:ascii="Calibri" w:hAnsi="Calibri" w:cs="Calibri"/>
          <w:b/>
          <w:sz w:val="22"/>
          <w:szCs w:val="22"/>
        </w:rPr>
        <w:t>M</w:t>
      </w:r>
      <w:r w:rsidRPr="00D41BF7">
        <w:rPr>
          <w:rFonts w:ascii="Calibri" w:hAnsi="Calibri" w:cs="Calibri"/>
          <w:sz w:val="22"/>
          <w:szCs w:val="22"/>
        </w:rPr>
        <w:t xml:space="preserve"> due to 6% traffic growth and improved uptake of ancillary products, particularly priority boarding</w:t>
      </w:r>
      <w:r>
        <w:rPr>
          <w:rFonts w:ascii="Calibri" w:hAnsi="Calibri" w:cs="Calibri"/>
          <w:sz w:val="22"/>
          <w:szCs w:val="22"/>
        </w:rPr>
        <w:t xml:space="preserve"> and reserved seats</w:t>
      </w:r>
      <w:r w:rsidRPr="00D41BF7">
        <w:rPr>
          <w:rFonts w:ascii="Calibri" w:hAnsi="Calibri" w:cs="Calibri"/>
          <w:sz w:val="22"/>
          <w:szCs w:val="22"/>
        </w:rPr>
        <w:t>.</w:t>
      </w:r>
    </w:p>
    <w:p w14:paraId="1E2A0B42" w14:textId="77777777" w:rsidR="00832D00" w:rsidRPr="00961368" w:rsidRDefault="00832D00" w:rsidP="00832D00">
      <w:pPr>
        <w:contextualSpacing/>
        <w:jc w:val="both"/>
        <w:rPr>
          <w:rFonts w:ascii="Calibri" w:hAnsi="Calibri" w:cs="Calibri"/>
          <w:sz w:val="22"/>
          <w:szCs w:val="22"/>
          <w:highlight w:val="yellow"/>
        </w:rPr>
      </w:pPr>
    </w:p>
    <w:p w14:paraId="4DFEA1B1" w14:textId="77777777" w:rsidR="00832D00" w:rsidRPr="00036FF5" w:rsidRDefault="00832D00" w:rsidP="00832D00">
      <w:pPr>
        <w:contextualSpacing/>
        <w:jc w:val="both"/>
        <w:rPr>
          <w:rFonts w:ascii="Calibri" w:hAnsi="Calibri" w:cs="Calibri"/>
          <w:b/>
          <w:bCs/>
          <w:sz w:val="22"/>
          <w:szCs w:val="22"/>
        </w:rPr>
      </w:pPr>
      <w:r w:rsidRPr="00036FF5">
        <w:rPr>
          <w:rFonts w:ascii="Calibri" w:hAnsi="Calibri" w:cs="Calibri"/>
          <w:b/>
          <w:bCs/>
          <w:sz w:val="22"/>
          <w:szCs w:val="22"/>
        </w:rPr>
        <w:t>Total Revenue:</w:t>
      </w:r>
    </w:p>
    <w:p w14:paraId="3C8DDE6A" w14:textId="77777777" w:rsidR="00832D00" w:rsidRPr="00036FF5" w:rsidRDefault="00832D00" w:rsidP="00832D00">
      <w:pPr>
        <w:contextualSpacing/>
        <w:jc w:val="both"/>
        <w:rPr>
          <w:rFonts w:ascii="Calibri" w:hAnsi="Calibri" w:cs="Calibri"/>
          <w:sz w:val="22"/>
          <w:szCs w:val="22"/>
        </w:rPr>
      </w:pPr>
      <w:r w:rsidRPr="00036FF5">
        <w:rPr>
          <w:rFonts w:ascii="Calibri" w:hAnsi="Calibri" w:cs="Calibri"/>
          <w:sz w:val="22"/>
          <w:szCs w:val="22"/>
        </w:rPr>
        <w:t xml:space="preserve">As a result of the above, total revenue increased by </w:t>
      </w:r>
      <w:r w:rsidRPr="00036FF5">
        <w:rPr>
          <w:rFonts w:ascii="Calibri" w:hAnsi="Calibri" w:cs="Calibri"/>
          <w:b/>
          <w:bCs/>
          <w:sz w:val="22"/>
          <w:szCs w:val="22"/>
        </w:rPr>
        <w:t>21% to €1,9</w:t>
      </w:r>
      <w:r>
        <w:rPr>
          <w:rFonts w:ascii="Calibri" w:hAnsi="Calibri" w:cs="Calibri"/>
          <w:b/>
          <w:bCs/>
          <w:sz w:val="22"/>
          <w:szCs w:val="22"/>
        </w:rPr>
        <w:t>06</w:t>
      </w:r>
      <w:r w:rsidRPr="00036FF5">
        <w:rPr>
          <w:rFonts w:ascii="Calibri" w:hAnsi="Calibri" w:cs="Calibri"/>
          <w:b/>
          <w:bCs/>
          <w:sz w:val="22"/>
          <w:szCs w:val="22"/>
        </w:rPr>
        <w:t>.</w:t>
      </w:r>
      <w:r>
        <w:rPr>
          <w:rFonts w:ascii="Calibri" w:hAnsi="Calibri" w:cs="Calibri"/>
          <w:b/>
          <w:bCs/>
          <w:sz w:val="22"/>
          <w:szCs w:val="22"/>
        </w:rPr>
        <w:t>0</w:t>
      </w:r>
      <w:r w:rsidRPr="00036FF5">
        <w:rPr>
          <w:rFonts w:ascii="Calibri" w:hAnsi="Calibri" w:cs="Calibri"/>
          <w:b/>
          <w:bCs/>
          <w:sz w:val="22"/>
          <w:szCs w:val="22"/>
        </w:rPr>
        <w:t>M.</w:t>
      </w:r>
    </w:p>
    <w:p w14:paraId="299A5D8E" w14:textId="77777777" w:rsidR="00832D00" w:rsidRPr="00961368" w:rsidRDefault="00832D00" w:rsidP="00832D00">
      <w:pPr>
        <w:jc w:val="both"/>
        <w:rPr>
          <w:rFonts w:ascii="Calibri" w:hAnsi="Calibri" w:cs="Calibri"/>
          <w:b/>
          <w:sz w:val="22"/>
          <w:szCs w:val="22"/>
          <w:highlight w:val="yellow"/>
        </w:rPr>
      </w:pPr>
    </w:p>
    <w:p w14:paraId="2203CA48" w14:textId="77777777" w:rsidR="00832D00" w:rsidRPr="00722A14" w:rsidRDefault="00832D00" w:rsidP="00832D00">
      <w:pPr>
        <w:jc w:val="both"/>
        <w:rPr>
          <w:rFonts w:ascii="Calibri" w:hAnsi="Calibri" w:cs="Calibri"/>
          <w:b/>
          <w:sz w:val="22"/>
          <w:szCs w:val="22"/>
        </w:rPr>
      </w:pPr>
      <w:r w:rsidRPr="00722A14">
        <w:rPr>
          <w:rFonts w:ascii="Calibri" w:hAnsi="Calibri" w:cs="Calibri"/>
          <w:b/>
          <w:sz w:val="22"/>
          <w:szCs w:val="22"/>
        </w:rPr>
        <w:t>Operating Expenses:</w:t>
      </w:r>
    </w:p>
    <w:p w14:paraId="067400C1" w14:textId="77777777" w:rsidR="00832D00" w:rsidRPr="00722A14" w:rsidRDefault="00832D00" w:rsidP="00832D00">
      <w:pPr>
        <w:jc w:val="both"/>
        <w:rPr>
          <w:rFonts w:ascii="Calibri" w:hAnsi="Calibri" w:cs="Calibri"/>
          <w:b/>
          <w:sz w:val="18"/>
          <w:szCs w:val="18"/>
        </w:rPr>
      </w:pPr>
    </w:p>
    <w:p w14:paraId="2B4DA25D" w14:textId="77777777" w:rsidR="00832D00" w:rsidRPr="00722A14" w:rsidRDefault="00832D00" w:rsidP="00832D00">
      <w:pPr>
        <w:jc w:val="both"/>
        <w:rPr>
          <w:rFonts w:ascii="Calibri" w:hAnsi="Calibri" w:cs="Calibri"/>
          <w:b/>
          <w:sz w:val="22"/>
          <w:szCs w:val="22"/>
        </w:rPr>
      </w:pPr>
      <w:r w:rsidRPr="00722A14">
        <w:rPr>
          <w:rFonts w:ascii="Calibri" w:hAnsi="Calibri" w:cs="Calibri"/>
          <w:b/>
          <w:sz w:val="22"/>
          <w:szCs w:val="22"/>
        </w:rPr>
        <w:t xml:space="preserve">Fuel and oil: </w:t>
      </w:r>
      <w:r w:rsidRPr="00722A14">
        <w:rPr>
          <w:rFonts w:ascii="Calibri" w:hAnsi="Calibri" w:cs="Calibri"/>
          <w:b/>
          <w:sz w:val="22"/>
          <w:szCs w:val="22"/>
        </w:rPr>
        <w:tab/>
      </w:r>
      <w:r w:rsidRPr="00722A14">
        <w:rPr>
          <w:rFonts w:ascii="Calibri" w:hAnsi="Calibri" w:cs="Calibri"/>
          <w:b/>
          <w:sz w:val="22"/>
          <w:szCs w:val="22"/>
        </w:rPr>
        <w:tab/>
      </w:r>
      <w:r w:rsidRPr="00722A14">
        <w:rPr>
          <w:rFonts w:ascii="Calibri" w:hAnsi="Calibri" w:cs="Calibri"/>
          <w:b/>
          <w:sz w:val="22"/>
          <w:szCs w:val="22"/>
        </w:rPr>
        <w:tab/>
      </w:r>
      <w:r w:rsidRPr="00722A14">
        <w:rPr>
          <w:rFonts w:ascii="Calibri" w:hAnsi="Calibri" w:cs="Calibri"/>
          <w:b/>
          <w:sz w:val="22"/>
          <w:szCs w:val="22"/>
        </w:rPr>
        <w:tab/>
      </w:r>
      <w:r w:rsidRPr="00722A14">
        <w:rPr>
          <w:rFonts w:ascii="Calibri" w:hAnsi="Calibri" w:cs="Calibri"/>
          <w:b/>
          <w:sz w:val="22"/>
          <w:szCs w:val="22"/>
        </w:rPr>
        <w:tab/>
      </w:r>
      <w:r w:rsidRPr="00722A14">
        <w:rPr>
          <w:rFonts w:ascii="Calibri" w:hAnsi="Calibri" w:cs="Calibri"/>
          <w:b/>
          <w:sz w:val="22"/>
          <w:szCs w:val="22"/>
        </w:rPr>
        <w:tab/>
      </w:r>
      <w:r w:rsidRPr="00722A14">
        <w:rPr>
          <w:rFonts w:ascii="Calibri" w:hAnsi="Calibri" w:cs="Calibri"/>
          <w:b/>
          <w:sz w:val="22"/>
          <w:szCs w:val="22"/>
        </w:rPr>
        <w:tab/>
      </w:r>
      <w:r w:rsidRPr="00722A14">
        <w:rPr>
          <w:rFonts w:ascii="Calibri" w:hAnsi="Calibri" w:cs="Calibri"/>
          <w:b/>
          <w:sz w:val="22"/>
          <w:szCs w:val="22"/>
        </w:rPr>
        <w:tab/>
        <w:t xml:space="preserve">       </w:t>
      </w:r>
    </w:p>
    <w:p w14:paraId="5C5A90BE" w14:textId="77777777" w:rsidR="00832D00" w:rsidRPr="00961368" w:rsidRDefault="00832D00" w:rsidP="00832D00">
      <w:pPr>
        <w:jc w:val="both"/>
        <w:rPr>
          <w:rFonts w:ascii="Calibri" w:hAnsi="Calibri" w:cs="Calibri"/>
          <w:sz w:val="22"/>
          <w:szCs w:val="22"/>
          <w:highlight w:val="yellow"/>
        </w:rPr>
      </w:pPr>
      <w:r w:rsidRPr="00722A14">
        <w:rPr>
          <w:rFonts w:ascii="Calibri" w:hAnsi="Calibri" w:cs="Calibri"/>
          <w:sz w:val="22"/>
          <w:szCs w:val="22"/>
        </w:rPr>
        <w:t xml:space="preserve">Fuel and </w:t>
      </w:r>
      <w:r w:rsidRPr="00510BBF">
        <w:rPr>
          <w:rFonts w:ascii="Calibri" w:hAnsi="Calibri" w:cs="Calibri"/>
          <w:sz w:val="22"/>
          <w:szCs w:val="22"/>
        </w:rPr>
        <w:t xml:space="preserve">oil </w:t>
      </w:r>
      <w:r>
        <w:rPr>
          <w:rFonts w:ascii="Calibri" w:hAnsi="Calibri" w:cs="Calibri"/>
          <w:sz w:val="22"/>
          <w:szCs w:val="22"/>
        </w:rPr>
        <w:t>increased</w:t>
      </w:r>
      <w:r w:rsidRPr="00510BBF">
        <w:rPr>
          <w:rFonts w:ascii="Calibri" w:hAnsi="Calibri" w:cs="Calibri"/>
          <w:sz w:val="22"/>
          <w:szCs w:val="22"/>
        </w:rPr>
        <w:t xml:space="preserve"> by </w:t>
      </w:r>
      <w:r w:rsidRPr="00510BBF">
        <w:rPr>
          <w:rFonts w:ascii="Calibri" w:hAnsi="Calibri" w:cs="Calibri"/>
          <w:b/>
          <w:sz w:val="22"/>
          <w:szCs w:val="22"/>
        </w:rPr>
        <w:t xml:space="preserve">14% to €686.0M </w:t>
      </w:r>
      <w:r w:rsidRPr="00510BBF">
        <w:rPr>
          <w:rFonts w:ascii="Calibri" w:hAnsi="Calibri" w:cs="Calibri"/>
          <w:sz w:val="22"/>
          <w:szCs w:val="22"/>
        </w:rPr>
        <w:t>due to higher fuel prices and an 8% increase in flight hours.</w:t>
      </w:r>
    </w:p>
    <w:p w14:paraId="196FA364" w14:textId="77777777" w:rsidR="00832D00" w:rsidRPr="00961368" w:rsidRDefault="00832D00" w:rsidP="00832D00">
      <w:pPr>
        <w:jc w:val="both"/>
        <w:rPr>
          <w:rFonts w:ascii="Calibri" w:hAnsi="Calibri" w:cs="Calibri"/>
          <w:b/>
          <w:sz w:val="18"/>
          <w:szCs w:val="18"/>
          <w:highlight w:val="yellow"/>
        </w:rPr>
      </w:pPr>
    </w:p>
    <w:p w14:paraId="6ADBE90D" w14:textId="77777777" w:rsidR="00832D00" w:rsidRPr="00722A14" w:rsidRDefault="00832D00" w:rsidP="00832D00">
      <w:pPr>
        <w:jc w:val="both"/>
        <w:rPr>
          <w:rFonts w:ascii="Calibri" w:hAnsi="Calibri" w:cs="Calibri"/>
          <w:b/>
          <w:sz w:val="22"/>
          <w:szCs w:val="22"/>
        </w:rPr>
      </w:pPr>
      <w:r w:rsidRPr="00722A14">
        <w:rPr>
          <w:rFonts w:ascii="Calibri" w:hAnsi="Calibri" w:cs="Calibri"/>
          <w:b/>
          <w:sz w:val="22"/>
          <w:szCs w:val="22"/>
        </w:rPr>
        <w:lastRenderedPageBreak/>
        <w:t xml:space="preserve">Airport and handling charges: </w:t>
      </w:r>
      <w:r w:rsidRPr="00722A14">
        <w:rPr>
          <w:rFonts w:ascii="Calibri" w:hAnsi="Calibri" w:cs="Calibri"/>
          <w:b/>
          <w:sz w:val="22"/>
          <w:szCs w:val="22"/>
        </w:rPr>
        <w:tab/>
      </w:r>
      <w:r w:rsidRPr="00722A14">
        <w:rPr>
          <w:rFonts w:ascii="Calibri" w:hAnsi="Calibri" w:cs="Calibri"/>
          <w:b/>
          <w:sz w:val="22"/>
          <w:szCs w:val="22"/>
        </w:rPr>
        <w:tab/>
      </w:r>
      <w:r w:rsidRPr="00722A14">
        <w:rPr>
          <w:rFonts w:ascii="Calibri" w:hAnsi="Calibri" w:cs="Calibri"/>
          <w:b/>
          <w:sz w:val="22"/>
          <w:szCs w:val="22"/>
        </w:rPr>
        <w:tab/>
      </w:r>
      <w:r w:rsidRPr="00722A14">
        <w:rPr>
          <w:rFonts w:ascii="Calibri" w:hAnsi="Calibri" w:cs="Calibri"/>
          <w:b/>
          <w:sz w:val="22"/>
          <w:szCs w:val="22"/>
        </w:rPr>
        <w:tab/>
      </w:r>
      <w:r w:rsidRPr="00722A14">
        <w:rPr>
          <w:rFonts w:ascii="Calibri" w:hAnsi="Calibri" w:cs="Calibri"/>
          <w:b/>
          <w:sz w:val="22"/>
          <w:szCs w:val="22"/>
        </w:rPr>
        <w:tab/>
        <w:t xml:space="preserve">                   </w:t>
      </w:r>
    </w:p>
    <w:p w14:paraId="11887AA2" w14:textId="77777777" w:rsidR="00832D00" w:rsidRPr="00967D4C" w:rsidRDefault="00832D00" w:rsidP="00832D00">
      <w:pPr>
        <w:jc w:val="both"/>
        <w:rPr>
          <w:rFonts w:ascii="Calibri" w:hAnsi="Calibri" w:cs="Calibri"/>
          <w:sz w:val="22"/>
          <w:szCs w:val="22"/>
        </w:rPr>
      </w:pPr>
      <w:r w:rsidRPr="00967D4C">
        <w:rPr>
          <w:rFonts w:ascii="Calibri" w:hAnsi="Calibri" w:cs="Calibri"/>
          <w:sz w:val="22"/>
          <w:szCs w:val="22"/>
        </w:rPr>
        <w:t xml:space="preserve">Airport and handling charges increased by </w:t>
      </w:r>
      <w:r>
        <w:rPr>
          <w:rFonts w:ascii="Calibri" w:hAnsi="Calibri" w:cs="Calibri"/>
          <w:b/>
          <w:sz w:val="22"/>
          <w:szCs w:val="22"/>
        </w:rPr>
        <w:t>7</w:t>
      </w:r>
      <w:r w:rsidRPr="00967D4C">
        <w:rPr>
          <w:rFonts w:ascii="Calibri" w:hAnsi="Calibri" w:cs="Calibri"/>
          <w:b/>
          <w:sz w:val="22"/>
          <w:szCs w:val="22"/>
        </w:rPr>
        <w:t>% to €27</w:t>
      </w:r>
      <w:r>
        <w:rPr>
          <w:rFonts w:ascii="Calibri" w:hAnsi="Calibri" w:cs="Calibri"/>
          <w:b/>
          <w:sz w:val="22"/>
          <w:szCs w:val="22"/>
        </w:rPr>
        <w:t>2</w:t>
      </w:r>
      <w:r w:rsidRPr="00967D4C">
        <w:rPr>
          <w:rFonts w:ascii="Calibri" w:hAnsi="Calibri" w:cs="Calibri"/>
          <w:b/>
          <w:sz w:val="22"/>
          <w:szCs w:val="22"/>
        </w:rPr>
        <w:t>.</w:t>
      </w:r>
      <w:r>
        <w:rPr>
          <w:rFonts w:ascii="Calibri" w:hAnsi="Calibri" w:cs="Calibri"/>
          <w:b/>
          <w:sz w:val="22"/>
          <w:szCs w:val="22"/>
        </w:rPr>
        <w:t>7</w:t>
      </w:r>
      <w:r w:rsidRPr="00967D4C">
        <w:rPr>
          <w:rFonts w:ascii="Calibri" w:hAnsi="Calibri" w:cs="Calibri"/>
          <w:b/>
          <w:sz w:val="22"/>
          <w:szCs w:val="22"/>
        </w:rPr>
        <w:t xml:space="preserve">M </w:t>
      </w:r>
      <w:r w:rsidRPr="00967D4C">
        <w:rPr>
          <w:rFonts w:ascii="Calibri" w:hAnsi="Calibri" w:cs="Calibri"/>
          <w:sz w:val="22"/>
          <w:szCs w:val="22"/>
        </w:rPr>
        <w:t>primarily due to a 6% increase in traffic</w:t>
      </w:r>
      <w:r>
        <w:rPr>
          <w:rFonts w:ascii="Calibri" w:hAnsi="Calibri" w:cs="Calibri"/>
          <w:sz w:val="22"/>
          <w:szCs w:val="22"/>
        </w:rPr>
        <w:t xml:space="preserve">, stronger sterling and </w:t>
      </w:r>
      <w:r w:rsidRPr="00967D4C">
        <w:rPr>
          <w:rFonts w:ascii="Calibri" w:hAnsi="Calibri" w:cs="Calibri"/>
          <w:sz w:val="22"/>
          <w:szCs w:val="22"/>
        </w:rPr>
        <w:t xml:space="preserve">new enhanced handling arrangements in Stansted, Spain &amp; Poland. </w:t>
      </w:r>
    </w:p>
    <w:p w14:paraId="3BD54356" w14:textId="77777777" w:rsidR="00832D00" w:rsidRPr="00961368" w:rsidRDefault="00832D00" w:rsidP="00832D00">
      <w:pPr>
        <w:jc w:val="both"/>
        <w:rPr>
          <w:rFonts w:ascii="Calibri" w:hAnsi="Calibri" w:cs="Calibri"/>
          <w:b/>
          <w:sz w:val="18"/>
          <w:szCs w:val="18"/>
          <w:highlight w:val="yellow"/>
        </w:rPr>
      </w:pPr>
    </w:p>
    <w:p w14:paraId="7F8513B4" w14:textId="77777777" w:rsidR="00832D00" w:rsidRPr="008B1582" w:rsidRDefault="00832D00" w:rsidP="00832D00">
      <w:pPr>
        <w:jc w:val="both"/>
        <w:rPr>
          <w:rFonts w:ascii="Calibri" w:hAnsi="Calibri" w:cs="Calibri"/>
          <w:b/>
          <w:sz w:val="22"/>
          <w:szCs w:val="22"/>
        </w:rPr>
      </w:pPr>
      <w:bookmarkStart w:id="2" w:name="_Hlk29913846"/>
      <w:r w:rsidRPr="008B1582">
        <w:rPr>
          <w:rFonts w:ascii="Calibri" w:hAnsi="Calibri" w:cs="Calibri"/>
          <w:b/>
          <w:sz w:val="22"/>
          <w:szCs w:val="22"/>
        </w:rPr>
        <w:t>Staff costs:</w:t>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t xml:space="preserve">                                   </w:t>
      </w:r>
    </w:p>
    <w:p w14:paraId="2F51DBF3" w14:textId="77777777" w:rsidR="00832D00" w:rsidRPr="00661FA6" w:rsidRDefault="00832D00" w:rsidP="00832D00">
      <w:pPr>
        <w:jc w:val="both"/>
        <w:rPr>
          <w:rFonts w:ascii="Calibri" w:hAnsi="Calibri" w:cs="Calibri"/>
          <w:sz w:val="22"/>
          <w:szCs w:val="22"/>
        </w:rPr>
      </w:pPr>
      <w:r w:rsidRPr="00661FA6">
        <w:rPr>
          <w:rFonts w:ascii="Calibri" w:hAnsi="Calibri" w:cs="Calibri"/>
          <w:sz w:val="22"/>
          <w:szCs w:val="22"/>
        </w:rPr>
        <w:t xml:space="preserve">Staff costs increased </w:t>
      </w:r>
      <w:r>
        <w:rPr>
          <w:rFonts w:ascii="Calibri" w:hAnsi="Calibri" w:cs="Calibri"/>
          <w:b/>
          <w:sz w:val="22"/>
          <w:szCs w:val="22"/>
        </w:rPr>
        <w:t>11</w:t>
      </w:r>
      <w:r w:rsidRPr="00661FA6">
        <w:rPr>
          <w:rFonts w:ascii="Calibri" w:hAnsi="Calibri" w:cs="Calibri"/>
          <w:b/>
          <w:sz w:val="22"/>
          <w:szCs w:val="22"/>
        </w:rPr>
        <w:t>% to €2</w:t>
      </w:r>
      <w:r>
        <w:rPr>
          <w:rFonts w:ascii="Calibri" w:hAnsi="Calibri" w:cs="Calibri"/>
          <w:b/>
          <w:sz w:val="22"/>
          <w:szCs w:val="22"/>
        </w:rPr>
        <w:t>76</w:t>
      </w:r>
      <w:r w:rsidRPr="00661FA6">
        <w:rPr>
          <w:rFonts w:ascii="Calibri" w:hAnsi="Calibri" w:cs="Calibri"/>
          <w:b/>
          <w:sz w:val="22"/>
          <w:szCs w:val="22"/>
        </w:rPr>
        <w:t>.</w:t>
      </w:r>
      <w:r>
        <w:rPr>
          <w:rFonts w:ascii="Calibri" w:hAnsi="Calibri" w:cs="Calibri"/>
          <w:b/>
          <w:sz w:val="22"/>
          <w:szCs w:val="22"/>
        </w:rPr>
        <w:t>5</w:t>
      </w:r>
      <w:r w:rsidRPr="00661FA6">
        <w:rPr>
          <w:rFonts w:ascii="Calibri" w:hAnsi="Calibri" w:cs="Calibri"/>
          <w:b/>
          <w:sz w:val="22"/>
          <w:szCs w:val="22"/>
        </w:rPr>
        <w:t>M</w:t>
      </w:r>
      <w:r w:rsidRPr="00661FA6">
        <w:rPr>
          <w:rFonts w:ascii="Calibri" w:hAnsi="Calibri" w:cs="Calibri"/>
          <w:sz w:val="22"/>
          <w:szCs w:val="22"/>
        </w:rPr>
        <w:t xml:space="preserve"> due to 8% more flight hours, higher crewing ratios and the </w:t>
      </w:r>
      <w:proofErr w:type="spellStart"/>
      <w:r w:rsidRPr="00661FA6">
        <w:rPr>
          <w:rFonts w:ascii="Calibri" w:hAnsi="Calibri" w:cs="Calibri"/>
          <w:sz w:val="22"/>
          <w:szCs w:val="22"/>
        </w:rPr>
        <w:t>annualisation</w:t>
      </w:r>
      <w:proofErr w:type="spellEnd"/>
      <w:r w:rsidRPr="00661FA6">
        <w:rPr>
          <w:rFonts w:ascii="Calibri" w:hAnsi="Calibri" w:cs="Calibri"/>
          <w:sz w:val="22"/>
          <w:szCs w:val="22"/>
        </w:rPr>
        <w:t xml:space="preserve"> of pilot pay increases.</w:t>
      </w:r>
    </w:p>
    <w:bookmarkEnd w:id="2"/>
    <w:p w14:paraId="726FC0FB" w14:textId="77777777" w:rsidR="00832D00" w:rsidRPr="00961368" w:rsidRDefault="00832D00" w:rsidP="00832D00">
      <w:pPr>
        <w:jc w:val="both"/>
        <w:rPr>
          <w:rFonts w:ascii="Calibri" w:hAnsi="Calibri" w:cs="Calibri"/>
          <w:sz w:val="18"/>
          <w:szCs w:val="18"/>
          <w:highlight w:val="yellow"/>
        </w:rPr>
      </w:pPr>
    </w:p>
    <w:p w14:paraId="444B56DE" w14:textId="77777777" w:rsidR="00832D00" w:rsidRPr="008B1582" w:rsidRDefault="00832D00" w:rsidP="00832D00">
      <w:pPr>
        <w:jc w:val="both"/>
        <w:rPr>
          <w:rFonts w:ascii="Calibri" w:hAnsi="Calibri" w:cs="Calibri"/>
          <w:b/>
          <w:sz w:val="22"/>
          <w:szCs w:val="22"/>
        </w:rPr>
      </w:pPr>
      <w:bookmarkStart w:id="3" w:name="_Hlk29914631"/>
      <w:r w:rsidRPr="008B1582">
        <w:rPr>
          <w:rFonts w:ascii="Calibri" w:hAnsi="Calibri" w:cs="Calibri"/>
          <w:b/>
          <w:sz w:val="22"/>
          <w:szCs w:val="22"/>
        </w:rPr>
        <w:t>Route charges:</w:t>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t xml:space="preserve">                   </w:t>
      </w:r>
    </w:p>
    <w:p w14:paraId="19505BE4" w14:textId="77777777" w:rsidR="00832D00" w:rsidRPr="00F67688" w:rsidRDefault="00832D00" w:rsidP="00832D00">
      <w:pPr>
        <w:jc w:val="both"/>
        <w:rPr>
          <w:rFonts w:ascii="Calibri" w:hAnsi="Calibri" w:cs="Calibri"/>
          <w:sz w:val="22"/>
          <w:szCs w:val="22"/>
        </w:rPr>
      </w:pPr>
      <w:r w:rsidRPr="008B1582">
        <w:rPr>
          <w:rFonts w:ascii="Calibri" w:hAnsi="Calibri" w:cs="Calibri"/>
          <w:sz w:val="22"/>
          <w:szCs w:val="22"/>
        </w:rPr>
        <w:t xml:space="preserve">Route charges </w:t>
      </w:r>
      <w:r>
        <w:rPr>
          <w:rFonts w:ascii="Calibri" w:hAnsi="Calibri" w:cs="Calibri"/>
          <w:sz w:val="22"/>
          <w:szCs w:val="22"/>
        </w:rPr>
        <w:t>remained flat at</w:t>
      </w:r>
      <w:r w:rsidRPr="008B1582">
        <w:rPr>
          <w:rFonts w:ascii="Calibri" w:hAnsi="Calibri" w:cs="Calibri"/>
          <w:sz w:val="22"/>
          <w:szCs w:val="22"/>
        </w:rPr>
        <w:t xml:space="preserve"> </w:t>
      </w:r>
      <w:r w:rsidRPr="008B1582">
        <w:rPr>
          <w:rFonts w:ascii="Calibri" w:hAnsi="Calibri" w:cs="Calibri"/>
          <w:b/>
          <w:sz w:val="22"/>
          <w:szCs w:val="22"/>
        </w:rPr>
        <w:t>€1</w:t>
      </w:r>
      <w:r>
        <w:rPr>
          <w:rFonts w:ascii="Calibri" w:hAnsi="Calibri" w:cs="Calibri"/>
          <w:b/>
          <w:sz w:val="22"/>
          <w:szCs w:val="22"/>
        </w:rPr>
        <w:t>80</w:t>
      </w:r>
      <w:r w:rsidRPr="008B1582">
        <w:rPr>
          <w:rFonts w:ascii="Calibri" w:hAnsi="Calibri" w:cs="Calibri"/>
          <w:b/>
          <w:sz w:val="22"/>
          <w:szCs w:val="22"/>
        </w:rPr>
        <w:t>.4M</w:t>
      </w:r>
      <w:r>
        <w:rPr>
          <w:rFonts w:ascii="Calibri" w:hAnsi="Calibri" w:cs="Calibri"/>
          <w:sz w:val="22"/>
          <w:szCs w:val="22"/>
        </w:rPr>
        <w:t>, with a</w:t>
      </w:r>
      <w:r w:rsidRPr="008B1582">
        <w:rPr>
          <w:rFonts w:ascii="Calibri" w:hAnsi="Calibri" w:cs="Calibri"/>
          <w:sz w:val="22"/>
          <w:szCs w:val="22"/>
        </w:rPr>
        <w:t xml:space="preserve"> 6% increase in </w:t>
      </w:r>
      <w:r w:rsidRPr="00F67688">
        <w:rPr>
          <w:rFonts w:ascii="Calibri" w:hAnsi="Calibri" w:cs="Calibri"/>
          <w:sz w:val="22"/>
          <w:szCs w:val="22"/>
        </w:rPr>
        <w:t>sectors</w:t>
      </w:r>
      <w:r>
        <w:rPr>
          <w:rFonts w:ascii="Calibri" w:hAnsi="Calibri" w:cs="Calibri"/>
          <w:sz w:val="22"/>
          <w:szCs w:val="22"/>
        </w:rPr>
        <w:t xml:space="preserve"> </w:t>
      </w:r>
      <w:r w:rsidRPr="00F67688">
        <w:rPr>
          <w:rFonts w:ascii="Calibri" w:hAnsi="Calibri" w:cs="Calibri"/>
          <w:sz w:val="22"/>
          <w:szCs w:val="22"/>
        </w:rPr>
        <w:t xml:space="preserve">offset by a decrease in unit rates. </w:t>
      </w:r>
    </w:p>
    <w:bookmarkEnd w:id="3"/>
    <w:p w14:paraId="3AE1FA1E" w14:textId="77777777" w:rsidR="00832D00" w:rsidRPr="00961368" w:rsidRDefault="00832D00" w:rsidP="00832D00">
      <w:pPr>
        <w:jc w:val="both"/>
        <w:rPr>
          <w:rFonts w:ascii="Calibri" w:hAnsi="Calibri" w:cs="Calibri"/>
          <w:b/>
          <w:sz w:val="18"/>
          <w:szCs w:val="18"/>
          <w:highlight w:val="yellow"/>
        </w:rPr>
      </w:pPr>
    </w:p>
    <w:p w14:paraId="0A4524E6" w14:textId="77777777" w:rsidR="00832D00" w:rsidRPr="008B1582" w:rsidRDefault="00832D00" w:rsidP="00832D00">
      <w:pPr>
        <w:jc w:val="both"/>
        <w:rPr>
          <w:rFonts w:ascii="Calibri" w:hAnsi="Calibri" w:cs="Calibri"/>
          <w:b/>
          <w:sz w:val="22"/>
          <w:szCs w:val="22"/>
        </w:rPr>
      </w:pPr>
      <w:r w:rsidRPr="008B1582">
        <w:rPr>
          <w:rFonts w:ascii="Calibri" w:hAnsi="Calibri" w:cs="Calibri"/>
          <w:b/>
          <w:sz w:val="22"/>
          <w:szCs w:val="22"/>
        </w:rPr>
        <w:t xml:space="preserve">Depreciation: </w:t>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r>
      <w:r w:rsidRPr="008B1582">
        <w:rPr>
          <w:rFonts w:ascii="Calibri" w:hAnsi="Calibri" w:cs="Calibri"/>
          <w:b/>
          <w:sz w:val="22"/>
          <w:szCs w:val="22"/>
        </w:rPr>
        <w:tab/>
        <w:t xml:space="preserve">                  </w:t>
      </w:r>
    </w:p>
    <w:p w14:paraId="19A5306C" w14:textId="77777777" w:rsidR="00832D00" w:rsidRPr="007731F4" w:rsidRDefault="00832D00" w:rsidP="00832D00">
      <w:pPr>
        <w:jc w:val="both"/>
        <w:rPr>
          <w:rFonts w:ascii="Calibri" w:hAnsi="Calibri" w:cs="Calibri"/>
          <w:sz w:val="22"/>
          <w:szCs w:val="22"/>
        </w:rPr>
      </w:pPr>
      <w:r w:rsidRPr="007731F4">
        <w:rPr>
          <w:rFonts w:ascii="Calibri" w:hAnsi="Calibri" w:cs="Calibri"/>
          <w:sz w:val="22"/>
          <w:szCs w:val="22"/>
        </w:rPr>
        <w:t xml:space="preserve">Depreciation </w:t>
      </w:r>
      <w:r>
        <w:rPr>
          <w:rFonts w:ascii="Calibri" w:hAnsi="Calibri" w:cs="Calibri"/>
          <w:sz w:val="22"/>
          <w:szCs w:val="22"/>
        </w:rPr>
        <w:t xml:space="preserve">increased </w:t>
      </w:r>
      <w:r w:rsidRPr="007731F4">
        <w:rPr>
          <w:rFonts w:ascii="Calibri" w:hAnsi="Calibri" w:cs="Calibri"/>
          <w:b/>
          <w:bCs/>
          <w:sz w:val="22"/>
          <w:szCs w:val="22"/>
        </w:rPr>
        <w:t>1</w:t>
      </w:r>
      <w:r>
        <w:rPr>
          <w:rFonts w:ascii="Calibri" w:hAnsi="Calibri" w:cs="Calibri"/>
          <w:b/>
          <w:bCs/>
          <w:sz w:val="22"/>
          <w:szCs w:val="22"/>
        </w:rPr>
        <w:t>7</w:t>
      </w:r>
      <w:r w:rsidRPr="007731F4">
        <w:rPr>
          <w:rFonts w:ascii="Calibri" w:hAnsi="Calibri" w:cs="Calibri"/>
          <w:b/>
          <w:bCs/>
          <w:sz w:val="22"/>
          <w:szCs w:val="22"/>
        </w:rPr>
        <w:t xml:space="preserve">% </w:t>
      </w:r>
      <w:r>
        <w:rPr>
          <w:rFonts w:ascii="Calibri" w:hAnsi="Calibri" w:cs="Calibri"/>
          <w:b/>
          <w:bCs/>
          <w:sz w:val="22"/>
          <w:szCs w:val="22"/>
        </w:rPr>
        <w:t xml:space="preserve">to </w:t>
      </w:r>
      <w:r w:rsidRPr="007731F4">
        <w:rPr>
          <w:rFonts w:ascii="Calibri" w:hAnsi="Calibri" w:cs="Calibri"/>
          <w:b/>
          <w:bCs/>
          <w:sz w:val="22"/>
          <w:szCs w:val="22"/>
        </w:rPr>
        <w:t>€</w:t>
      </w:r>
      <w:r>
        <w:rPr>
          <w:rFonts w:ascii="Calibri" w:hAnsi="Calibri" w:cs="Calibri"/>
          <w:b/>
          <w:bCs/>
          <w:sz w:val="22"/>
          <w:szCs w:val="22"/>
        </w:rPr>
        <w:t>190.4</w:t>
      </w:r>
      <w:r w:rsidRPr="007731F4">
        <w:rPr>
          <w:rFonts w:ascii="Calibri" w:hAnsi="Calibri" w:cs="Calibri"/>
          <w:b/>
          <w:bCs/>
          <w:sz w:val="22"/>
          <w:szCs w:val="22"/>
        </w:rPr>
        <w:t>M</w:t>
      </w:r>
      <w:r w:rsidRPr="007731F4">
        <w:rPr>
          <w:rFonts w:ascii="Calibri" w:hAnsi="Calibri" w:cs="Calibri"/>
          <w:sz w:val="22"/>
          <w:szCs w:val="22"/>
        </w:rPr>
        <w:t xml:space="preserve"> due to higher capitalised maintenance</w:t>
      </w:r>
      <w:r>
        <w:rPr>
          <w:rFonts w:ascii="Calibri" w:hAnsi="Calibri" w:cs="Calibri"/>
          <w:sz w:val="22"/>
          <w:szCs w:val="22"/>
        </w:rPr>
        <w:t xml:space="preserve"> </w:t>
      </w:r>
      <w:r w:rsidRPr="007731F4">
        <w:rPr>
          <w:rFonts w:ascii="Calibri" w:hAnsi="Calibri" w:cs="Calibri"/>
          <w:sz w:val="22"/>
          <w:szCs w:val="22"/>
        </w:rPr>
        <w:t>and the impact of IFRS 16 (€</w:t>
      </w:r>
      <w:r>
        <w:rPr>
          <w:rFonts w:ascii="Calibri" w:hAnsi="Calibri" w:cs="Calibri"/>
          <w:sz w:val="22"/>
          <w:szCs w:val="22"/>
        </w:rPr>
        <w:t>15.6</w:t>
      </w:r>
      <w:r w:rsidRPr="007731F4">
        <w:rPr>
          <w:rFonts w:ascii="Calibri" w:hAnsi="Calibri" w:cs="Calibri"/>
          <w:sz w:val="22"/>
          <w:szCs w:val="22"/>
        </w:rPr>
        <w:t>M)</w:t>
      </w:r>
      <w:r>
        <w:rPr>
          <w:rFonts w:ascii="Calibri" w:hAnsi="Calibri" w:cs="Calibri"/>
          <w:sz w:val="22"/>
          <w:szCs w:val="22"/>
        </w:rPr>
        <w:t xml:space="preserve"> </w:t>
      </w:r>
      <w:r w:rsidRPr="007731F4">
        <w:rPr>
          <w:rFonts w:ascii="Calibri" w:hAnsi="Calibri" w:cs="Calibri"/>
          <w:sz w:val="22"/>
          <w:szCs w:val="22"/>
        </w:rPr>
        <w:t>which was adopted from April 1, 2019</w:t>
      </w:r>
      <w:r w:rsidRPr="007731F4">
        <w:rPr>
          <w:rFonts w:ascii="Calibri" w:hAnsi="Calibri" w:cs="Calibri"/>
          <w:sz w:val="22"/>
          <w:szCs w:val="22"/>
          <w:shd w:val="clear" w:color="auto" w:fill="FFFFFF"/>
        </w:rPr>
        <w:t>.</w:t>
      </w:r>
      <w:r w:rsidRPr="007731F4">
        <w:rPr>
          <w:rFonts w:ascii="Calibri" w:hAnsi="Calibri" w:cs="Calibri"/>
          <w:sz w:val="22"/>
          <w:szCs w:val="22"/>
        </w:rPr>
        <w:t xml:space="preserve"> </w:t>
      </w:r>
    </w:p>
    <w:p w14:paraId="713F60CB" w14:textId="77777777" w:rsidR="00832D00" w:rsidRPr="00961368" w:rsidRDefault="00832D00" w:rsidP="00832D00">
      <w:pPr>
        <w:jc w:val="both"/>
        <w:rPr>
          <w:rFonts w:ascii="Calibri" w:hAnsi="Calibri" w:cs="Calibri"/>
          <w:sz w:val="18"/>
          <w:szCs w:val="18"/>
          <w:highlight w:val="yellow"/>
        </w:rPr>
      </w:pPr>
    </w:p>
    <w:p w14:paraId="2771497A" w14:textId="77777777" w:rsidR="00832D00" w:rsidRPr="00A82FB9" w:rsidRDefault="00832D00" w:rsidP="00832D00">
      <w:pPr>
        <w:jc w:val="both"/>
        <w:rPr>
          <w:rFonts w:ascii="Calibri" w:hAnsi="Calibri" w:cs="Calibri"/>
          <w:b/>
          <w:sz w:val="22"/>
          <w:szCs w:val="22"/>
        </w:rPr>
      </w:pPr>
      <w:r w:rsidRPr="00A82FB9">
        <w:rPr>
          <w:rFonts w:ascii="Calibri" w:hAnsi="Calibri" w:cs="Calibri"/>
          <w:b/>
          <w:sz w:val="22"/>
          <w:szCs w:val="22"/>
        </w:rPr>
        <w:t xml:space="preserve">Marketing, distribution and other: </w:t>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t xml:space="preserve">                        </w:t>
      </w:r>
    </w:p>
    <w:p w14:paraId="401C9F5E" w14:textId="77777777" w:rsidR="00832D00" w:rsidRPr="00961368" w:rsidRDefault="00832D00" w:rsidP="00832D00">
      <w:pPr>
        <w:jc w:val="both"/>
        <w:rPr>
          <w:rFonts w:ascii="Calibri" w:hAnsi="Calibri" w:cs="Calibri"/>
          <w:color w:val="FF0000"/>
          <w:sz w:val="22"/>
          <w:szCs w:val="22"/>
          <w:highlight w:val="yellow"/>
        </w:rPr>
      </w:pPr>
      <w:r w:rsidRPr="00A82FB9">
        <w:rPr>
          <w:rFonts w:ascii="Calibri" w:hAnsi="Calibri" w:cs="Calibri"/>
          <w:sz w:val="22"/>
          <w:szCs w:val="22"/>
        </w:rPr>
        <w:t xml:space="preserve">Marketing, distribution and other </w:t>
      </w:r>
      <w:r>
        <w:rPr>
          <w:rFonts w:ascii="Calibri" w:hAnsi="Calibri" w:cs="Calibri"/>
          <w:sz w:val="22"/>
          <w:szCs w:val="22"/>
        </w:rPr>
        <w:t>reduced</w:t>
      </w:r>
      <w:r w:rsidRPr="00A82FB9">
        <w:rPr>
          <w:rFonts w:ascii="Calibri" w:hAnsi="Calibri" w:cs="Calibri"/>
          <w:sz w:val="22"/>
          <w:szCs w:val="22"/>
        </w:rPr>
        <w:t xml:space="preserve"> by </w:t>
      </w:r>
      <w:r>
        <w:rPr>
          <w:rFonts w:ascii="Calibri" w:hAnsi="Calibri" w:cs="Calibri"/>
          <w:b/>
          <w:sz w:val="22"/>
          <w:szCs w:val="22"/>
        </w:rPr>
        <w:t>4</w:t>
      </w:r>
      <w:r w:rsidRPr="00A82FB9">
        <w:rPr>
          <w:rFonts w:ascii="Calibri" w:hAnsi="Calibri" w:cs="Calibri"/>
          <w:b/>
          <w:sz w:val="22"/>
          <w:szCs w:val="22"/>
        </w:rPr>
        <w:t>% to €</w:t>
      </w:r>
      <w:r w:rsidRPr="00C34D43">
        <w:rPr>
          <w:rFonts w:ascii="Calibri" w:hAnsi="Calibri" w:cs="Calibri"/>
          <w:b/>
          <w:sz w:val="22"/>
          <w:szCs w:val="22"/>
        </w:rPr>
        <w:t>13</w:t>
      </w:r>
      <w:r>
        <w:rPr>
          <w:rFonts w:ascii="Calibri" w:hAnsi="Calibri" w:cs="Calibri"/>
          <w:b/>
          <w:sz w:val="22"/>
          <w:szCs w:val="22"/>
        </w:rPr>
        <w:t>7</w:t>
      </w:r>
      <w:r w:rsidRPr="00C34D43">
        <w:rPr>
          <w:rFonts w:ascii="Calibri" w:hAnsi="Calibri" w:cs="Calibri"/>
          <w:b/>
          <w:sz w:val="22"/>
          <w:szCs w:val="22"/>
        </w:rPr>
        <w:t>.4M</w:t>
      </w:r>
      <w:r w:rsidRPr="00C34D43">
        <w:rPr>
          <w:rFonts w:ascii="Calibri" w:hAnsi="Calibri" w:cs="Calibri"/>
          <w:bCs/>
          <w:sz w:val="22"/>
          <w:szCs w:val="22"/>
        </w:rPr>
        <w:t xml:space="preserve"> due to lower</w:t>
      </w:r>
      <w:r w:rsidRPr="00C34D43">
        <w:rPr>
          <w:rFonts w:ascii="Calibri" w:hAnsi="Calibri" w:cs="Calibri"/>
          <w:sz w:val="22"/>
          <w:szCs w:val="22"/>
        </w:rPr>
        <w:t xml:space="preserve"> EU261</w:t>
      </w:r>
      <w:r w:rsidRPr="008B1582">
        <w:rPr>
          <w:rFonts w:ascii="Calibri" w:hAnsi="Calibri" w:cs="Calibri"/>
          <w:sz w:val="22"/>
          <w:szCs w:val="22"/>
        </w:rPr>
        <w:t xml:space="preserve"> compensation costs.  </w:t>
      </w:r>
    </w:p>
    <w:p w14:paraId="251AAF05" w14:textId="77777777" w:rsidR="00832D00" w:rsidRPr="00961368" w:rsidRDefault="00832D00" w:rsidP="00832D00">
      <w:pPr>
        <w:jc w:val="both"/>
        <w:rPr>
          <w:rFonts w:ascii="Calibri" w:hAnsi="Calibri" w:cs="Calibri"/>
          <w:b/>
          <w:sz w:val="18"/>
          <w:szCs w:val="18"/>
          <w:highlight w:val="yellow"/>
        </w:rPr>
      </w:pPr>
    </w:p>
    <w:p w14:paraId="0BB90C71" w14:textId="77777777" w:rsidR="00832D00" w:rsidRPr="009951F6" w:rsidRDefault="00832D00" w:rsidP="00832D00">
      <w:pPr>
        <w:jc w:val="both"/>
        <w:rPr>
          <w:rFonts w:ascii="Calibri" w:hAnsi="Calibri" w:cs="Calibri"/>
          <w:b/>
          <w:sz w:val="22"/>
          <w:szCs w:val="22"/>
        </w:rPr>
      </w:pPr>
      <w:bookmarkStart w:id="4" w:name="_Hlk526772367"/>
      <w:r w:rsidRPr="009951F6">
        <w:rPr>
          <w:rFonts w:ascii="Calibri" w:hAnsi="Calibri" w:cs="Calibri"/>
          <w:b/>
          <w:sz w:val="22"/>
          <w:szCs w:val="22"/>
        </w:rPr>
        <w:t xml:space="preserve">Maintenance, materials and repairs: </w:t>
      </w:r>
      <w:r w:rsidRPr="009951F6">
        <w:rPr>
          <w:rFonts w:ascii="Calibri" w:hAnsi="Calibri" w:cs="Calibri"/>
          <w:b/>
          <w:sz w:val="22"/>
          <w:szCs w:val="22"/>
        </w:rPr>
        <w:tab/>
      </w:r>
      <w:r w:rsidRPr="009951F6">
        <w:rPr>
          <w:rFonts w:ascii="Calibri" w:hAnsi="Calibri" w:cs="Calibri"/>
          <w:b/>
          <w:sz w:val="22"/>
          <w:szCs w:val="22"/>
        </w:rPr>
        <w:tab/>
      </w:r>
      <w:r w:rsidRPr="009951F6">
        <w:rPr>
          <w:rFonts w:ascii="Calibri" w:hAnsi="Calibri" w:cs="Calibri"/>
          <w:b/>
          <w:sz w:val="22"/>
          <w:szCs w:val="22"/>
        </w:rPr>
        <w:tab/>
        <w:t xml:space="preserve">                     </w:t>
      </w:r>
    </w:p>
    <w:bookmarkEnd w:id="4"/>
    <w:p w14:paraId="551EF250" w14:textId="77777777" w:rsidR="00832D00" w:rsidRPr="007731F4" w:rsidRDefault="00832D00" w:rsidP="00832D00">
      <w:pPr>
        <w:jc w:val="both"/>
        <w:rPr>
          <w:rFonts w:ascii="Calibri" w:hAnsi="Calibri" w:cs="Calibri"/>
          <w:sz w:val="22"/>
          <w:szCs w:val="22"/>
        </w:rPr>
      </w:pPr>
      <w:r w:rsidRPr="007731F4">
        <w:rPr>
          <w:rFonts w:ascii="Calibri" w:hAnsi="Calibri" w:cs="Calibri"/>
          <w:sz w:val="22"/>
          <w:szCs w:val="22"/>
        </w:rPr>
        <w:t>Maintenance, materials and repairs increased by</w:t>
      </w:r>
      <w:r w:rsidRPr="007731F4">
        <w:rPr>
          <w:rFonts w:ascii="Calibri" w:hAnsi="Calibri" w:cs="Calibri"/>
          <w:b/>
          <w:bCs/>
          <w:sz w:val="22"/>
          <w:szCs w:val="22"/>
        </w:rPr>
        <w:t xml:space="preserve"> </w:t>
      </w:r>
      <w:r>
        <w:rPr>
          <w:rFonts w:ascii="Calibri" w:hAnsi="Calibri" w:cs="Calibri"/>
          <w:b/>
          <w:bCs/>
          <w:sz w:val="22"/>
          <w:szCs w:val="22"/>
        </w:rPr>
        <w:t>58</w:t>
      </w:r>
      <w:r w:rsidRPr="007731F4">
        <w:rPr>
          <w:rFonts w:ascii="Calibri" w:hAnsi="Calibri" w:cs="Calibri"/>
          <w:b/>
          <w:bCs/>
          <w:sz w:val="22"/>
          <w:szCs w:val="22"/>
        </w:rPr>
        <w:t>% to €</w:t>
      </w:r>
      <w:r>
        <w:rPr>
          <w:rFonts w:ascii="Calibri" w:hAnsi="Calibri" w:cs="Calibri"/>
          <w:b/>
          <w:bCs/>
          <w:sz w:val="22"/>
          <w:szCs w:val="22"/>
        </w:rPr>
        <w:t>63</w:t>
      </w:r>
      <w:r w:rsidRPr="007731F4">
        <w:rPr>
          <w:rFonts w:ascii="Calibri" w:hAnsi="Calibri" w:cs="Calibri"/>
          <w:b/>
          <w:bCs/>
          <w:sz w:val="22"/>
          <w:szCs w:val="22"/>
        </w:rPr>
        <w:t>.</w:t>
      </w:r>
      <w:r>
        <w:rPr>
          <w:rFonts w:ascii="Calibri" w:hAnsi="Calibri" w:cs="Calibri"/>
          <w:b/>
          <w:bCs/>
          <w:sz w:val="22"/>
          <w:szCs w:val="22"/>
        </w:rPr>
        <w:t>7</w:t>
      </w:r>
      <w:r w:rsidRPr="007731F4">
        <w:rPr>
          <w:rFonts w:ascii="Calibri" w:hAnsi="Calibri" w:cs="Calibri"/>
          <w:b/>
          <w:bCs/>
          <w:sz w:val="22"/>
          <w:szCs w:val="22"/>
        </w:rPr>
        <w:t>M</w:t>
      </w:r>
      <w:r w:rsidRPr="007731F4">
        <w:rPr>
          <w:rFonts w:ascii="Calibri" w:hAnsi="Calibri" w:cs="Calibri"/>
          <w:sz w:val="22"/>
          <w:szCs w:val="22"/>
        </w:rPr>
        <w:t xml:space="preserve"> due to higher </w:t>
      </w:r>
      <w:r>
        <w:rPr>
          <w:rFonts w:ascii="Calibri" w:hAnsi="Calibri" w:cs="Calibri"/>
          <w:sz w:val="22"/>
          <w:szCs w:val="22"/>
        </w:rPr>
        <w:t xml:space="preserve">scheduled engine maintenance due to an ageing fleet, MAX delays and provision for 12 additional A320 operating leases. </w:t>
      </w:r>
    </w:p>
    <w:p w14:paraId="1F42C7CC" w14:textId="77777777" w:rsidR="00832D00" w:rsidRPr="00961368" w:rsidRDefault="00832D00" w:rsidP="00832D00">
      <w:pPr>
        <w:jc w:val="both"/>
        <w:rPr>
          <w:rFonts w:ascii="Calibri" w:hAnsi="Calibri" w:cs="Calibri"/>
          <w:b/>
          <w:sz w:val="18"/>
          <w:szCs w:val="18"/>
          <w:highlight w:val="yellow"/>
        </w:rPr>
      </w:pPr>
    </w:p>
    <w:p w14:paraId="5FF7A3B1" w14:textId="77777777" w:rsidR="00832D00" w:rsidRDefault="00832D00" w:rsidP="00832D00">
      <w:pPr>
        <w:jc w:val="both"/>
        <w:rPr>
          <w:rFonts w:ascii="Calibri" w:hAnsi="Calibri" w:cs="Calibri"/>
          <w:b/>
          <w:sz w:val="22"/>
          <w:szCs w:val="22"/>
        </w:rPr>
      </w:pPr>
      <w:r w:rsidRPr="009951F6">
        <w:rPr>
          <w:rFonts w:ascii="Calibri" w:hAnsi="Calibri" w:cs="Calibri"/>
          <w:b/>
          <w:sz w:val="22"/>
          <w:szCs w:val="22"/>
        </w:rPr>
        <w:t xml:space="preserve">Aircraft rentals:  </w:t>
      </w:r>
      <w:r w:rsidRPr="009951F6">
        <w:rPr>
          <w:rFonts w:ascii="Calibri" w:hAnsi="Calibri" w:cs="Calibri"/>
          <w:b/>
          <w:sz w:val="22"/>
          <w:szCs w:val="22"/>
        </w:rPr>
        <w:tab/>
      </w:r>
    </w:p>
    <w:p w14:paraId="3A4F9B30" w14:textId="77777777" w:rsidR="00832D00" w:rsidRPr="00642C0B" w:rsidRDefault="00832D00" w:rsidP="00832D00">
      <w:pPr>
        <w:jc w:val="both"/>
        <w:rPr>
          <w:rFonts w:ascii="Calibri" w:hAnsi="Calibri" w:cs="Calibri"/>
          <w:sz w:val="22"/>
          <w:szCs w:val="22"/>
        </w:rPr>
      </w:pPr>
      <w:r w:rsidRPr="00642C0B">
        <w:rPr>
          <w:rFonts w:ascii="Calibri" w:hAnsi="Calibri" w:cs="Calibri"/>
          <w:sz w:val="22"/>
          <w:szCs w:val="22"/>
        </w:rPr>
        <w:t xml:space="preserve">Aircraft rentals </w:t>
      </w:r>
      <w:r>
        <w:rPr>
          <w:rFonts w:ascii="Calibri" w:hAnsi="Calibri" w:cs="Calibri"/>
          <w:sz w:val="22"/>
          <w:szCs w:val="22"/>
        </w:rPr>
        <w:t>reduced</w:t>
      </w:r>
      <w:r w:rsidRPr="00642C0B">
        <w:rPr>
          <w:rFonts w:ascii="Calibri" w:hAnsi="Calibri" w:cs="Calibri"/>
          <w:sz w:val="22"/>
          <w:szCs w:val="22"/>
        </w:rPr>
        <w:t xml:space="preserve"> by </w:t>
      </w:r>
      <w:r>
        <w:rPr>
          <w:rFonts w:ascii="Calibri" w:hAnsi="Calibri" w:cs="Calibri"/>
          <w:b/>
          <w:bCs/>
          <w:sz w:val="22"/>
          <w:szCs w:val="22"/>
        </w:rPr>
        <w:t>52</w:t>
      </w:r>
      <w:r w:rsidRPr="00642C0B">
        <w:rPr>
          <w:rFonts w:ascii="Calibri" w:hAnsi="Calibri" w:cs="Calibri"/>
          <w:b/>
          <w:bCs/>
          <w:sz w:val="22"/>
          <w:szCs w:val="22"/>
        </w:rPr>
        <w:t>% to €</w:t>
      </w:r>
      <w:r>
        <w:rPr>
          <w:rFonts w:ascii="Calibri" w:hAnsi="Calibri" w:cs="Calibri"/>
          <w:b/>
          <w:bCs/>
          <w:sz w:val="22"/>
          <w:szCs w:val="22"/>
        </w:rPr>
        <w:t>7.6</w:t>
      </w:r>
      <w:r w:rsidRPr="00642C0B">
        <w:rPr>
          <w:rFonts w:ascii="Calibri" w:hAnsi="Calibri" w:cs="Calibri"/>
          <w:b/>
          <w:bCs/>
          <w:sz w:val="22"/>
          <w:szCs w:val="22"/>
        </w:rPr>
        <w:t>M</w:t>
      </w:r>
      <w:r w:rsidRPr="00642C0B">
        <w:rPr>
          <w:rFonts w:ascii="Calibri" w:hAnsi="Calibri" w:cs="Calibri"/>
          <w:sz w:val="22"/>
          <w:szCs w:val="22"/>
        </w:rPr>
        <w:t xml:space="preserve"> due </w:t>
      </w:r>
      <w:r>
        <w:rPr>
          <w:rFonts w:ascii="Calibri" w:hAnsi="Calibri" w:cs="Calibri"/>
          <w:sz w:val="22"/>
          <w:szCs w:val="22"/>
        </w:rPr>
        <w:t xml:space="preserve">to </w:t>
      </w:r>
      <w:r w:rsidRPr="00642C0B">
        <w:rPr>
          <w:rFonts w:ascii="Calibri" w:hAnsi="Calibri" w:cs="Calibri"/>
          <w:sz w:val="22"/>
          <w:szCs w:val="22"/>
        </w:rPr>
        <w:t>the adoption of IFRS</w:t>
      </w:r>
      <w:r>
        <w:rPr>
          <w:rFonts w:ascii="Calibri" w:hAnsi="Calibri" w:cs="Calibri"/>
          <w:sz w:val="22"/>
          <w:szCs w:val="22"/>
        </w:rPr>
        <w:t xml:space="preserve"> </w:t>
      </w:r>
      <w:r w:rsidRPr="00642C0B">
        <w:rPr>
          <w:rFonts w:ascii="Calibri" w:hAnsi="Calibri" w:cs="Calibri"/>
          <w:sz w:val="22"/>
          <w:szCs w:val="22"/>
        </w:rPr>
        <w:t>16</w:t>
      </w:r>
      <w:r>
        <w:rPr>
          <w:rFonts w:ascii="Calibri" w:hAnsi="Calibri" w:cs="Calibri"/>
          <w:sz w:val="22"/>
          <w:szCs w:val="22"/>
        </w:rPr>
        <w:t xml:space="preserve"> in April 2019</w:t>
      </w:r>
      <w:r w:rsidRPr="00642C0B">
        <w:rPr>
          <w:rFonts w:ascii="Calibri" w:hAnsi="Calibri" w:cs="Calibri"/>
          <w:sz w:val="22"/>
          <w:szCs w:val="22"/>
        </w:rPr>
        <w:t>.</w:t>
      </w:r>
    </w:p>
    <w:p w14:paraId="1B014AC5" w14:textId="77777777" w:rsidR="00832D00" w:rsidRPr="009951F6" w:rsidRDefault="00832D00" w:rsidP="00832D00">
      <w:pPr>
        <w:jc w:val="both"/>
        <w:rPr>
          <w:rFonts w:ascii="Calibri" w:hAnsi="Calibri" w:cs="Calibri"/>
          <w:b/>
          <w:sz w:val="22"/>
          <w:szCs w:val="22"/>
        </w:rPr>
      </w:pPr>
      <w:r w:rsidRPr="009951F6">
        <w:rPr>
          <w:rFonts w:ascii="Calibri" w:hAnsi="Calibri" w:cs="Calibri"/>
          <w:b/>
          <w:sz w:val="22"/>
          <w:szCs w:val="22"/>
        </w:rPr>
        <w:tab/>
      </w:r>
      <w:r w:rsidRPr="009951F6">
        <w:rPr>
          <w:rFonts w:ascii="Calibri" w:hAnsi="Calibri" w:cs="Calibri"/>
          <w:b/>
          <w:sz w:val="22"/>
          <w:szCs w:val="22"/>
        </w:rPr>
        <w:tab/>
      </w:r>
      <w:r w:rsidRPr="009951F6">
        <w:rPr>
          <w:rFonts w:ascii="Calibri" w:hAnsi="Calibri" w:cs="Calibri"/>
          <w:b/>
          <w:sz w:val="22"/>
          <w:szCs w:val="22"/>
        </w:rPr>
        <w:tab/>
      </w:r>
      <w:r w:rsidRPr="009951F6">
        <w:rPr>
          <w:rFonts w:ascii="Calibri" w:hAnsi="Calibri" w:cs="Calibri"/>
          <w:b/>
          <w:sz w:val="22"/>
          <w:szCs w:val="22"/>
        </w:rPr>
        <w:tab/>
      </w:r>
      <w:r w:rsidRPr="009951F6">
        <w:rPr>
          <w:rFonts w:ascii="Calibri" w:hAnsi="Calibri" w:cs="Calibri"/>
          <w:b/>
          <w:sz w:val="22"/>
          <w:szCs w:val="22"/>
        </w:rPr>
        <w:tab/>
      </w:r>
      <w:r w:rsidRPr="009951F6">
        <w:rPr>
          <w:rFonts w:ascii="Calibri" w:hAnsi="Calibri" w:cs="Calibri"/>
          <w:b/>
          <w:sz w:val="22"/>
          <w:szCs w:val="22"/>
        </w:rPr>
        <w:tab/>
      </w:r>
    </w:p>
    <w:p w14:paraId="1B9E223D" w14:textId="77777777" w:rsidR="00832D00" w:rsidRDefault="00832D00" w:rsidP="00832D00">
      <w:pPr>
        <w:jc w:val="both"/>
        <w:rPr>
          <w:rFonts w:ascii="Calibri" w:hAnsi="Calibri" w:cs="Calibri"/>
          <w:b/>
          <w:sz w:val="22"/>
          <w:szCs w:val="22"/>
        </w:rPr>
      </w:pPr>
      <w:r w:rsidRPr="00630419">
        <w:rPr>
          <w:rFonts w:ascii="Calibri" w:hAnsi="Calibri" w:cs="Calibri"/>
          <w:b/>
          <w:sz w:val="22"/>
          <w:szCs w:val="22"/>
        </w:rPr>
        <w:t>Unit cost per pax</w:t>
      </w:r>
      <w:r>
        <w:rPr>
          <w:rFonts w:ascii="Calibri" w:hAnsi="Calibri" w:cs="Calibri"/>
          <w:b/>
          <w:sz w:val="22"/>
          <w:szCs w:val="22"/>
        </w:rPr>
        <w:t>:</w:t>
      </w:r>
      <w:r w:rsidRPr="00630419">
        <w:rPr>
          <w:rFonts w:ascii="Calibri" w:hAnsi="Calibri" w:cs="Calibri"/>
          <w:b/>
          <w:sz w:val="22"/>
          <w:szCs w:val="22"/>
        </w:rPr>
        <w:t xml:space="preserve"> </w:t>
      </w:r>
    </w:p>
    <w:p w14:paraId="1C943A41" w14:textId="0DFF3422" w:rsidR="00832D00" w:rsidRPr="00CE4760" w:rsidRDefault="00832D00" w:rsidP="00832D00">
      <w:pPr>
        <w:jc w:val="both"/>
        <w:rPr>
          <w:rFonts w:ascii="Calibri" w:hAnsi="Calibri" w:cs="Calibri"/>
          <w:sz w:val="22"/>
          <w:szCs w:val="22"/>
        </w:rPr>
      </w:pPr>
      <w:r w:rsidRPr="008F7F63">
        <w:rPr>
          <w:rFonts w:ascii="Calibri" w:hAnsi="Calibri" w:cs="Calibri"/>
          <w:sz w:val="22"/>
          <w:szCs w:val="22"/>
        </w:rPr>
        <w:t xml:space="preserve">Unit cost per pax increased by </w:t>
      </w:r>
      <w:r>
        <w:rPr>
          <w:rFonts w:ascii="Calibri" w:hAnsi="Calibri" w:cs="Calibri"/>
          <w:sz w:val="22"/>
          <w:szCs w:val="22"/>
        </w:rPr>
        <w:t>3</w:t>
      </w:r>
      <w:r w:rsidRPr="008F7F63">
        <w:rPr>
          <w:rFonts w:ascii="Calibri" w:hAnsi="Calibri" w:cs="Calibri"/>
          <w:sz w:val="22"/>
          <w:szCs w:val="22"/>
        </w:rPr>
        <w:t>%</w:t>
      </w:r>
      <w:r>
        <w:rPr>
          <w:rFonts w:ascii="Calibri" w:hAnsi="Calibri" w:cs="Calibri"/>
          <w:sz w:val="22"/>
          <w:szCs w:val="22"/>
        </w:rPr>
        <w:t>. E</w:t>
      </w:r>
      <w:r w:rsidRPr="008F7F63">
        <w:rPr>
          <w:rFonts w:ascii="Calibri" w:hAnsi="Calibri" w:cs="Calibri"/>
          <w:sz w:val="22"/>
          <w:szCs w:val="22"/>
        </w:rPr>
        <w:t>xcluding fuel</w:t>
      </w:r>
      <w:r>
        <w:rPr>
          <w:rFonts w:ascii="Calibri" w:hAnsi="Calibri" w:cs="Calibri"/>
          <w:sz w:val="22"/>
          <w:szCs w:val="22"/>
        </w:rPr>
        <w:t>,</w:t>
      </w:r>
      <w:r w:rsidRPr="008F7F63">
        <w:rPr>
          <w:rFonts w:ascii="Calibri" w:hAnsi="Calibri" w:cs="Calibri"/>
          <w:sz w:val="22"/>
          <w:szCs w:val="22"/>
        </w:rPr>
        <w:t xml:space="preserve"> </w:t>
      </w:r>
      <w:r>
        <w:rPr>
          <w:rFonts w:ascii="Calibri" w:hAnsi="Calibri" w:cs="Calibri"/>
          <w:sz w:val="22"/>
          <w:szCs w:val="22"/>
        </w:rPr>
        <w:t>u</w:t>
      </w:r>
      <w:r w:rsidRPr="008F7F63">
        <w:rPr>
          <w:rFonts w:ascii="Calibri" w:hAnsi="Calibri" w:cs="Calibri"/>
          <w:sz w:val="22"/>
          <w:szCs w:val="22"/>
        </w:rPr>
        <w:t xml:space="preserve">nit cost per pax </w:t>
      </w:r>
      <w:r>
        <w:rPr>
          <w:rFonts w:ascii="Calibri" w:hAnsi="Calibri" w:cs="Calibri"/>
          <w:sz w:val="22"/>
          <w:szCs w:val="22"/>
        </w:rPr>
        <w:t>increased</w:t>
      </w:r>
      <w:r w:rsidRPr="008F7F63">
        <w:rPr>
          <w:rFonts w:ascii="Calibri" w:hAnsi="Calibri" w:cs="Calibri"/>
          <w:sz w:val="22"/>
          <w:szCs w:val="22"/>
        </w:rPr>
        <w:t xml:space="preserve"> </w:t>
      </w:r>
      <w:r>
        <w:rPr>
          <w:rFonts w:ascii="Calibri" w:hAnsi="Calibri" w:cs="Calibri"/>
          <w:sz w:val="22"/>
          <w:szCs w:val="22"/>
        </w:rPr>
        <w:t xml:space="preserve">by </w:t>
      </w:r>
      <w:r w:rsidRPr="008F7F63">
        <w:rPr>
          <w:rFonts w:ascii="Calibri" w:hAnsi="Calibri" w:cs="Calibri"/>
          <w:sz w:val="22"/>
          <w:szCs w:val="22"/>
        </w:rPr>
        <w:t>1%</w:t>
      </w:r>
      <w:r>
        <w:rPr>
          <w:rFonts w:ascii="Calibri" w:hAnsi="Calibri" w:cs="Calibri"/>
          <w:sz w:val="22"/>
          <w:szCs w:val="22"/>
        </w:rPr>
        <w:t xml:space="preserve">. This was primarily due to higher crewing ratios, the </w:t>
      </w:r>
      <w:proofErr w:type="spellStart"/>
      <w:r>
        <w:rPr>
          <w:rFonts w:ascii="Calibri" w:hAnsi="Calibri" w:cs="Calibri"/>
          <w:sz w:val="22"/>
          <w:szCs w:val="22"/>
        </w:rPr>
        <w:t>annu</w:t>
      </w:r>
      <w:r w:rsidR="00C017B8">
        <w:rPr>
          <w:rFonts w:ascii="Calibri" w:hAnsi="Calibri" w:cs="Calibri"/>
          <w:sz w:val="22"/>
          <w:szCs w:val="22"/>
        </w:rPr>
        <w:t>a</w:t>
      </w:r>
      <w:r>
        <w:rPr>
          <w:rFonts w:ascii="Calibri" w:hAnsi="Calibri" w:cs="Calibri"/>
          <w:sz w:val="22"/>
          <w:szCs w:val="22"/>
        </w:rPr>
        <w:t>lisation</w:t>
      </w:r>
      <w:proofErr w:type="spellEnd"/>
      <w:r>
        <w:rPr>
          <w:rFonts w:ascii="Calibri" w:hAnsi="Calibri" w:cs="Calibri"/>
          <w:sz w:val="22"/>
          <w:szCs w:val="22"/>
        </w:rPr>
        <w:t xml:space="preserve"> of pilot pay increases and increased ownership costs due to the Boeing MAX delivery delays, offset by lower EU261 compensation costs.</w:t>
      </w:r>
    </w:p>
    <w:p w14:paraId="7D8B9D03" w14:textId="77777777" w:rsidR="00832D00" w:rsidRDefault="00832D00" w:rsidP="00832D00">
      <w:pPr>
        <w:jc w:val="both"/>
        <w:rPr>
          <w:rFonts w:ascii="Calibri" w:hAnsi="Calibri" w:cs="Calibri"/>
          <w:b/>
          <w:sz w:val="22"/>
          <w:szCs w:val="22"/>
        </w:rPr>
      </w:pPr>
    </w:p>
    <w:p w14:paraId="70136E47" w14:textId="77777777" w:rsidR="00832D00" w:rsidRDefault="00832D00" w:rsidP="00832D00">
      <w:pPr>
        <w:jc w:val="both"/>
        <w:rPr>
          <w:rFonts w:ascii="Calibri" w:hAnsi="Calibri" w:cs="Calibri"/>
          <w:b/>
          <w:sz w:val="22"/>
          <w:szCs w:val="22"/>
        </w:rPr>
      </w:pPr>
      <w:r w:rsidRPr="00757C70">
        <w:rPr>
          <w:rFonts w:ascii="Calibri" w:hAnsi="Calibri" w:cs="Calibri"/>
          <w:b/>
          <w:sz w:val="22"/>
          <w:szCs w:val="22"/>
        </w:rPr>
        <w:t>Net finance expense:</w:t>
      </w:r>
      <w:r w:rsidRPr="00757C70">
        <w:rPr>
          <w:rFonts w:ascii="Calibri" w:hAnsi="Calibri" w:cs="Calibri"/>
          <w:b/>
          <w:sz w:val="22"/>
          <w:szCs w:val="22"/>
        </w:rPr>
        <w:tab/>
      </w:r>
    </w:p>
    <w:p w14:paraId="347A931A" w14:textId="77777777" w:rsidR="00832D00" w:rsidRDefault="00832D00" w:rsidP="00832D00">
      <w:pPr>
        <w:jc w:val="both"/>
        <w:rPr>
          <w:rFonts w:ascii="Calibri" w:hAnsi="Calibri" w:cs="Calibri"/>
          <w:b/>
          <w:sz w:val="22"/>
          <w:szCs w:val="22"/>
        </w:rPr>
      </w:pPr>
      <w:r w:rsidRPr="00642C0B">
        <w:rPr>
          <w:rFonts w:ascii="Calibri" w:hAnsi="Calibri" w:cs="Calibri"/>
          <w:sz w:val="22"/>
          <w:szCs w:val="22"/>
        </w:rPr>
        <w:t xml:space="preserve">Net finance expense decreased by </w:t>
      </w:r>
      <w:r>
        <w:rPr>
          <w:rFonts w:ascii="Calibri" w:hAnsi="Calibri" w:cs="Calibri"/>
          <w:b/>
          <w:bCs/>
          <w:sz w:val="22"/>
          <w:szCs w:val="22"/>
        </w:rPr>
        <w:t>20</w:t>
      </w:r>
      <w:r w:rsidRPr="00642C0B">
        <w:rPr>
          <w:rFonts w:ascii="Calibri" w:hAnsi="Calibri" w:cs="Calibri"/>
          <w:b/>
          <w:bCs/>
          <w:sz w:val="22"/>
          <w:szCs w:val="22"/>
        </w:rPr>
        <w:t>% to €</w:t>
      </w:r>
      <w:r>
        <w:rPr>
          <w:rFonts w:ascii="Calibri" w:hAnsi="Calibri" w:cs="Calibri"/>
          <w:b/>
          <w:bCs/>
          <w:sz w:val="22"/>
          <w:szCs w:val="22"/>
        </w:rPr>
        <w:t>11.3</w:t>
      </w:r>
      <w:r w:rsidRPr="00642C0B">
        <w:rPr>
          <w:rFonts w:ascii="Calibri" w:hAnsi="Calibri" w:cs="Calibri"/>
          <w:b/>
          <w:bCs/>
          <w:sz w:val="22"/>
          <w:szCs w:val="22"/>
        </w:rPr>
        <w:t xml:space="preserve">M </w:t>
      </w:r>
      <w:r>
        <w:rPr>
          <w:rFonts w:ascii="Calibri" w:hAnsi="Calibri" w:cs="Calibri"/>
          <w:sz w:val="22"/>
          <w:szCs w:val="22"/>
        </w:rPr>
        <w:t>as a result of</w:t>
      </w:r>
      <w:r w:rsidRPr="00642C0B">
        <w:rPr>
          <w:rFonts w:ascii="Calibri" w:hAnsi="Calibri" w:cs="Calibri"/>
          <w:sz w:val="22"/>
          <w:szCs w:val="22"/>
        </w:rPr>
        <w:t xml:space="preserve"> higher interest rates achieved on deposits and the re-financing of debt at lower interest rates. IFRS</w:t>
      </w:r>
      <w:r>
        <w:rPr>
          <w:rFonts w:ascii="Calibri" w:hAnsi="Calibri" w:cs="Calibri"/>
          <w:sz w:val="22"/>
          <w:szCs w:val="22"/>
        </w:rPr>
        <w:t xml:space="preserve"> </w:t>
      </w:r>
      <w:r w:rsidRPr="00642C0B">
        <w:rPr>
          <w:rFonts w:ascii="Calibri" w:hAnsi="Calibri" w:cs="Calibri"/>
          <w:sz w:val="22"/>
          <w:szCs w:val="22"/>
        </w:rPr>
        <w:t>16 had a negative €</w:t>
      </w:r>
      <w:r>
        <w:rPr>
          <w:rFonts w:ascii="Calibri" w:hAnsi="Calibri" w:cs="Calibri"/>
          <w:sz w:val="22"/>
          <w:szCs w:val="22"/>
        </w:rPr>
        <w:t>1.4</w:t>
      </w:r>
      <w:r w:rsidRPr="00642C0B">
        <w:rPr>
          <w:rFonts w:ascii="Calibri" w:hAnsi="Calibri" w:cs="Calibri"/>
          <w:sz w:val="22"/>
          <w:szCs w:val="22"/>
        </w:rPr>
        <w:t xml:space="preserve">M impact in the </w:t>
      </w:r>
      <w:r>
        <w:rPr>
          <w:rFonts w:ascii="Calibri" w:hAnsi="Calibri" w:cs="Calibri"/>
          <w:sz w:val="22"/>
          <w:szCs w:val="22"/>
        </w:rPr>
        <w:t>quarter</w:t>
      </w:r>
      <w:r w:rsidRPr="00642C0B">
        <w:rPr>
          <w:rFonts w:ascii="Calibri" w:hAnsi="Calibri" w:cs="Calibri"/>
          <w:sz w:val="22"/>
          <w:szCs w:val="22"/>
        </w:rPr>
        <w:t>.</w:t>
      </w:r>
      <w:r w:rsidRPr="000638D4">
        <w:rPr>
          <w:rFonts w:ascii="Calibri" w:hAnsi="Calibri" w:cs="Calibri"/>
          <w:b/>
          <w:sz w:val="22"/>
          <w:szCs w:val="22"/>
        </w:rPr>
        <w:t xml:space="preserve"> </w:t>
      </w:r>
    </w:p>
    <w:p w14:paraId="5D6A2948" w14:textId="77777777" w:rsidR="00832D00" w:rsidRDefault="00832D00" w:rsidP="00832D00">
      <w:pPr>
        <w:jc w:val="both"/>
        <w:rPr>
          <w:rFonts w:ascii="Calibri" w:hAnsi="Calibri" w:cs="Calibri"/>
          <w:b/>
          <w:sz w:val="22"/>
          <w:szCs w:val="22"/>
        </w:rPr>
      </w:pPr>
    </w:p>
    <w:p w14:paraId="4CBE8B05" w14:textId="77777777" w:rsidR="00832D00" w:rsidRPr="008B7F1B" w:rsidRDefault="00832D00" w:rsidP="00832D00">
      <w:pPr>
        <w:jc w:val="both"/>
        <w:rPr>
          <w:rFonts w:ascii="Calibri" w:hAnsi="Calibri" w:cs="Calibri"/>
          <w:b/>
          <w:sz w:val="22"/>
          <w:szCs w:val="22"/>
        </w:rPr>
      </w:pPr>
      <w:r w:rsidRPr="008B7F1B">
        <w:rPr>
          <w:rFonts w:ascii="Calibri" w:hAnsi="Calibri" w:cs="Calibri"/>
          <w:b/>
          <w:sz w:val="22"/>
          <w:szCs w:val="22"/>
        </w:rPr>
        <w:t>Balance sheet:</w:t>
      </w:r>
    </w:p>
    <w:p w14:paraId="44E80CD1" w14:textId="77777777" w:rsidR="00832D00" w:rsidRDefault="00832D00" w:rsidP="00832D00">
      <w:pPr>
        <w:jc w:val="both"/>
        <w:rPr>
          <w:rFonts w:ascii="Calibri" w:hAnsi="Calibri" w:cs="Calibri"/>
          <w:sz w:val="22"/>
          <w:szCs w:val="22"/>
        </w:rPr>
      </w:pPr>
      <w:r w:rsidRPr="008B7F1B">
        <w:rPr>
          <w:rFonts w:ascii="Calibri" w:hAnsi="Calibri" w:cs="Calibri"/>
          <w:sz w:val="22"/>
          <w:szCs w:val="22"/>
        </w:rPr>
        <w:t>Gross cash increased by €417.1M to €3,612.0M at December 31, 2019.</w:t>
      </w:r>
      <w:r>
        <w:rPr>
          <w:rFonts w:ascii="Calibri" w:hAnsi="Calibri" w:cs="Calibri"/>
          <w:sz w:val="22"/>
          <w:szCs w:val="22"/>
        </w:rPr>
        <w:t xml:space="preserve"> </w:t>
      </w:r>
    </w:p>
    <w:p w14:paraId="15408B24" w14:textId="77777777" w:rsidR="00832D00" w:rsidRDefault="00832D00" w:rsidP="00832D00">
      <w:pPr>
        <w:jc w:val="both"/>
        <w:rPr>
          <w:rFonts w:ascii="Calibri" w:hAnsi="Calibri" w:cs="Calibri"/>
          <w:sz w:val="22"/>
          <w:szCs w:val="22"/>
        </w:rPr>
      </w:pPr>
      <w:r w:rsidRPr="008B7F1B">
        <w:rPr>
          <w:rFonts w:ascii="Calibri" w:hAnsi="Calibri" w:cs="Calibri"/>
          <w:sz w:val="22"/>
          <w:szCs w:val="22"/>
        </w:rPr>
        <w:lastRenderedPageBreak/>
        <w:t xml:space="preserve">Gross debt </w:t>
      </w:r>
      <w:r>
        <w:rPr>
          <w:rFonts w:ascii="Calibri" w:hAnsi="Calibri" w:cs="Calibri"/>
          <w:sz w:val="22"/>
          <w:szCs w:val="22"/>
        </w:rPr>
        <w:t>increased</w:t>
      </w:r>
      <w:r w:rsidRPr="008B7F1B">
        <w:rPr>
          <w:rFonts w:ascii="Calibri" w:hAnsi="Calibri" w:cs="Calibri"/>
          <w:sz w:val="22"/>
          <w:szCs w:val="22"/>
        </w:rPr>
        <w:t xml:space="preserve"> by €678.7M to €4,323.</w:t>
      </w:r>
      <w:r>
        <w:rPr>
          <w:rFonts w:ascii="Calibri" w:hAnsi="Calibri" w:cs="Calibri"/>
          <w:sz w:val="22"/>
          <w:szCs w:val="22"/>
        </w:rPr>
        <w:t>1</w:t>
      </w:r>
      <w:r w:rsidRPr="008B7F1B">
        <w:rPr>
          <w:rFonts w:ascii="Calibri" w:hAnsi="Calibri" w:cs="Calibri"/>
          <w:sz w:val="22"/>
          <w:szCs w:val="22"/>
        </w:rPr>
        <w:t>M due to a new €750.0M low cost syndicated bank facility and the impact of IFRS</w:t>
      </w:r>
      <w:r>
        <w:rPr>
          <w:rFonts w:ascii="Calibri" w:hAnsi="Calibri" w:cs="Calibri"/>
          <w:sz w:val="22"/>
          <w:szCs w:val="22"/>
        </w:rPr>
        <w:t xml:space="preserve"> </w:t>
      </w:r>
      <w:r w:rsidRPr="008B7F1B">
        <w:rPr>
          <w:rFonts w:ascii="Calibri" w:hAnsi="Calibri" w:cs="Calibri"/>
          <w:sz w:val="22"/>
          <w:szCs w:val="22"/>
        </w:rPr>
        <w:t>16 (€230.9M), offset by €</w:t>
      </w:r>
      <w:r>
        <w:rPr>
          <w:rFonts w:ascii="Calibri" w:hAnsi="Calibri" w:cs="Calibri"/>
          <w:sz w:val="22"/>
          <w:szCs w:val="22"/>
        </w:rPr>
        <w:t>296</w:t>
      </w:r>
      <w:r w:rsidRPr="008B7F1B">
        <w:rPr>
          <w:rFonts w:ascii="Calibri" w:hAnsi="Calibri" w:cs="Calibri"/>
          <w:sz w:val="22"/>
          <w:szCs w:val="22"/>
        </w:rPr>
        <w:t>.</w:t>
      </w:r>
      <w:r>
        <w:rPr>
          <w:rFonts w:ascii="Calibri" w:hAnsi="Calibri" w:cs="Calibri"/>
          <w:sz w:val="22"/>
          <w:szCs w:val="22"/>
        </w:rPr>
        <w:t>4</w:t>
      </w:r>
      <w:r w:rsidRPr="008B7F1B">
        <w:rPr>
          <w:rFonts w:ascii="Calibri" w:hAnsi="Calibri" w:cs="Calibri"/>
          <w:sz w:val="22"/>
          <w:szCs w:val="22"/>
        </w:rPr>
        <w:t>M debt repayments</w:t>
      </w:r>
      <w:r>
        <w:rPr>
          <w:rFonts w:ascii="Calibri" w:hAnsi="Calibri" w:cs="Calibri"/>
          <w:sz w:val="22"/>
          <w:szCs w:val="22"/>
        </w:rPr>
        <w:t xml:space="preserve"> and €45.9M lease liability payments</w:t>
      </w:r>
      <w:r w:rsidRPr="008B7F1B">
        <w:rPr>
          <w:rFonts w:ascii="Calibri" w:hAnsi="Calibri" w:cs="Calibri"/>
          <w:sz w:val="22"/>
          <w:szCs w:val="22"/>
        </w:rPr>
        <w:t>. €1,7</w:t>
      </w:r>
      <w:r>
        <w:rPr>
          <w:rFonts w:ascii="Calibri" w:hAnsi="Calibri" w:cs="Calibri"/>
          <w:sz w:val="22"/>
          <w:szCs w:val="22"/>
        </w:rPr>
        <w:t>44</w:t>
      </w:r>
      <w:r w:rsidRPr="008B7F1B">
        <w:rPr>
          <w:rFonts w:ascii="Calibri" w:hAnsi="Calibri" w:cs="Calibri"/>
          <w:sz w:val="22"/>
          <w:szCs w:val="22"/>
        </w:rPr>
        <w:t>.</w:t>
      </w:r>
      <w:r>
        <w:rPr>
          <w:rFonts w:ascii="Calibri" w:hAnsi="Calibri" w:cs="Calibri"/>
          <w:sz w:val="22"/>
          <w:szCs w:val="22"/>
        </w:rPr>
        <w:t>0</w:t>
      </w:r>
      <w:r w:rsidRPr="008B7F1B">
        <w:rPr>
          <w:rFonts w:ascii="Calibri" w:hAnsi="Calibri" w:cs="Calibri"/>
          <w:sz w:val="22"/>
          <w:szCs w:val="22"/>
        </w:rPr>
        <w:t xml:space="preserve">M net cash was generated by operating activities. </w:t>
      </w:r>
      <w:r>
        <w:rPr>
          <w:rFonts w:ascii="Calibri" w:hAnsi="Calibri" w:cs="Calibri"/>
          <w:sz w:val="22"/>
          <w:szCs w:val="22"/>
        </w:rPr>
        <w:t>Net c</w:t>
      </w:r>
      <w:r w:rsidRPr="008B7F1B">
        <w:rPr>
          <w:rFonts w:ascii="Calibri" w:hAnsi="Calibri" w:cs="Calibri"/>
          <w:sz w:val="22"/>
          <w:szCs w:val="22"/>
        </w:rPr>
        <w:t>apital expenditure was €1,</w:t>
      </w:r>
      <w:r>
        <w:rPr>
          <w:rFonts w:ascii="Calibri" w:hAnsi="Calibri" w:cs="Calibri"/>
          <w:sz w:val="22"/>
          <w:szCs w:val="22"/>
        </w:rPr>
        <w:t>375</w:t>
      </w:r>
      <w:r w:rsidRPr="008B7F1B">
        <w:rPr>
          <w:rFonts w:ascii="Calibri" w:hAnsi="Calibri" w:cs="Calibri"/>
          <w:sz w:val="22"/>
          <w:szCs w:val="22"/>
        </w:rPr>
        <w:t>.</w:t>
      </w:r>
      <w:r>
        <w:rPr>
          <w:rFonts w:ascii="Calibri" w:hAnsi="Calibri" w:cs="Calibri"/>
          <w:sz w:val="22"/>
          <w:szCs w:val="22"/>
        </w:rPr>
        <w:t>1</w:t>
      </w:r>
      <w:r w:rsidRPr="008B7F1B">
        <w:rPr>
          <w:rFonts w:ascii="Calibri" w:hAnsi="Calibri" w:cs="Calibri"/>
          <w:sz w:val="22"/>
          <w:szCs w:val="22"/>
        </w:rPr>
        <w:t>M and shareholder returns amounted to €371.5M.</w:t>
      </w:r>
      <w:r>
        <w:rPr>
          <w:rFonts w:ascii="Calibri" w:hAnsi="Calibri" w:cs="Calibri"/>
          <w:sz w:val="22"/>
          <w:szCs w:val="22"/>
        </w:rPr>
        <w:t xml:space="preserve"> </w:t>
      </w:r>
    </w:p>
    <w:p w14:paraId="6826960E" w14:textId="77777777" w:rsidR="00832D00" w:rsidRPr="008B7F1B" w:rsidRDefault="00832D00" w:rsidP="00832D00">
      <w:pPr>
        <w:jc w:val="both"/>
        <w:rPr>
          <w:rFonts w:ascii="Calibri" w:hAnsi="Calibri" w:cs="Calibri"/>
          <w:sz w:val="22"/>
          <w:szCs w:val="22"/>
        </w:rPr>
      </w:pPr>
      <w:r w:rsidRPr="008B7F1B">
        <w:rPr>
          <w:rFonts w:ascii="Calibri" w:hAnsi="Calibri" w:cs="Calibri"/>
          <w:sz w:val="22"/>
          <w:szCs w:val="22"/>
        </w:rPr>
        <w:t>Net debt was €711.</w:t>
      </w:r>
      <w:r>
        <w:rPr>
          <w:rFonts w:ascii="Calibri" w:hAnsi="Calibri" w:cs="Calibri"/>
          <w:sz w:val="22"/>
          <w:szCs w:val="22"/>
        </w:rPr>
        <w:t>1</w:t>
      </w:r>
      <w:r w:rsidRPr="008B7F1B">
        <w:rPr>
          <w:rFonts w:ascii="Calibri" w:hAnsi="Calibri" w:cs="Calibri"/>
          <w:sz w:val="22"/>
          <w:szCs w:val="22"/>
        </w:rPr>
        <w:t>M (including €230.9M IFRS</w:t>
      </w:r>
      <w:r>
        <w:rPr>
          <w:rFonts w:ascii="Calibri" w:hAnsi="Calibri" w:cs="Calibri"/>
          <w:sz w:val="22"/>
          <w:szCs w:val="22"/>
        </w:rPr>
        <w:t xml:space="preserve"> </w:t>
      </w:r>
      <w:r w:rsidRPr="008B7F1B">
        <w:rPr>
          <w:rFonts w:ascii="Calibri" w:hAnsi="Calibri" w:cs="Calibri"/>
          <w:sz w:val="22"/>
          <w:szCs w:val="22"/>
        </w:rPr>
        <w:t>16 lease liability) at period end. (March 2019: €449.5M).</w:t>
      </w:r>
    </w:p>
    <w:p w14:paraId="2B5776D9" w14:textId="77777777" w:rsidR="00832D00" w:rsidRPr="008B7F1B" w:rsidRDefault="00832D00" w:rsidP="00832D00">
      <w:pPr>
        <w:jc w:val="both"/>
        <w:rPr>
          <w:rFonts w:ascii="Calibri" w:hAnsi="Calibri" w:cs="Calibri"/>
          <w:sz w:val="22"/>
          <w:szCs w:val="22"/>
        </w:rPr>
      </w:pPr>
    </w:p>
    <w:p w14:paraId="55771B8D" w14:textId="77777777" w:rsidR="00832D00" w:rsidRPr="008B7F1B" w:rsidRDefault="00832D00" w:rsidP="00832D00">
      <w:pPr>
        <w:jc w:val="both"/>
        <w:rPr>
          <w:rFonts w:ascii="Calibri" w:hAnsi="Calibri" w:cs="Calibri"/>
          <w:b/>
          <w:sz w:val="22"/>
          <w:szCs w:val="22"/>
        </w:rPr>
      </w:pPr>
      <w:r w:rsidRPr="008B7F1B">
        <w:rPr>
          <w:rFonts w:ascii="Calibri" w:hAnsi="Calibri" w:cs="Calibri"/>
          <w:b/>
          <w:sz w:val="22"/>
          <w:szCs w:val="22"/>
        </w:rPr>
        <w:t>Shareholders’ equity:</w:t>
      </w:r>
      <w:r w:rsidRPr="008B7F1B">
        <w:rPr>
          <w:rFonts w:ascii="Calibri" w:hAnsi="Calibri" w:cs="Calibri"/>
          <w:b/>
          <w:sz w:val="22"/>
          <w:szCs w:val="22"/>
        </w:rPr>
        <w:tab/>
      </w:r>
      <w:r w:rsidRPr="008B7F1B">
        <w:rPr>
          <w:rFonts w:ascii="Calibri" w:hAnsi="Calibri" w:cs="Calibri"/>
          <w:b/>
          <w:sz w:val="22"/>
          <w:szCs w:val="22"/>
        </w:rPr>
        <w:tab/>
      </w:r>
      <w:r w:rsidRPr="008B7F1B">
        <w:rPr>
          <w:rFonts w:ascii="Calibri" w:hAnsi="Calibri" w:cs="Calibri"/>
          <w:b/>
          <w:sz w:val="22"/>
          <w:szCs w:val="22"/>
        </w:rPr>
        <w:tab/>
      </w:r>
      <w:r w:rsidRPr="008B7F1B">
        <w:rPr>
          <w:rFonts w:ascii="Calibri" w:hAnsi="Calibri" w:cs="Calibri"/>
          <w:b/>
          <w:sz w:val="22"/>
          <w:szCs w:val="22"/>
        </w:rPr>
        <w:tab/>
      </w:r>
      <w:r w:rsidRPr="008B7F1B">
        <w:rPr>
          <w:rFonts w:ascii="Calibri" w:hAnsi="Calibri" w:cs="Calibri"/>
          <w:b/>
          <w:sz w:val="22"/>
          <w:szCs w:val="22"/>
        </w:rPr>
        <w:tab/>
      </w:r>
      <w:r w:rsidRPr="008B7F1B">
        <w:rPr>
          <w:rFonts w:ascii="Calibri" w:hAnsi="Calibri" w:cs="Calibri"/>
          <w:b/>
          <w:sz w:val="22"/>
          <w:szCs w:val="22"/>
        </w:rPr>
        <w:tab/>
        <w:t xml:space="preserve">    </w:t>
      </w:r>
    </w:p>
    <w:p w14:paraId="5568DD51" w14:textId="77777777" w:rsidR="00832D00" w:rsidRPr="008B7F1B" w:rsidRDefault="00832D00" w:rsidP="00832D00">
      <w:pPr>
        <w:jc w:val="both"/>
        <w:rPr>
          <w:rFonts w:ascii="Calibri" w:hAnsi="Calibri" w:cs="Calibri"/>
          <w:sz w:val="22"/>
          <w:szCs w:val="22"/>
        </w:rPr>
      </w:pPr>
      <w:r w:rsidRPr="008B7F1B">
        <w:rPr>
          <w:rFonts w:ascii="Calibri" w:hAnsi="Calibri" w:cs="Calibri"/>
          <w:sz w:val="22"/>
          <w:szCs w:val="22"/>
        </w:rPr>
        <w:t>Shareholders’ equity increased by €1,042.8M to €6,257.7M in the period due to IFRS hedge accounting treatment for derivatives of €164.8M and consolidated profit after tax of €1,240.4M, offset by €371.5M shareholder returns.</w:t>
      </w:r>
    </w:p>
    <w:p w14:paraId="32FF5840" w14:textId="77777777" w:rsidR="00832D00" w:rsidRPr="00B40600" w:rsidRDefault="00832D00" w:rsidP="00832D00">
      <w:pPr>
        <w:rPr>
          <w:rFonts w:ascii="Calibri" w:hAnsi="Calibri" w:cs="Calibri"/>
          <w:b/>
        </w:rPr>
      </w:pPr>
    </w:p>
    <w:p w14:paraId="08E95157" w14:textId="77777777" w:rsidR="00832D00" w:rsidRDefault="00832D00" w:rsidP="00832D00">
      <w:pPr>
        <w:jc w:val="both"/>
        <w:rPr>
          <w:rFonts w:ascii="Calibri" w:hAnsi="Calibri" w:cs="Calibri"/>
          <w:b/>
          <w:sz w:val="22"/>
          <w:szCs w:val="22"/>
          <w:u w:val="single"/>
        </w:rPr>
      </w:pPr>
    </w:p>
    <w:p w14:paraId="79E23205" w14:textId="77777777" w:rsidR="00832D00" w:rsidRPr="00B40600" w:rsidRDefault="00832D00" w:rsidP="00832D00">
      <w:pPr>
        <w:pageBreakBefore/>
        <w:rPr>
          <w:rFonts w:ascii="Calibri" w:hAnsi="Calibri" w:cs="Calibri"/>
          <w:b/>
        </w:rPr>
      </w:pPr>
      <w:r w:rsidRPr="00B40600">
        <w:rPr>
          <w:rFonts w:ascii="Calibri" w:hAnsi="Calibri" w:cs="Calibri"/>
          <w:b/>
        </w:rPr>
        <w:lastRenderedPageBreak/>
        <w:t>MD&amp;A Nine Months Ended December 31, 2019</w:t>
      </w:r>
    </w:p>
    <w:p w14:paraId="75A5EB97" w14:textId="77777777" w:rsidR="00832D00" w:rsidRDefault="00832D00" w:rsidP="00832D00">
      <w:pPr>
        <w:rPr>
          <w:rFonts w:ascii="Calibri" w:hAnsi="Calibri" w:cs="Calibri"/>
          <w:b/>
          <w:sz w:val="22"/>
          <w:szCs w:val="22"/>
          <w:u w:val="single"/>
        </w:rPr>
      </w:pPr>
    </w:p>
    <w:p w14:paraId="794BF0C5" w14:textId="77777777" w:rsidR="00832D00" w:rsidRPr="00961368" w:rsidRDefault="00832D00" w:rsidP="00832D00">
      <w:pPr>
        <w:rPr>
          <w:rFonts w:ascii="Calibri" w:hAnsi="Calibri" w:cs="Calibri"/>
          <w:b/>
          <w:sz w:val="22"/>
          <w:szCs w:val="22"/>
          <w:u w:val="single"/>
        </w:rPr>
      </w:pPr>
      <w:r w:rsidRPr="00961368">
        <w:rPr>
          <w:rFonts w:ascii="Calibri" w:hAnsi="Calibri" w:cs="Calibri"/>
          <w:b/>
          <w:sz w:val="22"/>
          <w:szCs w:val="22"/>
          <w:u w:val="single"/>
        </w:rPr>
        <w:t>Income Statement</w:t>
      </w:r>
    </w:p>
    <w:p w14:paraId="7160AB93" w14:textId="77777777" w:rsidR="00832D00" w:rsidRPr="00961368" w:rsidRDefault="00832D00" w:rsidP="00832D00">
      <w:pPr>
        <w:rPr>
          <w:rFonts w:ascii="Calibri" w:hAnsi="Calibri" w:cs="Calibri"/>
          <w:b/>
          <w:sz w:val="22"/>
          <w:szCs w:val="22"/>
          <w:highlight w:val="yellow"/>
        </w:rPr>
      </w:pPr>
    </w:p>
    <w:p w14:paraId="24A329E7" w14:textId="77777777" w:rsidR="00832D00" w:rsidRPr="00961368" w:rsidRDefault="00832D00" w:rsidP="00832D00">
      <w:pPr>
        <w:keepNext/>
        <w:jc w:val="both"/>
        <w:rPr>
          <w:rFonts w:ascii="Calibri" w:hAnsi="Calibri" w:cs="Calibri"/>
          <w:b/>
          <w:sz w:val="22"/>
          <w:szCs w:val="22"/>
        </w:rPr>
      </w:pPr>
      <w:r w:rsidRPr="00961368">
        <w:rPr>
          <w:rFonts w:ascii="Calibri" w:hAnsi="Calibri" w:cs="Calibri"/>
          <w:b/>
          <w:sz w:val="22"/>
          <w:szCs w:val="22"/>
        </w:rPr>
        <w:t>Scheduled revenues:</w:t>
      </w:r>
      <w:r w:rsidRPr="00961368">
        <w:rPr>
          <w:rFonts w:ascii="Calibri" w:hAnsi="Calibri" w:cs="Calibri"/>
          <w:b/>
          <w:sz w:val="22"/>
          <w:szCs w:val="22"/>
        </w:rPr>
        <w:tab/>
      </w:r>
    </w:p>
    <w:p w14:paraId="228B545E" w14:textId="77777777" w:rsidR="00832D00" w:rsidRPr="00961368" w:rsidRDefault="00832D00" w:rsidP="00832D00">
      <w:pPr>
        <w:keepNext/>
        <w:jc w:val="both"/>
        <w:rPr>
          <w:rFonts w:ascii="Calibri" w:hAnsi="Calibri" w:cs="Calibri"/>
          <w:sz w:val="22"/>
          <w:szCs w:val="22"/>
        </w:rPr>
      </w:pPr>
      <w:r w:rsidRPr="00961368">
        <w:rPr>
          <w:rFonts w:ascii="Calibri" w:hAnsi="Calibri" w:cs="Calibri"/>
          <w:sz w:val="22"/>
          <w:szCs w:val="22"/>
        </w:rPr>
        <w:t>Scheduled revenues increased by</w:t>
      </w:r>
      <w:r w:rsidRPr="00961368">
        <w:rPr>
          <w:rFonts w:ascii="Calibri" w:hAnsi="Calibri" w:cs="Calibri"/>
          <w:b/>
          <w:sz w:val="22"/>
          <w:szCs w:val="22"/>
        </w:rPr>
        <w:t xml:space="preserve"> 8% to €4,92</w:t>
      </w:r>
      <w:r>
        <w:rPr>
          <w:rFonts w:ascii="Calibri" w:hAnsi="Calibri" w:cs="Calibri"/>
          <w:b/>
          <w:sz w:val="22"/>
          <w:szCs w:val="22"/>
        </w:rPr>
        <w:t>1.0</w:t>
      </w:r>
      <w:r w:rsidRPr="00961368">
        <w:rPr>
          <w:rFonts w:ascii="Calibri" w:hAnsi="Calibri" w:cs="Calibri"/>
          <w:b/>
          <w:sz w:val="22"/>
          <w:szCs w:val="22"/>
        </w:rPr>
        <w:t>M</w:t>
      </w:r>
      <w:r w:rsidRPr="00961368">
        <w:rPr>
          <w:rFonts w:ascii="Calibri" w:hAnsi="Calibri" w:cs="Calibri"/>
          <w:sz w:val="22"/>
          <w:szCs w:val="22"/>
        </w:rPr>
        <w:t xml:space="preserve"> due to 9% traffic growth to 121.6M guests offset by a 1% reduction in average fares. </w:t>
      </w:r>
    </w:p>
    <w:p w14:paraId="56305EA2" w14:textId="77777777" w:rsidR="00832D00" w:rsidRPr="00961368" w:rsidRDefault="00832D00" w:rsidP="00832D00">
      <w:pPr>
        <w:keepNext/>
        <w:ind w:left="720"/>
        <w:jc w:val="both"/>
        <w:rPr>
          <w:rFonts w:ascii="Calibri" w:hAnsi="Calibri" w:cs="Calibri"/>
          <w:sz w:val="22"/>
          <w:szCs w:val="22"/>
        </w:rPr>
      </w:pPr>
    </w:p>
    <w:p w14:paraId="18AB4771" w14:textId="77777777" w:rsidR="00832D00" w:rsidRPr="00B2513C" w:rsidRDefault="00832D00" w:rsidP="00832D00">
      <w:pPr>
        <w:jc w:val="both"/>
        <w:rPr>
          <w:rFonts w:ascii="Calibri" w:hAnsi="Calibri" w:cs="Calibri"/>
          <w:b/>
          <w:sz w:val="22"/>
          <w:szCs w:val="22"/>
        </w:rPr>
      </w:pPr>
      <w:r w:rsidRPr="00B2513C">
        <w:rPr>
          <w:rFonts w:ascii="Calibri" w:hAnsi="Calibri" w:cs="Calibri"/>
          <w:b/>
          <w:sz w:val="22"/>
          <w:szCs w:val="22"/>
        </w:rPr>
        <w:t xml:space="preserve">Ancillary revenues: </w:t>
      </w:r>
      <w:r w:rsidRPr="00B2513C">
        <w:rPr>
          <w:rFonts w:ascii="Calibri" w:hAnsi="Calibri" w:cs="Calibri"/>
          <w:b/>
          <w:sz w:val="22"/>
          <w:szCs w:val="22"/>
        </w:rPr>
        <w:tab/>
      </w:r>
      <w:r w:rsidRPr="00B2513C">
        <w:rPr>
          <w:rFonts w:ascii="Calibri" w:hAnsi="Calibri" w:cs="Calibri"/>
          <w:b/>
          <w:sz w:val="22"/>
          <w:szCs w:val="22"/>
        </w:rPr>
        <w:tab/>
      </w:r>
      <w:r w:rsidRPr="00B2513C">
        <w:rPr>
          <w:rFonts w:ascii="Calibri" w:hAnsi="Calibri" w:cs="Calibri"/>
          <w:b/>
          <w:sz w:val="22"/>
          <w:szCs w:val="22"/>
        </w:rPr>
        <w:tab/>
      </w:r>
      <w:r w:rsidRPr="00B2513C">
        <w:rPr>
          <w:rFonts w:ascii="Calibri" w:hAnsi="Calibri" w:cs="Calibri"/>
          <w:b/>
          <w:sz w:val="22"/>
          <w:szCs w:val="22"/>
        </w:rPr>
        <w:tab/>
      </w:r>
      <w:r w:rsidRPr="00B2513C">
        <w:rPr>
          <w:rFonts w:ascii="Calibri" w:hAnsi="Calibri" w:cs="Calibri"/>
          <w:b/>
          <w:sz w:val="22"/>
          <w:szCs w:val="22"/>
        </w:rPr>
        <w:tab/>
      </w:r>
      <w:r w:rsidRPr="00B2513C">
        <w:rPr>
          <w:rFonts w:ascii="Calibri" w:hAnsi="Calibri" w:cs="Calibri"/>
          <w:b/>
          <w:sz w:val="22"/>
          <w:szCs w:val="22"/>
        </w:rPr>
        <w:tab/>
      </w:r>
      <w:r w:rsidRPr="00B2513C">
        <w:rPr>
          <w:rFonts w:ascii="Calibri" w:hAnsi="Calibri" w:cs="Calibri"/>
          <w:b/>
          <w:sz w:val="22"/>
          <w:szCs w:val="22"/>
        </w:rPr>
        <w:tab/>
      </w:r>
      <w:r w:rsidRPr="00B2513C">
        <w:rPr>
          <w:rFonts w:ascii="Calibri" w:hAnsi="Calibri" w:cs="Calibri"/>
          <w:b/>
          <w:sz w:val="22"/>
          <w:szCs w:val="22"/>
        </w:rPr>
        <w:tab/>
        <w:t xml:space="preserve">      </w:t>
      </w:r>
    </w:p>
    <w:p w14:paraId="7DE084AD" w14:textId="77777777" w:rsidR="00832D00" w:rsidRPr="00B2513C" w:rsidRDefault="00832D00" w:rsidP="00832D00">
      <w:pPr>
        <w:contextualSpacing/>
        <w:jc w:val="both"/>
        <w:rPr>
          <w:rFonts w:ascii="Calibri" w:hAnsi="Calibri" w:cs="Calibri"/>
          <w:sz w:val="22"/>
          <w:szCs w:val="22"/>
        </w:rPr>
      </w:pPr>
      <w:r w:rsidRPr="00B2513C">
        <w:rPr>
          <w:rFonts w:ascii="Calibri" w:hAnsi="Calibri" w:cs="Calibri"/>
          <w:sz w:val="22"/>
          <w:szCs w:val="22"/>
        </w:rPr>
        <w:t xml:space="preserve">Ancillary revenues </w:t>
      </w:r>
      <w:r>
        <w:rPr>
          <w:rFonts w:ascii="Calibri" w:hAnsi="Calibri" w:cs="Calibri"/>
          <w:sz w:val="22"/>
          <w:szCs w:val="22"/>
        </w:rPr>
        <w:t>increased</w:t>
      </w:r>
      <w:r w:rsidRPr="00B2513C">
        <w:rPr>
          <w:rFonts w:ascii="Calibri" w:hAnsi="Calibri" w:cs="Calibri"/>
          <w:sz w:val="22"/>
          <w:szCs w:val="22"/>
        </w:rPr>
        <w:t xml:space="preserve"> by </w:t>
      </w:r>
      <w:r w:rsidRPr="00B2513C">
        <w:rPr>
          <w:rFonts w:ascii="Calibri" w:hAnsi="Calibri" w:cs="Calibri"/>
          <w:b/>
          <w:sz w:val="22"/>
          <w:szCs w:val="22"/>
        </w:rPr>
        <w:t>28% to €2,37</w:t>
      </w:r>
      <w:r>
        <w:rPr>
          <w:rFonts w:ascii="Calibri" w:hAnsi="Calibri" w:cs="Calibri"/>
          <w:b/>
          <w:sz w:val="22"/>
          <w:szCs w:val="22"/>
        </w:rPr>
        <w:t>4</w:t>
      </w:r>
      <w:r w:rsidRPr="00B2513C">
        <w:rPr>
          <w:rFonts w:ascii="Calibri" w:hAnsi="Calibri" w:cs="Calibri"/>
          <w:b/>
          <w:sz w:val="22"/>
          <w:szCs w:val="22"/>
        </w:rPr>
        <w:t>.</w:t>
      </w:r>
      <w:r>
        <w:rPr>
          <w:rFonts w:ascii="Calibri" w:hAnsi="Calibri" w:cs="Calibri"/>
          <w:b/>
          <w:sz w:val="22"/>
          <w:szCs w:val="22"/>
        </w:rPr>
        <w:t>7</w:t>
      </w:r>
      <w:r w:rsidRPr="00B2513C">
        <w:rPr>
          <w:rFonts w:ascii="Calibri" w:hAnsi="Calibri" w:cs="Calibri"/>
          <w:b/>
          <w:sz w:val="22"/>
          <w:szCs w:val="22"/>
        </w:rPr>
        <w:t>M</w:t>
      </w:r>
      <w:r w:rsidRPr="00B2513C">
        <w:rPr>
          <w:rFonts w:ascii="Calibri" w:hAnsi="Calibri" w:cs="Calibri"/>
          <w:sz w:val="22"/>
          <w:szCs w:val="22"/>
        </w:rPr>
        <w:t xml:space="preserve"> due to 9% traffic growth and improved uptake of ancillary products, particularly priority boarding</w:t>
      </w:r>
      <w:r>
        <w:rPr>
          <w:rFonts w:ascii="Calibri" w:hAnsi="Calibri" w:cs="Calibri"/>
          <w:sz w:val="22"/>
          <w:szCs w:val="22"/>
        </w:rPr>
        <w:t xml:space="preserve"> and reserved seats. </w:t>
      </w:r>
    </w:p>
    <w:p w14:paraId="294EDDC1" w14:textId="77777777" w:rsidR="00832D00" w:rsidRPr="00961368" w:rsidRDefault="00832D00" w:rsidP="00832D00">
      <w:pPr>
        <w:contextualSpacing/>
        <w:jc w:val="both"/>
        <w:rPr>
          <w:rFonts w:ascii="Calibri" w:hAnsi="Calibri" w:cs="Calibri"/>
          <w:sz w:val="22"/>
          <w:szCs w:val="22"/>
          <w:highlight w:val="yellow"/>
        </w:rPr>
      </w:pPr>
    </w:p>
    <w:p w14:paraId="519E0729" w14:textId="77777777" w:rsidR="00832D00" w:rsidRPr="00961368" w:rsidRDefault="00832D00" w:rsidP="00832D00">
      <w:pPr>
        <w:contextualSpacing/>
        <w:jc w:val="both"/>
        <w:rPr>
          <w:rFonts w:ascii="Calibri" w:hAnsi="Calibri" w:cs="Calibri"/>
          <w:b/>
          <w:sz w:val="22"/>
          <w:szCs w:val="22"/>
        </w:rPr>
      </w:pPr>
      <w:r w:rsidRPr="00961368">
        <w:rPr>
          <w:rFonts w:ascii="Calibri" w:hAnsi="Calibri" w:cs="Calibri"/>
          <w:b/>
          <w:sz w:val="22"/>
          <w:szCs w:val="22"/>
        </w:rPr>
        <w:t>Total revenues:</w:t>
      </w:r>
    </w:p>
    <w:p w14:paraId="368585C3" w14:textId="77777777" w:rsidR="00832D00" w:rsidRPr="00961368" w:rsidRDefault="00832D00" w:rsidP="00832D00">
      <w:pPr>
        <w:contextualSpacing/>
        <w:jc w:val="both"/>
        <w:rPr>
          <w:rFonts w:ascii="Calibri" w:hAnsi="Calibri" w:cs="Calibri"/>
          <w:sz w:val="22"/>
          <w:szCs w:val="22"/>
        </w:rPr>
      </w:pPr>
      <w:r w:rsidRPr="00961368">
        <w:rPr>
          <w:rFonts w:ascii="Calibri" w:hAnsi="Calibri" w:cs="Calibri"/>
          <w:sz w:val="22"/>
          <w:szCs w:val="22"/>
        </w:rPr>
        <w:t xml:space="preserve">As a result of the above, total revenues increased by </w:t>
      </w:r>
      <w:r w:rsidRPr="00961368">
        <w:rPr>
          <w:rFonts w:ascii="Calibri" w:hAnsi="Calibri" w:cs="Calibri"/>
          <w:b/>
          <w:sz w:val="22"/>
          <w:szCs w:val="22"/>
        </w:rPr>
        <w:t>14% to €7,</w:t>
      </w:r>
      <w:r>
        <w:rPr>
          <w:rFonts w:ascii="Calibri" w:hAnsi="Calibri" w:cs="Calibri"/>
          <w:b/>
          <w:sz w:val="22"/>
          <w:szCs w:val="22"/>
        </w:rPr>
        <w:t>295</w:t>
      </w:r>
      <w:r w:rsidRPr="00961368">
        <w:rPr>
          <w:rFonts w:ascii="Calibri" w:hAnsi="Calibri" w:cs="Calibri"/>
          <w:b/>
          <w:sz w:val="22"/>
          <w:szCs w:val="22"/>
        </w:rPr>
        <w:t>.</w:t>
      </w:r>
      <w:r>
        <w:rPr>
          <w:rFonts w:ascii="Calibri" w:hAnsi="Calibri" w:cs="Calibri"/>
          <w:b/>
          <w:sz w:val="22"/>
          <w:szCs w:val="22"/>
        </w:rPr>
        <w:t>7</w:t>
      </w:r>
      <w:r w:rsidRPr="00961368">
        <w:rPr>
          <w:rFonts w:ascii="Calibri" w:hAnsi="Calibri" w:cs="Calibri"/>
          <w:b/>
          <w:sz w:val="22"/>
          <w:szCs w:val="22"/>
        </w:rPr>
        <w:t>M</w:t>
      </w:r>
      <w:r w:rsidRPr="00961368">
        <w:rPr>
          <w:rFonts w:ascii="Calibri" w:hAnsi="Calibri" w:cs="Calibri"/>
          <w:sz w:val="22"/>
          <w:szCs w:val="22"/>
        </w:rPr>
        <w:t>.</w:t>
      </w:r>
    </w:p>
    <w:p w14:paraId="3B6969D3" w14:textId="77777777" w:rsidR="00832D00" w:rsidRPr="00961368" w:rsidRDefault="00832D00" w:rsidP="00832D00">
      <w:pPr>
        <w:jc w:val="both"/>
        <w:rPr>
          <w:rFonts w:ascii="Calibri" w:hAnsi="Calibri" w:cs="Calibri"/>
          <w:sz w:val="22"/>
          <w:szCs w:val="22"/>
          <w:highlight w:val="yellow"/>
        </w:rPr>
      </w:pPr>
    </w:p>
    <w:p w14:paraId="560D9147" w14:textId="77777777" w:rsidR="00832D00" w:rsidRPr="00961368" w:rsidRDefault="00832D00" w:rsidP="00832D00">
      <w:pPr>
        <w:jc w:val="both"/>
        <w:rPr>
          <w:rFonts w:ascii="Calibri" w:hAnsi="Calibri" w:cs="Calibri"/>
          <w:b/>
          <w:sz w:val="22"/>
          <w:szCs w:val="22"/>
        </w:rPr>
      </w:pPr>
      <w:r w:rsidRPr="00961368">
        <w:rPr>
          <w:rFonts w:ascii="Calibri" w:hAnsi="Calibri" w:cs="Calibri"/>
          <w:b/>
          <w:sz w:val="22"/>
          <w:szCs w:val="22"/>
        </w:rPr>
        <w:t>Operating Expenses:</w:t>
      </w:r>
    </w:p>
    <w:p w14:paraId="618B3186" w14:textId="77777777" w:rsidR="00832D00" w:rsidRPr="00961368" w:rsidRDefault="00832D00" w:rsidP="00832D00">
      <w:pPr>
        <w:jc w:val="both"/>
        <w:rPr>
          <w:rFonts w:ascii="Calibri" w:hAnsi="Calibri" w:cs="Calibri"/>
          <w:b/>
          <w:sz w:val="22"/>
          <w:szCs w:val="22"/>
        </w:rPr>
      </w:pPr>
    </w:p>
    <w:p w14:paraId="33F7CEA0" w14:textId="77777777" w:rsidR="00832D00" w:rsidRPr="00961368" w:rsidRDefault="00832D00" w:rsidP="00832D00">
      <w:pPr>
        <w:jc w:val="both"/>
        <w:rPr>
          <w:rFonts w:ascii="Calibri" w:hAnsi="Calibri" w:cs="Calibri"/>
          <w:b/>
          <w:sz w:val="22"/>
          <w:szCs w:val="22"/>
        </w:rPr>
      </w:pPr>
      <w:r w:rsidRPr="00961368">
        <w:rPr>
          <w:rFonts w:ascii="Calibri" w:hAnsi="Calibri" w:cs="Calibri"/>
          <w:b/>
          <w:sz w:val="22"/>
          <w:szCs w:val="22"/>
        </w:rPr>
        <w:t xml:space="preserve">Fuel and oil: </w:t>
      </w:r>
      <w:r w:rsidRPr="00961368">
        <w:rPr>
          <w:rFonts w:ascii="Calibri" w:hAnsi="Calibri" w:cs="Calibri"/>
          <w:b/>
          <w:sz w:val="22"/>
          <w:szCs w:val="22"/>
        </w:rPr>
        <w:tab/>
      </w:r>
      <w:r w:rsidRPr="00961368">
        <w:rPr>
          <w:rFonts w:ascii="Calibri" w:hAnsi="Calibri" w:cs="Calibri"/>
          <w:b/>
          <w:sz w:val="22"/>
          <w:szCs w:val="22"/>
        </w:rPr>
        <w:tab/>
      </w:r>
      <w:r w:rsidRPr="00961368">
        <w:rPr>
          <w:rFonts w:ascii="Calibri" w:hAnsi="Calibri" w:cs="Calibri"/>
          <w:b/>
          <w:sz w:val="22"/>
          <w:szCs w:val="22"/>
        </w:rPr>
        <w:tab/>
      </w:r>
      <w:r w:rsidRPr="00961368">
        <w:rPr>
          <w:rFonts w:ascii="Calibri" w:hAnsi="Calibri" w:cs="Calibri"/>
          <w:b/>
          <w:sz w:val="22"/>
          <w:szCs w:val="22"/>
        </w:rPr>
        <w:tab/>
      </w:r>
      <w:r w:rsidRPr="00961368">
        <w:rPr>
          <w:rFonts w:ascii="Calibri" w:hAnsi="Calibri" w:cs="Calibri"/>
          <w:b/>
          <w:sz w:val="22"/>
          <w:szCs w:val="22"/>
        </w:rPr>
        <w:tab/>
      </w:r>
      <w:r w:rsidRPr="00961368">
        <w:rPr>
          <w:rFonts w:ascii="Calibri" w:hAnsi="Calibri" w:cs="Calibri"/>
          <w:b/>
          <w:sz w:val="22"/>
          <w:szCs w:val="22"/>
        </w:rPr>
        <w:tab/>
      </w:r>
      <w:r w:rsidRPr="00961368">
        <w:rPr>
          <w:rFonts w:ascii="Calibri" w:hAnsi="Calibri" w:cs="Calibri"/>
          <w:b/>
          <w:sz w:val="22"/>
          <w:szCs w:val="22"/>
        </w:rPr>
        <w:tab/>
      </w:r>
      <w:r w:rsidRPr="00961368">
        <w:rPr>
          <w:rFonts w:ascii="Calibri" w:hAnsi="Calibri" w:cs="Calibri"/>
          <w:b/>
          <w:sz w:val="22"/>
          <w:szCs w:val="22"/>
        </w:rPr>
        <w:tab/>
        <w:t xml:space="preserve">       </w:t>
      </w:r>
    </w:p>
    <w:p w14:paraId="44BEAE03" w14:textId="77777777" w:rsidR="00832D00" w:rsidRPr="00961368" w:rsidRDefault="00832D00" w:rsidP="00832D00">
      <w:pPr>
        <w:jc w:val="both"/>
        <w:rPr>
          <w:rFonts w:ascii="Calibri" w:hAnsi="Calibri" w:cs="Calibri"/>
          <w:sz w:val="22"/>
          <w:szCs w:val="22"/>
          <w:highlight w:val="yellow"/>
        </w:rPr>
      </w:pPr>
      <w:r w:rsidRPr="00961368">
        <w:rPr>
          <w:rFonts w:ascii="Calibri" w:hAnsi="Calibri" w:cs="Calibri"/>
          <w:sz w:val="22"/>
          <w:szCs w:val="22"/>
        </w:rPr>
        <w:t xml:space="preserve">Fuel and oil </w:t>
      </w:r>
      <w:r>
        <w:rPr>
          <w:rFonts w:ascii="Calibri" w:hAnsi="Calibri" w:cs="Calibri"/>
          <w:sz w:val="22"/>
          <w:szCs w:val="22"/>
        </w:rPr>
        <w:t>increased</w:t>
      </w:r>
      <w:r w:rsidRPr="00961368">
        <w:rPr>
          <w:rFonts w:ascii="Calibri" w:hAnsi="Calibri" w:cs="Calibri"/>
          <w:sz w:val="22"/>
          <w:szCs w:val="22"/>
        </w:rPr>
        <w:t xml:space="preserve"> by </w:t>
      </w:r>
      <w:r w:rsidRPr="00961368">
        <w:rPr>
          <w:rFonts w:ascii="Calibri" w:hAnsi="Calibri" w:cs="Calibri"/>
          <w:b/>
          <w:sz w:val="22"/>
          <w:szCs w:val="22"/>
        </w:rPr>
        <w:t xml:space="preserve">20% to €2,272.9M </w:t>
      </w:r>
      <w:r w:rsidRPr="00510BBF">
        <w:rPr>
          <w:rFonts w:ascii="Calibri" w:hAnsi="Calibri" w:cs="Calibri"/>
          <w:sz w:val="22"/>
          <w:szCs w:val="22"/>
        </w:rPr>
        <w:t>due to higher fuel prices and</w:t>
      </w:r>
      <w:r w:rsidRPr="00961368">
        <w:rPr>
          <w:rFonts w:ascii="Calibri" w:hAnsi="Calibri" w:cs="Calibri"/>
          <w:sz w:val="22"/>
          <w:szCs w:val="22"/>
        </w:rPr>
        <w:t xml:space="preserve"> a</w:t>
      </w:r>
      <w:r>
        <w:rPr>
          <w:rFonts w:ascii="Calibri" w:hAnsi="Calibri" w:cs="Calibri"/>
          <w:sz w:val="22"/>
          <w:szCs w:val="22"/>
        </w:rPr>
        <w:t>n</w:t>
      </w:r>
      <w:r w:rsidRPr="00961368">
        <w:rPr>
          <w:rFonts w:ascii="Calibri" w:hAnsi="Calibri" w:cs="Calibri"/>
          <w:sz w:val="22"/>
          <w:szCs w:val="22"/>
        </w:rPr>
        <w:t xml:space="preserve"> 11% increase in flight hours.</w:t>
      </w:r>
    </w:p>
    <w:p w14:paraId="6226736B" w14:textId="77777777" w:rsidR="00832D00" w:rsidRPr="00961368" w:rsidRDefault="00832D00" w:rsidP="00832D00">
      <w:pPr>
        <w:jc w:val="both"/>
        <w:rPr>
          <w:rFonts w:ascii="Calibri" w:hAnsi="Calibri" w:cs="Calibri"/>
          <w:b/>
          <w:sz w:val="22"/>
          <w:szCs w:val="22"/>
          <w:highlight w:val="yellow"/>
        </w:rPr>
      </w:pPr>
    </w:p>
    <w:p w14:paraId="7826B0E6" w14:textId="77777777" w:rsidR="00832D00" w:rsidRPr="00961368" w:rsidRDefault="00832D00" w:rsidP="00832D00">
      <w:pPr>
        <w:jc w:val="both"/>
        <w:rPr>
          <w:rFonts w:ascii="Calibri" w:hAnsi="Calibri" w:cs="Calibri"/>
          <w:b/>
          <w:sz w:val="22"/>
          <w:szCs w:val="22"/>
          <w:highlight w:val="yellow"/>
        </w:rPr>
      </w:pPr>
      <w:r w:rsidRPr="00664A86">
        <w:rPr>
          <w:rFonts w:ascii="Calibri" w:hAnsi="Calibri" w:cs="Calibri"/>
          <w:b/>
          <w:sz w:val="22"/>
          <w:szCs w:val="22"/>
        </w:rPr>
        <w:t xml:space="preserve">Airport and handling charges: </w:t>
      </w:r>
      <w:r w:rsidRPr="00664A86">
        <w:rPr>
          <w:rFonts w:ascii="Calibri" w:hAnsi="Calibri" w:cs="Calibri"/>
          <w:b/>
          <w:sz w:val="22"/>
          <w:szCs w:val="22"/>
        </w:rPr>
        <w:tab/>
      </w:r>
      <w:r w:rsidRPr="00664A86">
        <w:rPr>
          <w:rFonts w:ascii="Calibri" w:hAnsi="Calibri" w:cs="Calibri"/>
          <w:b/>
          <w:sz w:val="22"/>
          <w:szCs w:val="22"/>
        </w:rPr>
        <w:tab/>
      </w:r>
      <w:r w:rsidRPr="00664A86">
        <w:rPr>
          <w:rFonts w:ascii="Calibri" w:hAnsi="Calibri" w:cs="Calibri"/>
          <w:b/>
          <w:sz w:val="22"/>
          <w:szCs w:val="22"/>
        </w:rPr>
        <w:tab/>
      </w:r>
      <w:r w:rsidRPr="00664A86">
        <w:rPr>
          <w:rFonts w:ascii="Calibri" w:hAnsi="Calibri" w:cs="Calibri"/>
          <w:b/>
          <w:sz w:val="22"/>
          <w:szCs w:val="22"/>
        </w:rPr>
        <w:tab/>
      </w:r>
      <w:r w:rsidRPr="00664A86">
        <w:rPr>
          <w:rFonts w:ascii="Calibri" w:hAnsi="Calibri" w:cs="Calibri"/>
          <w:b/>
          <w:sz w:val="22"/>
          <w:szCs w:val="22"/>
        </w:rPr>
        <w:tab/>
        <w:t xml:space="preserve"> </w:t>
      </w:r>
      <w:r w:rsidRPr="00961368">
        <w:rPr>
          <w:rFonts w:ascii="Calibri" w:hAnsi="Calibri" w:cs="Calibri"/>
          <w:b/>
          <w:sz w:val="22"/>
          <w:szCs w:val="22"/>
          <w:highlight w:val="yellow"/>
        </w:rPr>
        <w:t xml:space="preserve">                  </w:t>
      </w:r>
    </w:p>
    <w:p w14:paraId="7F5D705F" w14:textId="77777777" w:rsidR="00832D00" w:rsidRPr="00A82FB9" w:rsidRDefault="00832D00" w:rsidP="00832D00">
      <w:pPr>
        <w:jc w:val="both"/>
        <w:rPr>
          <w:rFonts w:ascii="Calibri" w:hAnsi="Calibri" w:cs="Calibri"/>
          <w:sz w:val="22"/>
          <w:szCs w:val="22"/>
        </w:rPr>
      </w:pPr>
      <w:r w:rsidRPr="00A82FB9">
        <w:rPr>
          <w:rFonts w:ascii="Calibri" w:hAnsi="Calibri" w:cs="Calibri"/>
          <w:sz w:val="22"/>
          <w:szCs w:val="22"/>
        </w:rPr>
        <w:t xml:space="preserve">Airport and handling charges increased by </w:t>
      </w:r>
      <w:r w:rsidRPr="00A82FB9">
        <w:rPr>
          <w:rFonts w:ascii="Calibri" w:hAnsi="Calibri" w:cs="Calibri"/>
          <w:b/>
          <w:sz w:val="22"/>
          <w:szCs w:val="22"/>
        </w:rPr>
        <w:t>11% to €93</w:t>
      </w:r>
      <w:r>
        <w:rPr>
          <w:rFonts w:ascii="Calibri" w:hAnsi="Calibri" w:cs="Calibri"/>
          <w:b/>
          <w:sz w:val="22"/>
          <w:szCs w:val="22"/>
        </w:rPr>
        <w:t>2</w:t>
      </w:r>
      <w:r w:rsidRPr="00A82FB9">
        <w:rPr>
          <w:rFonts w:ascii="Calibri" w:hAnsi="Calibri" w:cs="Calibri"/>
          <w:b/>
          <w:sz w:val="22"/>
          <w:szCs w:val="22"/>
        </w:rPr>
        <w:t>.</w:t>
      </w:r>
      <w:r>
        <w:rPr>
          <w:rFonts w:ascii="Calibri" w:hAnsi="Calibri" w:cs="Calibri"/>
          <w:b/>
          <w:sz w:val="22"/>
          <w:szCs w:val="22"/>
        </w:rPr>
        <w:t>9</w:t>
      </w:r>
      <w:r w:rsidRPr="00A82FB9">
        <w:rPr>
          <w:rFonts w:ascii="Calibri" w:hAnsi="Calibri" w:cs="Calibri"/>
          <w:b/>
          <w:sz w:val="22"/>
          <w:szCs w:val="22"/>
        </w:rPr>
        <w:t xml:space="preserve">M </w:t>
      </w:r>
      <w:r w:rsidRPr="00A82FB9">
        <w:rPr>
          <w:rFonts w:ascii="Calibri" w:hAnsi="Calibri" w:cs="Calibri"/>
          <w:sz w:val="22"/>
          <w:szCs w:val="22"/>
        </w:rPr>
        <w:t>due to an 9% increase in traffic, new enhanced handling arrangements in Stansted, Spain &amp; Poland</w:t>
      </w:r>
      <w:r>
        <w:rPr>
          <w:rFonts w:ascii="Calibri" w:hAnsi="Calibri" w:cs="Calibri"/>
          <w:sz w:val="22"/>
          <w:szCs w:val="22"/>
        </w:rPr>
        <w:t>, stronger sterling</w:t>
      </w:r>
      <w:r w:rsidRPr="00A82FB9">
        <w:rPr>
          <w:rFonts w:ascii="Calibri" w:hAnsi="Calibri" w:cs="Calibri"/>
          <w:sz w:val="22"/>
          <w:szCs w:val="22"/>
        </w:rPr>
        <w:t xml:space="preserve"> and the consolidation of Lauda (</w:t>
      </w:r>
      <w:r>
        <w:rPr>
          <w:rFonts w:ascii="Calibri" w:hAnsi="Calibri" w:cs="Calibri"/>
          <w:sz w:val="22"/>
          <w:szCs w:val="22"/>
        </w:rPr>
        <w:t xml:space="preserve">from </w:t>
      </w:r>
      <w:r w:rsidRPr="00A82FB9">
        <w:rPr>
          <w:rFonts w:ascii="Calibri" w:hAnsi="Calibri" w:cs="Calibri"/>
          <w:sz w:val="22"/>
          <w:szCs w:val="22"/>
        </w:rPr>
        <w:t xml:space="preserve">August 2018). </w:t>
      </w:r>
    </w:p>
    <w:p w14:paraId="3EACE06D" w14:textId="77777777" w:rsidR="00832D00" w:rsidRPr="00961368" w:rsidRDefault="00832D00" w:rsidP="00832D00">
      <w:pPr>
        <w:jc w:val="both"/>
        <w:rPr>
          <w:rFonts w:ascii="Calibri" w:hAnsi="Calibri" w:cs="Calibri"/>
          <w:b/>
          <w:sz w:val="22"/>
          <w:szCs w:val="22"/>
          <w:highlight w:val="yellow"/>
        </w:rPr>
      </w:pPr>
    </w:p>
    <w:p w14:paraId="092A8F71" w14:textId="77777777" w:rsidR="00832D00" w:rsidRPr="00A82FB9" w:rsidRDefault="00832D00" w:rsidP="00832D00">
      <w:pPr>
        <w:jc w:val="both"/>
        <w:rPr>
          <w:rFonts w:ascii="Calibri" w:hAnsi="Calibri" w:cs="Calibri"/>
          <w:b/>
          <w:sz w:val="22"/>
          <w:szCs w:val="22"/>
        </w:rPr>
      </w:pPr>
      <w:bookmarkStart w:id="5" w:name="_Hlk29913857"/>
      <w:r w:rsidRPr="00A82FB9">
        <w:rPr>
          <w:rFonts w:ascii="Calibri" w:hAnsi="Calibri" w:cs="Calibri"/>
          <w:b/>
          <w:sz w:val="22"/>
          <w:szCs w:val="22"/>
        </w:rPr>
        <w:t>Staff costs:</w:t>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t xml:space="preserve">                                   </w:t>
      </w:r>
    </w:p>
    <w:p w14:paraId="40CD8D5C" w14:textId="77777777" w:rsidR="00832D00" w:rsidRPr="00961368" w:rsidRDefault="00832D00" w:rsidP="00832D00">
      <w:pPr>
        <w:jc w:val="both"/>
        <w:rPr>
          <w:rFonts w:ascii="Calibri" w:hAnsi="Calibri" w:cs="Calibri"/>
          <w:sz w:val="22"/>
          <w:szCs w:val="22"/>
          <w:highlight w:val="yellow"/>
        </w:rPr>
      </w:pPr>
      <w:r w:rsidRPr="00A82FB9">
        <w:rPr>
          <w:rFonts w:ascii="Calibri" w:hAnsi="Calibri" w:cs="Calibri"/>
          <w:sz w:val="22"/>
          <w:szCs w:val="22"/>
        </w:rPr>
        <w:t xml:space="preserve">Staff costs increased </w:t>
      </w:r>
      <w:r w:rsidRPr="00A82FB9">
        <w:rPr>
          <w:rFonts w:ascii="Calibri" w:hAnsi="Calibri" w:cs="Calibri"/>
          <w:b/>
          <w:sz w:val="22"/>
          <w:szCs w:val="22"/>
        </w:rPr>
        <w:t>1</w:t>
      </w:r>
      <w:r>
        <w:rPr>
          <w:rFonts w:ascii="Calibri" w:hAnsi="Calibri" w:cs="Calibri"/>
          <w:b/>
          <w:sz w:val="22"/>
          <w:szCs w:val="22"/>
        </w:rPr>
        <w:t>5</w:t>
      </w:r>
      <w:r w:rsidRPr="00A82FB9">
        <w:rPr>
          <w:rFonts w:ascii="Calibri" w:hAnsi="Calibri" w:cs="Calibri"/>
          <w:b/>
          <w:sz w:val="22"/>
          <w:szCs w:val="22"/>
        </w:rPr>
        <w:t>% to €85</w:t>
      </w:r>
      <w:r>
        <w:rPr>
          <w:rFonts w:ascii="Calibri" w:hAnsi="Calibri" w:cs="Calibri"/>
          <w:b/>
          <w:sz w:val="22"/>
          <w:szCs w:val="22"/>
        </w:rPr>
        <w:t>9.9</w:t>
      </w:r>
      <w:r w:rsidRPr="00A82FB9">
        <w:rPr>
          <w:rFonts w:ascii="Calibri" w:hAnsi="Calibri" w:cs="Calibri"/>
          <w:b/>
          <w:sz w:val="22"/>
          <w:szCs w:val="22"/>
        </w:rPr>
        <w:t>M</w:t>
      </w:r>
      <w:r w:rsidRPr="00A82FB9">
        <w:rPr>
          <w:rFonts w:ascii="Calibri" w:hAnsi="Calibri" w:cs="Calibri"/>
          <w:sz w:val="22"/>
          <w:szCs w:val="22"/>
        </w:rPr>
        <w:t xml:space="preserve"> due to 11% more flight hours, the consolidation of Lauda (</w:t>
      </w:r>
      <w:r>
        <w:rPr>
          <w:rFonts w:ascii="Calibri" w:hAnsi="Calibri" w:cs="Calibri"/>
          <w:sz w:val="22"/>
          <w:szCs w:val="22"/>
        </w:rPr>
        <w:t xml:space="preserve">from </w:t>
      </w:r>
      <w:r w:rsidRPr="00A82FB9">
        <w:rPr>
          <w:rFonts w:ascii="Calibri" w:hAnsi="Calibri" w:cs="Calibri"/>
          <w:sz w:val="22"/>
          <w:szCs w:val="22"/>
        </w:rPr>
        <w:t xml:space="preserve">August 2018), </w:t>
      </w:r>
      <w:r w:rsidRPr="00404E2E">
        <w:rPr>
          <w:rFonts w:ascii="Calibri" w:hAnsi="Calibri" w:cs="Calibri"/>
          <w:sz w:val="22"/>
          <w:szCs w:val="22"/>
        </w:rPr>
        <w:t xml:space="preserve">higher crewing ratios and the </w:t>
      </w:r>
      <w:proofErr w:type="spellStart"/>
      <w:r w:rsidRPr="00404E2E">
        <w:rPr>
          <w:rFonts w:ascii="Calibri" w:hAnsi="Calibri" w:cs="Calibri"/>
          <w:sz w:val="22"/>
          <w:szCs w:val="22"/>
        </w:rPr>
        <w:t>annualisation</w:t>
      </w:r>
      <w:proofErr w:type="spellEnd"/>
      <w:r w:rsidRPr="00404E2E">
        <w:rPr>
          <w:rFonts w:ascii="Calibri" w:hAnsi="Calibri" w:cs="Calibri"/>
          <w:sz w:val="22"/>
          <w:szCs w:val="22"/>
        </w:rPr>
        <w:t xml:space="preserve"> of pilot pay increases.</w:t>
      </w:r>
    </w:p>
    <w:bookmarkEnd w:id="5"/>
    <w:p w14:paraId="28B4DBD0" w14:textId="77777777" w:rsidR="00832D00" w:rsidRPr="00961368" w:rsidRDefault="00832D00" w:rsidP="00832D00">
      <w:pPr>
        <w:jc w:val="both"/>
        <w:rPr>
          <w:rFonts w:ascii="Calibri" w:hAnsi="Calibri" w:cs="Calibri"/>
          <w:sz w:val="22"/>
          <w:szCs w:val="22"/>
          <w:highlight w:val="yellow"/>
        </w:rPr>
      </w:pPr>
    </w:p>
    <w:p w14:paraId="3D6188CA" w14:textId="77777777" w:rsidR="00832D00" w:rsidRPr="00A82FB9" w:rsidRDefault="00832D00" w:rsidP="00832D00">
      <w:pPr>
        <w:jc w:val="both"/>
        <w:rPr>
          <w:rFonts w:ascii="Calibri" w:hAnsi="Calibri" w:cs="Calibri"/>
          <w:b/>
          <w:sz w:val="22"/>
          <w:szCs w:val="22"/>
        </w:rPr>
      </w:pPr>
      <w:bookmarkStart w:id="6" w:name="_Hlk29914683"/>
      <w:r w:rsidRPr="00A82FB9">
        <w:rPr>
          <w:rFonts w:ascii="Calibri" w:hAnsi="Calibri" w:cs="Calibri"/>
          <w:b/>
          <w:sz w:val="22"/>
          <w:szCs w:val="22"/>
        </w:rPr>
        <w:t>Route charges:</w:t>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t xml:space="preserve">                   </w:t>
      </w:r>
    </w:p>
    <w:p w14:paraId="61C97922" w14:textId="77777777" w:rsidR="00832D00" w:rsidRPr="001B347D" w:rsidRDefault="00832D00" w:rsidP="00832D00">
      <w:pPr>
        <w:jc w:val="both"/>
        <w:rPr>
          <w:rFonts w:ascii="Calibri" w:hAnsi="Calibri" w:cs="Calibri"/>
          <w:sz w:val="22"/>
          <w:szCs w:val="22"/>
        </w:rPr>
      </w:pPr>
      <w:r w:rsidRPr="00A82FB9">
        <w:rPr>
          <w:rFonts w:ascii="Calibri" w:hAnsi="Calibri" w:cs="Calibri"/>
          <w:sz w:val="22"/>
          <w:szCs w:val="22"/>
        </w:rPr>
        <w:t xml:space="preserve">Route charges </w:t>
      </w:r>
      <w:r>
        <w:rPr>
          <w:rFonts w:ascii="Calibri" w:hAnsi="Calibri" w:cs="Calibri"/>
          <w:sz w:val="22"/>
          <w:szCs w:val="22"/>
        </w:rPr>
        <w:t>increased</w:t>
      </w:r>
      <w:r w:rsidRPr="00A82FB9">
        <w:rPr>
          <w:rFonts w:ascii="Calibri" w:hAnsi="Calibri" w:cs="Calibri"/>
          <w:sz w:val="22"/>
          <w:szCs w:val="22"/>
        </w:rPr>
        <w:t xml:space="preserve"> by </w:t>
      </w:r>
      <w:r w:rsidRPr="00A82FB9">
        <w:rPr>
          <w:rFonts w:ascii="Calibri" w:hAnsi="Calibri" w:cs="Calibri"/>
          <w:b/>
          <w:sz w:val="22"/>
          <w:szCs w:val="22"/>
        </w:rPr>
        <w:t>2% to €60</w:t>
      </w:r>
      <w:r>
        <w:rPr>
          <w:rFonts w:ascii="Calibri" w:hAnsi="Calibri" w:cs="Calibri"/>
          <w:b/>
          <w:sz w:val="22"/>
          <w:szCs w:val="22"/>
        </w:rPr>
        <w:t>6</w:t>
      </w:r>
      <w:r w:rsidRPr="00A82FB9">
        <w:rPr>
          <w:rFonts w:ascii="Calibri" w:hAnsi="Calibri" w:cs="Calibri"/>
          <w:b/>
          <w:sz w:val="22"/>
          <w:szCs w:val="22"/>
        </w:rPr>
        <w:t>.4M</w:t>
      </w:r>
      <w:r w:rsidRPr="00A82FB9">
        <w:rPr>
          <w:rFonts w:ascii="Calibri" w:hAnsi="Calibri" w:cs="Calibri"/>
          <w:sz w:val="22"/>
          <w:szCs w:val="22"/>
        </w:rPr>
        <w:t xml:space="preserve"> due to </w:t>
      </w:r>
      <w:r w:rsidRPr="001B347D">
        <w:rPr>
          <w:rFonts w:ascii="Calibri" w:hAnsi="Calibri" w:cs="Calibri"/>
          <w:sz w:val="22"/>
          <w:szCs w:val="22"/>
        </w:rPr>
        <w:t xml:space="preserve">an 9% increase in sectors, offset by a decrease in unit rates. </w:t>
      </w:r>
    </w:p>
    <w:bookmarkEnd w:id="6"/>
    <w:p w14:paraId="0938FFB2" w14:textId="77777777" w:rsidR="00832D00" w:rsidRPr="00961368" w:rsidRDefault="00832D00" w:rsidP="00832D00">
      <w:pPr>
        <w:jc w:val="both"/>
        <w:rPr>
          <w:rFonts w:ascii="Calibri" w:hAnsi="Calibri" w:cs="Calibri"/>
          <w:b/>
          <w:sz w:val="22"/>
          <w:szCs w:val="22"/>
          <w:highlight w:val="yellow"/>
        </w:rPr>
      </w:pPr>
    </w:p>
    <w:p w14:paraId="6AB60A2E" w14:textId="77777777" w:rsidR="00832D00" w:rsidRPr="00A82FB9" w:rsidRDefault="00832D00" w:rsidP="00832D00">
      <w:pPr>
        <w:jc w:val="both"/>
        <w:rPr>
          <w:rFonts w:ascii="Calibri" w:hAnsi="Calibri" w:cs="Calibri"/>
          <w:b/>
          <w:sz w:val="22"/>
          <w:szCs w:val="22"/>
        </w:rPr>
      </w:pPr>
      <w:bookmarkStart w:id="7" w:name="_Hlk6923407"/>
      <w:r w:rsidRPr="00A82FB9">
        <w:rPr>
          <w:rFonts w:ascii="Calibri" w:hAnsi="Calibri" w:cs="Calibri"/>
          <w:b/>
          <w:sz w:val="22"/>
          <w:szCs w:val="22"/>
        </w:rPr>
        <w:t xml:space="preserve">Depreciation: </w:t>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t xml:space="preserve">                  </w:t>
      </w:r>
    </w:p>
    <w:bookmarkEnd w:id="7"/>
    <w:p w14:paraId="64B18197" w14:textId="77777777" w:rsidR="00832D00" w:rsidRPr="007731F4" w:rsidRDefault="00832D00" w:rsidP="00832D00">
      <w:pPr>
        <w:jc w:val="both"/>
        <w:rPr>
          <w:rFonts w:ascii="Calibri" w:hAnsi="Calibri" w:cs="Calibri"/>
          <w:sz w:val="22"/>
          <w:szCs w:val="22"/>
          <w:shd w:val="clear" w:color="auto" w:fill="FFFFFF"/>
        </w:rPr>
      </w:pPr>
      <w:r w:rsidRPr="007731F4">
        <w:rPr>
          <w:rFonts w:ascii="Calibri" w:hAnsi="Calibri" w:cs="Calibri"/>
          <w:sz w:val="22"/>
          <w:szCs w:val="22"/>
        </w:rPr>
        <w:t xml:space="preserve">Depreciation </w:t>
      </w:r>
      <w:r>
        <w:rPr>
          <w:rFonts w:ascii="Calibri" w:hAnsi="Calibri" w:cs="Calibri"/>
          <w:sz w:val="22"/>
          <w:szCs w:val="22"/>
        </w:rPr>
        <w:t xml:space="preserve">increased </w:t>
      </w:r>
      <w:r w:rsidRPr="007731F4">
        <w:rPr>
          <w:rFonts w:ascii="Calibri" w:hAnsi="Calibri" w:cs="Calibri"/>
          <w:b/>
          <w:bCs/>
          <w:sz w:val="22"/>
          <w:szCs w:val="22"/>
        </w:rPr>
        <w:t>1</w:t>
      </w:r>
      <w:r>
        <w:rPr>
          <w:rFonts w:ascii="Calibri" w:hAnsi="Calibri" w:cs="Calibri"/>
          <w:b/>
          <w:bCs/>
          <w:sz w:val="22"/>
          <w:szCs w:val="22"/>
        </w:rPr>
        <w:t>8</w:t>
      </w:r>
      <w:r w:rsidRPr="007731F4">
        <w:rPr>
          <w:rFonts w:ascii="Calibri" w:hAnsi="Calibri" w:cs="Calibri"/>
          <w:b/>
          <w:bCs/>
          <w:sz w:val="22"/>
          <w:szCs w:val="22"/>
        </w:rPr>
        <w:t xml:space="preserve">% </w:t>
      </w:r>
      <w:r>
        <w:rPr>
          <w:rFonts w:ascii="Calibri" w:hAnsi="Calibri" w:cs="Calibri"/>
          <w:b/>
          <w:bCs/>
          <w:sz w:val="22"/>
          <w:szCs w:val="22"/>
        </w:rPr>
        <w:t xml:space="preserve">to </w:t>
      </w:r>
      <w:r w:rsidRPr="007731F4">
        <w:rPr>
          <w:rFonts w:ascii="Calibri" w:hAnsi="Calibri" w:cs="Calibri"/>
          <w:b/>
          <w:bCs/>
          <w:sz w:val="22"/>
          <w:szCs w:val="22"/>
        </w:rPr>
        <w:t>€</w:t>
      </w:r>
      <w:r>
        <w:rPr>
          <w:rFonts w:ascii="Calibri" w:hAnsi="Calibri" w:cs="Calibri"/>
          <w:b/>
          <w:bCs/>
          <w:sz w:val="22"/>
          <w:szCs w:val="22"/>
        </w:rPr>
        <w:t>571</w:t>
      </w:r>
      <w:r w:rsidRPr="007731F4">
        <w:rPr>
          <w:rFonts w:ascii="Calibri" w:hAnsi="Calibri" w:cs="Calibri"/>
          <w:b/>
          <w:bCs/>
          <w:sz w:val="22"/>
          <w:szCs w:val="22"/>
        </w:rPr>
        <w:t>.5M</w:t>
      </w:r>
      <w:r w:rsidRPr="007731F4">
        <w:rPr>
          <w:rFonts w:ascii="Calibri" w:hAnsi="Calibri" w:cs="Calibri"/>
          <w:sz w:val="22"/>
          <w:szCs w:val="22"/>
        </w:rPr>
        <w:t xml:space="preserve"> due</w:t>
      </w:r>
      <w:r>
        <w:rPr>
          <w:rFonts w:ascii="Calibri" w:hAnsi="Calibri" w:cs="Calibri"/>
          <w:sz w:val="22"/>
          <w:szCs w:val="22"/>
        </w:rPr>
        <w:t xml:space="preserve"> to the impact of IFRS 16 (€42.9M) which was adopted from April 2019 and the purchase of spare engines and Boeing MAX simulators. </w:t>
      </w:r>
    </w:p>
    <w:p w14:paraId="08C579DE" w14:textId="77777777" w:rsidR="00832D00" w:rsidRPr="00961368" w:rsidRDefault="00832D00" w:rsidP="00832D00">
      <w:pPr>
        <w:jc w:val="both"/>
        <w:rPr>
          <w:rFonts w:ascii="Calibri" w:hAnsi="Calibri" w:cs="Calibri"/>
          <w:sz w:val="22"/>
          <w:szCs w:val="22"/>
          <w:highlight w:val="yellow"/>
        </w:rPr>
      </w:pPr>
    </w:p>
    <w:p w14:paraId="1AE0DE5E" w14:textId="77777777" w:rsidR="00832D00" w:rsidRPr="00A82FB9" w:rsidRDefault="00832D00" w:rsidP="00832D00">
      <w:pPr>
        <w:jc w:val="both"/>
        <w:rPr>
          <w:rFonts w:ascii="Calibri" w:hAnsi="Calibri" w:cs="Calibri"/>
          <w:b/>
          <w:sz w:val="22"/>
          <w:szCs w:val="22"/>
        </w:rPr>
      </w:pPr>
      <w:r w:rsidRPr="00A82FB9">
        <w:rPr>
          <w:rFonts w:ascii="Calibri" w:hAnsi="Calibri" w:cs="Calibri"/>
          <w:b/>
          <w:sz w:val="22"/>
          <w:szCs w:val="22"/>
        </w:rPr>
        <w:lastRenderedPageBreak/>
        <w:t xml:space="preserve">Marketing, distribution and other: </w:t>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t xml:space="preserve">                        </w:t>
      </w:r>
    </w:p>
    <w:p w14:paraId="3FBF6FC6" w14:textId="77777777" w:rsidR="00832D00" w:rsidRPr="00961D74" w:rsidRDefault="00832D00" w:rsidP="00832D00">
      <w:pPr>
        <w:jc w:val="both"/>
        <w:rPr>
          <w:rFonts w:ascii="Calibri" w:hAnsi="Calibri" w:cs="Calibri"/>
          <w:sz w:val="22"/>
          <w:szCs w:val="22"/>
        </w:rPr>
      </w:pPr>
      <w:r w:rsidRPr="00A82FB9">
        <w:rPr>
          <w:rFonts w:ascii="Calibri" w:hAnsi="Calibri" w:cs="Calibri"/>
          <w:sz w:val="22"/>
          <w:szCs w:val="22"/>
        </w:rPr>
        <w:t xml:space="preserve">Marketing, distribution and other </w:t>
      </w:r>
      <w:r>
        <w:rPr>
          <w:rFonts w:ascii="Calibri" w:hAnsi="Calibri" w:cs="Calibri"/>
          <w:sz w:val="22"/>
          <w:szCs w:val="22"/>
        </w:rPr>
        <w:t>costs increased</w:t>
      </w:r>
      <w:r w:rsidRPr="00A82FB9">
        <w:rPr>
          <w:rFonts w:ascii="Calibri" w:hAnsi="Calibri" w:cs="Calibri"/>
          <w:sz w:val="22"/>
          <w:szCs w:val="22"/>
        </w:rPr>
        <w:t xml:space="preserve"> by </w:t>
      </w:r>
      <w:r>
        <w:rPr>
          <w:rFonts w:ascii="Calibri" w:hAnsi="Calibri" w:cs="Calibri"/>
          <w:b/>
          <w:sz w:val="22"/>
          <w:szCs w:val="22"/>
        </w:rPr>
        <w:t>2</w:t>
      </w:r>
      <w:r w:rsidRPr="00A82FB9">
        <w:rPr>
          <w:rFonts w:ascii="Calibri" w:hAnsi="Calibri" w:cs="Calibri"/>
          <w:b/>
          <w:sz w:val="22"/>
          <w:szCs w:val="22"/>
        </w:rPr>
        <w:t xml:space="preserve">% to </w:t>
      </w:r>
      <w:r w:rsidRPr="00961D74">
        <w:rPr>
          <w:rFonts w:ascii="Calibri" w:hAnsi="Calibri" w:cs="Calibri"/>
          <w:b/>
          <w:sz w:val="22"/>
          <w:szCs w:val="22"/>
        </w:rPr>
        <w:t>€43</w:t>
      </w:r>
      <w:r>
        <w:rPr>
          <w:rFonts w:ascii="Calibri" w:hAnsi="Calibri" w:cs="Calibri"/>
          <w:b/>
          <w:sz w:val="22"/>
          <w:szCs w:val="22"/>
        </w:rPr>
        <w:t>6</w:t>
      </w:r>
      <w:r w:rsidRPr="00961D74">
        <w:rPr>
          <w:rFonts w:ascii="Calibri" w:hAnsi="Calibri" w:cs="Calibri"/>
          <w:b/>
          <w:sz w:val="22"/>
          <w:szCs w:val="22"/>
        </w:rPr>
        <w:t>.5M</w:t>
      </w:r>
      <w:r>
        <w:rPr>
          <w:rFonts w:ascii="Calibri" w:hAnsi="Calibri" w:cs="Calibri"/>
          <w:b/>
          <w:sz w:val="22"/>
          <w:szCs w:val="22"/>
        </w:rPr>
        <w:t>,</w:t>
      </w:r>
      <w:r w:rsidRPr="00570C6B">
        <w:rPr>
          <w:rFonts w:ascii="Calibri" w:hAnsi="Calibri" w:cs="Calibri"/>
          <w:sz w:val="22"/>
          <w:szCs w:val="22"/>
        </w:rPr>
        <w:t xml:space="preserve"> </w:t>
      </w:r>
      <w:r>
        <w:rPr>
          <w:rFonts w:ascii="Calibri" w:hAnsi="Calibri" w:cs="Calibri"/>
          <w:sz w:val="22"/>
          <w:szCs w:val="22"/>
        </w:rPr>
        <w:t>slower than</w:t>
      </w:r>
      <w:r w:rsidRPr="00570C6B">
        <w:rPr>
          <w:rFonts w:ascii="Calibri" w:hAnsi="Calibri" w:cs="Calibri"/>
          <w:sz w:val="22"/>
          <w:szCs w:val="22"/>
        </w:rPr>
        <w:t xml:space="preserve"> </w:t>
      </w:r>
      <w:r w:rsidRPr="00961D74">
        <w:rPr>
          <w:rFonts w:ascii="Calibri" w:hAnsi="Calibri" w:cs="Calibri"/>
          <w:sz w:val="22"/>
          <w:szCs w:val="22"/>
        </w:rPr>
        <w:t>traffic growth</w:t>
      </w:r>
      <w:r>
        <w:rPr>
          <w:rFonts w:ascii="Calibri" w:hAnsi="Calibri" w:cs="Calibri"/>
          <w:sz w:val="22"/>
          <w:szCs w:val="22"/>
        </w:rPr>
        <w:t xml:space="preserve">, due to </w:t>
      </w:r>
      <w:r w:rsidRPr="00961D74">
        <w:rPr>
          <w:rFonts w:ascii="Calibri" w:hAnsi="Calibri" w:cs="Calibri"/>
          <w:sz w:val="22"/>
          <w:szCs w:val="22"/>
        </w:rPr>
        <w:t xml:space="preserve">lower EU261 compensation costs. </w:t>
      </w:r>
    </w:p>
    <w:p w14:paraId="2E2FDE8A" w14:textId="77777777" w:rsidR="00832D00" w:rsidRPr="00961368" w:rsidRDefault="00832D00" w:rsidP="00832D00">
      <w:pPr>
        <w:jc w:val="both"/>
        <w:rPr>
          <w:rFonts w:ascii="Calibri" w:hAnsi="Calibri" w:cs="Calibri"/>
          <w:b/>
          <w:sz w:val="22"/>
          <w:szCs w:val="22"/>
          <w:highlight w:val="yellow"/>
        </w:rPr>
      </w:pPr>
    </w:p>
    <w:p w14:paraId="7D792547" w14:textId="77777777" w:rsidR="00832D00" w:rsidRPr="00A82FB9" w:rsidRDefault="00832D00" w:rsidP="00832D00">
      <w:pPr>
        <w:jc w:val="both"/>
        <w:rPr>
          <w:rFonts w:ascii="Calibri" w:hAnsi="Calibri" w:cs="Calibri"/>
          <w:b/>
          <w:sz w:val="22"/>
          <w:szCs w:val="22"/>
        </w:rPr>
      </w:pPr>
      <w:bookmarkStart w:id="8" w:name="_Hlk526772342"/>
      <w:r w:rsidRPr="00A82FB9">
        <w:rPr>
          <w:rFonts w:ascii="Calibri" w:hAnsi="Calibri" w:cs="Calibri"/>
          <w:b/>
          <w:sz w:val="22"/>
          <w:szCs w:val="22"/>
        </w:rPr>
        <w:t xml:space="preserve">Maintenance, materials and repairs: </w:t>
      </w:r>
      <w:r w:rsidRPr="00A82FB9">
        <w:rPr>
          <w:rFonts w:ascii="Calibri" w:hAnsi="Calibri" w:cs="Calibri"/>
          <w:b/>
          <w:sz w:val="22"/>
          <w:szCs w:val="22"/>
        </w:rPr>
        <w:tab/>
      </w:r>
      <w:r w:rsidRPr="00A82FB9">
        <w:rPr>
          <w:rFonts w:ascii="Calibri" w:hAnsi="Calibri" w:cs="Calibri"/>
          <w:b/>
          <w:sz w:val="22"/>
          <w:szCs w:val="22"/>
        </w:rPr>
        <w:tab/>
      </w:r>
      <w:r w:rsidRPr="00A82FB9">
        <w:rPr>
          <w:rFonts w:ascii="Calibri" w:hAnsi="Calibri" w:cs="Calibri"/>
          <w:b/>
          <w:sz w:val="22"/>
          <w:szCs w:val="22"/>
        </w:rPr>
        <w:tab/>
        <w:t xml:space="preserve">                     </w:t>
      </w:r>
    </w:p>
    <w:bookmarkEnd w:id="8"/>
    <w:p w14:paraId="2B980A22" w14:textId="77777777" w:rsidR="00832D00" w:rsidRPr="007731F4" w:rsidRDefault="00832D00" w:rsidP="00832D00">
      <w:pPr>
        <w:jc w:val="both"/>
        <w:rPr>
          <w:rFonts w:ascii="Calibri" w:hAnsi="Calibri" w:cs="Calibri"/>
          <w:sz w:val="22"/>
          <w:szCs w:val="22"/>
        </w:rPr>
      </w:pPr>
      <w:r w:rsidRPr="007731F4">
        <w:rPr>
          <w:rFonts w:ascii="Calibri" w:hAnsi="Calibri" w:cs="Calibri"/>
          <w:sz w:val="22"/>
          <w:szCs w:val="22"/>
        </w:rPr>
        <w:t>Maintenance, materials and repairs increased by</w:t>
      </w:r>
      <w:r w:rsidRPr="007731F4">
        <w:rPr>
          <w:rFonts w:ascii="Calibri" w:hAnsi="Calibri" w:cs="Calibri"/>
          <w:b/>
          <w:bCs/>
          <w:sz w:val="22"/>
          <w:szCs w:val="22"/>
        </w:rPr>
        <w:t xml:space="preserve"> </w:t>
      </w:r>
      <w:r>
        <w:rPr>
          <w:rFonts w:ascii="Calibri" w:hAnsi="Calibri" w:cs="Calibri"/>
          <w:b/>
          <w:bCs/>
          <w:sz w:val="22"/>
          <w:szCs w:val="22"/>
        </w:rPr>
        <w:t>45</w:t>
      </w:r>
      <w:r w:rsidRPr="007731F4">
        <w:rPr>
          <w:rFonts w:ascii="Calibri" w:hAnsi="Calibri" w:cs="Calibri"/>
          <w:b/>
          <w:bCs/>
          <w:sz w:val="22"/>
          <w:szCs w:val="22"/>
        </w:rPr>
        <w:t>% to €</w:t>
      </w:r>
      <w:r>
        <w:rPr>
          <w:rFonts w:ascii="Calibri" w:hAnsi="Calibri" w:cs="Calibri"/>
          <w:b/>
          <w:bCs/>
          <w:sz w:val="22"/>
          <w:szCs w:val="22"/>
        </w:rPr>
        <w:t>200</w:t>
      </w:r>
      <w:r w:rsidRPr="007731F4">
        <w:rPr>
          <w:rFonts w:ascii="Calibri" w:hAnsi="Calibri" w:cs="Calibri"/>
          <w:b/>
          <w:bCs/>
          <w:sz w:val="22"/>
          <w:szCs w:val="22"/>
        </w:rPr>
        <w:t>.</w:t>
      </w:r>
      <w:r>
        <w:rPr>
          <w:rFonts w:ascii="Calibri" w:hAnsi="Calibri" w:cs="Calibri"/>
          <w:b/>
          <w:bCs/>
          <w:sz w:val="22"/>
          <w:szCs w:val="22"/>
        </w:rPr>
        <w:t>9</w:t>
      </w:r>
      <w:r w:rsidRPr="007731F4">
        <w:rPr>
          <w:rFonts w:ascii="Calibri" w:hAnsi="Calibri" w:cs="Calibri"/>
          <w:b/>
          <w:bCs/>
          <w:sz w:val="22"/>
          <w:szCs w:val="22"/>
        </w:rPr>
        <w:t>M</w:t>
      </w:r>
      <w:r w:rsidRPr="007731F4">
        <w:rPr>
          <w:rFonts w:ascii="Calibri" w:hAnsi="Calibri" w:cs="Calibri"/>
          <w:sz w:val="22"/>
          <w:szCs w:val="22"/>
        </w:rPr>
        <w:t xml:space="preserve"> </w:t>
      </w:r>
      <w:r>
        <w:rPr>
          <w:rFonts w:ascii="Calibri" w:hAnsi="Calibri" w:cs="Calibri"/>
          <w:sz w:val="22"/>
          <w:szCs w:val="22"/>
        </w:rPr>
        <w:t xml:space="preserve">due to higher scheduled engine maintenance due to an ageing fleet and MAX delays, costs associated with the hand back of Airbus aircraft and maintenance provision for 12 additional A320 operating leases. </w:t>
      </w:r>
    </w:p>
    <w:p w14:paraId="02C97F37" w14:textId="77777777" w:rsidR="00832D00" w:rsidRDefault="00832D00" w:rsidP="00832D00">
      <w:pPr>
        <w:jc w:val="both"/>
        <w:rPr>
          <w:rFonts w:ascii="Calibri" w:hAnsi="Calibri" w:cs="Calibri"/>
          <w:b/>
          <w:sz w:val="22"/>
          <w:szCs w:val="22"/>
        </w:rPr>
      </w:pPr>
    </w:p>
    <w:p w14:paraId="072211B0" w14:textId="77777777" w:rsidR="00832D00" w:rsidRPr="00E96629" w:rsidRDefault="00832D00" w:rsidP="00832D00">
      <w:pPr>
        <w:jc w:val="both"/>
        <w:rPr>
          <w:rFonts w:ascii="Calibri" w:hAnsi="Calibri" w:cs="Calibri"/>
          <w:b/>
          <w:sz w:val="22"/>
          <w:szCs w:val="22"/>
        </w:rPr>
      </w:pPr>
      <w:r w:rsidRPr="00E96629">
        <w:rPr>
          <w:rFonts w:ascii="Calibri" w:hAnsi="Calibri" w:cs="Calibri"/>
          <w:b/>
          <w:sz w:val="22"/>
          <w:szCs w:val="22"/>
        </w:rPr>
        <w:t xml:space="preserve">Aircraft rentals:  </w:t>
      </w:r>
      <w:r w:rsidRPr="00E96629">
        <w:rPr>
          <w:rFonts w:ascii="Calibri" w:hAnsi="Calibri" w:cs="Calibri"/>
          <w:b/>
          <w:sz w:val="22"/>
          <w:szCs w:val="22"/>
        </w:rPr>
        <w:tab/>
      </w:r>
      <w:r w:rsidRPr="00E96629">
        <w:rPr>
          <w:rFonts w:ascii="Calibri" w:hAnsi="Calibri" w:cs="Calibri"/>
          <w:b/>
          <w:sz w:val="22"/>
          <w:szCs w:val="22"/>
        </w:rPr>
        <w:tab/>
      </w:r>
      <w:r w:rsidRPr="00E96629">
        <w:rPr>
          <w:rFonts w:ascii="Calibri" w:hAnsi="Calibri" w:cs="Calibri"/>
          <w:b/>
          <w:sz w:val="22"/>
          <w:szCs w:val="22"/>
        </w:rPr>
        <w:tab/>
      </w:r>
      <w:r w:rsidRPr="00E96629">
        <w:rPr>
          <w:rFonts w:ascii="Calibri" w:hAnsi="Calibri" w:cs="Calibri"/>
          <w:b/>
          <w:sz w:val="22"/>
          <w:szCs w:val="22"/>
        </w:rPr>
        <w:tab/>
      </w:r>
      <w:r w:rsidRPr="00E96629">
        <w:rPr>
          <w:rFonts w:ascii="Calibri" w:hAnsi="Calibri" w:cs="Calibri"/>
          <w:b/>
          <w:sz w:val="22"/>
          <w:szCs w:val="22"/>
        </w:rPr>
        <w:tab/>
      </w:r>
      <w:r w:rsidRPr="00E96629">
        <w:rPr>
          <w:rFonts w:ascii="Calibri" w:hAnsi="Calibri" w:cs="Calibri"/>
          <w:b/>
          <w:sz w:val="22"/>
          <w:szCs w:val="22"/>
        </w:rPr>
        <w:tab/>
      </w:r>
      <w:r w:rsidRPr="00E96629">
        <w:rPr>
          <w:rFonts w:ascii="Calibri" w:hAnsi="Calibri" w:cs="Calibri"/>
          <w:b/>
          <w:sz w:val="22"/>
          <w:szCs w:val="22"/>
        </w:rPr>
        <w:tab/>
      </w:r>
    </w:p>
    <w:p w14:paraId="410D42F7" w14:textId="77777777" w:rsidR="00832D00" w:rsidRPr="00E96629" w:rsidRDefault="00832D00" w:rsidP="00832D00">
      <w:pPr>
        <w:jc w:val="both"/>
        <w:rPr>
          <w:rFonts w:ascii="Calibri" w:hAnsi="Calibri" w:cs="Calibri"/>
          <w:sz w:val="22"/>
          <w:szCs w:val="22"/>
        </w:rPr>
      </w:pPr>
      <w:r w:rsidRPr="00E96629">
        <w:rPr>
          <w:rFonts w:ascii="Calibri" w:hAnsi="Calibri" w:cs="Calibri"/>
          <w:sz w:val="22"/>
          <w:szCs w:val="22"/>
        </w:rPr>
        <w:t xml:space="preserve">Aircraft rentals </w:t>
      </w:r>
      <w:r>
        <w:rPr>
          <w:rFonts w:ascii="Calibri" w:hAnsi="Calibri" w:cs="Calibri"/>
          <w:sz w:val="22"/>
          <w:szCs w:val="22"/>
        </w:rPr>
        <w:t>reduced</w:t>
      </w:r>
      <w:r w:rsidRPr="00E96629">
        <w:rPr>
          <w:rFonts w:ascii="Calibri" w:hAnsi="Calibri" w:cs="Calibri"/>
          <w:sz w:val="22"/>
          <w:szCs w:val="22"/>
        </w:rPr>
        <w:t xml:space="preserve"> by </w:t>
      </w:r>
      <w:r w:rsidRPr="00E96629">
        <w:rPr>
          <w:rFonts w:ascii="Calibri" w:hAnsi="Calibri" w:cs="Calibri"/>
          <w:b/>
          <w:bCs/>
          <w:sz w:val="22"/>
          <w:szCs w:val="22"/>
        </w:rPr>
        <w:t>3</w:t>
      </w:r>
      <w:r>
        <w:rPr>
          <w:rFonts w:ascii="Calibri" w:hAnsi="Calibri" w:cs="Calibri"/>
          <w:b/>
          <w:bCs/>
          <w:sz w:val="22"/>
          <w:szCs w:val="22"/>
        </w:rPr>
        <w:t>5</w:t>
      </w:r>
      <w:r w:rsidRPr="00E96629">
        <w:rPr>
          <w:rFonts w:ascii="Calibri" w:hAnsi="Calibri" w:cs="Calibri"/>
          <w:b/>
          <w:bCs/>
          <w:sz w:val="22"/>
          <w:szCs w:val="22"/>
        </w:rPr>
        <w:t>% to €35.1M</w:t>
      </w:r>
      <w:r w:rsidRPr="00E96629">
        <w:rPr>
          <w:rFonts w:ascii="Calibri" w:hAnsi="Calibri" w:cs="Calibri"/>
          <w:sz w:val="22"/>
          <w:szCs w:val="22"/>
        </w:rPr>
        <w:t xml:space="preserve"> due to the adoption of IFRS</w:t>
      </w:r>
      <w:r>
        <w:rPr>
          <w:rFonts w:ascii="Calibri" w:hAnsi="Calibri" w:cs="Calibri"/>
          <w:sz w:val="22"/>
          <w:szCs w:val="22"/>
        </w:rPr>
        <w:t xml:space="preserve"> </w:t>
      </w:r>
      <w:r w:rsidRPr="00E96629">
        <w:rPr>
          <w:rFonts w:ascii="Calibri" w:hAnsi="Calibri" w:cs="Calibri"/>
          <w:sz w:val="22"/>
          <w:szCs w:val="22"/>
        </w:rPr>
        <w:t>16</w:t>
      </w:r>
      <w:r>
        <w:rPr>
          <w:rFonts w:ascii="Calibri" w:hAnsi="Calibri" w:cs="Calibri"/>
          <w:sz w:val="22"/>
          <w:szCs w:val="22"/>
        </w:rPr>
        <w:t xml:space="preserve"> in April 2019, </w:t>
      </w:r>
      <w:r w:rsidRPr="00E96629">
        <w:rPr>
          <w:rFonts w:ascii="Calibri" w:hAnsi="Calibri" w:cs="Calibri"/>
          <w:sz w:val="22"/>
          <w:szCs w:val="22"/>
        </w:rPr>
        <w:t>which is offset by higher depreciation</w:t>
      </w:r>
      <w:r>
        <w:rPr>
          <w:rFonts w:ascii="Calibri" w:hAnsi="Calibri" w:cs="Calibri"/>
          <w:sz w:val="22"/>
          <w:szCs w:val="22"/>
        </w:rPr>
        <w:t xml:space="preserve"> costs</w:t>
      </w:r>
      <w:r w:rsidRPr="00E96629">
        <w:rPr>
          <w:rFonts w:ascii="Calibri" w:hAnsi="Calibri" w:cs="Calibri"/>
          <w:sz w:val="22"/>
          <w:szCs w:val="22"/>
        </w:rPr>
        <w:t>.</w:t>
      </w:r>
    </w:p>
    <w:p w14:paraId="34CEC6C7" w14:textId="77777777" w:rsidR="00832D00" w:rsidRPr="00642C0B" w:rsidRDefault="00832D00" w:rsidP="00832D00">
      <w:pPr>
        <w:jc w:val="both"/>
        <w:rPr>
          <w:rFonts w:ascii="Calibri" w:hAnsi="Calibri" w:cs="Calibri"/>
          <w:b/>
          <w:sz w:val="22"/>
          <w:szCs w:val="22"/>
        </w:rPr>
      </w:pPr>
    </w:p>
    <w:p w14:paraId="7BAC8EAA" w14:textId="77777777" w:rsidR="00832D00" w:rsidRDefault="00832D00" w:rsidP="00832D00">
      <w:pPr>
        <w:jc w:val="both"/>
        <w:rPr>
          <w:rFonts w:ascii="Calibri" w:hAnsi="Calibri" w:cs="Calibri"/>
          <w:b/>
          <w:sz w:val="22"/>
          <w:szCs w:val="22"/>
        </w:rPr>
      </w:pPr>
      <w:r w:rsidRPr="004C422E">
        <w:rPr>
          <w:rFonts w:ascii="Calibri" w:hAnsi="Calibri" w:cs="Calibri"/>
          <w:b/>
          <w:sz w:val="22"/>
          <w:szCs w:val="22"/>
        </w:rPr>
        <w:t>Unit cost per pax</w:t>
      </w:r>
      <w:r>
        <w:rPr>
          <w:rFonts w:ascii="Calibri" w:hAnsi="Calibri" w:cs="Calibri"/>
          <w:b/>
          <w:sz w:val="22"/>
          <w:szCs w:val="22"/>
        </w:rPr>
        <w:t>:</w:t>
      </w:r>
    </w:p>
    <w:p w14:paraId="25EA0FD0" w14:textId="77777777" w:rsidR="00832D00" w:rsidRDefault="00832D00" w:rsidP="00832D00">
      <w:pPr>
        <w:jc w:val="both"/>
        <w:rPr>
          <w:rFonts w:ascii="Calibri" w:hAnsi="Calibri" w:cs="Calibri"/>
          <w:sz w:val="22"/>
          <w:szCs w:val="22"/>
        </w:rPr>
      </w:pPr>
      <w:r w:rsidRPr="004779A5">
        <w:rPr>
          <w:rFonts w:ascii="Calibri" w:hAnsi="Calibri" w:cs="Calibri"/>
          <w:sz w:val="22"/>
          <w:szCs w:val="22"/>
        </w:rPr>
        <w:t xml:space="preserve">Unit cost per pax increased by 4%. Excluding fuel, unit costs </w:t>
      </w:r>
      <w:r>
        <w:rPr>
          <w:rFonts w:ascii="Calibri" w:hAnsi="Calibri" w:cs="Calibri"/>
          <w:sz w:val="22"/>
          <w:szCs w:val="22"/>
        </w:rPr>
        <w:t xml:space="preserve">per pax </w:t>
      </w:r>
      <w:r w:rsidRPr="004779A5">
        <w:rPr>
          <w:rFonts w:ascii="Calibri" w:hAnsi="Calibri" w:cs="Calibri"/>
          <w:sz w:val="22"/>
          <w:szCs w:val="22"/>
        </w:rPr>
        <w:t xml:space="preserve">increased by </w:t>
      </w:r>
      <w:r>
        <w:rPr>
          <w:rFonts w:ascii="Calibri" w:hAnsi="Calibri" w:cs="Calibri"/>
          <w:sz w:val="22"/>
          <w:szCs w:val="22"/>
        </w:rPr>
        <w:t>2</w:t>
      </w:r>
      <w:r w:rsidRPr="004779A5">
        <w:rPr>
          <w:rFonts w:ascii="Calibri" w:hAnsi="Calibri" w:cs="Calibri"/>
          <w:sz w:val="22"/>
          <w:szCs w:val="22"/>
        </w:rPr>
        <w:t>%</w:t>
      </w:r>
      <w:r>
        <w:rPr>
          <w:rFonts w:ascii="Calibri" w:hAnsi="Calibri" w:cs="Calibri"/>
          <w:sz w:val="22"/>
          <w:szCs w:val="22"/>
        </w:rPr>
        <w:t>. This was</w:t>
      </w:r>
      <w:r w:rsidRPr="004779A5">
        <w:rPr>
          <w:rFonts w:ascii="Calibri" w:hAnsi="Calibri" w:cs="Calibri"/>
          <w:sz w:val="22"/>
          <w:szCs w:val="22"/>
        </w:rPr>
        <w:t xml:space="preserve"> </w:t>
      </w:r>
      <w:r>
        <w:rPr>
          <w:rFonts w:ascii="Calibri" w:hAnsi="Calibri" w:cs="Calibri"/>
          <w:sz w:val="22"/>
          <w:szCs w:val="22"/>
        </w:rPr>
        <w:t xml:space="preserve">primarily </w:t>
      </w:r>
      <w:r w:rsidRPr="004779A5">
        <w:rPr>
          <w:rFonts w:ascii="Calibri" w:hAnsi="Calibri" w:cs="Calibri"/>
          <w:sz w:val="22"/>
          <w:szCs w:val="22"/>
        </w:rPr>
        <w:t>due</w:t>
      </w:r>
      <w:r>
        <w:rPr>
          <w:rFonts w:ascii="Calibri" w:hAnsi="Calibri" w:cs="Calibri"/>
          <w:sz w:val="22"/>
          <w:szCs w:val="22"/>
        </w:rPr>
        <w:t xml:space="preserve"> to</w:t>
      </w:r>
      <w:r w:rsidRPr="00404E2E">
        <w:rPr>
          <w:rFonts w:ascii="Calibri" w:hAnsi="Calibri" w:cs="Calibri"/>
          <w:sz w:val="22"/>
          <w:szCs w:val="22"/>
        </w:rPr>
        <w:t xml:space="preserve"> higher crewing ratios</w:t>
      </w:r>
      <w:r>
        <w:rPr>
          <w:rFonts w:ascii="Calibri" w:hAnsi="Calibri" w:cs="Calibri"/>
          <w:sz w:val="22"/>
          <w:szCs w:val="22"/>
        </w:rPr>
        <w:t xml:space="preserve">, </w:t>
      </w:r>
      <w:r w:rsidRPr="00404E2E">
        <w:rPr>
          <w:rFonts w:ascii="Calibri" w:hAnsi="Calibri" w:cs="Calibri"/>
          <w:sz w:val="22"/>
          <w:szCs w:val="22"/>
        </w:rPr>
        <w:t xml:space="preserve">the </w:t>
      </w:r>
      <w:proofErr w:type="spellStart"/>
      <w:r w:rsidRPr="00404E2E">
        <w:rPr>
          <w:rFonts w:ascii="Calibri" w:hAnsi="Calibri" w:cs="Calibri"/>
          <w:sz w:val="22"/>
          <w:szCs w:val="22"/>
        </w:rPr>
        <w:t>annualisation</w:t>
      </w:r>
      <w:proofErr w:type="spellEnd"/>
      <w:r w:rsidRPr="00404E2E">
        <w:rPr>
          <w:rFonts w:ascii="Calibri" w:hAnsi="Calibri" w:cs="Calibri"/>
          <w:sz w:val="22"/>
          <w:szCs w:val="22"/>
        </w:rPr>
        <w:t xml:space="preserve"> of pilot pay increases</w:t>
      </w:r>
      <w:r>
        <w:rPr>
          <w:rFonts w:ascii="Calibri" w:hAnsi="Calibri" w:cs="Calibri"/>
          <w:sz w:val="22"/>
          <w:szCs w:val="22"/>
        </w:rPr>
        <w:t xml:space="preserve">, increased ownership costs due to the Boeing MAX delivery delays and the </w:t>
      </w:r>
      <w:proofErr w:type="spellStart"/>
      <w:r>
        <w:rPr>
          <w:rFonts w:ascii="Calibri" w:hAnsi="Calibri" w:cs="Calibri"/>
          <w:sz w:val="22"/>
          <w:szCs w:val="22"/>
        </w:rPr>
        <w:t>handback</w:t>
      </w:r>
      <w:proofErr w:type="spellEnd"/>
      <w:r>
        <w:rPr>
          <w:rFonts w:ascii="Calibri" w:hAnsi="Calibri" w:cs="Calibri"/>
          <w:sz w:val="22"/>
          <w:szCs w:val="22"/>
        </w:rPr>
        <w:t xml:space="preserve"> of Airbus leases, offset by lower EU261 compensation.</w:t>
      </w:r>
    </w:p>
    <w:p w14:paraId="07A784E5" w14:textId="77777777" w:rsidR="00832D00" w:rsidRPr="00961368" w:rsidRDefault="00832D00" w:rsidP="00832D00">
      <w:pPr>
        <w:jc w:val="both"/>
        <w:rPr>
          <w:rFonts w:ascii="Calibri" w:hAnsi="Calibri" w:cs="Calibri"/>
          <w:b/>
          <w:sz w:val="22"/>
          <w:szCs w:val="22"/>
          <w:highlight w:val="yellow"/>
        </w:rPr>
      </w:pPr>
    </w:p>
    <w:p w14:paraId="40A1F200" w14:textId="77777777" w:rsidR="00832D00" w:rsidRPr="004C422E" w:rsidRDefault="00832D00" w:rsidP="00832D00">
      <w:pPr>
        <w:jc w:val="both"/>
        <w:rPr>
          <w:rFonts w:ascii="Calibri" w:hAnsi="Calibri" w:cs="Calibri"/>
          <w:b/>
          <w:sz w:val="22"/>
          <w:szCs w:val="22"/>
        </w:rPr>
      </w:pPr>
      <w:r w:rsidRPr="004C422E">
        <w:rPr>
          <w:rFonts w:ascii="Calibri" w:hAnsi="Calibri" w:cs="Calibri"/>
          <w:b/>
          <w:sz w:val="22"/>
          <w:szCs w:val="22"/>
        </w:rPr>
        <w:t>Net finance expense:</w:t>
      </w:r>
      <w:r w:rsidRPr="004C422E">
        <w:rPr>
          <w:rFonts w:ascii="Calibri" w:hAnsi="Calibri" w:cs="Calibri"/>
          <w:b/>
          <w:sz w:val="22"/>
          <w:szCs w:val="22"/>
        </w:rPr>
        <w:tab/>
      </w:r>
      <w:r w:rsidRPr="004C422E">
        <w:rPr>
          <w:rFonts w:ascii="Calibri" w:hAnsi="Calibri" w:cs="Calibri"/>
          <w:b/>
          <w:sz w:val="22"/>
          <w:szCs w:val="22"/>
        </w:rPr>
        <w:tab/>
      </w:r>
      <w:r w:rsidRPr="004C422E">
        <w:rPr>
          <w:rFonts w:ascii="Calibri" w:hAnsi="Calibri" w:cs="Calibri"/>
          <w:b/>
          <w:sz w:val="22"/>
          <w:szCs w:val="22"/>
        </w:rPr>
        <w:tab/>
      </w:r>
      <w:r w:rsidRPr="004C422E">
        <w:rPr>
          <w:rFonts w:ascii="Calibri" w:hAnsi="Calibri" w:cs="Calibri"/>
          <w:b/>
          <w:sz w:val="22"/>
          <w:szCs w:val="22"/>
        </w:rPr>
        <w:tab/>
      </w:r>
      <w:r w:rsidRPr="004C422E">
        <w:rPr>
          <w:rFonts w:ascii="Calibri" w:hAnsi="Calibri" w:cs="Calibri"/>
          <w:b/>
          <w:sz w:val="22"/>
          <w:szCs w:val="22"/>
        </w:rPr>
        <w:tab/>
      </w:r>
      <w:r w:rsidRPr="004C422E">
        <w:rPr>
          <w:rFonts w:ascii="Calibri" w:hAnsi="Calibri" w:cs="Calibri"/>
          <w:b/>
          <w:sz w:val="22"/>
          <w:szCs w:val="22"/>
        </w:rPr>
        <w:tab/>
      </w:r>
      <w:r w:rsidRPr="004C422E">
        <w:rPr>
          <w:rFonts w:ascii="Calibri" w:hAnsi="Calibri" w:cs="Calibri"/>
          <w:b/>
          <w:sz w:val="22"/>
          <w:szCs w:val="22"/>
        </w:rPr>
        <w:tab/>
        <w:t xml:space="preserve">         </w:t>
      </w:r>
    </w:p>
    <w:p w14:paraId="1FCDB54E" w14:textId="51B4B658" w:rsidR="00832D00" w:rsidRPr="006C3287" w:rsidRDefault="00832D00" w:rsidP="00832D00">
      <w:pPr>
        <w:jc w:val="both"/>
        <w:rPr>
          <w:rFonts w:ascii="Calibri" w:hAnsi="Calibri" w:cs="Calibri"/>
          <w:sz w:val="22"/>
          <w:szCs w:val="22"/>
        </w:rPr>
      </w:pPr>
      <w:r w:rsidRPr="00642C0B">
        <w:rPr>
          <w:rFonts w:ascii="Calibri" w:hAnsi="Calibri" w:cs="Calibri"/>
          <w:sz w:val="22"/>
          <w:szCs w:val="22"/>
        </w:rPr>
        <w:t xml:space="preserve">Net finance </w:t>
      </w:r>
      <w:r>
        <w:rPr>
          <w:rFonts w:ascii="Calibri" w:hAnsi="Calibri" w:cs="Calibri"/>
          <w:sz w:val="22"/>
          <w:szCs w:val="22"/>
        </w:rPr>
        <w:t xml:space="preserve">expense </w:t>
      </w:r>
      <w:r w:rsidRPr="00642C0B">
        <w:rPr>
          <w:rFonts w:ascii="Calibri" w:hAnsi="Calibri" w:cs="Calibri"/>
          <w:sz w:val="22"/>
          <w:szCs w:val="22"/>
        </w:rPr>
        <w:t xml:space="preserve">decreased </w:t>
      </w:r>
      <w:r w:rsidRPr="00642C0B">
        <w:rPr>
          <w:rFonts w:ascii="Calibri" w:hAnsi="Calibri" w:cs="Calibri"/>
          <w:b/>
          <w:bCs/>
          <w:sz w:val="22"/>
          <w:szCs w:val="22"/>
        </w:rPr>
        <w:t xml:space="preserve">by </w:t>
      </w:r>
      <w:r>
        <w:rPr>
          <w:rFonts w:ascii="Calibri" w:hAnsi="Calibri" w:cs="Calibri"/>
          <w:b/>
          <w:bCs/>
          <w:sz w:val="22"/>
          <w:szCs w:val="22"/>
        </w:rPr>
        <w:t>16</w:t>
      </w:r>
      <w:r w:rsidRPr="00642C0B">
        <w:rPr>
          <w:rFonts w:ascii="Calibri" w:hAnsi="Calibri" w:cs="Calibri"/>
          <w:b/>
          <w:bCs/>
          <w:sz w:val="22"/>
          <w:szCs w:val="22"/>
        </w:rPr>
        <w:t xml:space="preserve">% </w:t>
      </w:r>
      <w:r>
        <w:rPr>
          <w:rFonts w:ascii="Calibri" w:hAnsi="Calibri" w:cs="Calibri"/>
          <w:b/>
          <w:bCs/>
          <w:sz w:val="22"/>
          <w:szCs w:val="22"/>
        </w:rPr>
        <w:t xml:space="preserve">to </w:t>
      </w:r>
      <w:r w:rsidRPr="00642C0B">
        <w:rPr>
          <w:rFonts w:ascii="Calibri" w:hAnsi="Calibri" w:cs="Calibri"/>
          <w:b/>
          <w:bCs/>
          <w:sz w:val="22"/>
          <w:szCs w:val="22"/>
        </w:rPr>
        <w:t>€</w:t>
      </w:r>
      <w:r>
        <w:rPr>
          <w:rFonts w:ascii="Calibri" w:hAnsi="Calibri" w:cs="Calibri"/>
          <w:b/>
          <w:bCs/>
          <w:sz w:val="22"/>
          <w:szCs w:val="22"/>
        </w:rPr>
        <w:t>38.0</w:t>
      </w:r>
      <w:r w:rsidRPr="00642C0B">
        <w:rPr>
          <w:rFonts w:ascii="Calibri" w:hAnsi="Calibri" w:cs="Calibri"/>
          <w:b/>
          <w:bCs/>
          <w:sz w:val="22"/>
          <w:szCs w:val="22"/>
        </w:rPr>
        <w:t>M</w:t>
      </w:r>
      <w:r w:rsidRPr="00642C0B">
        <w:rPr>
          <w:rFonts w:ascii="Calibri" w:hAnsi="Calibri" w:cs="Calibri"/>
          <w:sz w:val="22"/>
          <w:szCs w:val="22"/>
        </w:rPr>
        <w:t xml:space="preserve"> primarily due to higher interest rates achieved on deposits and the re-financing of debt at lower interest rates. IFRS</w:t>
      </w:r>
      <w:r>
        <w:rPr>
          <w:rFonts w:ascii="Calibri" w:hAnsi="Calibri" w:cs="Calibri"/>
          <w:sz w:val="22"/>
          <w:szCs w:val="22"/>
        </w:rPr>
        <w:t xml:space="preserve"> </w:t>
      </w:r>
      <w:r w:rsidRPr="00642C0B">
        <w:rPr>
          <w:rFonts w:ascii="Calibri" w:hAnsi="Calibri" w:cs="Calibri"/>
          <w:sz w:val="22"/>
          <w:szCs w:val="22"/>
        </w:rPr>
        <w:t xml:space="preserve">16 had a negative </w:t>
      </w:r>
      <w:r>
        <w:rPr>
          <w:rFonts w:ascii="Calibri" w:hAnsi="Calibri" w:cs="Calibri"/>
          <w:sz w:val="22"/>
          <w:szCs w:val="22"/>
        </w:rPr>
        <w:t xml:space="preserve">impact of </w:t>
      </w:r>
      <w:r w:rsidRPr="00642C0B">
        <w:rPr>
          <w:rFonts w:ascii="Calibri" w:hAnsi="Calibri" w:cs="Calibri"/>
          <w:sz w:val="22"/>
          <w:szCs w:val="22"/>
        </w:rPr>
        <w:t>€</w:t>
      </w:r>
      <w:r>
        <w:rPr>
          <w:rFonts w:ascii="Calibri" w:hAnsi="Calibri" w:cs="Calibri"/>
          <w:sz w:val="22"/>
          <w:szCs w:val="22"/>
        </w:rPr>
        <w:t>4.0</w:t>
      </w:r>
      <w:r w:rsidRPr="00642C0B">
        <w:rPr>
          <w:rFonts w:ascii="Calibri" w:hAnsi="Calibri" w:cs="Calibri"/>
          <w:sz w:val="22"/>
          <w:szCs w:val="22"/>
        </w:rPr>
        <w:t xml:space="preserve">M in the </w:t>
      </w:r>
      <w:r>
        <w:rPr>
          <w:rFonts w:ascii="Calibri" w:hAnsi="Calibri" w:cs="Calibri"/>
          <w:sz w:val="22"/>
          <w:szCs w:val="22"/>
        </w:rPr>
        <w:t>nine month period</w:t>
      </w:r>
      <w:r w:rsidRPr="00642C0B">
        <w:rPr>
          <w:rFonts w:ascii="Calibri" w:hAnsi="Calibri" w:cs="Calibri"/>
          <w:sz w:val="22"/>
          <w:szCs w:val="22"/>
        </w:rPr>
        <w:t>.</w:t>
      </w:r>
    </w:p>
    <w:p w14:paraId="31B139DE" w14:textId="77777777" w:rsidR="00832D00" w:rsidRPr="00961368" w:rsidRDefault="00832D00" w:rsidP="00832D00">
      <w:pPr>
        <w:jc w:val="both"/>
        <w:rPr>
          <w:rFonts w:ascii="Calibri" w:hAnsi="Calibri" w:cs="Calibri"/>
          <w:sz w:val="22"/>
          <w:szCs w:val="22"/>
          <w:highlight w:val="yellow"/>
        </w:rPr>
      </w:pPr>
    </w:p>
    <w:p w14:paraId="7705CCE4" w14:textId="77777777" w:rsidR="00832D00" w:rsidRPr="00757C70" w:rsidRDefault="00832D00" w:rsidP="00832D00">
      <w:pPr>
        <w:jc w:val="both"/>
        <w:rPr>
          <w:rFonts w:ascii="Calibri" w:hAnsi="Calibri" w:cs="Calibri"/>
          <w:b/>
          <w:sz w:val="22"/>
          <w:szCs w:val="22"/>
        </w:rPr>
      </w:pPr>
      <w:r w:rsidRPr="00757C70">
        <w:rPr>
          <w:rFonts w:ascii="Calibri" w:hAnsi="Calibri" w:cs="Calibri"/>
          <w:b/>
          <w:sz w:val="22"/>
          <w:szCs w:val="22"/>
        </w:rPr>
        <w:tab/>
      </w:r>
      <w:r w:rsidRPr="00757C70">
        <w:rPr>
          <w:rFonts w:ascii="Calibri" w:hAnsi="Calibri" w:cs="Calibri"/>
          <w:b/>
          <w:sz w:val="22"/>
          <w:szCs w:val="22"/>
        </w:rPr>
        <w:tab/>
      </w:r>
      <w:r w:rsidRPr="00757C70">
        <w:rPr>
          <w:rFonts w:ascii="Calibri" w:hAnsi="Calibri" w:cs="Calibri"/>
          <w:b/>
          <w:sz w:val="22"/>
          <w:szCs w:val="22"/>
        </w:rPr>
        <w:tab/>
      </w:r>
      <w:r w:rsidRPr="00757C70">
        <w:rPr>
          <w:rFonts w:ascii="Calibri" w:hAnsi="Calibri" w:cs="Calibri"/>
          <w:b/>
          <w:sz w:val="22"/>
          <w:szCs w:val="22"/>
        </w:rPr>
        <w:tab/>
      </w:r>
      <w:r w:rsidRPr="00757C70">
        <w:rPr>
          <w:rFonts w:ascii="Calibri" w:hAnsi="Calibri" w:cs="Calibri"/>
          <w:b/>
          <w:sz w:val="22"/>
          <w:szCs w:val="22"/>
        </w:rPr>
        <w:tab/>
      </w:r>
      <w:r w:rsidRPr="00757C70">
        <w:rPr>
          <w:rFonts w:ascii="Calibri" w:hAnsi="Calibri" w:cs="Calibri"/>
          <w:b/>
          <w:sz w:val="22"/>
          <w:szCs w:val="22"/>
        </w:rPr>
        <w:tab/>
        <w:t xml:space="preserve">         </w:t>
      </w:r>
    </w:p>
    <w:p w14:paraId="34923F77" w14:textId="77777777" w:rsidR="00832D00" w:rsidRPr="009E5732" w:rsidRDefault="00832D00" w:rsidP="00832D00">
      <w:pPr>
        <w:pStyle w:val="CG-Title-Center-Bold"/>
        <w:keepNext w:val="0"/>
        <w:tabs>
          <w:tab w:val="left" w:pos="-600"/>
          <w:tab w:val="left" w:pos="6120"/>
          <w:tab w:val="left" w:pos="6360"/>
          <w:tab w:val="left" w:pos="7800"/>
        </w:tabs>
        <w:spacing w:after="0"/>
        <w:ind w:left="-601" w:right="-352"/>
        <w:rPr>
          <w:rFonts w:ascii="Calibri" w:hAnsi="Calibri" w:cs="Calibri"/>
          <w:sz w:val="24"/>
          <w:szCs w:val="24"/>
        </w:rPr>
      </w:pPr>
      <w:bookmarkStart w:id="9" w:name="_Hlk527704259"/>
      <w:bookmarkStart w:id="10" w:name="_Hlk496863401"/>
      <w:r w:rsidRPr="00961368">
        <w:rPr>
          <w:rFonts w:ascii="Calibri" w:hAnsi="Calibri" w:cs="Calibri"/>
          <w:sz w:val="24"/>
          <w:szCs w:val="24"/>
          <w:highlight w:val="yellow"/>
        </w:rPr>
        <w:br w:type="page"/>
      </w:r>
      <w:r w:rsidRPr="009E5732">
        <w:rPr>
          <w:rFonts w:ascii="Calibri" w:hAnsi="Calibri" w:cs="Calibri"/>
          <w:sz w:val="24"/>
          <w:szCs w:val="24"/>
        </w:rPr>
        <w:lastRenderedPageBreak/>
        <w:t>Ryanair Holdings plc and Subsidiaries</w:t>
      </w:r>
    </w:p>
    <w:p w14:paraId="69997CCA" w14:textId="77777777" w:rsidR="00832D00" w:rsidRPr="009E5732" w:rsidRDefault="00832D00" w:rsidP="00832D00">
      <w:pPr>
        <w:pStyle w:val="CG-Title-Center-Bold"/>
        <w:keepNext w:val="0"/>
        <w:tabs>
          <w:tab w:val="left" w:pos="-600"/>
          <w:tab w:val="left" w:pos="6120"/>
          <w:tab w:val="left" w:pos="6360"/>
          <w:tab w:val="left" w:pos="7800"/>
        </w:tabs>
        <w:spacing w:after="0"/>
        <w:ind w:left="-601" w:right="-352"/>
        <w:rPr>
          <w:rFonts w:ascii="Calibri" w:hAnsi="Calibri" w:cs="Calibri"/>
          <w:sz w:val="24"/>
          <w:szCs w:val="24"/>
        </w:rPr>
      </w:pPr>
      <w:r w:rsidRPr="009E5732">
        <w:rPr>
          <w:rFonts w:ascii="Calibri" w:hAnsi="Calibri" w:cs="Calibri"/>
          <w:sz w:val="24"/>
          <w:szCs w:val="24"/>
        </w:rPr>
        <w:t>Interim Management Report</w:t>
      </w:r>
    </w:p>
    <w:p w14:paraId="405532F1" w14:textId="77777777" w:rsidR="00832D00" w:rsidRPr="009E5732" w:rsidRDefault="00832D00" w:rsidP="00832D00"/>
    <w:p w14:paraId="1F900E10" w14:textId="77777777" w:rsidR="00832D00" w:rsidRPr="009E5732" w:rsidRDefault="00832D00" w:rsidP="00832D00">
      <w:pPr>
        <w:spacing w:line="300" w:lineRule="exact"/>
        <w:rPr>
          <w:rFonts w:ascii="Calibri" w:hAnsi="Calibri" w:cs="Calibri"/>
          <w:b/>
          <w:sz w:val="22"/>
          <w:szCs w:val="22"/>
        </w:rPr>
      </w:pPr>
      <w:r w:rsidRPr="009E5732">
        <w:rPr>
          <w:rFonts w:ascii="Calibri" w:hAnsi="Calibri" w:cs="Calibri"/>
          <w:b/>
          <w:sz w:val="22"/>
          <w:szCs w:val="22"/>
        </w:rPr>
        <w:t>Introduction</w:t>
      </w:r>
    </w:p>
    <w:p w14:paraId="74782C5D" w14:textId="77777777" w:rsidR="00832D00" w:rsidRPr="009E5732" w:rsidRDefault="00832D00" w:rsidP="00832D00">
      <w:pPr>
        <w:spacing w:line="300" w:lineRule="exact"/>
        <w:rPr>
          <w:rFonts w:ascii="Calibri" w:hAnsi="Calibri" w:cs="Calibri"/>
          <w:b/>
          <w:sz w:val="22"/>
          <w:szCs w:val="22"/>
        </w:rPr>
      </w:pPr>
    </w:p>
    <w:p w14:paraId="414AE099" w14:textId="77777777" w:rsidR="00832D00" w:rsidRPr="009E5732" w:rsidRDefault="00832D00" w:rsidP="00832D00">
      <w:pPr>
        <w:autoSpaceDE w:val="0"/>
        <w:autoSpaceDN w:val="0"/>
        <w:adjustRightInd w:val="0"/>
        <w:spacing w:line="300" w:lineRule="exact"/>
        <w:jc w:val="both"/>
        <w:rPr>
          <w:rFonts w:ascii="Calibri" w:hAnsi="Calibri" w:cs="Calibri"/>
          <w:sz w:val="22"/>
          <w:szCs w:val="22"/>
        </w:rPr>
      </w:pPr>
      <w:r w:rsidRPr="009E5732">
        <w:rPr>
          <w:rFonts w:ascii="Calibri" w:hAnsi="Calibri" w:cs="Calibri"/>
          <w:sz w:val="22"/>
          <w:szCs w:val="22"/>
        </w:rPr>
        <w:t>This financial report for the nine months ended December 31, 2019 meets the reporting requirements pursuant to the Transparency (Directive 2004/109/EC) Regulations 2007 and Transparency Rules of the Central Bank of Ireland.</w:t>
      </w:r>
    </w:p>
    <w:p w14:paraId="70972E50" w14:textId="77777777" w:rsidR="00832D00" w:rsidRPr="009E5732" w:rsidRDefault="00832D00" w:rsidP="00832D00">
      <w:pPr>
        <w:autoSpaceDE w:val="0"/>
        <w:autoSpaceDN w:val="0"/>
        <w:adjustRightInd w:val="0"/>
        <w:spacing w:line="300" w:lineRule="exact"/>
        <w:jc w:val="both"/>
        <w:rPr>
          <w:rFonts w:ascii="Calibri" w:hAnsi="Calibri" w:cs="Calibri"/>
          <w:sz w:val="22"/>
          <w:szCs w:val="22"/>
        </w:rPr>
      </w:pPr>
    </w:p>
    <w:p w14:paraId="72D8A001" w14:textId="77777777" w:rsidR="00832D00" w:rsidRPr="009E5732" w:rsidRDefault="00832D00" w:rsidP="00832D00">
      <w:pPr>
        <w:autoSpaceDE w:val="0"/>
        <w:autoSpaceDN w:val="0"/>
        <w:adjustRightInd w:val="0"/>
        <w:spacing w:line="300" w:lineRule="exact"/>
        <w:jc w:val="both"/>
        <w:rPr>
          <w:rFonts w:ascii="Calibri" w:hAnsi="Calibri" w:cs="Calibri"/>
          <w:sz w:val="22"/>
          <w:szCs w:val="22"/>
        </w:rPr>
      </w:pPr>
      <w:r w:rsidRPr="009E5732">
        <w:rPr>
          <w:rFonts w:ascii="Calibri" w:hAnsi="Calibri" w:cs="Calibri"/>
          <w:sz w:val="22"/>
          <w:szCs w:val="22"/>
        </w:rPr>
        <w:t xml:space="preserve">This interim management report includes the following: </w:t>
      </w:r>
    </w:p>
    <w:p w14:paraId="7B7F4AC2" w14:textId="77777777" w:rsidR="00832D00" w:rsidRPr="009E5732" w:rsidRDefault="00832D00" w:rsidP="00832D00">
      <w:pPr>
        <w:tabs>
          <w:tab w:val="num" w:pos="240"/>
        </w:tabs>
        <w:autoSpaceDE w:val="0"/>
        <w:autoSpaceDN w:val="0"/>
        <w:adjustRightInd w:val="0"/>
        <w:rPr>
          <w:rFonts w:ascii="Calibri" w:hAnsi="Calibri" w:cs="Calibri"/>
          <w:sz w:val="22"/>
          <w:szCs w:val="22"/>
        </w:rPr>
      </w:pPr>
    </w:p>
    <w:p w14:paraId="5D63F32E" w14:textId="77777777" w:rsidR="00832D00" w:rsidRPr="009E5732" w:rsidRDefault="00832D00" w:rsidP="00832D00">
      <w:pPr>
        <w:numPr>
          <w:ilvl w:val="0"/>
          <w:numId w:val="2"/>
        </w:numPr>
        <w:tabs>
          <w:tab w:val="clear" w:pos="720"/>
          <w:tab w:val="num" w:pos="240"/>
        </w:tabs>
        <w:autoSpaceDE w:val="0"/>
        <w:autoSpaceDN w:val="0"/>
        <w:adjustRightInd w:val="0"/>
        <w:ind w:left="426" w:hanging="339"/>
        <w:jc w:val="both"/>
        <w:rPr>
          <w:rFonts w:ascii="Calibri" w:hAnsi="Calibri" w:cs="Calibri"/>
          <w:sz w:val="22"/>
          <w:szCs w:val="22"/>
        </w:rPr>
      </w:pPr>
      <w:r w:rsidRPr="009E5732">
        <w:rPr>
          <w:rFonts w:ascii="Calibri" w:hAnsi="Calibri" w:cs="Calibri"/>
          <w:sz w:val="22"/>
          <w:szCs w:val="22"/>
        </w:rPr>
        <w:t xml:space="preserve">Principal risks and uncertainties relating to the remaining </w:t>
      </w:r>
      <w:r>
        <w:rPr>
          <w:rFonts w:ascii="Calibri" w:hAnsi="Calibri" w:cs="Calibri"/>
          <w:sz w:val="22"/>
          <w:szCs w:val="22"/>
        </w:rPr>
        <w:t>three</w:t>
      </w:r>
      <w:r w:rsidRPr="009E5732">
        <w:rPr>
          <w:rFonts w:ascii="Calibri" w:hAnsi="Calibri" w:cs="Calibri"/>
          <w:sz w:val="22"/>
          <w:szCs w:val="22"/>
        </w:rPr>
        <w:t xml:space="preserve"> months of the year;</w:t>
      </w:r>
    </w:p>
    <w:p w14:paraId="5E750B8B" w14:textId="77777777" w:rsidR="00832D00" w:rsidRPr="009E5732" w:rsidRDefault="00832D00" w:rsidP="00832D00">
      <w:pPr>
        <w:tabs>
          <w:tab w:val="num" w:pos="240"/>
        </w:tabs>
        <w:autoSpaceDE w:val="0"/>
        <w:autoSpaceDN w:val="0"/>
        <w:adjustRightInd w:val="0"/>
        <w:ind w:left="426" w:hanging="339"/>
        <w:rPr>
          <w:rFonts w:ascii="Calibri" w:hAnsi="Calibri" w:cs="Calibri"/>
          <w:sz w:val="22"/>
          <w:szCs w:val="22"/>
        </w:rPr>
      </w:pPr>
    </w:p>
    <w:p w14:paraId="4B48B98C" w14:textId="77777777" w:rsidR="00832D00" w:rsidRPr="009E5732" w:rsidRDefault="00832D00" w:rsidP="00832D00">
      <w:pPr>
        <w:numPr>
          <w:ilvl w:val="0"/>
          <w:numId w:val="2"/>
        </w:numPr>
        <w:tabs>
          <w:tab w:val="clear" w:pos="720"/>
          <w:tab w:val="num" w:pos="240"/>
        </w:tabs>
        <w:autoSpaceDE w:val="0"/>
        <w:autoSpaceDN w:val="0"/>
        <w:adjustRightInd w:val="0"/>
        <w:ind w:left="426" w:hanging="339"/>
        <w:jc w:val="both"/>
        <w:rPr>
          <w:rFonts w:ascii="Calibri" w:hAnsi="Calibri" w:cs="Calibri"/>
          <w:sz w:val="22"/>
          <w:szCs w:val="22"/>
        </w:rPr>
      </w:pPr>
      <w:r w:rsidRPr="009E5732">
        <w:rPr>
          <w:rFonts w:ascii="Calibri" w:hAnsi="Calibri" w:cs="Calibri"/>
          <w:sz w:val="22"/>
          <w:szCs w:val="22"/>
        </w:rPr>
        <w:t>Related party transactions; and</w:t>
      </w:r>
    </w:p>
    <w:p w14:paraId="400318D6" w14:textId="77777777" w:rsidR="00832D00" w:rsidRPr="009E5732" w:rsidRDefault="00832D00" w:rsidP="00832D00">
      <w:pPr>
        <w:tabs>
          <w:tab w:val="num" w:pos="240"/>
        </w:tabs>
        <w:autoSpaceDE w:val="0"/>
        <w:autoSpaceDN w:val="0"/>
        <w:adjustRightInd w:val="0"/>
        <w:ind w:left="426" w:hanging="339"/>
        <w:rPr>
          <w:rFonts w:ascii="Calibri" w:hAnsi="Calibri" w:cs="Calibri"/>
          <w:sz w:val="22"/>
          <w:szCs w:val="22"/>
        </w:rPr>
      </w:pPr>
    </w:p>
    <w:p w14:paraId="51DC8F93" w14:textId="77777777" w:rsidR="00832D00" w:rsidRPr="009E5732" w:rsidRDefault="00832D00" w:rsidP="00832D00">
      <w:pPr>
        <w:numPr>
          <w:ilvl w:val="0"/>
          <w:numId w:val="2"/>
        </w:numPr>
        <w:tabs>
          <w:tab w:val="clear" w:pos="720"/>
          <w:tab w:val="num" w:pos="240"/>
        </w:tabs>
        <w:autoSpaceDE w:val="0"/>
        <w:autoSpaceDN w:val="0"/>
        <w:adjustRightInd w:val="0"/>
        <w:ind w:left="426" w:hanging="339"/>
        <w:jc w:val="both"/>
        <w:rPr>
          <w:rFonts w:ascii="Calibri" w:hAnsi="Calibri" w:cs="Calibri"/>
          <w:sz w:val="22"/>
          <w:szCs w:val="22"/>
        </w:rPr>
      </w:pPr>
      <w:r w:rsidRPr="009E5732">
        <w:rPr>
          <w:rFonts w:ascii="Calibri" w:hAnsi="Calibri" w:cs="Calibri"/>
          <w:sz w:val="22"/>
          <w:szCs w:val="22"/>
        </w:rPr>
        <w:t xml:space="preserve">Post balance sheet events. </w:t>
      </w:r>
    </w:p>
    <w:p w14:paraId="157CDF55" w14:textId="77777777" w:rsidR="00832D00" w:rsidRPr="009E5732" w:rsidRDefault="00832D00" w:rsidP="00832D00">
      <w:pPr>
        <w:autoSpaceDE w:val="0"/>
        <w:autoSpaceDN w:val="0"/>
        <w:adjustRightInd w:val="0"/>
        <w:spacing w:line="276" w:lineRule="auto"/>
        <w:jc w:val="both"/>
        <w:rPr>
          <w:rFonts w:ascii="Calibri" w:hAnsi="Calibri" w:cs="Calibri"/>
          <w:sz w:val="22"/>
          <w:szCs w:val="22"/>
        </w:rPr>
      </w:pPr>
    </w:p>
    <w:p w14:paraId="72908D0D" w14:textId="77777777" w:rsidR="00832D00" w:rsidRPr="009E5732" w:rsidRDefault="00832D00" w:rsidP="00832D00">
      <w:pPr>
        <w:tabs>
          <w:tab w:val="num" w:pos="-240"/>
        </w:tabs>
        <w:spacing w:line="300" w:lineRule="exact"/>
        <w:jc w:val="both"/>
        <w:rPr>
          <w:rFonts w:ascii="Calibri" w:hAnsi="Calibri" w:cs="Calibri"/>
          <w:sz w:val="22"/>
          <w:szCs w:val="22"/>
        </w:rPr>
      </w:pPr>
      <w:r w:rsidRPr="009E5732">
        <w:rPr>
          <w:rFonts w:ascii="Calibri" w:hAnsi="Calibri" w:cs="Calibri"/>
          <w:sz w:val="22"/>
          <w:szCs w:val="22"/>
        </w:rPr>
        <w:t>Results of operations for the nine</w:t>
      </w:r>
      <w:r>
        <w:rPr>
          <w:rFonts w:ascii="Calibri" w:hAnsi="Calibri" w:cs="Calibri"/>
          <w:sz w:val="22"/>
          <w:szCs w:val="22"/>
        </w:rPr>
        <w:t xml:space="preserve"> </w:t>
      </w:r>
      <w:r w:rsidRPr="009E5732">
        <w:rPr>
          <w:rFonts w:ascii="Calibri" w:hAnsi="Calibri" w:cs="Calibri"/>
          <w:sz w:val="22"/>
          <w:szCs w:val="22"/>
        </w:rPr>
        <w:t>month</w:t>
      </w:r>
      <w:r>
        <w:rPr>
          <w:rFonts w:ascii="Calibri" w:hAnsi="Calibri" w:cs="Calibri"/>
          <w:sz w:val="22"/>
          <w:szCs w:val="22"/>
        </w:rPr>
        <w:t xml:space="preserve">s </w:t>
      </w:r>
      <w:r w:rsidRPr="009E5732">
        <w:rPr>
          <w:rFonts w:ascii="Calibri" w:hAnsi="Calibri" w:cs="Calibri"/>
          <w:sz w:val="22"/>
          <w:szCs w:val="22"/>
        </w:rPr>
        <w:t xml:space="preserve">ended December 31, 2019 compared to the </w:t>
      </w:r>
      <w:r>
        <w:rPr>
          <w:rFonts w:ascii="Calibri" w:hAnsi="Calibri" w:cs="Calibri"/>
          <w:sz w:val="22"/>
          <w:szCs w:val="22"/>
        </w:rPr>
        <w:t xml:space="preserve">nine months </w:t>
      </w:r>
      <w:r w:rsidRPr="009E5732">
        <w:rPr>
          <w:rFonts w:ascii="Calibri" w:hAnsi="Calibri" w:cs="Calibri"/>
          <w:sz w:val="22"/>
          <w:szCs w:val="22"/>
        </w:rPr>
        <w:t>ended December 31, 2018, including important events that occurred during the nine months, are set forth above in the MD&amp;A.</w:t>
      </w:r>
    </w:p>
    <w:p w14:paraId="2E802F60" w14:textId="77777777" w:rsidR="00832D00" w:rsidRPr="009E5732" w:rsidRDefault="00832D00" w:rsidP="00832D00">
      <w:pPr>
        <w:pStyle w:val="S2"/>
        <w:spacing w:after="0" w:line="300" w:lineRule="exact"/>
        <w:ind w:right="0" w:firstLine="431"/>
        <w:jc w:val="center"/>
        <w:rPr>
          <w:rFonts w:ascii="Calibri" w:hAnsi="Calibri" w:cs="Calibri"/>
          <w:szCs w:val="22"/>
        </w:rPr>
      </w:pPr>
    </w:p>
    <w:p w14:paraId="06A62EE6" w14:textId="77777777" w:rsidR="00832D00" w:rsidRPr="009E5732" w:rsidRDefault="00832D00" w:rsidP="00832D00">
      <w:pPr>
        <w:spacing w:line="300" w:lineRule="exact"/>
        <w:jc w:val="both"/>
        <w:rPr>
          <w:rFonts w:ascii="Calibri" w:hAnsi="Calibri" w:cs="Calibri"/>
          <w:b/>
          <w:sz w:val="22"/>
          <w:szCs w:val="22"/>
        </w:rPr>
      </w:pPr>
      <w:r w:rsidRPr="009E5732">
        <w:rPr>
          <w:rFonts w:ascii="Calibri" w:hAnsi="Calibri" w:cs="Calibri"/>
          <w:b/>
          <w:sz w:val="22"/>
          <w:szCs w:val="22"/>
        </w:rPr>
        <w:t>Principal risks and uncertainties for the remainder of the year</w:t>
      </w:r>
    </w:p>
    <w:p w14:paraId="3061E9CC" w14:textId="77777777" w:rsidR="00832D00" w:rsidRPr="00961368" w:rsidRDefault="00832D00" w:rsidP="00832D00">
      <w:pPr>
        <w:spacing w:line="300" w:lineRule="exact"/>
        <w:jc w:val="both"/>
        <w:rPr>
          <w:rFonts w:ascii="Calibri" w:hAnsi="Calibri" w:cs="Calibri"/>
          <w:b/>
          <w:sz w:val="22"/>
          <w:szCs w:val="22"/>
          <w:highlight w:val="yellow"/>
        </w:rPr>
      </w:pPr>
    </w:p>
    <w:p w14:paraId="37531273" w14:textId="77777777" w:rsidR="00832D00" w:rsidRPr="00450DD5" w:rsidRDefault="00832D00" w:rsidP="00832D00">
      <w:pPr>
        <w:spacing w:line="300" w:lineRule="exact"/>
        <w:jc w:val="both"/>
        <w:rPr>
          <w:rFonts w:ascii="Calibri" w:hAnsi="Calibri" w:cs="Calibri"/>
          <w:sz w:val="22"/>
          <w:szCs w:val="22"/>
        </w:rPr>
      </w:pPr>
      <w:r w:rsidRPr="00450DD5">
        <w:rPr>
          <w:rFonts w:ascii="Calibri" w:hAnsi="Calibri" w:cs="Calibri"/>
          <w:sz w:val="22"/>
          <w:szCs w:val="22"/>
        </w:rPr>
        <w:t xml:space="preserve">Among the factors that are subject to change and could significantly impact Ryanair’s expected results for the remainder of the year are the airline pricing environment, capacity growth in Europe, fuel costs, competition from new and existing carriers, market prices for the replacement of aircraft, costs associated with environmental, safety and security measures, actions of the Irish, UK, European Union (“EU”) and other governments and their respective regulatory agencies, delays in the delivery of contracted aircraft, weather related disruptions, ATC strikes and staffing related disruptions, uncertainties surrounding Brexit, fluctuations in currency exchange rates and interest rates, airport access and charges, labour relations, the economic environment of the airline industry, the general economic environment in Ireland, the UK, and Continental Europe, the general willingness of passengers to travel, other economic, social and political factors and unforeseen security events.  </w:t>
      </w:r>
    </w:p>
    <w:p w14:paraId="08F7895E" w14:textId="77777777" w:rsidR="00832D00" w:rsidRPr="00961368" w:rsidRDefault="00832D00" w:rsidP="00832D00">
      <w:pPr>
        <w:spacing w:line="300" w:lineRule="exact"/>
        <w:rPr>
          <w:rFonts w:ascii="Calibri" w:hAnsi="Calibri" w:cs="Calibri"/>
          <w:sz w:val="22"/>
          <w:szCs w:val="22"/>
          <w:highlight w:val="yellow"/>
        </w:rPr>
      </w:pPr>
    </w:p>
    <w:p w14:paraId="1B5D887C" w14:textId="77777777" w:rsidR="00832D00" w:rsidRPr="009E5732" w:rsidRDefault="00832D00" w:rsidP="00832D00">
      <w:pPr>
        <w:jc w:val="both"/>
        <w:rPr>
          <w:rFonts w:ascii="Calibri" w:hAnsi="Calibri" w:cs="Calibri"/>
          <w:b/>
          <w:sz w:val="22"/>
          <w:szCs w:val="22"/>
        </w:rPr>
      </w:pPr>
      <w:r w:rsidRPr="009E5732">
        <w:rPr>
          <w:rFonts w:ascii="Calibri" w:hAnsi="Calibri" w:cs="Calibri"/>
          <w:b/>
          <w:sz w:val="22"/>
          <w:szCs w:val="22"/>
        </w:rPr>
        <w:t>Board of Directors</w:t>
      </w:r>
    </w:p>
    <w:p w14:paraId="6E49AC66" w14:textId="77777777" w:rsidR="00832D00" w:rsidRPr="009E5732" w:rsidRDefault="00832D00" w:rsidP="00832D00">
      <w:pPr>
        <w:rPr>
          <w:rFonts w:ascii="Calibri" w:hAnsi="Calibri" w:cs="Calibri"/>
          <w:sz w:val="22"/>
          <w:szCs w:val="22"/>
        </w:rPr>
      </w:pPr>
    </w:p>
    <w:p w14:paraId="1B67BD78" w14:textId="77777777" w:rsidR="00832D00" w:rsidRPr="009E5732" w:rsidRDefault="00832D00" w:rsidP="00832D00">
      <w:pPr>
        <w:jc w:val="both"/>
        <w:rPr>
          <w:rFonts w:ascii="Calibri" w:hAnsi="Calibri" w:cs="Calibri"/>
          <w:sz w:val="22"/>
          <w:szCs w:val="22"/>
        </w:rPr>
      </w:pPr>
      <w:r w:rsidRPr="009E5732">
        <w:rPr>
          <w:rFonts w:ascii="Calibri" w:hAnsi="Calibri" w:cs="Calibri"/>
          <w:sz w:val="22"/>
          <w:szCs w:val="22"/>
        </w:rPr>
        <w:lastRenderedPageBreak/>
        <w:t xml:space="preserve">Details of the members of our Board of Directors are set forth on pages 111 and 112 of </w:t>
      </w:r>
      <w:r>
        <w:rPr>
          <w:rFonts w:ascii="Calibri" w:hAnsi="Calibri" w:cs="Calibri"/>
          <w:sz w:val="22"/>
          <w:szCs w:val="22"/>
        </w:rPr>
        <w:t xml:space="preserve">the Ryanair </w:t>
      </w:r>
      <w:r w:rsidRPr="009E5732">
        <w:rPr>
          <w:rFonts w:ascii="Calibri" w:hAnsi="Calibri" w:cs="Calibri"/>
          <w:sz w:val="22"/>
          <w:szCs w:val="22"/>
        </w:rPr>
        <w:t xml:space="preserve">2019 </w:t>
      </w:r>
      <w:r>
        <w:rPr>
          <w:rFonts w:ascii="Calibri" w:hAnsi="Calibri" w:cs="Calibri"/>
          <w:sz w:val="22"/>
          <w:szCs w:val="22"/>
        </w:rPr>
        <w:t>A</w:t>
      </w:r>
      <w:r w:rsidRPr="009E5732">
        <w:rPr>
          <w:rFonts w:ascii="Calibri" w:hAnsi="Calibri" w:cs="Calibri"/>
          <w:sz w:val="22"/>
          <w:szCs w:val="22"/>
        </w:rPr>
        <w:t xml:space="preserve">nnual </w:t>
      </w:r>
      <w:r>
        <w:rPr>
          <w:rFonts w:ascii="Calibri" w:hAnsi="Calibri" w:cs="Calibri"/>
          <w:sz w:val="22"/>
          <w:szCs w:val="22"/>
        </w:rPr>
        <w:t>R</w:t>
      </w:r>
      <w:r w:rsidRPr="009E5732">
        <w:rPr>
          <w:rFonts w:ascii="Calibri" w:hAnsi="Calibri" w:cs="Calibri"/>
          <w:sz w:val="22"/>
          <w:szCs w:val="22"/>
        </w:rPr>
        <w:t xml:space="preserve">eport.  </w:t>
      </w:r>
    </w:p>
    <w:p w14:paraId="75DC542C" w14:textId="77777777" w:rsidR="00832D00" w:rsidRPr="009E5732" w:rsidRDefault="00832D00" w:rsidP="00832D00">
      <w:pPr>
        <w:jc w:val="both"/>
        <w:rPr>
          <w:rFonts w:ascii="Calibri" w:hAnsi="Calibri" w:cs="Calibri"/>
          <w:sz w:val="22"/>
          <w:szCs w:val="22"/>
        </w:rPr>
      </w:pPr>
    </w:p>
    <w:p w14:paraId="209602F0" w14:textId="77777777" w:rsidR="00832D00" w:rsidRPr="009E5732" w:rsidRDefault="00832D00" w:rsidP="00832D00">
      <w:pPr>
        <w:jc w:val="both"/>
        <w:rPr>
          <w:rFonts w:ascii="Calibri" w:hAnsi="Calibri" w:cs="Calibri"/>
          <w:sz w:val="22"/>
          <w:szCs w:val="22"/>
        </w:rPr>
      </w:pPr>
      <w:r w:rsidRPr="009E5732">
        <w:rPr>
          <w:rFonts w:ascii="Calibri" w:hAnsi="Calibri" w:cs="Calibri"/>
          <w:b/>
          <w:sz w:val="22"/>
          <w:szCs w:val="22"/>
        </w:rPr>
        <w:t xml:space="preserve">Related party transactions </w:t>
      </w:r>
      <w:r w:rsidRPr="009E5732">
        <w:rPr>
          <w:rFonts w:ascii="Calibri" w:hAnsi="Calibri" w:cs="Calibri"/>
          <w:sz w:val="22"/>
          <w:szCs w:val="22"/>
        </w:rPr>
        <w:t>–</w:t>
      </w:r>
      <w:r w:rsidRPr="009E5732">
        <w:rPr>
          <w:rFonts w:ascii="Calibri" w:hAnsi="Calibri" w:cs="Calibri"/>
          <w:b/>
          <w:sz w:val="22"/>
          <w:szCs w:val="22"/>
        </w:rPr>
        <w:t xml:space="preserve"> </w:t>
      </w:r>
      <w:r w:rsidRPr="009E5732">
        <w:rPr>
          <w:rFonts w:ascii="Calibri" w:hAnsi="Calibri" w:cs="Calibri"/>
          <w:sz w:val="22"/>
          <w:szCs w:val="22"/>
        </w:rPr>
        <w:t xml:space="preserve">Please see </w:t>
      </w:r>
      <w:r>
        <w:rPr>
          <w:rFonts w:ascii="Calibri" w:hAnsi="Calibri" w:cs="Calibri"/>
          <w:sz w:val="22"/>
          <w:szCs w:val="22"/>
        </w:rPr>
        <w:t>N</w:t>
      </w:r>
      <w:r w:rsidRPr="009E5732">
        <w:rPr>
          <w:rFonts w:ascii="Calibri" w:hAnsi="Calibri" w:cs="Calibri"/>
          <w:sz w:val="22"/>
          <w:szCs w:val="22"/>
        </w:rPr>
        <w:t>ote 14.</w:t>
      </w:r>
    </w:p>
    <w:p w14:paraId="35FB7AD8" w14:textId="77777777" w:rsidR="00832D00" w:rsidRPr="009E5732" w:rsidRDefault="00832D00" w:rsidP="00832D00">
      <w:pPr>
        <w:jc w:val="both"/>
        <w:rPr>
          <w:rFonts w:ascii="Calibri" w:hAnsi="Calibri" w:cs="Calibri"/>
          <w:b/>
          <w:sz w:val="22"/>
          <w:szCs w:val="22"/>
        </w:rPr>
      </w:pPr>
    </w:p>
    <w:p w14:paraId="0BA47927" w14:textId="77777777" w:rsidR="00832D00" w:rsidRPr="009E5732" w:rsidRDefault="00832D00" w:rsidP="00832D00">
      <w:pPr>
        <w:jc w:val="both"/>
        <w:rPr>
          <w:rFonts w:ascii="Calibri" w:hAnsi="Calibri" w:cs="Calibri"/>
          <w:sz w:val="22"/>
          <w:szCs w:val="22"/>
        </w:rPr>
      </w:pPr>
      <w:r w:rsidRPr="009E5732">
        <w:rPr>
          <w:rFonts w:ascii="Calibri" w:hAnsi="Calibri" w:cs="Calibri"/>
          <w:b/>
          <w:sz w:val="22"/>
          <w:szCs w:val="22"/>
        </w:rPr>
        <w:t xml:space="preserve">Post balance sheet events </w:t>
      </w:r>
      <w:r w:rsidRPr="009E5732">
        <w:rPr>
          <w:rFonts w:ascii="Calibri" w:hAnsi="Calibri" w:cs="Calibri"/>
          <w:sz w:val="22"/>
          <w:szCs w:val="22"/>
        </w:rPr>
        <w:t>–</w:t>
      </w:r>
      <w:r w:rsidRPr="009E5732">
        <w:rPr>
          <w:rFonts w:ascii="Calibri" w:hAnsi="Calibri" w:cs="Calibri"/>
          <w:b/>
          <w:sz w:val="22"/>
          <w:szCs w:val="22"/>
        </w:rPr>
        <w:t xml:space="preserve"> </w:t>
      </w:r>
      <w:r w:rsidRPr="009E5732">
        <w:rPr>
          <w:rFonts w:ascii="Calibri" w:hAnsi="Calibri" w:cs="Calibri"/>
          <w:sz w:val="22"/>
          <w:szCs w:val="22"/>
        </w:rPr>
        <w:t xml:space="preserve">Please see </w:t>
      </w:r>
      <w:r>
        <w:rPr>
          <w:rFonts w:ascii="Calibri" w:hAnsi="Calibri" w:cs="Calibri"/>
          <w:sz w:val="22"/>
          <w:szCs w:val="22"/>
        </w:rPr>
        <w:t>N</w:t>
      </w:r>
      <w:r w:rsidRPr="009E5732">
        <w:rPr>
          <w:rFonts w:ascii="Calibri" w:hAnsi="Calibri" w:cs="Calibri"/>
          <w:sz w:val="22"/>
          <w:szCs w:val="22"/>
        </w:rPr>
        <w:t xml:space="preserve">ote 15. </w:t>
      </w:r>
      <w:bookmarkStart w:id="11" w:name="_Hlk527704336"/>
      <w:bookmarkEnd w:id="9"/>
    </w:p>
    <w:p w14:paraId="3FC887FD" w14:textId="77777777" w:rsidR="00832D00" w:rsidRPr="009E5732" w:rsidRDefault="00832D00" w:rsidP="00832D00">
      <w:pPr>
        <w:jc w:val="both"/>
        <w:rPr>
          <w:rFonts w:ascii="Calibri" w:hAnsi="Calibri" w:cs="Calibri"/>
          <w:sz w:val="22"/>
          <w:szCs w:val="22"/>
        </w:rPr>
      </w:pPr>
    </w:p>
    <w:p w14:paraId="0B15BEF1" w14:textId="77777777" w:rsidR="00832D00" w:rsidRPr="009E5732" w:rsidRDefault="00832D00" w:rsidP="00832D00">
      <w:pPr>
        <w:autoSpaceDE w:val="0"/>
        <w:autoSpaceDN w:val="0"/>
        <w:adjustRightInd w:val="0"/>
        <w:jc w:val="both"/>
        <w:rPr>
          <w:rFonts w:ascii="Calibri" w:hAnsi="Calibri" w:cs="Calibri"/>
          <w:b/>
          <w:bCs/>
          <w:sz w:val="22"/>
          <w:szCs w:val="22"/>
        </w:rPr>
      </w:pPr>
      <w:r w:rsidRPr="009E5732">
        <w:rPr>
          <w:rFonts w:ascii="Calibri" w:hAnsi="Calibri" w:cs="Calibri"/>
          <w:b/>
          <w:bCs/>
          <w:sz w:val="22"/>
          <w:szCs w:val="22"/>
        </w:rPr>
        <w:t>Going concern</w:t>
      </w:r>
    </w:p>
    <w:p w14:paraId="5C4AE8B5" w14:textId="77777777" w:rsidR="00832D00" w:rsidRPr="009E5732" w:rsidRDefault="00832D00" w:rsidP="00832D00">
      <w:pPr>
        <w:autoSpaceDE w:val="0"/>
        <w:autoSpaceDN w:val="0"/>
        <w:adjustRightInd w:val="0"/>
        <w:spacing w:line="300" w:lineRule="exact"/>
        <w:jc w:val="both"/>
        <w:rPr>
          <w:rFonts w:ascii="Calibri" w:hAnsi="Calibri" w:cs="Calibri"/>
          <w:sz w:val="22"/>
          <w:szCs w:val="22"/>
        </w:rPr>
      </w:pPr>
      <w:r w:rsidRPr="009E5732">
        <w:rPr>
          <w:rFonts w:ascii="Calibri" w:hAnsi="Calibri" w:cs="Calibri"/>
          <w:sz w:val="22"/>
          <w:szCs w:val="22"/>
        </w:rPr>
        <w:t>Having considered the Group’s principal risks and uncertainties and its financial position and cash flows, the Directors have formed a judgement, at the time of approving the interim financial statements, that there is a reasonable expectation that the Company and the Group as a whole have adequate resources to continue in operational existence for a period of at least twelve months from the date of approval of the interim financial statements. For this reason, they continue to adopt the going concern basis in preparing the interim financial statements.</w:t>
      </w:r>
      <w:bookmarkEnd w:id="10"/>
      <w:bookmarkEnd w:id="11"/>
    </w:p>
    <w:p w14:paraId="40CE5AB2" w14:textId="77777777" w:rsidR="00832D00" w:rsidRPr="00450DD5" w:rsidRDefault="00832D00" w:rsidP="00832D00">
      <w:pPr>
        <w:pStyle w:val="CG-Title-Center-Bold"/>
        <w:keepNext w:val="0"/>
        <w:tabs>
          <w:tab w:val="left" w:pos="-600"/>
          <w:tab w:val="left" w:pos="6120"/>
          <w:tab w:val="left" w:pos="6360"/>
          <w:tab w:val="left" w:pos="7800"/>
        </w:tabs>
        <w:spacing w:after="0"/>
        <w:ind w:left="-839" w:right="-595"/>
      </w:pPr>
      <w:r w:rsidRPr="00961368">
        <w:rPr>
          <w:rFonts w:ascii="Calibri" w:hAnsi="Calibri" w:cs="Calibri"/>
          <w:sz w:val="22"/>
          <w:szCs w:val="22"/>
          <w:highlight w:val="yellow"/>
        </w:rPr>
        <w:br w:type="page"/>
      </w:r>
      <w:r w:rsidRPr="00450DD5">
        <w:rPr>
          <w:rFonts w:ascii="Calibri" w:hAnsi="Calibri" w:cs="Calibri"/>
          <w:sz w:val="24"/>
          <w:szCs w:val="24"/>
        </w:rPr>
        <w:lastRenderedPageBreak/>
        <w:t>Ryanair Holdings plc and Subsidiaries</w:t>
      </w:r>
    </w:p>
    <w:p w14:paraId="477A2A91" w14:textId="77777777" w:rsidR="00832D00" w:rsidRPr="00450DD5" w:rsidRDefault="00832D00" w:rsidP="00832D00">
      <w:pPr>
        <w:pStyle w:val="CG-Title-Center-Bold"/>
        <w:keepNext w:val="0"/>
        <w:tabs>
          <w:tab w:val="left" w:pos="-600"/>
          <w:tab w:val="left" w:pos="6120"/>
          <w:tab w:val="left" w:pos="6360"/>
          <w:tab w:val="left" w:pos="7800"/>
        </w:tabs>
        <w:spacing w:after="0"/>
        <w:ind w:left="-839" w:right="-595"/>
        <w:rPr>
          <w:rFonts w:ascii="Calibri" w:hAnsi="Calibri" w:cs="Calibri"/>
          <w:sz w:val="24"/>
          <w:szCs w:val="24"/>
        </w:rPr>
      </w:pPr>
      <w:r w:rsidRPr="00450DD5">
        <w:rPr>
          <w:rFonts w:ascii="Calibri" w:hAnsi="Calibri" w:cs="Calibri"/>
          <w:sz w:val="24"/>
          <w:szCs w:val="24"/>
        </w:rPr>
        <w:t>Notes forming Part of the Condensed Consolidated</w:t>
      </w:r>
    </w:p>
    <w:p w14:paraId="34BFD697" w14:textId="77777777" w:rsidR="00832D00" w:rsidRPr="00450DD5" w:rsidRDefault="00832D00" w:rsidP="00832D00">
      <w:pPr>
        <w:jc w:val="center"/>
        <w:rPr>
          <w:rFonts w:ascii="Calibri" w:hAnsi="Calibri" w:cs="Calibri"/>
          <w:b/>
          <w:lang w:val="en-US"/>
        </w:rPr>
      </w:pPr>
      <w:r w:rsidRPr="00450DD5">
        <w:rPr>
          <w:rFonts w:ascii="Calibri" w:hAnsi="Calibri" w:cs="Calibri"/>
          <w:b/>
          <w:lang w:val="en-US"/>
        </w:rPr>
        <w:t>Interim Financial Statements</w:t>
      </w:r>
    </w:p>
    <w:p w14:paraId="3E98377F" w14:textId="77777777" w:rsidR="00832D00" w:rsidRPr="00961368" w:rsidRDefault="00832D00" w:rsidP="00832D00">
      <w:pPr>
        <w:jc w:val="center"/>
        <w:rPr>
          <w:rFonts w:ascii="Calibri" w:hAnsi="Calibri" w:cs="Calibri"/>
          <w:b/>
          <w:highlight w:val="yellow"/>
          <w:lang w:val="en-US"/>
        </w:rPr>
      </w:pPr>
    </w:p>
    <w:p w14:paraId="7095D867" w14:textId="77777777" w:rsidR="00832D00" w:rsidRPr="00E45D81" w:rsidRDefault="00832D00" w:rsidP="00832D00">
      <w:pPr>
        <w:pStyle w:val="Outline3L1"/>
        <w:tabs>
          <w:tab w:val="num" w:pos="0"/>
        </w:tabs>
        <w:rPr>
          <w:rFonts w:ascii="Calibri" w:hAnsi="Calibri" w:cs="Calibri"/>
          <w:b/>
          <w:bCs/>
          <w:sz w:val="22"/>
          <w:szCs w:val="22"/>
        </w:rPr>
      </w:pPr>
      <w:r w:rsidRPr="00E45D81">
        <w:rPr>
          <w:rFonts w:ascii="Calibri" w:hAnsi="Calibri" w:cs="Calibri"/>
          <w:b/>
          <w:sz w:val="22"/>
          <w:szCs w:val="22"/>
        </w:rPr>
        <w:t>Basis of preparation and significant accounting policies</w:t>
      </w:r>
    </w:p>
    <w:p w14:paraId="3F9BDC62" w14:textId="77777777" w:rsidR="00832D00" w:rsidRPr="00E45D81" w:rsidRDefault="00832D00" w:rsidP="00832D00">
      <w:pPr>
        <w:pStyle w:val="Outline3L1"/>
        <w:numPr>
          <w:ilvl w:val="0"/>
          <w:numId w:val="0"/>
        </w:numPr>
        <w:tabs>
          <w:tab w:val="num" w:pos="0"/>
        </w:tabs>
        <w:spacing w:after="120"/>
        <w:jc w:val="both"/>
        <w:rPr>
          <w:rFonts w:ascii="Calibri" w:hAnsi="Calibri" w:cs="Calibri"/>
          <w:sz w:val="22"/>
          <w:szCs w:val="22"/>
        </w:rPr>
      </w:pPr>
      <w:r w:rsidRPr="00E45D81">
        <w:rPr>
          <w:rFonts w:ascii="Calibri" w:hAnsi="Calibri" w:cs="Calibri"/>
          <w:sz w:val="22"/>
          <w:szCs w:val="22"/>
        </w:rPr>
        <w:t xml:space="preserve">Ryanair Holdings plc (the “Company”) is a company domiciled in Ireland. The unaudited condensed consolidated interim financial statements of the Company for the nine months ended December 31, 2019 comprise the Company and its subsidiaries (together referred to as the “Group”). </w:t>
      </w:r>
    </w:p>
    <w:p w14:paraId="596263E8" w14:textId="77777777" w:rsidR="00832D00" w:rsidRPr="00E45D81" w:rsidRDefault="00832D00" w:rsidP="00832D00">
      <w:pPr>
        <w:pStyle w:val="Outline3L1"/>
        <w:numPr>
          <w:ilvl w:val="0"/>
          <w:numId w:val="0"/>
        </w:numPr>
        <w:tabs>
          <w:tab w:val="num" w:pos="0"/>
        </w:tabs>
        <w:spacing w:after="120"/>
        <w:jc w:val="both"/>
        <w:rPr>
          <w:rFonts w:ascii="Calibri" w:hAnsi="Calibri" w:cs="Calibri"/>
          <w:sz w:val="22"/>
          <w:szCs w:val="22"/>
        </w:rPr>
      </w:pPr>
      <w:r w:rsidRPr="00E45D81">
        <w:rPr>
          <w:rFonts w:ascii="Calibri" w:hAnsi="Calibri" w:cs="Calibri"/>
          <w:sz w:val="22"/>
          <w:szCs w:val="22"/>
        </w:rPr>
        <w:t xml:space="preserve">These unaudited condensed consolidated interim financial statements (“the interim financial statements”), which should be read in conjunction with </w:t>
      </w:r>
      <w:r>
        <w:rPr>
          <w:rFonts w:ascii="Calibri" w:hAnsi="Calibri" w:cs="Calibri"/>
          <w:sz w:val="22"/>
          <w:szCs w:val="22"/>
        </w:rPr>
        <w:t xml:space="preserve">the Ryanair </w:t>
      </w:r>
      <w:r w:rsidRPr="00E45D81">
        <w:rPr>
          <w:rFonts w:ascii="Calibri" w:hAnsi="Calibri" w:cs="Calibri"/>
          <w:sz w:val="22"/>
          <w:szCs w:val="22"/>
        </w:rPr>
        <w:t>2019 Annual Report for the year ended March 31, 2019, have been prepared in accordance with International Accounting Standard No. 34 “</w:t>
      </w:r>
      <w:r w:rsidRPr="00E45D81">
        <w:rPr>
          <w:rFonts w:ascii="Calibri" w:hAnsi="Calibri" w:cs="Calibri"/>
          <w:i/>
          <w:sz w:val="22"/>
          <w:szCs w:val="22"/>
        </w:rPr>
        <w:t>Interim Financial Reporting</w:t>
      </w:r>
      <w:r w:rsidRPr="00E45D81">
        <w:rPr>
          <w:rFonts w:ascii="Calibri" w:hAnsi="Calibri" w:cs="Calibri"/>
          <w:sz w:val="22"/>
          <w:szCs w:val="22"/>
        </w:rPr>
        <w:t xml:space="preserve">” as adopted by the EU (“IAS 34”). They do not include all of the information required for full annual financial </w:t>
      </w:r>
      <w:proofErr w:type="gramStart"/>
      <w:r w:rsidRPr="00E45D81">
        <w:rPr>
          <w:rFonts w:ascii="Calibri" w:hAnsi="Calibri" w:cs="Calibri"/>
          <w:sz w:val="22"/>
          <w:szCs w:val="22"/>
        </w:rPr>
        <w:t>statements, and</w:t>
      </w:r>
      <w:proofErr w:type="gramEnd"/>
      <w:r w:rsidRPr="00E45D81">
        <w:rPr>
          <w:rFonts w:ascii="Calibri" w:hAnsi="Calibri" w:cs="Calibri"/>
          <w:sz w:val="22"/>
          <w:szCs w:val="22"/>
        </w:rPr>
        <w:t xml:space="preserve"> should be read in conjunction with the most recent published consolidated financial statements of the Group. The consolidated financial statements of the Group as at and for the year ended March 31, 2019, are available at </w:t>
      </w:r>
      <w:hyperlink r:id="rId10" w:history="1">
        <w:r w:rsidRPr="00E45D81">
          <w:rPr>
            <w:rStyle w:val="Hyperlink"/>
            <w:rFonts w:ascii="Calibri" w:hAnsi="Calibri" w:cs="Calibri"/>
            <w:sz w:val="22"/>
            <w:szCs w:val="22"/>
          </w:rPr>
          <w:t>http://investor.ryanair.com/</w:t>
        </w:r>
      </w:hyperlink>
      <w:r w:rsidRPr="00E45D81">
        <w:rPr>
          <w:rFonts w:ascii="Calibri" w:hAnsi="Calibri" w:cs="Calibri"/>
          <w:color w:val="1F497D"/>
          <w:sz w:val="22"/>
          <w:szCs w:val="22"/>
          <w:u w:val="single"/>
        </w:rPr>
        <w:t>.</w:t>
      </w:r>
    </w:p>
    <w:p w14:paraId="2E9F9FFC" w14:textId="77777777" w:rsidR="00832D00" w:rsidRPr="00E45D81" w:rsidRDefault="00832D00" w:rsidP="00832D00">
      <w:pPr>
        <w:pStyle w:val="Outline3L1"/>
        <w:numPr>
          <w:ilvl w:val="0"/>
          <w:numId w:val="0"/>
        </w:numPr>
        <w:tabs>
          <w:tab w:val="num" w:pos="0"/>
        </w:tabs>
        <w:spacing w:after="120"/>
        <w:jc w:val="both"/>
        <w:rPr>
          <w:rFonts w:ascii="Calibri" w:hAnsi="Calibri" w:cs="Calibri"/>
          <w:sz w:val="22"/>
          <w:szCs w:val="22"/>
        </w:rPr>
      </w:pPr>
      <w:r w:rsidRPr="00E45D81">
        <w:rPr>
          <w:rFonts w:ascii="Calibri" w:hAnsi="Calibri" w:cs="Calibri"/>
          <w:sz w:val="22"/>
          <w:szCs w:val="22"/>
        </w:rPr>
        <w:t>The December 31, 2019 figures and the December 31, 2018 comparative figures do not constitute statutory financial statements of the Group within the meaning of the Companies Act, 2014. The consolidated financial statements of the Group for the year ended March 31, 2019, together with the independent auditor’s report thereon, were filed with the Irish Registrar of Companies following the Company’s Annual General Meeting and are also available on the Company’s Website. The auditor’s report on those financial statements was unqualified.</w:t>
      </w:r>
    </w:p>
    <w:p w14:paraId="3CC9652F" w14:textId="77777777" w:rsidR="00832D00" w:rsidRPr="00961368" w:rsidRDefault="00832D00" w:rsidP="00832D00">
      <w:pPr>
        <w:pStyle w:val="Outline3L1"/>
        <w:numPr>
          <w:ilvl w:val="0"/>
          <w:numId w:val="0"/>
        </w:numPr>
        <w:tabs>
          <w:tab w:val="num" w:pos="0"/>
        </w:tabs>
        <w:spacing w:after="120"/>
        <w:jc w:val="both"/>
        <w:rPr>
          <w:rFonts w:ascii="Calibri" w:hAnsi="Calibri" w:cs="Calibri"/>
          <w:sz w:val="22"/>
          <w:szCs w:val="22"/>
          <w:highlight w:val="yellow"/>
        </w:rPr>
      </w:pPr>
      <w:r w:rsidRPr="00E45D81">
        <w:rPr>
          <w:rFonts w:ascii="Calibri" w:hAnsi="Calibri" w:cs="Calibri"/>
          <w:sz w:val="22"/>
          <w:szCs w:val="22"/>
        </w:rPr>
        <w:t xml:space="preserve">The Audit Committee, upon delegation of authority by the Board of </w:t>
      </w:r>
      <w:r w:rsidRPr="00304967">
        <w:rPr>
          <w:rFonts w:ascii="Calibri" w:hAnsi="Calibri" w:cs="Calibri"/>
          <w:sz w:val="22"/>
          <w:szCs w:val="22"/>
        </w:rPr>
        <w:t xml:space="preserve">Directors, approved the condensed consolidated interim financial statements for the nine months ended December 31, 2019 on January 31, </w:t>
      </w:r>
      <w:r>
        <w:rPr>
          <w:rFonts w:ascii="Calibri" w:hAnsi="Calibri" w:cs="Calibri"/>
          <w:sz w:val="22"/>
          <w:szCs w:val="22"/>
        </w:rPr>
        <w:t>2020</w:t>
      </w:r>
      <w:r w:rsidRPr="00304967">
        <w:rPr>
          <w:rFonts w:ascii="Calibri" w:hAnsi="Calibri" w:cs="Calibri"/>
          <w:sz w:val="22"/>
          <w:szCs w:val="22"/>
        </w:rPr>
        <w:t>.</w:t>
      </w:r>
    </w:p>
    <w:p w14:paraId="153B7F5D" w14:textId="77777777" w:rsidR="00832D00" w:rsidRPr="00E45D81" w:rsidRDefault="00832D00" w:rsidP="00832D00">
      <w:pPr>
        <w:pStyle w:val="Outline3L1"/>
        <w:numPr>
          <w:ilvl w:val="0"/>
          <w:numId w:val="0"/>
        </w:numPr>
        <w:tabs>
          <w:tab w:val="num" w:pos="0"/>
        </w:tabs>
        <w:spacing w:after="200"/>
        <w:jc w:val="both"/>
        <w:rPr>
          <w:rFonts w:ascii="Calibri" w:hAnsi="Calibri" w:cs="Calibri"/>
          <w:sz w:val="22"/>
          <w:szCs w:val="22"/>
        </w:rPr>
      </w:pPr>
      <w:r w:rsidRPr="00E45D81">
        <w:rPr>
          <w:rFonts w:ascii="Calibri" w:hAnsi="Calibri" w:cs="Calibri"/>
          <w:sz w:val="22"/>
          <w:szCs w:val="22"/>
        </w:rPr>
        <w:t>Except as stated otherwise below, this period’s financial information has been prepared in accordance with the accounting policies set out in the Group’s most recent published consolidated financial statements, which were prepared in accordance with IFRS as adopted by the EU and also in compliance with IFRS as issued by the International Accounting Standards Board (IASB).</w:t>
      </w:r>
    </w:p>
    <w:p w14:paraId="2691CA9C" w14:textId="77777777" w:rsidR="00832D00" w:rsidRPr="00E45D81" w:rsidRDefault="00832D00" w:rsidP="00832D00">
      <w:pPr>
        <w:spacing w:after="120"/>
        <w:jc w:val="both"/>
        <w:rPr>
          <w:rFonts w:ascii="Calibri" w:hAnsi="Calibri" w:cs="Calibri"/>
          <w:bCs/>
          <w:i/>
          <w:sz w:val="22"/>
          <w:szCs w:val="22"/>
        </w:rPr>
      </w:pPr>
      <w:r w:rsidRPr="00E45D81">
        <w:rPr>
          <w:rFonts w:ascii="Calibri" w:hAnsi="Calibri" w:cs="Calibri"/>
          <w:bCs/>
          <w:i/>
          <w:sz w:val="22"/>
          <w:szCs w:val="22"/>
        </w:rPr>
        <w:t>Accounting for assets held for sale</w:t>
      </w:r>
    </w:p>
    <w:p w14:paraId="42168283" w14:textId="77777777" w:rsidR="00832D00" w:rsidRPr="00E45D81" w:rsidRDefault="00832D00" w:rsidP="00832D00">
      <w:pPr>
        <w:jc w:val="both"/>
        <w:rPr>
          <w:rFonts w:ascii="Calibri" w:hAnsi="Calibri" w:cs="Calibri"/>
          <w:sz w:val="22"/>
          <w:szCs w:val="22"/>
        </w:rPr>
      </w:pPr>
      <w:r w:rsidRPr="00E45D81">
        <w:rPr>
          <w:rFonts w:ascii="Calibri" w:hAnsi="Calibri" w:cs="Calibri"/>
          <w:sz w:val="22"/>
          <w:szCs w:val="22"/>
        </w:rPr>
        <w:t>Non-current assets are classified as held-for sale if it is highly probable that they will be recovered primarily through sale rather than through continuing use. Such assets are generally measured at the lower of their carrying amount and fair value less costs to sell. Impairment losses on initial classification as held-for-sale or held-for distribution and subsequent gains and losses on re-measurement are recognised in the income statement. Once classified as held-for-sale, intangible assets and property, plant and equipment are no longer amortised or depreciated, and any equity-accounted investee is no longer equity accounted.</w:t>
      </w:r>
    </w:p>
    <w:p w14:paraId="7499AC23" w14:textId="77777777" w:rsidR="00832D00" w:rsidRPr="00E45D81" w:rsidRDefault="00832D00" w:rsidP="00832D00">
      <w:pPr>
        <w:jc w:val="both"/>
        <w:rPr>
          <w:rFonts w:ascii="Calibri" w:hAnsi="Calibri" w:cs="Calibri"/>
          <w:sz w:val="22"/>
          <w:szCs w:val="22"/>
        </w:rPr>
      </w:pPr>
    </w:p>
    <w:p w14:paraId="466D9EAB" w14:textId="77777777" w:rsidR="00832D00" w:rsidRPr="004F16DD" w:rsidRDefault="00832D00" w:rsidP="00832D00">
      <w:pPr>
        <w:spacing w:after="120"/>
        <w:jc w:val="both"/>
        <w:rPr>
          <w:rFonts w:ascii="Calibri" w:hAnsi="Calibri" w:cs="Calibri"/>
          <w:bCs/>
          <w:i/>
          <w:sz w:val="22"/>
          <w:szCs w:val="22"/>
        </w:rPr>
      </w:pPr>
      <w:bookmarkStart w:id="12" w:name="_Hlk21600783"/>
      <w:r w:rsidRPr="004F16DD">
        <w:rPr>
          <w:rFonts w:ascii="Calibri" w:hAnsi="Calibri" w:cs="Calibri"/>
          <w:bCs/>
          <w:i/>
          <w:sz w:val="22"/>
          <w:szCs w:val="22"/>
        </w:rPr>
        <w:t>New IFRS standards and amendments adopted during the year</w:t>
      </w:r>
    </w:p>
    <w:bookmarkEnd w:id="12"/>
    <w:p w14:paraId="766CEBF2" w14:textId="77777777" w:rsidR="00832D00" w:rsidRPr="004F16DD" w:rsidRDefault="00832D00" w:rsidP="00832D00">
      <w:pPr>
        <w:autoSpaceDE w:val="0"/>
        <w:autoSpaceDN w:val="0"/>
        <w:adjustRightInd w:val="0"/>
        <w:jc w:val="both"/>
        <w:rPr>
          <w:rFonts w:ascii="Calibri" w:hAnsi="Calibri" w:cs="Calibri"/>
          <w:sz w:val="22"/>
          <w:szCs w:val="22"/>
          <w:lang w:val="en-US"/>
        </w:rPr>
      </w:pPr>
      <w:r w:rsidRPr="004F16DD">
        <w:rPr>
          <w:rFonts w:ascii="Calibri" w:hAnsi="Calibri" w:cs="Calibri"/>
          <w:sz w:val="22"/>
          <w:szCs w:val="22"/>
          <w:lang w:val="en-US"/>
        </w:rPr>
        <w:lastRenderedPageBreak/>
        <w:t>The following new and amended IFRS standards, amendments and IFRIC interpretations, have been issued by the IASB, and have also been endorsed by the EU. These standards are effective for the first time for the Group’s financial year beginning on April 1, 2019 and therefore have been applied by the Group in these condensed consolidated interim financial statements:</w:t>
      </w:r>
    </w:p>
    <w:p w14:paraId="4BA49D59" w14:textId="77777777" w:rsidR="00832D00" w:rsidRPr="004F16DD" w:rsidRDefault="00832D00" w:rsidP="00832D00">
      <w:pPr>
        <w:autoSpaceDE w:val="0"/>
        <w:autoSpaceDN w:val="0"/>
        <w:adjustRightInd w:val="0"/>
        <w:jc w:val="both"/>
        <w:rPr>
          <w:rFonts w:ascii="Calibri" w:hAnsi="Calibri" w:cs="Calibri"/>
          <w:sz w:val="22"/>
          <w:szCs w:val="22"/>
          <w:lang w:val="en-US"/>
        </w:rPr>
      </w:pPr>
    </w:p>
    <w:p w14:paraId="053531AF" w14:textId="77777777" w:rsidR="00832D00" w:rsidRPr="004F16DD" w:rsidRDefault="00832D00" w:rsidP="00832D00">
      <w:pPr>
        <w:autoSpaceDE w:val="0"/>
        <w:autoSpaceDN w:val="0"/>
        <w:adjustRightInd w:val="0"/>
        <w:spacing w:line="360" w:lineRule="auto"/>
        <w:jc w:val="both"/>
        <w:rPr>
          <w:rFonts w:ascii="Calibri" w:hAnsi="Calibri" w:cs="Calibri"/>
          <w:sz w:val="22"/>
          <w:szCs w:val="22"/>
          <w:lang w:val="en-US"/>
        </w:rPr>
      </w:pPr>
      <w:r w:rsidRPr="004F16DD">
        <w:rPr>
          <w:rFonts w:ascii="Calibri" w:hAnsi="Calibri" w:cs="Calibri"/>
          <w:sz w:val="22"/>
          <w:szCs w:val="22"/>
          <w:lang w:val="en-US"/>
        </w:rPr>
        <w:t>•</w:t>
      </w:r>
      <w:r w:rsidRPr="004F16DD">
        <w:rPr>
          <w:rFonts w:ascii="Calibri" w:hAnsi="Calibri" w:cs="Calibri"/>
          <w:sz w:val="22"/>
          <w:szCs w:val="22"/>
          <w:lang w:val="en-US"/>
        </w:rPr>
        <w:tab/>
        <w:t>IFRS 16 - Leases (see below)</w:t>
      </w:r>
    </w:p>
    <w:p w14:paraId="64BFAB96" w14:textId="77777777" w:rsidR="00832D00" w:rsidRPr="004F16DD" w:rsidRDefault="00832D00" w:rsidP="00832D00">
      <w:pPr>
        <w:autoSpaceDE w:val="0"/>
        <w:autoSpaceDN w:val="0"/>
        <w:adjustRightInd w:val="0"/>
        <w:spacing w:line="360" w:lineRule="auto"/>
        <w:jc w:val="both"/>
        <w:rPr>
          <w:rFonts w:ascii="Calibri" w:hAnsi="Calibri" w:cs="Calibri"/>
          <w:sz w:val="22"/>
          <w:szCs w:val="22"/>
          <w:lang w:val="en-US"/>
        </w:rPr>
      </w:pPr>
      <w:r w:rsidRPr="004F16DD">
        <w:rPr>
          <w:rFonts w:ascii="Calibri" w:hAnsi="Calibri" w:cs="Calibri"/>
          <w:sz w:val="22"/>
          <w:szCs w:val="22"/>
          <w:lang w:val="en-US"/>
        </w:rPr>
        <w:t>•</w:t>
      </w:r>
      <w:r w:rsidRPr="004F16DD">
        <w:rPr>
          <w:rFonts w:ascii="Calibri" w:hAnsi="Calibri" w:cs="Calibri"/>
          <w:sz w:val="22"/>
          <w:szCs w:val="22"/>
          <w:lang w:val="en-US"/>
        </w:rPr>
        <w:tab/>
        <w:t>Amendments to IFRS 9 – Prepayment Features with Negative Compensation</w:t>
      </w:r>
    </w:p>
    <w:p w14:paraId="28268F5B" w14:textId="77777777" w:rsidR="00832D00" w:rsidRPr="004F16DD" w:rsidRDefault="00832D00" w:rsidP="00832D00">
      <w:pPr>
        <w:autoSpaceDE w:val="0"/>
        <w:autoSpaceDN w:val="0"/>
        <w:adjustRightInd w:val="0"/>
        <w:spacing w:line="360" w:lineRule="auto"/>
        <w:jc w:val="both"/>
        <w:rPr>
          <w:rFonts w:ascii="Calibri" w:hAnsi="Calibri" w:cs="Calibri"/>
          <w:sz w:val="22"/>
          <w:szCs w:val="22"/>
          <w:lang w:val="en-US"/>
        </w:rPr>
      </w:pPr>
      <w:r w:rsidRPr="004F16DD">
        <w:rPr>
          <w:rFonts w:ascii="Calibri" w:hAnsi="Calibri" w:cs="Calibri"/>
          <w:sz w:val="22"/>
          <w:szCs w:val="22"/>
          <w:lang w:val="en-US"/>
        </w:rPr>
        <w:t>•</w:t>
      </w:r>
      <w:r w:rsidRPr="004F16DD">
        <w:rPr>
          <w:rFonts w:ascii="Calibri" w:hAnsi="Calibri" w:cs="Calibri"/>
          <w:sz w:val="22"/>
          <w:szCs w:val="22"/>
          <w:lang w:val="en-US"/>
        </w:rPr>
        <w:tab/>
        <w:t xml:space="preserve">IFRIC 23 - Uncertainty over Income Tax Treatments </w:t>
      </w:r>
    </w:p>
    <w:p w14:paraId="6A56652E" w14:textId="77777777" w:rsidR="00832D00" w:rsidRPr="004F16DD" w:rsidRDefault="00832D00" w:rsidP="00832D00">
      <w:pPr>
        <w:autoSpaceDE w:val="0"/>
        <w:autoSpaceDN w:val="0"/>
        <w:adjustRightInd w:val="0"/>
        <w:spacing w:line="360" w:lineRule="auto"/>
        <w:jc w:val="both"/>
        <w:rPr>
          <w:rFonts w:ascii="Calibri" w:hAnsi="Calibri" w:cs="Calibri"/>
          <w:sz w:val="22"/>
          <w:szCs w:val="22"/>
          <w:lang w:val="en-US"/>
        </w:rPr>
      </w:pPr>
      <w:r w:rsidRPr="004F16DD">
        <w:rPr>
          <w:rFonts w:ascii="Calibri" w:hAnsi="Calibri" w:cs="Calibri"/>
          <w:sz w:val="22"/>
          <w:szCs w:val="22"/>
          <w:lang w:val="en-US"/>
        </w:rPr>
        <w:t>•</w:t>
      </w:r>
      <w:r w:rsidRPr="004F16DD">
        <w:rPr>
          <w:rFonts w:ascii="Calibri" w:hAnsi="Calibri" w:cs="Calibri"/>
          <w:sz w:val="22"/>
          <w:szCs w:val="22"/>
          <w:lang w:val="en-US"/>
        </w:rPr>
        <w:tab/>
        <w:t>Amendments to IAS 28 - Long-term Interests in Associates and Joint Ventures</w:t>
      </w:r>
    </w:p>
    <w:p w14:paraId="0F748EB9" w14:textId="77777777" w:rsidR="00832D00" w:rsidRPr="004F16DD" w:rsidRDefault="00832D00" w:rsidP="00832D00">
      <w:pPr>
        <w:autoSpaceDE w:val="0"/>
        <w:autoSpaceDN w:val="0"/>
        <w:adjustRightInd w:val="0"/>
        <w:spacing w:line="360" w:lineRule="auto"/>
        <w:jc w:val="both"/>
        <w:rPr>
          <w:rFonts w:ascii="Calibri" w:hAnsi="Calibri" w:cs="Calibri"/>
          <w:sz w:val="22"/>
          <w:szCs w:val="22"/>
          <w:lang w:val="en-US"/>
        </w:rPr>
      </w:pPr>
      <w:r w:rsidRPr="004F16DD">
        <w:rPr>
          <w:rFonts w:ascii="Calibri" w:hAnsi="Calibri" w:cs="Calibri"/>
          <w:sz w:val="22"/>
          <w:szCs w:val="22"/>
          <w:lang w:val="en-US"/>
        </w:rPr>
        <w:t>•</w:t>
      </w:r>
      <w:r w:rsidRPr="004F16DD">
        <w:rPr>
          <w:rFonts w:ascii="Calibri" w:hAnsi="Calibri" w:cs="Calibri"/>
          <w:sz w:val="22"/>
          <w:szCs w:val="22"/>
          <w:lang w:val="en-US"/>
        </w:rPr>
        <w:tab/>
        <w:t>Amendments to IAS 19 - Plan Amendment, Curtailment or Settlement</w:t>
      </w:r>
    </w:p>
    <w:p w14:paraId="05941019" w14:textId="77777777" w:rsidR="00832D00" w:rsidRPr="004F16DD" w:rsidRDefault="00832D00" w:rsidP="00832D00">
      <w:pPr>
        <w:autoSpaceDE w:val="0"/>
        <w:autoSpaceDN w:val="0"/>
        <w:adjustRightInd w:val="0"/>
        <w:spacing w:line="360" w:lineRule="auto"/>
        <w:jc w:val="both"/>
        <w:rPr>
          <w:rFonts w:ascii="Calibri" w:hAnsi="Calibri" w:cs="Calibri"/>
          <w:sz w:val="22"/>
          <w:szCs w:val="22"/>
          <w:lang w:val="en-US"/>
        </w:rPr>
      </w:pPr>
      <w:r w:rsidRPr="004F16DD">
        <w:rPr>
          <w:rFonts w:ascii="Calibri" w:hAnsi="Calibri" w:cs="Calibri"/>
          <w:sz w:val="22"/>
          <w:szCs w:val="22"/>
          <w:lang w:val="en-US"/>
        </w:rPr>
        <w:t>•</w:t>
      </w:r>
      <w:r w:rsidRPr="004F16DD">
        <w:rPr>
          <w:rFonts w:ascii="Calibri" w:hAnsi="Calibri" w:cs="Calibri"/>
          <w:sz w:val="22"/>
          <w:szCs w:val="22"/>
          <w:lang w:val="en-US"/>
        </w:rPr>
        <w:tab/>
        <w:t xml:space="preserve">Annual Improvements to IFRS Standards 2015 - 2017 Cycle - various standards </w:t>
      </w:r>
    </w:p>
    <w:p w14:paraId="1C3A4E19" w14:textId="77777777" w:rsidR="00832D00" w:rsidRPr="004F16DD" w:rsidRDefault="00832D00" w:rsidP="00832D00">
      <w:pPr>
        <w:autoSpaceDE w:val="0"/>
        <w:autoSpaceDN w:val="0"/>
        <w:adjustRightInd w:val="0"/>
        <w:jc w:val="both"/>
        <w:rPr>
          <w:rFonts w:ascii="Calibri" w:hAnsi="Calibri" w:cs="Calibri"/>
          <w:sz w:val="22"/>
          <w:szCs w:val="22"/>
          <w:lang w:val="en-US"/>
        </w:rPr>
      </w:pPr>
    </w:p>
    <w:p w14:paraId="03D2E5B5" w14:textId="77777777" w:rsidR="00832D00" w:rsidRPr="004F16DD" w:rsidRDefault="00832D00" w:rsidP="00832D00">
      <w:pPr>
        <w:autoSpaceDE w:val="0"/>
        <w:autoSpaceDN w:val="0"/>
        <w:adjustRightInd w:val="0"/>
        <w:jc w:val="both"/>
        <w:rPr>
          <w:rFonts w:ascii="Calibri" w:hAnsi="Calibri" w:cs="Calibri"/>
          <w:sz w:val="22"/>
          <w:szCs w:val="22"/>
          <w:lang w:val="en-US"/>
        </w:rPr>
      </w:pPr>
      <w:proofErr w:type="gramStart"/>
      <w:r w:rsidRPr="004F16DD">
        <w:rPr>
          <w:rFonts w:ascii="Calibri" w:hAnsi="Calibri" w:cs="Calibri"/>
          <w:sz w:val="22"/>
          <w:szCs w:val="22"/>
          <w:lang w:val="en-US"/>
        </w:rPr>
        <w:t>With the exception of</w:t>
      </w:r>
      <w:proofErr w:type="gramEnd"/>
      <w:r w:rsidRPr="004F16DD">
        <w:rPr>
          <w:rFonts w:ascii="Calibri" w:hAnsi="Calibri" w:cs="Calibri"/>
          <w:sz w:val="22"/>
          <w:szCs w:val="22"/>
          <w:lang w:val="en-US"/>
        </w:rPr>
        <w:t xml:space="preserve"> IFRS 16, the adoption of these new or amended standards did not have a material impact on the Group’s financial position or results from operations in the </w:t>
      </w:r>
      <w:r>
        <w:rPr>
          <w:rFonts w:ascii="Calibri" w:hAnsi="Calibri" w:cs="Calibri"/>
          <w:sz w:val="22"/>
          <w:szCs w:val="22"/>
          <w:lang w:val="en-US"/>
        </w:rPr>
        <w:t>nine months</w:t>
      </w:r>
      <w:r w:rsidRPr="004F16DD">
        <w:rPr>
          <w:rFonts w:ascii="Calibri" w:hAnsi="Calibri" w:cs="Calibri"/>
          <w:sz w:val="22"/>
          <w:szCs w:val="22"/>
          <w:lang w:val="en-US"/>
        </w:rPr>
        <w:t xml:space="preserve"> ended </w:t>
      </w:r>
      <w:r>
        <w:rPr>
          <w:rFonts w:ascii="Calibri" w:hAnsi="Calibri" w:cs="Calibri"/>
          <w:sz w:val="22"/>
          <w:szCs w:val="22"/>
          <w:lang w:val="en-US"/>
        </w:rPr>
        <w:t>Dec</w:t>
      </w:r>
      <w:r w:rsidRPr="004F16DD">
        <w:rPr>
          <w:rFonts w:ascii="Calibri" w:hAnsi="Calibri" w:cs="Calibri"/>
          <w:sz w:val="22"/>
          <w:szCs w:val="22"/>
          <w:lang w:val="en-US"/>
        </w:rPr>
        <w:t>ember 3</w:t>
      </w:r>
      <w:r>
        <w:rPr>
          <w:rFonts w:ascii="Calibri" w:hAnsi="Calibri" w:cs="Calibri"/>
          <w:sz w:val="22"/>
          <w:szCs w:val="22"/>
          <w:lang w:val="en-US"/>
        </w:rPr>
        <w:t>1</w:t>
      </w:r>
      <w:r w:rsidRPr="004F16DD">
        <w:rPr>
          <w:rFonts w:ascii="Calibri" w:hAnsi="Calibri" w:cs="Calibri"/>
          <w:sz w:val="22"/>
          <w:szCs w:val="22"/>
          <w:lang w:val="en-US"/>
        </w:rPr>
        <w:t>, 2019. The impact of adoption of IFRS 16 is set out below.</w:t>
      </w:r>
    </w:p>
    <w:p w14:paraId="4CC31550" w14:textId="77777777" w:rsidR="00832D00" w:rsidRPr="00961368" w:rsidRDefault="00832D00" w:rsidP="00832D00">
      <w:pPr>
        <w:autoSpaceDE w:val="0"/>
        <w:autoSpaceDN w:val="0"/>
        <w:adjustRightInd w:val="0"/>
        <w:jc w:val="both"/>
        <w:rPr>
          <w:rFonts w:ascii="Calibri" w:hAnsi="Calibri" w:cs="Calibri"/>
          <w:i/>
          <w:sz w:val="22"/>
          <w:szCs w:val="22"/>
          <w:highlight w:val="yellow"/>
          <w:lang w:val="en-US"/>
        </w:rPr>
      </w:pPr>
    </w:p>
    <w:p w14:paraId="73157F9E" w14:textId="77777777" w:rsidR="00832D00" w:rsidRPr="00FF0B59" w:rsidRDefault="00832D00" w:rsidP="00832D00">
      <w:pPr>
        <w:autoSpaceDE w:val="0"/>
        <w:autoSpaceDN w:val="0"/>
        <w:adjustRightInd w:val="0"/>
        <w:jc w:val="both"/>
        <w:rPr>
          <w:rFonts w:ascii="Calibri" w:hAnsi="Calibri" w:cs="Calibri"/>
          <w:i/>
          <w:sz w:val="22"/>
          <w:szCs w:val="22"/>
          <w:lang w:val="en-US"/>
        </w:rPr>
      </w:pPr>
      <w:r w:rsidRPr="00FF0B59">
        <w:rPr>
          <w:rFonts w:ascii="Calibri" w:hAnsi="Calibri" w:cs="Calibri"/>
          <w:i/>
          <w:sz w:val="22"/>
          <w:szCs w:val="22"/>
          <w:lang w:val="en-US"/>
        </w:rPr>
        <w:t>IFRS 16 – Leases</w:t>
      </w:r>
    </w:p>
    <w:p w14:paraId="1ACDBD46" w14:textId="77777777" w:rsidR="00832D00" w:rsidRPr="00FF0B59" w:rsidRDefault="00832D00" w:rsidP="00832D00">
      <w:pPr>
        <w:autoSpaceDE w:val="0"/>
        <w:autoSpaceDN w:val="0"/>
        <w:adjustRightInd w:val="0"/>
        <w:jc w:val="both"/>
        <w:rPr>
          <w:rFonts w:ascii="Calibri" w:hAnsi="Calibri" w:cs="Calibri"/>
          <w:i/>
          <w:sz w:val="22"/>
          <w:szCs w:val="22"/>
          <w:lang w:val="en-US"/>
        </w:rPr>
      </w:pPr>
    </w:p>
    <w:p w14:paraId="61E2D70E" w14:textId="77777777" w:rsidR="00832D00" w:rsidRPr="00FF0B59" w:rsidRDefault="00832D00" w:rsidP="00832D00">
      <w:pPr>
        <w:autoSpaceDE w:val="0"/>
        <w:autoSpaceDN w:val="0"/>
        <w:adjustRightInd w:val="0"/>
        <w:jc w:val="both"/>
        <w:rPr>
          <w:rFonts w:ascii="Calibri" w:hAnsi="Calibri" w:cs="Calibri"/>
          <w:sz w:val="22"/>
          <w:szCs w:val="22"/>
          <w:lang w:val="en-US"/>
        </w:rPr>
      </w:pPr>
      <w:r w:rsidRPr="00FF0B59">
        <w:rPr>
          <w:rFonts w:ascii="Calibri" w:hAnsi="Calibri" w:cs="Calibri"/>
          <w:sz w:val="22"/>
          <w:szCs w:val="22"/>
          <w:lang w:val="en-US"/>
        </w:rPr>
        <w:t xml:space="preserve">The Group has adopted IFRS 16 with effect from April 1, 2019.  IFRS 16 introduces a single, on-balance sheet, lease accounting model for lessees.  A lessee </w:t>
      </w:r>
      <w:proofErr w:type="spellStart"/>
      <w:r w:rsidRPr="00FF0B59">
        <w:rPr>
          <w:rFonts w:ascii="Calibri" w:hAnsi="Calibri" w:cs="Calibri"/>
          <w:sz w:val="22"/>
          <w:szCs w:val="22"/>
          <w:lang w:val="en-US"/>
        </w:rPr>
        <w:t>recognises</w:t>
      </w:r>
      <w:proofErr w:type="spellEnd"/>
      <w:r w:rsidRPr="00FF0B59">
        <w:rPr>
          <w:rFonts w:ascii="Calibri" w:hAnsi="Calibri" w:cs="Calibri"/>
          <w:sz w:val="22"/>
          <w:szCs w:val="22"/>
          <w:lang w:val="en-US"/>
        </w:rPr>
        <w:t xml:space="preserve"> a right-of-use asset representing its right to use the underlying asset and a lease liability representing its obligation to make lease payments.</w:t>
      </w:r>
    </w:p>
    <w:p w14:paraId="56612FDE" w14:textId="77777777" w:rsidR="00832D00" w:rsidRPr="00FF0B59" w:rsidRDefault="00832D00" w:rsidP="00832D00">
      <w:pPr>
        <w:autoSpaceDE w:val="0"/>
        <w:autoSpaceDN w:val="0"/>
        <w:adjustRightInd w:val="0"/>
        <w:jc w:val="both"/>
        <w:rPr>
          <w:rFonts w:ascii="Calibri" w:hAnsi="Calibri" w:cs="Calibri"/>
          <w:sz w:val="22"/>
          <w:szCs w:val="22"/>
          <w:lang w:val="en-US"/>
        </w:rPr>
      </w:pPr>
    </w:p>
    <w:p w14:paraId="6976342F" w14:textId="77777777" w:rsidR="00832D00" w:rsidRPr="00FF0B59" w:rsidRDefault="00832D00" w:rsidP="00832D00">
      <w:pPr>
        <w:autoSpaceDE w:val="0"/>
        <w:autoSpaceDN w:val="0"/>
        <w:adjustRightInd w:val="0"/>
        <w:jc w:val="both"/>
        <w:rPr>
          <w:rFonts w:ascii="Calibri" w:hAnsi="Calibri" w:cs="Calibri"/>
          <w:sz w:val="22"/>
          <w:szCs w:val="22"/>
          <w:lang w:val="en-US"/>
        </w:rPr>
      </w:pPr>
      <w:r w:rsidRPr="00FF0B59">
        <w:rPr>
          <w:rFonts w:ascii="Calibri" w:hAnsi="Calibri" w:cs="Calibri"/>
          <w:sz w:val="22"/>
          <w:szCs w:val="22"/>
          <w:lang w:val="en-US"/>
        </w:rPr>
        <w:t xml:space="preserve">The Group has applied IFRS 16 using the modified retrospective approach, under which the cumulative effect of initial application is </w:t>
      </w:r>
      <w:proofErr w:type="spellStart"/>
      <w:r w:rsidRPr="00FF0B59">
        <w:rPr>
          <w:rFonts w:ascii="Calibri" w:hAnsi="Calibri" w:cs="Calibri"/>
          <w:sz w:val="22"/>
          <w:szCs w:val="22"/>
          <w:lang w:val="en-US"/>
        </w:rPr>
        <w:t>recognised</w:t>
      </w:r>
      <w:proofErr w:type="spellEnd"/>
      <w:r w:rsidRPr="00FF0B59">
        <w:rPr>
          <w:rFonts w:ascii="Calibri" w:hAnsi="Calibri" w:cs="Calibri"/>
          <w:sz w:val="22"/>
          <w:szCs w:val="22"/>
          <w:lang w:val="en-US"/>
        </w:rPr>
        <w:t xml:space="preserve"> in retained earnings at April 1, 2019.  Accordingly, the comparative information presented for 2018 has not been restated – i.e. it is presented, as previously reported, under IAS 17 and related interpretations.  The details of the changes in accounting policies are disclosed below.</w:t>
      </w:r>
    </w:p>
    <w:p w14:paraId="76BCD56C" w14:textId="77777777" w:rsidR="00832D00" w:rsidRPr="00FF0B59" w:rsidRDefault="00832D00" w:rsidP="00832D00">
      <w:pPr>
        <w:autoSpaceDE w:val="0"/>
        <w:autoSpaceDN w:val="0"/>
        <w:adjustRightInd w:val="0"/>
        <w:jc w:val="both"/>
        <w:rPr>
          <w:rFonts w:ascii="Calibri" w:hAnsi="Calibri" w:cs="Calibri"/>
          <w:sz w:val="22"/>
          <w:szCs w:val="22"/>
          <w:lang w:val="en-US"/>
        </w:rPr>
      </w:pPr>
    </w:p>
    <w:p w14:paraId="45549515" w14:textId="77777777" w:rsidR="00832D00" w:rsidRPr="00FF0B59" w:rsidRDefault="00832D00" w:rsidP="00832D00">
      <w:pPr>
        <w:autoSpaceDE w:val="0"/>
        <w:autoSpaceDN w:val="0"/>
        <w:adjustRightInd w:val="0"/>
        <w:jc w:val="both"/>
        <w:rPr>
          <w:rFonts w:ascii="Calibri" w:hAnsi="Calibri" w:cs="Calibri"/>
          <w:sz w:val="22"/>
          <w:szCs w:val="22"/>
          <w:lang w:val="en-US"/>
        </w:rPr>
      </w:pPr>
      <w:r w:rsidRPr="00FF0B59">
        <w:rPr>
          <w:rFonts w:ascii="Calibri" w:hAnsi="Calibri" w:cs="Calibri"/>
          <w:sz w:val="22"/>
          <w:szCs w:val="22"/>
          <w:lang w:val="en-US"/>
        </w:rPr>
        <w:t xml:space="preserve">As a lessee, the Group previously classified leases as operating or finance leases based on its assessment of whether the lease transferred substantially </w:t>
      </w:r>
      <w:proofErr w:type="gramStart"/>
      <w:r w:rsidRPr="00FF0B59">
        <w:rPr>
          <w:rFonts w:ascii="Calibri" w:hAnsi="Calibri" w:cs="Calibri"/>
          <w:sz w:val="22"/>
          <w:szCs w:val="22"/>
          <w:lang w:val="en-US"/>
        </w:rPr>
        <w:t>all of</w:t>
      </w:r>
      <w:proofErr w:type="gramEnd"/>
      <w:r w:rsidRPr="00FF0B59">
        <w:rPr>
          <w:rFonts w:ascii="Calibri" w:hAnsi="Calibri" w:cs="Calibri"/>
          <w:sz w:val="22"/>
          <w:szCs w:val="22"/>
          <w:lang w:val="en-US"/>
        </w:rPr>
        <w:t xml:space="preserve"> the risks and rewards of ownership.  Under IFRS 16, the Group </w:t>
      </w:r>
      <w:proofErr w:type="spellStart"/>
      <w:r w:rsidRPr="00FF0B59">
        <w:rPr>
          <w:rFonts w:ascii="Calibri" w:hAnsi="Calibri" w:cs="Calibri"/>
          <w:sz w:val="22"/>
          <w:szCs w:val="22"/>
          <w:lang w:val="en-US"/>
        </w:rPr>
        <w:t>recognises</w:t>
      </w:r>
      <w:proofErr w:type="spellEnd"/>
      <w:r w:rsidRPr="00FF0B59">
        <w:rPr>
          <w:rFonts w:ascii="Calibri" w:hAnsi="Calibri" w:cs="Calibri"/>
          <w:sz w:val="22"/>
          <w:szCs w:val="22"/>
          <w:lang w:val="en-US"/>
        </w:rPr>
        <w:t xml:space="preserve"> right-of-use assets and lease liabilities for most leases i.e. these leases are on-balance sheet. </w:t>
      </w:r>
    </w:p>
    <w:p w14:paraId="58E8226A" w14:textId="77777777" w:rsidR="00832D00" w:rsidRPr="00FF0B59" w:rsidRDefault="00832D00" w:rsidP="00832D00">
      <w:pPr>
        <w:autoSpaceDE w:val="0"/>
        <w:autoSpaceDN w:val="0"/>
        <w:adjustRightInd w:val="0"/>
        <w:jc w:val="both"/>
        <w:rPr>
          <w:rFonts w:ascii="Calibri" w:hAnsi="Calibri" w:cs="Calibri"/>
          <w:sz w:val="22"/>
          <w:szCs w:val="22"/>
          <w:lang w:val="en-US"/>
        </w:rPr>
      </w:pPr>
    </w:p>
    <w:p w14:paraId="5C7D29E7" w14:textId="77777777" w:rsidR="00832D00" w:rsidRPr="00FF0B59" w:rsidRDefault="00832D00" w:rsidP="00832D00">
      <w:pPr>
        <w:autoSpaceDE w:val="0"/>
        <w:autoSpaceDN w:val="0"/>
        <w:adjustRightInd w:val="0"/>
        <w:jc w:val="both"/>
        <w:rPr>
          <w:rFonts w:ascii="Calibri" w:hAnsi="Calibri" w:cs="Calibri"/>
          <w:sz w:val="22"/>
          <w:szCs w:val="22"/>
          <w:lang w:val="en-US"/>
        </w:rPr>
      </w:pPr>
      <w:r w:rsidRPr="00FF0B59">
        <w:rPr>
          <w:rFonts w:ascii="Calibri" w:hAnsi="Calibri" w:cs="Calibri"/>
          <w:sz w:val="22"/>
          <w:szCs w:val="22"/>
          <w:lang w:val="en-US"/>
        </w:rPr>
        <w:t xml:space="preserve">The Group has elected not to </w:t>
      </w:r>
      <w:proofErr w:type="spellStart"/>
      <w:r w:rsidRPr="00FF0B59">
        <w:rPr>
          <w:rFonts w:ascii="Calibri" w:hAnsi="Calibri" w:cs="Calibri"/>
          <w:sz w:val="22"/>
          <w:szCs w:val="22"/>
          <w:lang w:val="en-US"/>
        </w:rPr>
        <w:t>recognise</w:t>
      </w:r>
      <w:proofErr w:type="spellEnd"/>
      <w:r w:rsidRPr="00FF0B59">
        <w:rPr>
          <w:rFonts w:ascii="Calibri" w:hAnsi="Calibri" w:cs="Calibri"/>
          <w:sz w:val="22"/>
          <w:szCs w:val="22"/>
          <w:lang w:val="en-US"/>
        </w:rPr>
        <w:t xml:space="preserve"> right-of-use assets and lease liabilities for some leases of low-value assets and has applied the exemption not to </w:t>
      </w:r>
      <w:proofErr w:type="spellStart"/>
      <w:r w:rsidRPr="00FF0B59">
        <w:rPr>
          <w:rFonts w:ascii="Calibri" w:hAnsi="Calibri" w:cs="Calibri"/>
          <w:sz w:val="22"/>
          <w:szCs w:val="22"/>
          <w:lang w:val="en-US"/>
        </w:rPr>
        <w:t>recognise</w:t>
      </w:r>
      <w:proofErr w:type="spellEnd"/>
      <w:r w:rsidRPr="00FF0B59">
        <w:rPr>
          <w:rFonts w:ascii="Calibri" w:hAnsi="Calibri" w:cs="Calibri"/>
          <w:sz w:val="22"/>
          <w:szCs w:val="22"/>
          <w:lang w:val="en-US"/>
        </w:rPr>
        <w:t xml:space="preserve"> right-of-use assets and liabilities for leases with </w:t>
      </w:r>
      <w:r>
        <w:rPr>
          <w:rFonts w:ascii="Calibri" w:hAnsi="Calibri" w:cs="Calibri"/>
          <w:sz w:val="22"/>
          <w:szCs w:val="22"/>
          <w:lang w:val="en-US"/>
        </w:rPr>
        <w:t xml:space="preserve">terms </w:t>
      </w:r>
      <w:r w:rsidRPr="00FF0B59">
        <w:rPr>
          <w:rFonts w:ascii="Calibri" w:hAnsi="Calibri" w:cs="Calibri"/>
          <w:sz w:val="22"/>
          <w:szCs w:val="22"/>
          <w:lang w:val="en-US"/>
        </w:rPr>
        <w:t>less than 12 months.</w:t>
      </w:r>
    </w:p>
    <w:p w14:paraId="48BD6440" w14:textId="77777777" w:rsidR="00832D00" w:rsidRPr="00FF0B59" w:rsidRDefault="00832D00" w:rsidP="00832D00">
      <w:pPr>
        <w:autoSpaceDE w:val="0"/>
        <w:autoSpaceDN w:val="0"/>
        <w:adjustRightInd w:val="0"/>
        <w:jc w:val="both"/>
        <w:rPr>
          <w:rFonts w:ascii="Calibri" w:hAnsi="Calibri" w:cs="Calibri"/>
          <w:sz w:val="22"/>
          <w:szCs w:val="22"/>
          <w:lang w:val="en-US"/>
        </w:rPr>
      </w:pPr>
    </w:p>
    <w:p w14:paraId="24BBC338" w14:textId="77777777" w:rsidR="00832D00" w:rsidRPr="00FF0B59" w:rsidRDefault="00832D00" w:rsidP="00832D00">
      <w:pPr>
        <w:autoSpaceDE w:val="0"/>
        <w:autoSpaceDN w:val="0"/>
        <w:adjustRightInd w:val="0"/>
        <w:jc w:val="both"/>
        <w:rPr>
          <w:rFonts w:ascii="Calibri" w:hAnsi="Calibri" w:cs="Calibri"/>
          <w:sz w:val="22"/>
          <w:szCs w:val="22"/>
          <w:lang w:val="en-US"/>
        </w:rPr>
      </w:pPr>
      <w:r w:rsidRPr="00FF0B59">
        <w:rPr>
          <w:rFonts w:ascii="Calibri" w:hAnsi="Calibri" w:cs="Calibri"/>
          <w:sz w:val="22"/>
          <w:szCs w:val="22"/>
          <w:lang w:val="en-US"/>
        </w:rPr>
        <w:lastRenderedPageBreak/>
        <w:t xml:space="preserve">The Group </w:t>
      </w:r>
      <w:proofErr w:type="spellStart"/>
      <w:r w:rsidRPr="00FF0B59">
        <w:rPr>
          <w:rFonts w:ascii="Calibri" w:hAnsi="Calibri" w:cs="Calibri"/>
          <w:sz w:val="22"/>
          <w:szCs w:val="22"/>
          <w:lang w:val="en-US"/>
        </w:rPr>
        <w:t>recognises</w:t>
      </w:r>
      <w:proofErr w:type="spellEnd"/>
      <w:r w:rsidRPr="00FF0B59">
        <w:rPr>
          <w:rFonts w:ascii="Calibri" w:hAnsi="Calibri" w:cs="Calibri"/>
          <w:sz w:val="22"/>
          <w:szCs w:val="22"/>
          <w:lang w:val="en-US"/>
        </w:rPr>
        <w:t xml:space="preserve"> a right-of-use asset and a lease liability at the lease commencement date.  The right-of-use asset is initially measured at cost, and subsequently at cost less any accumulated depreciation and impairment </w:t>
      </w:r>
      <w:proofErr w:type="gramStart"/>
      <w:r w:rsidRPr="00FF0B59">
        <w:rPr>
          <w:rFonts w:ascii="Calibri" w:hAnsi="Calibri" w:cs="Calibri"/>
          <w:sz w:val="22"/>
          <w:szCs w:val="22"/>
          <w:lang w:val="en-US"/>
        </w:rPr>
        <w:t>losses, and</w:t>
      </w:r>
      <w:proofErr w:type="gramEnd"/>
      <w:r w:rsidRPr="00FF0B59">
        <w:rPr>
          <w:rFonts w:ascii="Calibri" w:hAnsi="Calibri" w:cs="Calibri"/>
          <w:sz w:val="22"/>
          <w:szCs w:val="22"/>
          <w:lang w:val="en-US"/>
        </w:rPr>
        <w:t xml:space="preserve"> adjusted for certain re-measurements of the lease liability.   The lease liability is initially measured at the present value of the lease payments that are not paid at the commencement date, discounted using the interest rate implicit in the lease or, if that rate cannot be readily determined, the Group’s incremental borrowing rate. Generally, the Group uses its incremental borrowing rate as the discount rate.</w:t>
      </w:r>
    </w:p>
    <w:p w14:paraId="523CF842" w14:textId="77777777" w:rsidR="00832D00" w:rsidRPr="00FF0B59" w:rsidRDefault="00832D00" w:rsidP="00832D00">
      <w:pPr>
        <w:autoSpaceDE w:val="0"/>
        <w:autoSpaceDN w:val="0"/>
        <w:adjustRightInd w:val="0"/>
        <w:jc w:val="both"/>
        <w:rPr>
          <w:rFonts w:ascii="Calibri" w:hAnsi="Calibri" w:cs="Calibri"/>
          <w:sz w:val="22"/>
          <w:szCs w:val="22"/>
          <w:lang w:val="en-US"/>
        </w:rPr>
      </w:pPr>
    </w:p>
    <w:p w14:paraId="080CEFAB" w14:textId="77777777" w:rsidR="00832D00" w:rsidRPr="00FF0B59" w:rsidRDefault="00832D00" w:rsidP="00832D00">
      <w:pPr>
        <w:autoSpaceDE w:val="0"/>
        <w:autoSpaceDN w:val="0"/>
        <w:adjustRightInd w:val="0"/>
        <w:jc w:val="both"/>
        <w:rPr>
          <w:rFonts w:ascii="Calibri" w:hAnsi="Calibri" w:cs="Calibri"/>
          <w:sz w:val="22"/>
          <w:szCs w:val="22"/>
          <w:lang w:val="en-US"/>
        </w:rPr>
      </w:pPr>
      <w:r w:rsidRPr="00FF0B59">
        <w:rPr>
          <w:rFonts w:ascii="Calibri" w:hAnsi="Calibri" w:cs="Calibri"/>
          <w:sz w:val="22"/>
          <w:szCs w:val="22"/>
          <w:lang w:val="en-US"/>
        </w:rPr>
        <w:t xml:space="preserve">The Group has determined the lease term for some lease contracts in which it is a lessee that include renewal options.  The assessment of whether the Group is reasonably certain to exercise such options impacts the lease term, which significantly affects the amount of lease liabilities and right-of-use assets </w:t>
      </w:r>
      <w:proofErr w:type="spellStart"/>
      <w:r w:rsidRPr="00FF0B59">
        <w:rPr>
          <w:rFonts w:ascii="Calibri" w:hAnsi="Calibri" w:cs="Calibri"/>
          <w:sz w:val="22"/>
          <w:szCs w:val="22"/>
          <w:lang w:val="en-US"/>
        </w:rPr>
        <w:t>recognised</w:t>
      </w:r>
      <w:proofErr w:type="spellEnd"/>
      <w:r w:rsidRPr="00FF0B59">
        <w:rPr>
          <w:rFonts w:ascii="Calibri" w:hAnsi="Calibri" w:cs="Calibri"/>
          <w:sz w:val="22"/>
          <w:szCs w:val="22"/>
          <w:lang w:val="en-US"/>
        </w:rPr>
        <w:t>.</w:t>
      </w:r>
      <w:r>
        <w:rPr>
          <w:rFonts w:ascii="Calibri" w:hAnsi="Calibri" w:cs="Calibri"/>
          <w:sz w:val="22"/>
          <w:szCs w:val="22"/>
          <w:lang w:val="en-US"/>
        </w:rPr>
        <w:t xml:space="preserve"> </w:t>
      </w:r>
      <w:r w:rsidRPr="00FF0B59">
        <w:rPr>
          <w:rFonts w:ascii="Calibri" w:hAnsi="Calibri" w:cs="Calibri"/>
          <w:sz w:val="22"/>
          <w:szCs w:val="22"/>
          <w:lang w:val="en-US"/>
        </w:rPr>
        <w:t>As</w:t>
      </w:r>
      <w:r>
        <w:rPr>
          <w:rFonts w:ascii="Calibri" w:hAnsi="Calibri" w:cs="Calibri"/>
          <w:sz w:val="22"/>
          <w:szCs w:val="22"/>
          <w:lang w:val="en-US"/>
        </w:rPr>
        <w:t xml:space="preserve"> </w:t>
      </w:r>
      <w:r w:rsidRPr="00FF0B59">
        <w:rPr>
          <w:rFonts w:ascii="Calibri" w:hAnsi="Calibri" w:cs="Calibri"/>
          <w:sz w:val="22"/>
          <w:szCs w:val="22"/>
          <w:lang w:val="en-US"/>
        </w:rPr>
        <w:t xml:space="preserve">at </w:t>
      </w:r>
      <w:r>
        <w:rPr>
          <w:rFonts w:ascii="Calibri" w:hAnsi="Calibri" w:cs="Calibri"/>
          <w:sz w:val="22"/>
          <w:szCs w:val="22"/>
          <w:lang w:val="en-US"/>
        </w:rPr>
        <w:t>Dec</w:t>
      </w:r>
      <w:r w:rsidRPr="00FF0B59">
        <w:rPr>
          <w:rFonts w:ascii="Calibri" w:hAnsi="Calibri" w:cs="Calibri"/>
          <w:sz w:val="22"/>
          <w:szCs w:val="22"/>
          <w:lang w:val="en-US"/>
        </w:rPr>
        <w:t>ember 3</w:t>
      </w:r>
      <w:r>
        <w:rPr>
          <w:rFonts w:ascii="Calibri" w:hAnsi="Calibri" w:cs="Calibri"/>
          <w:sz w:val="22"/>
          <w:szCs w:val="22"/>
          <w:lang w:val="en-US"/>
        </w:rPr>
        <w:t>1</w:t>
      </w:r>
      <w:r w:rsidRPr="00FF0B59">
        <w:rPr>
          <w:rFonts w:ascii="Calibri" w:hAnsi="Calibri" w:cs="Calibri"/>
          <w:sz w:val="22"/>
          <w:szCs w:val="22"/>
          <w:lang w:val="en-US"/>
        </w:rPr>
        <w:t xml:space="preserve">, 2019, the Group’s right-of-use assets relate to leased aircraft.  </w:t>
      </w:r>
    </w:p>
    <w:p w14:paraId="735337FA" w14:textId="77777777" w:rsidR="00832D00" w:rsidRPr="00961368" w:rsidRDefault="00832D00" w:rsidP="00832D00">
      <w:pPr>
        <w:autoSpaceDE w:val="0"/>
        <w:autoSpaceDN w:val="0"/>
        <w:adjustRightInd w:val="0"/>
        <w:jc w:val="both"/>
        <w:rPr>
          <w:rFonts w:ascii="Calibri" w:hAnsi="Calibri" w:cs="Calibri"/>
          <w:sz w:val="22"/>
          <w:szCs w:val="22"/>
          <w:highlight w:val="yellow"/>
          <w:lang w:val="en-US"/>
        </w:rPr>
      </w:pPr>
    </w:p>
    <w:p w14:paraId="5A976F40" w14:textId="77777777" w:rsidR="00832D00" w:rsidRPr="00304967" w:rsidRDefault="00832D00" w:rsidP="00832D00">
      <w:pPr>
        <w:autoSpaceDE w:val="0"/>
        <w:autoSpaceDN w:val="0"/>
        <w:adjustRightInd w:val="0"/>
        <w:jc w:val="both"/>
        <w:rPr>
          <w:rFonts w:ascii="Calibri" w:hAnsi="Calibri" w:cs="Calibri"/>
          <w:sz w:val="22"/>
          <w:szCs w:val="22"/>
          <w:lang w:val="en-US"/>
        </w:rPr>
      </w:pPr>
      <w:bookmarkStart w:id="13" w:name="_Hlk20754839"/>
      <w:r w:rsidRPr="00304967">
        <w:rPr>
          <w:rFonts w:ascii="Calibri" w:hAnsi="Calibri" w:cs="Calibri"/>
          <w:sz w:val="22"/>
          <w:szCs w:val="22"/>
          <w:lang w:val="en-US"/>
        </w:rPr>
        <w:t>The impact of the IFRS 16 transition increased non-current assets on April 1, 2019 by €130.</w:t>
      </w:r>
      <w:r>
        <w:rPr>
          <w:rFonts w:ascii="Calibri" w:hAnsi="Calibri" w:cs="Calibri"/>
          <w:sz w:val="22"/>
          <w:szCs w:val="22"/>
          <w:lang w:val="en-US"/>
        </w:rPr>
        <w:t>7</w:t>
      </w:r>
      <w:r w:rsidRPr="00304967">
        <w:rPr>
          <w:rFonts w:ascii="Calibri" w:hAnsi="Calibri" w:cs="Calibri"/>
          <w:sz w:val="22"/>
          <w:szCs w:val="22"/>
          <w:lang w:val="en-US"/>
        </w:rPr>
        <w:t>M, increased liabilities by €140.</w:t>
      </w:r>
      <w:r>
        <w:rPr>
          <w:rFonts w:ascii="Calibri" w:hAnsi="Calibri" w:cs="Calibri"/>
          <w:sz w:val="22"/>
          <w:szCs w:val="22"/>
          <w:lang w:val="en-US"/>
        </w:rPr>
        <w:t>4</w:t>
      </w:r>
      <w:r w:rsidRPr="00304967">
        <w:rPr>
          <w:rFonts w:ascii="Calibri" w:hAnsi="Calibri" w:cs="Calibri"/>
          <w:sz w:val="22"/>
          <w:szCs w:val="22"/>
          <w:lang w:val="en-US"/>
        </w:rPr>
        <w:t>M and reduced equity (distributable reserves) by €9.</w:t>
      </w:r>
      <w:r>
        <w:rPr>
          <w:rFonts w:ascii="Calibri" w:hAnsi="Calibri" w:cs="Calibri"/>
          <w:sz w:val="22"/>
          <w:szCs w:val="22"/>
          <w:lang w:val="en-US"/>
        </w:rPr>
        <w:t>7</w:t>
      </w:r>
      <w:r w:rsidRPr="00304967">
        <w:rPr>
          <w:rFonts w:ascii="Calibri" w:hAnsi="Calibri" w:cs="Calibri"/>
          <w:sz w:val="22"/>
          <w:szCs w:val="22"/>
          <w:lang w:val="en-US"/>
        </w:rPr>
        <w:t>M.</w:t>
      </w:r>
    </w:p>
    <w:p w14:paraId="7E93C6C8" w14:textId="77777777" w:rsidR="00832D00" w:rsidRPr="00304967" w:rsidRDefault="00832D00" w:rsidP="00832D00">
      <w:pPr>
        <w:autoSpaceDE w:val="0"/>
        <w:autoSpaceDN w:val="0"/>
        <w:adjustRightInd w:val="0"/>
        <w:jc w:val="both"/>
        <w:rPr>
          <w:rFonts w:ascii="Calibri" w:hAnsi="Calibri" w:cs="Calibri"/>
          <w:sz w:val="22"/>
          <w:szCs w:val="22"/>
          <w:lang w:val="en-US"/>
        </w:rPr>
      </w:pPr>
    </w:p>
    <w:p w14:paraId="063DF360" w14:textId="77777777" w:rsidR="00832D00" w:rsidRPr="00304967" w:rsidRDefault="00832D00" w:rsidP="00832D00">
      <w:pPr>
        <w:autoSpaceDE w:val="0"/>
        <w:autoSpaceDN w:val="0"/>
        <w:adjustRightInd w:val="0"/>
        <w:jc w:val="both"/>
        <w:rPr>
          <w:rFonts w:ascii="Calibri" w:hAnsi="Calibri" w:cs="Calibri"/>
          <w:sz w:val="22"/>
          <w:szCs w:val="22"/>
          <w:lang w:val="en-US"/>
        </w:rPr>
      </w:pPr>
      <w:r w:rsidRPr="00304967">
        <w:rPr>
          <w:rFonts w:ascii="Calibri" w:hAnsi="Calibri" w:cs="Calibri"/>
          <w:sz w:val="22"/>
          <w:szCs w:val="22"/>
          <w:lang w:val="en-US"/>
        </w:rPr>
        <w:t>When measuring lease liabilities for leases that were previously classified as operating lease</w:t>
      </w:r>
      <w:r>
        <w:rPr>
          <w:rFonts w:ascii="Calibri" w:hAnsi="Calibri" w:cs="Calibri"/>
          <w:sz w:val="22"/>
          <w:szCs w:val="22"/>
          <w:lang w:val="en-US"/>
        </w:rPr>
        <w:t>s</w:t>
      </w:r>
      <w:r w:rsidRPr="00304967">
        <w:rPr>
          <w:rFonts w:ascii="Calibri" w:hAnsi="Calibri" w:cs="Calibri"/>
          <w:sz w:val="22"/>
          <w:szCs w:val="22"/>
          <w:lang w:val="en-US"/>
        </w:rPr>
        <w:t>, the Group has discounted lease payments using its incremental borrowing rate at April 1, 2019</w:t>
      </w:r>
      <w:r>
        <w:rPr>
          <w:rFonts w:ascii="Calibri" w:hAnsi="Calibri" w:cs="Calibri"/>
          <w:sz w:val="22"/>
          <w:szCs w:val="22"/>
          <w:lang w:val="en-US"/>
        </w:rPr>
        <w:t>,</w:t>
      </w:r>
      <w:r w:rsidRPr="00304967">
        <w:rPr>
          <w:rFonts w:ascii="Calibri" w:hAnsi="Calibri" w:cs="Calibri"/>
          <w:sz w:val="22"/>
          <w:szCs w:val="22"/>
          <w:lang w:val="en-US"/>
        </w:rPr>
        <w:t xml:space="preserve"> </w:t>
      </w:r>
      <w:r>
        <w:rPr>
          <w:rFonts w:ascii="Calibri" w:hAnsi="Calibri" w:cs="Calibri"/>
          <w:sz w:val="22"/>
          <w:szCs w:val="22"/>
          <w:lang w:val="en-US"/>
        </w:rPr>
        <w:t>t</w:t>
      </w:r>
      <w:r w:rsidRPr="00304967">
        <w:rPr>
          <w:rFonts w:ascii="Calibri" w:hAnsi="Calibri" w:cs="Calibri"/>
          <w:sz w:val="22"/>
          <w:szCs w:val="22"/>
          <w:lang w:val="en-US"/>
        </w:rPr>
        <w:t>he rate</w:t>
      </w:r>
      <w:r>
        <w:rPr>
          <w:rFonts w:ascii="Calibri" w:hAnsi="Calibri" w:cs="Calibri"/>
          <w:sz w:val="22"/>
          <w:szCs w:val="22"/>
          <w:lang w:val="en-US"/>
        </w:rPr>
        <w:t>s</w:t>
      </w:r>
      <w:r w:rsidRPr="00304967">
        <w:rPr>
          <w:rFonts w:ascii="Calibri" w:hAnsi="Calibri" w:cs="Calibri"/>
          <w:sz w:val="22"/>
          <w:szCs w:val="22"/>
          <w:lang w:val="en-US"/>
        </w:rPr>
        <w:t xml:space="preserve"> </w:t>
      </w:r>
      <w:r>
        <w:rPr>
          <w:rFonts w:ascii="Calibri" w:hAnsi="Calibri" w:cs="Calibri"/>
          <w:sz w:val="22"/>
          <w:szCs w:val="22"/>
          <w:lang w:val="en-US"/>
        </w:rPr>
        <w:t>which</w:t>
      </w:r>
      <w:r w:rsidRPr="00304967">
        <w:rPr>
          <w:rFonts w:ascii="Calibri" w:hAnsi="Calibri" w:cs="Calibri"/>
          <w:sz w:val="22"/>
          <w:szCs w:val="22"/>
          <w:lang w:val="en-US"/>
        </w:rPr>
        <w:t xml:space="preserve"> ranged </w:t>
      </w:r>
      <w:r>
        <w:rPr>
          <w:rFonts w:ascii="Calibri" w:hAnsi="Calibri" w:cs="Calibri"/>
          <w:sz w:val="22"/>
          <w:szCs w:val="22"/>
          <w:lang w:val="en-US"/>
        </w:rPr>
        <w:t xml:space="preserve">from between </w:t>
      </w:r>
      <w:r w:rsidRPr="00304967">
        <w:rPr>
          <w:rFonts w:ascii="Calibri" w:hAnsi="Calibri" w:cs="Calibri"/>
          <w:sz w:val="22"/>
          <w:szCs w:val="22"/>
          <w:lang w:val="en-US"/>
        </w:rPr>
        <w:t xml:space="preserve">2.5% </w:t>
      </w:r>
      <w:r>
        <w:rPr>
          <w:rFonts w:ascii="Calibri" w:hAnsi="Calibri" w:cs="Calibri"/>
          <w:sz w:val="22"/>
          <w:szCs w:val="22"/>
          <w:lang w:val="en-US"/>
        </w:rPr>
        <w:t xml:space="preserve">and </w:t>
      </w:r>
      <w:r w:rsidRPr="00304967">
        <w:rPr>
          <w:rFonts w:ascii="Calibri" w:hAnsi="Calibri" w:cs="Calibri"/>
          <w:sz w:val="22"/>
          <w:szCs w:val="22"/>
          <w:lang w:val="en-US"/>
        </w:rPr>
        <w:t>3</w:t>
      </w:r>
      <w:r>
        <w:rPr>
          <w:rFonts w:ascii="Calibri" w:hAnsi="Calibri" w:cs="Calibri"/>
          <w:sz w:val="22"/>
          <w:szCs w:val="22"/>
          <w:lang w:val="en-US"/>
        </w:rPr>
        <w:t>.0</w:t>
      </w:r>
      <w:r w:rsidRPr="00304967">
        <w:rPr>
          <w:rFonts w:ascii="Calibri" w:hAnsi="Calibri" w:cs="Calibri"/>
          <w:sz w:val="22"/>
          <w:szCs w:val="22"/>
          <w:lang w:val="en-US"/>
        </w:rPr>
        <w:t>%.</w:t>
      </w:r>
    </w:p>
    <w:p w14:paraId="11AE6226" w14:textId="77777777" w:rsidR="00832D00" w:rsidRPr="00304967" w:rsidRDefault="00832D00" w:rsidP="00832D00">
      <w:pPr>
        <w:autoSpaceDE w:val="0"/>
        <w:autoSpaceDN w:val="0"/>
        <w:adjustRightInd w:val="0"/>
        <w:jc w:val="both"/>
        <w:rPr>
          <w:rFonts w:ascii="Calibri" w:hAnsi="Calibri" w:cs="Calibri"/>
          <w:sz w:val="22"/>
          <w:szCs w:val="22"/>
          <w:lang w:val="en-US"/>
        </w:rPr>
      </w:pPr>
    </w:p>
    <w:bookmarkEnd w:id="13"/>
    <w:p w14:paraId="69F80F17" w14:textId="77777777" w:rsidR="00832D00" w:rsidRPr="00304967" w:rsidRDefault="00832D00" w:rsidP="00832D00">
      <w:pPr>
        <w:rPr>
          <w:rFonts w:ascii="Calibri" w:hAnsi="Calibri" w:cs="Calibri"/>
          <w:sz w:val="22"/>
          <w:szCs w:val="22"/>
          <w:lang w:val="en-US"/>
        </w:rPr>
      </w:pPr>
      <w:r w:rsidRPr="00304967">
        <w:rPr>
          <w:rFonts w:ascii="Calibri" w:hAnsi="Calibri" w:cs="Calibri"/>
          <w:sz w:val="22"/>
          <w:szCs w:val="22"/>
          <w:lang w:val="en-US"/>
        </w:rPr>
        <w:t>Impact of IFRS 16 in the nine-month period:</w:t>
      </w:r>
    </w:p>
    <w:p w14:paraId="6C67C38A" w14:textId="77777777" w:rsidR="00832D00" w:rsidRPr="00304967" w:rsidRDefault="00832D00" w:rsidP="00832D00">
      <w:pPr>
        <w:rPr>
          <w:rFonts w:ascii="Calibri" w:hAnsi="Calibri" w:cs="Calibri"/>
          <w:sz w:val="22"/>
          <w:szCs w:val="22"/>
          <w:lang w:val="en-US"/>
        </w:rPr>
      </w:pPr>
    </w:p>
    <w:p w14:paraId="63C56B55" w14:textId="77777777" w:rsidR="00832D00" w:rsidRPr="00304967" w:rsidRDefault="00832D00" w:rsidP="00832D00">
      <w:pPr>
        <w:rPr>
          <w:rFonts w:ascii="Calibri" w:hAnsi="Calibri" w:cs="Calibri"/>
          <w:sz w:val="22"/>
          <w:szCs w:val="22"/>
          <w:lang w:val="en-US"/>
        </w:rPr>
      </w:pPr>
      <w:r w:rsidRPr="00304967">
        <w:rPr>
          <w:rFonts w:ascii="Calibri" w:hAnsi="Calibri" w:cs="Calibri"/>
          <w:sz w:val="22"/>
          <w:szCs w:val="22"/>
          <w:lang w:val="en-US"/>
        </w:rPr>
        <w:t xml:space="preserve">During the nine-month </w:t>
      </w:r>
      <w:r>
        <w:rPr>
          <w:rFonts w:ascii="Calibri" w:hAnsi="Calibri" w:cs="Calibri"/>
          <w:sz w:val="22"/>
          <w:szCs w:val="22"/>
          <w:lang w:val="en-US"/>
        </w:rPr>
        <w:t xml:space="preserve">period </w:t>
      </w:r>
      <w:r w:rsidRPr="00304967">
        <w:rPr>
          <w:rFonts w:ascii="Calibri" w:hAnsi="Calibri" w:cs="Calibri"/>
          <w:sz w:val="22"/>
          <w:szCs w:val="22"/>
          <w:lang w:val="en-US"/>
        </w:rPr>
        <w:t>ended December 31, 2019 non-current assets increased by €93.</w:t>
      </w:r>
      <w:r>
        <w:rPr>
          <w:rFonts w:ascii="Calibri" w:hAnsi="Calibri" w:cs="Calibri"/>
          <w:sz w:val="22"/>
          <w:szCs w:val="22"/>
          <w:lang w:val="en-US"/>
        </w:rPr>
        <w:t>7</w:t>
      </w:r>
      <w:r w:rsidRPr="00304967">
        <w:rPr>
          <w:rFonts w:ascii="Calibri" w:hAnsi="Calibri" w:cs="Calibri"/>
          <w:sz w:val="22"/>
          <w:szCs w:val="22"/>
          <w:lang w:val="en-US"/>
        </w:rPr>
        <w:t>M and liabilities increased by €9</w:t>
      </w:r>
      <w:r>
        <w:rPr>
          <w:rFonts w:ascii="Calibri" w:hAnsi="Calibri" w:cs="Calibri"/>
          <w:sz w:val="22"/>
          <w:szCs w:val="22"/>
          <w:lang w:val="en-US"/>
        </w:rPr>
        <w:t>0</w:t>
      </w:r>
      <w:r w:rsidRPr="00304967">
        <w:rPr>
          <w:rFonts w:ascii="Calibri" w:hAnsi="Calibri" w:cs="Calibri"/>
          <w:sz w:val="22"/>
          <w:szCs w:val="22"/>
          <w:lang w:val="en-US"/>
        </w:rPr>
        <w:t>.</w:t>
      </w:r>
      <w:r>
        <w:rPr>
          <w:rFonts w:ascii="Calibri" w:hAnsi="Calibri" w:cs="Calibri"/>
          <w:sz w:val="22"/>
          <w:szCs w:val="22"/>
          <w:lang w:val="en-US"/>
        </w:rPr>
        <w:t>5</w:t>
      </w:r>
      <w:r w:rsidRPr="00304967">
        <w:rPr>
          <w:rFonts w:ascii="Calibri" w:hAnsi="Calibri" w:cs="Calibri"/>
          <w:sz w:val="22"/>
          <w:szCs w:val="22"/>
          <w:lang w:val="en-US"/>
        </w:rPr>
        <w:t>M (net) due to the addition of 15 leased aircraft to the fleet.</w:t>
      </w:r>
    </w:p>
    <w:p w14:paraId="27B392CB" w14:textId="77777777" w:rsidR="00832D00" w:rsidRPr="00961368" w:rsidRDefault="00832D00" w:rsidP="00832D00">
      <w:pPr>
        <w:rPr>
          <w:rFonts w:ascii="Calibri" w:hAnsi="Calibri" w:cs="Calibri"/>
          <w:sz w:val="22"/>
          <w:szCs w:val="22"/>
          <w:highlight w:val="yellow"/>
          <w:lang w:val="en-US"/>
        </w:rPr>
      </w:pPr>
    </w:p>
    <w:p w14:paraId="2F133357" w14:textId="77777777" w:rsidR="00832D00" w:rsidRPr="00CA6591" w:rsidRDefault="00832D00" w:rsidP="00832D00">
      <w:pPr>
        <w:autoSpaceDE w:val="0"/>
        <w:autoSpaceDN w:val="0"/>
        <w:adjustRightInd w:val="0"/>
        <w:jc w:val="both"/>
        <w:rPr>
          <w:rFonts w:ascii="Calibri" w:hAnsi="Calibri" w:cs="Calibri"/>
          <w:sz w:val="22"/>
          <w:szCs w:val="22"/>
          <w:lang w:val="en-US"/>
        </w:rPr>
      </w:pPr>
      <w:r w:rsidRPr="00CA6591">
        <w:rPr>
          <w:rFonts w:ascii="Calibri" w:hAnsi="Calibri" w:cs="Calibri"/>
          <w:sz w:val="22"/>
          <w:szCs w:val="22"/>
          <w:lang w:val="en-US"/>
        </w:rPr>
        <w:t xml:space="preserve">The Group has </w:t>
      </w:r>
      <w:proofErr w:type="spellStart"/>
      <w:r w:rsidRPr="00CA6591">
        <w:rPr>
          <w:rFonts w:ascii="Calibri" w:hAnsi="Calibri" w:cs="Calibri"/>
          <w:sz w:val="22"/>
          <w:szCs w:val="22"/>
          <w:lang w:val="en-US"/>
        </w:rPr>
        <w:t>recognised</w:t>
      </w:r>
      <w:proofErr w:type="spellEnd"/>
      <w:r w:rsidRPr="00CA6591">
        <w:rPr>
          <w:rFonts w:ascii="Calibri" w:hAnsi="Calibri" w:cs="Calibri"/>
          <w:sz w:val="22"/>
          <w:szCs w:val="22"/>
          <w:lang w:val="en-US"/>
        </w:rPr>
        <w:t xml:space="preserve"> depreciation and interest expenses instead of operating lease expenses in relation to those leases under IFRS 16. During the nine months ended December 31, 2019, the Group </w:t>
      </w:r>
      <w:proofErr w:type="spellStart"/>
      <w:r w:rsidRPr="00CA6591">
        <w:rPr>
          <w:rFonts w:ascii="Calibri" w:hAnsi="Calibri" w:cs="Calibri"/>
          <w:sz w:val="22"/>
          <w:szCs w:val="22"/>
          <w:lang w:val="en-US"/>
        </w:rPr>
        <w:t>recognised</w:t>
      </w:r>
      <w:proofErr w:type="spellEnd"/>
      <w:r w:rsidRPr="00CA6591">
        <w:rPr>
          <w:rFonts w:ascii="Calibri" w:hAnsi="Calibri" w:cs="Calibri"/>
          <w:sz w:val="22"/>
          <w:szCs w:val="22"/>
          <w:lang w:val="en-US"/>
        </w:rPr>
        <w:t xml:space="preserve"> €42.9M of depreciation expense and €4.0M of lease interest expenses from these leases in the condensed consolidated interim income statement. </w:t>
      </w:r>
    </w:p>
    <w:p w14:paraId="0EA54FEC" w14:textId="77777777" w:rsidR="00832D00" w:rsidRPr="00961368" w:rsidRDefault="00832D00" w:rsidP="00832D00">
      <w:pPr>
        <w:rPr>
          <w:highlight w:val="yellow"/>
          <w:lang w:val="en-US"/>
        </w:rPr>
      </w:pPr>
    </w:p>
    <w:p w14:paraId="76F7D6DD" w14:textId="77777777" w:rsidR="00832D00" w:rsidRDefault="00832D00" w:rsidP="00832D00">
      <w:pPr>
        <w:autoSpaceDE w:val="0"/>
        <w:autoSpaceDN w:val="0"/>
        <w:adjustRightInd w:val="0"/>
        <w:jc w:val="both"/>
        <w:rPr>
          <w:rFonts w:ascii="Calibri" w:hAnsi="Calibri" w:cs="Calibri"/>
          <w:i/>
          <w:sz w:val="22"/>
          <w:szCs w:val="22"/>
          <w:lang w:val="en-US"/>
        </w:rPr>
      </w:pPr>
    </w:p>
    <w:p w14:paraId="1CFADD17" w14:textId="77777777" w:rsidR="00832D00" w:rsidRDefault="00832D00" w:rsidP="00832D00">
      <w:pPr>
        <w:autoSpaceDE w:val="0"/>
        <w:autoSpaceDN w:val="0"/>
        <w:adjustRightInd w:val="0"/>
        <w:jc w:val="both"/>
        <w:rPr>
          <w:rFonts w:ascii="Calibri" w:hAnsi="Calibri" w:cs="Calibri"/>
          <w:i/>
          <w:sz w:val="22"/>
          <w:szCs w:val="22"/>
          <w:lang w:val="en-US"/>
        </w:rPr>
      </w:pPr>
    </w:p>
    <w:p w14:paraId="5F00781F" w14:textId="77777777" w:rsidR="00832D00" w:rsidRPr="00CA6591" w:rsidRDefault="00832D00" w:rsidP="00832D00">
      <w:pPr>
        <w:autoSpaceDE w:val="0"/>
        <w:autoSpaceDN w:val="0"/>
        <w:adjustRightInd w:val="0"/>
        <w:jc w:val="both"/>
        <w:rPr>
          <w:rFonts w:ascii="Calibri" w:hAnsi="Calibri" w:cs="Calibri"/>
          <w:sz w:val="22"/>
          <w:szCs w:val="22"/>
          <w:lang w:val="en-US"/>
        </w:rPr>
      </w:pPr>
      <w:r w:rsidRPr="00CA6591">
        <w:rPr>
          <w:rFonts w:ascii="Calibri" w:hAnsi="Calibri" w:cs="Calibri"/>
          <w:i/>
          <w:sz w:val="22"/>
          <w:szCs w:val="22"/>
          <w:lang w:val="en-US"/>
        </w:rPr>
        <w:t>New IFRS standards and amendments issued but not yet effective</w:t>
      </w:r>
    </w:p>
    <w:p w14:paraId="300D2304" w14:textId="77777777" w:rsidR="00832D00" w:rsidRPr="00CA6591" w:rsidRDefault="00832D00" w:rsidP="00832D00">
      <w:pPr>
        <w:autoSpaceDE w:val="0"/>
        <w:autoSpaceDN w:val="0"/>
        <w:adjustRightInd w:val="0"/>
        <w:jc w:val="both"/>
        <w:rPr>
          <w:rFonts w:ascii="Calibri" w:hAnsi="Calibri" w:cs="Calibri"/>
          <w:i/>
          <w:sz w:val="22"/>
          <w:szCs w:val="22"/>
          <w:lang w:val="en-US"/>
        </w:rPr>
      </w:pPr>
    </w:p>
    <w:p w14:paraId="03051D8F" w14:textId="77777777" w:rsidR="00832D00" w:rsidRPr="00CA6591" w:rsidRDefault="00832D00" w:rsidP="00832D00">
      <w:pPr>
        <w:autoSpaceDE w:val="0"/>
        <w:autoSpaceDN w:val="0"/>
        <w:adjustRightInd w:val="0"/>
        <w:jc w:val="both"/>
        <w:rPr>
          <w:rFonts w:ascii="Calibri" w:hAnsi="Calibri" w:cs="Calibri"/>
          <w:sz w:val="22"/>
          <w:szCs w:val="22"/>
          <w:lang w:val="en-US"/>
        </w:rPr>
      </w:pPr>
      <w:r w:rsidRPr="00CA6591">
        <w:rPr>
          <w:rFonts w:ascii="Calibri" w:hAnsi="Calibri" w:cs="Calibri"/>
          <w:sz w:val="22"/>
          <w:szCs w:val="22"/>
          <w:lang w:val="en-US"/>
        </w:rPr>
        <w:t>The following new or revised IFRS standards and IFRIC interpretations will be adopted for the purposes of the preparation of future financial statements, where applicable.  While under review, we do not anticipate that the adoption of the other new or revised standards and interpretations will have a material impact on our financial position or results from operations:</w:t>
      </w:r>
    </w:p>
    <w:p w14:paraId="764BA6E6" w14:textId="77777777" w:rsidR="00832D00" w:rsidRPr="00CA6591" w:rsidRDefault="00832D00" w:rsidP="00832D00">
      <w:pPr>
        <w:autoSpaceDE w:val="0"/>
        <w:autoSpaceDN w:val="0"/>
        <w:adjustRightInd w:val="0"/>
        <w:jc w:val="both"/>
        <w:rPr>
          <w:rFonts w:ascii="Calibri" w:hAnsi="Calibri" w:cs="Calibri"/>
          <w:sz w:val="22"/>
          <w:szCs w:val="22"/>
          <w:lang w:val="en-US"/>
        </w:rPr>
      </w:pPr>
    </w:p>
    <w:p w14:paraId="4F4ECF59" w14:textId="77777777" w:rsidR="00832D00" w:rsidRPr="00CA6591" w:rsidRDefault="00832D00" w:rsidP="00832D00">
      <w:pPr>
        <w:numPr>
          <w:ilvl w:val="0"/>
          <w:numId w:val="23"/>
        </w:numPr>
        <w:autoSpaceDE w:val="0"/>
        <w:autoSpaceDN w:val="0"/>
        <w:adjustRightInd w:val="0"/>
        <w:jc w:val="both"/>
        <w:rPr>
          <w:rFonts w:ascii="Calibri" w:hAnsi="Calibri" w:cs="Calibri"/>
          <w:sz w:val="22"/>
          <w:szCs w:val="22"/>
          <w:lang w:val="en-US"/>
        </w:rPr>
      </w:pPr>
      <w:r w:rsidRPr="00CA6591">
        <w:rPr>
          <w:rFonts w:ascii="Calibri" w:hAnsi="Calibri" w:cs="Calibri"/>
          <w:sz w:val="22"/>
          <w:szCs w:val="22"/>
          <w:lang w:val="en-US"/>
        </w:rPr>
        <w:t>Amendments to References to Conceptual Framework in IFRS Standards (effective for fiscal periods beginning on or after January 1, 2020)</w:t>
      </w:r>
    </w:p>
    <w:p w14:paraId="1D757B9A" w14:textId="77777777" w:rsidR="00832D00" w:rsidRPr="00CA6591" w:rsidRDefault="00832D00" w:rsidP="00832D00">
      <w:pPr>
        <w:autoSpaceDE w:val="0"/>
        <w:autoSpaceDN w:val="0"/>
        <w:adjustRightInd w:val="0"/>
        <w:ind w:left="720" w:hanging="720"/>
        <w:jc w:val="both"/>
        <w:rPr>
          <w:rFonts w:ascii="Calibri" w:hAnsi="Calibri" w:cs="Calibri"/>
          <w:sz w:val="10"/>
          <w:szCs w:val="10"/>
          <w:lang w:val="en-US"/>
        </w:rPr>
      </w:pPr>
    </w:p>
    <w:p w14:paraId="3F13767F" w14:textId="77777777" w:rsidR="00832D00" w:rsidRPr="00CA6591" w:rsidRDefault="00832D00" w:rsidP="00832D00">
      <w:pPr>
        <w:numPr>
          <w:ilvl w:val="0"/>
          <w:numId w:val="23"/>
        </w:numPr>
        <w:autoSpaceDE w:val="0"/>
        <w:autoSpaceDN w:val="0"/>
        <w:adjustRightInd w:val="0"/>
        <w:jc w:val="both"/>
        <w:rPr>
          <w:rFonts w:ascii="Calibri" w:hAnsi="Calibri" w:cs="Calibri"/>
          <w:sz w:val="22"/>
          <w:szCs w:val="22"/>
          <w:lang w:val="en-US"/>
        </w:rPr>
      </w:pPr>
      <w:r w:rsidRPr="00CA6591">
        <w:rPr>
          <w:rFonts w:ascii="Calibri" w:hAnsi="Calibri" w:cs="Calibri"/>
          <w:sz w:val="22"/>
          <w:szCs w:val="22"/>
          <w:lang w:val="en-US"/>
        </w:rPr>
        <w:t xml:space="preserve">Amendments to IFRS 3 - Definition of a Business (effective for fiscal periods beginning on or after January 1, </w:t>
      </w:r>
      <w:proofErr w:type="gramStart"/>
      <w:r w:rsidRPr="00CA6591">
        <w:rPr>
          <w:rFonts w:ascii="Calibri" w:hAnsi="Calibri" w:cs="Calibri"/>
          <w:sz w:val="22"/>
          <w:szCs w:val="22"/>
          <w:lang w:val="en-US"/>
        </w:rPr>
        <w:t>2020)</w:t>
      </w:r>
      <w:r>
        <w:rPr>
          <w:rFonts w:ascii="Calibri" w:hAnsi="Calibri" w:cs="Calibri"/>
          <w:sz w:val="22"/>
          <w:szCs w:val="22"/>
          <w:lang w:val="en-US"/>
        </w:rPr>
        <w:t>*</w:t>
      </w:r>
      <w:proofErr w:type="gramEnd"/>
    </w:p>
    <w:p w14:paraId="68B5BEC6" w14:textId="77777777" w:rsidR="00832D00" w:rsidRPr="00CA6591" w:rsidRDefault="00832D00" w:rsidP="00832D00">
      <w:pPr>
        <w:autoSpaceDE w:val="0"/>
        <w:autoSpaceDN w:val="0"/>
        <w:adjustRightInd w:val="0"/>
        <w:ind w:left="720" w:hanging="720"/>
        <w:jc w:val="both"/>
        <w:rPr>
          <w:rFonts w:ascii="Calibri" w:hAnsi="Calibri" w:cs="Calibri"/>
          <w:sz w:val="10"/>
          <w:szCs w:val="10"/>
          <w:lang w:val="en-US"/>
        </w:rPr>
      </w:pPr>
    </w:p>
    <w:p w14:paraId="1F64AD90" w14:textId="77777777" w:rsidR="00832D00" w:rsidRPr="00CA6591" w:rsidRDefault="00832D00" w:rsidP="00832D00">
      <w:pPr>
        <w:numPr>
          <w:ilvl w:val="0"/>
          <w:numId w:val="23"/>
        </w:numPr>
        <w:autoSpaceDE w:val="0"/>
        <w:autoSpaceDN w:val="0"/>
        <w:adjustRightInd w:val="0"/>
        <w:jc w:val="both"/>
        <w:rPr>
          <w:rFonts w:ascii="Calibri" w:hAnsi="Calibri" w:cs="Calibri"/>
          <w:sz w:val="22"/>
          <w:szCs w:val="22"/>
          <w:lang w:val="en-US"/>
        </w:rPr>
      </w:pPr>
      <w:r w:rsidRPr="00CA6591">
        <w:rPr>
          <w:rFonts w:ascii="Calibri" w:hAnsi="Calibri" w:cs="Calibri"/>
          <w:sz w:val="22"/>
          <w:szCs w:val="22"/>
          <w:lang w:val="en-US"/>
        </w:rPr>
        <w:t>Amendments to IAS 1 and IAS 8 - Definition of Material (effective for fiscal periods beginning on or after January 1, 2020)</w:t>
      </w:r>
    </w:p>
    <w:p w14:paraId="74633BE9" w14:textId="77777777" w:rsidR="00832D00" w:rsidRPr="00CA6591" w:rsidRDefault="00832D00" w:rsidP="00832D00">
      <w:pPr>
        <w:autoSpaceDE w:val="0"/>
        <w:autoSpaceDN w:val="0"/>
        <w:adjustRightInd w:val="0"/>
        <w:ind w:left="720" w:hanging="720"/>
        <w:jc w:val="both"/>
        <w:rPr>
          <w:rFonts w:ascii="Calibri" w:hAnsi="Calibri" w:cs="Calibri"/>
          <w:sz w:val="10"/>
          <w:szCs w:val="10"/>
          <w:lang w:val="en-US"/>
        </w:rPr>
      </w:pPr>
    </w:p>
    <w:p w14:paraId="1DFE483E" w14:textId="77777777" w:rsidR="00832D00" w:rsidRPr="00CA6591" w:rsidRDefault="00832D00" w:rsidP="00832D00">
      <w:pPr>
        <w:numPr>
          <w:ilvl w:val="0"/>
          <w:numId w:val="23"/>
        </w:numPr>
        <w:autoSpaceDE w:val="0"/>
        <w:autoSpaceDN w:val="0"/>
        <w:adjustRightInd w:val="0"/>
        <w:jc w:val="both"/>
        <w:rPr>
          <w:rFonts w:ascii="Calibri" w:hAnsi="Calibri" w:cs="Calibri"/>
          <w:sz w:val="22"/>
          <w:szCs w:val="22"/>
          <w:lang w:val="en-US"/>
        </w:rPr>
      </w:pPr>
      <w:r w:rsidRPr="00CA6591">
        <w:rPr>
          <w:rFonts w:ascii="Calibri" w:hAnsi="Calibri" w:cs="Calibri"/>
          <w:sz w:val="22"/>
          <w:szCs w:val="22"/>
          <w:lang w:val="en-US"/>
        </w:rPr>
        <w:t xml:space="preserve">IFRS 17 - Insurance Contracts (effective for fiscal periods beginning on or after January 1, </w:t>
      </w:r>
      <w:proofErr w:type="gramStart"/>
      <w:r w:rsidRPr="00CA6591">
        <w:rPr>
          <w:rFonts w:ascii="Calibri" w:hAnsi="Calibri" w:cs="Calibri"/>
          <w:sz w:val="22"/>
          <w:szCs w:val="22"/>
          <w:lang w:val="en-US"/>
        </w:rPr>
        <w:t>2021)</w:t>
      </w:r>
      <w:r>
        <w:rPr>
          <w:rFonts w:ascii="Calibri" w:hAnsi="Calibri" w:cs="Calibri"/>
          <w:sz w:val="22"/>
          <w:szCs w:val="22"/>
          <w:lang w:val="en-US"/>
        </w:rPr>
        <w:t>*</w:t>
      </w:r>
      <w:proofErr w:type="gramEnd"/>
    </w:p>
    <w:p w14:paraId="3F2629E5" w14:textId="77777777" w:rsidR="00832D00" w:rsidRPr="00CA6591" w:rsidRDefault="00832D00" w:rsidP="00832D00">
      <w:pPr>
        <w:autoSpaceDE w:val="0"/>
        <w:autoSpaceDN w:val="0"/>
        <w:adjustRightInd w:val="0"/>
        <w:jc w:val="both"/>
        <w:rPr>
          <w:rFonts w:ascii="Calibri" w:hAnsi="Calibri" w:cs="Calibri"/>
          <w:sz w:val="22"/>
          <w:szCs w:val="22"/>
          <w:lang w:val="en-US"/>
        </w:rPr>
      </w:pPr>
    </w:p>
    <w:p w14:paraId="362218F3" w14:textId="77777777" w:rsidR="00832D00" w:rsidRPr="00CA6591" w:rsidRDefault="00832D00" w:rsidP="00832D00">
      <w:pPr>
        <w:numPr>
          <w:ilvl w:val="0"/>
          <w:numId w:val="22"/>
        </w:numPr>
        <w:autoSpaceDE w:val="0"/>
        <w:autoSpaceDN w:val="0"/>
        <w:adjustRightInd w:val="0"/>
        <w:jc w:val="both"/>
        <w:rPr>
          <w:rFonts w:ascii="Calibri" w:hAnsi="Calibri" w:cs="Calibri"/>
          <w:sz w:val="22"/>
          <w:szCs w:val="22"/>
          <w:lang w:val="en-US"/>
        </w:rPr>
      </w:pPr>
      <w:r w:rsidRPr="00CA6591">
        <w:rPr>
          <w:rFonts w:ascii="Calibri" w:hAnsi="Calibri" w:cs="Calibri"/>
          <w:sz w:val="22"/>
          <w:szCs w:val="22"/>
          <w:lang w:val="en-US"/>
        </w:rPr>
        <w:t>Interest Rate Benchmark Reform (Amendments to IFRS 9, IAS 39 and IFRS 7)</w:t>
      </w:r>
    </w:p>
    <w:p w14:paraId="5523E530" w14:textId="77777777" w:rsidR="00832D00" w:rsidRPr="00CA6591" w:rsidRDefault="00832D00" w:rsidP="00832D00">
      <w:pPr>
        <w:autoSpaceDE w:val="0"/>
        <w:autoSpaceDN w:val="0"/>
        <w:adjustRightInd w:val="0"/>
        <w:ind w:left="720"/>
        <w:jc w:val="both"/>
        <w:rPr>
          <w:rFonts w:ascii="Calibri" w:hAnsi="Calibri" w:cs="Calibri"/>
          <w:sz w:val="22"/>
          <w:szCs w:val="22"/>
          <w:lang w:val="en-US"/>
        </w:rPr>
      </w:pPr>
    </w:p>
    <w:p w14:paraId="5D1C4424" w14:textId="77777777" w:rsidR="00832D00" w:rsidRPr="00CA6591" w:rsidRDefault="00832D00" w:rsidP="00832D00">
      <w:pPr>
        <w:autoSpaceDE w:val="0"/>
        <w:autoSpaceDN w:val="0"/>
        <w:adjustRightInd w:val="0"/>
        <w:jc w:val="both"/>
        <w:rPr>
          <w:rFonts w:ascii="Calibri" w:hAnsi="Calibri" w:cs="Calibri"/>
          <w:sz w:val="22"/>
          <w:szCs w:val="22"/>
          <w:lang w:val="en-US"/>
        </w:rPr>
      </w:pPr>
      <w:r w:rsidRPr="00CA6591">
        <w:rPr>
          <w:rFonts w:ascii="Calibri" w:hAnsi="Calibri" w:cs="Calibri"/>
          <w:sz w:val="22"/>
          <w:szCs w:val="22"/>
          <w:lang w:val="en-US"/>
        </w:rPr>
        <w:t xml:space="preserve">*These standards or amendments to standards are not </w:t>
      </w:r>
      <w:proofErr w:type="gramStart"/>
      <w:r w:rsidRPr="00CA6591">
        <w:rPr>
          <w:rFonts w:ascii="Calibri" w:hAnsi="Calibri" w:cs="Calibri"/>
          <w:sz w:val="22"/>
          <w:szCs w:val="22"/>
          <w:lang w:val="en-US"/>
        </w:rPr>
        <w:t>as yet</w:t>
      </w:r>
      <w:proofErr w:type="gramEnd"/>
      <w:r w:rsidRPr="00CA6591">
        <w:rPr>
          <w:rFonts w:ascii="Calibri" w:hAnsi="Calibri" w:cs="Calibri"/>
          <w:sz w:val="22"/>
          <w:szCs w:val="22"/>
          <w:lang w:val="en-US"/>
        </w:rPr>
        <w:t xml:space="preserve"> EU endorsed</w:t>
      </w:r>
    </w:p>
    <w:p w14:paraId="206F13E3" w14:textId="77777777" w:rsidR="00832D00" w:rsidRPr="00CA6591" w:rsidRDefault="00832D00" w:rsidP="00832D00">
      <w:pPr>
        <w:autoSpaceDE w:val="0"/>
        <w:autoSpaceDN w:val="0"/>
        <w:adjustRightInd w:val="0"/>
        <w:jc w:val="both"/>
        <w:rPr>
          <w:rFonts w:ascii="Calibri" w:hAnsi="Calibri" w:cs="Calibri"/>
          <w:sz w:val="22"/>
          <w:szCs w:val="22"/>
          <w:lang w:val="en-US"/>
        </w:rPr>
      </w:pPr>
    </w:p>
    <w:p w14:paraId="605ABA23" w14:textId="77777777" w:rsidR="00832D00" w:rsidRPr="00CA6591" w:rsidRDefault="00832D00" w:rsidP="00832D00">
      <w:pPr>
        <w:pStyle w:val="Outline3L1"/>
        <w:tabs>
          <w:tab w:val="num" w:pos="0"/>
        </w:tabs>
        <w:spacing w:line="300" w:lineRule="exact"/>
        <w:rPr>
          <w:rFonts w:ascii="Calibri" w:hAnsi="Calibri" w:cs="Calibri"/>
          <w:b/>
          <w:bCs/>
          <w:sz w:val="22"/>
          <w:szCs w:val="22"/>
        </w:rPr>
      </w:pPr>
      <w:r w:rsidRPr="00CA6591">
        <w:rPr>
          <w:rFonts w:ascii="Calibri" w:hAnsi="Calibri" w:cs="Calibri"/>
          <w:b/>
          <w:bCs/>
          <w:sz w:val="22"/>
          <w:szCs w:val="22"/>
        </w:rPr>
        <w:t>Judgements and estimates</w:t>
      </w:r>
    </w:p>
    <w:p w14:paraId="13A3C648" w14:textId="77777777" w:rsidR="00832D00" w:rsidRPr="00CA6591" w:rsidRDefault="00832D00" w:rsidP="00832D00">
      <w:pPr>
        <w:tabs>
          <w:tab w:val="num" w:pos="0"/>
        </w:tabs>
        <w:spacing w:after="120" w:line="300" w:lineRule="exact"/>
        <w:jc w:val="both"/>
        <w:rPr>
          <w:rFonts w:ascii="Calibri" w:hAnsi="Calibri" w:cs="Calibri"/>
          <w:sz w:val="22"/>
          <w:szCs w:val="22"/>
        </w:rPr>
      </w:pPr>
      <w:r w:rsidRPr="00CA6591">
        <w:rPr>
          <w:rFonts w:ascii="Calibri" w:hAnsi="Calibri" w:cs="Calibri"/>
          <w:sz w:val="22"/>
          <w:szCs w:val="22"/>
        </w:rPr>
        <w:t>The preparation of financial statements requires management to make judgements, estimates and assumptions that affect the application of accounting policies and the reported amounts of assets and liabilities, income and expense.  Actual results may differ from these estimates.</w:t>
      </w:r>
    </w:p>
    <w:p w14:paraId="0CFA6B69" w14:textId="77777777" w:rsidR="00832D00" w:rsidRPr="00CA6591" w:rsidRDefault="00832D00" w:rsidP="00832D00">
      <w:pPr>
        <w:tabs>
          <w:tab w:val="num" w:pos="0"/>
        </w:tabs>
        <w:spacing w:line="300" w:lineRule="exact"/>
        <w:jc w:val="both"/>
        <w:rPr>
          <w:rFonts w:ascii="Calibri" w:hAnsi="Calibri" w:cs="Calibri"/>
          <w:sz w:val="22"/>
          <w:szCs w:val="22"/>
        </w:rPr>
      </w:pPr>
      <w:r w:rsidRPr="00CA6591">
        <w:rPr>
          <w:rFonts w:ascii="Calibri" w:hAnsi="Calibri" w:cs="Calibri"/>
          <w:sz w:val="22"/>
          <w:szCs w:val="22"/>
        </w:rPr>
        <w:t>In preparing these condensed consolidated interim financial statements, the significant judgements made by management in applying the Group’s accounting policies and the key sources of estimation uncertainty were the same as those that applied in the most recent published consolidated financial statements.</w:t>
      </w:r>
    </w:p>
    <w:p w14:paraId="7DF757E8" w14:textId="77777777" w:rsidR="00832D00" w:rsidRPr="00CA6591" w:rsidRDefault="00832D00" w:rsidP="00832D00">
      <w:pPr>
        <w:tabs>
          <w:tab w:val="num" w:pos="0"/>
        </w:tabs>
        <w:spacing w:line="300" w:lineRule="exact"/>
        <w:jc w:val="both"/>
        <w:rPr>
          <w:rFonts w:ascii="Calibri" w:hAnsi="Calibri" w:cs="Calibri"/>
          <w:sz w:val="22"/>
          <w:szCs w:val="22"/>
        </w:rPr>
      </w:pPr>
    </w:p>
    <w:p w14:paraId="14F46B66" w14:textId="77777777" w:rsidR="00832D00" w:rsidRPr="00CA6591" w:rsidRDefault="00832D00" w:rsidP="00832D00">
      <w:pPr>
        <w:pStyle w:val="Outline3L1"/>
        <w:tabs>
          <w:tab w:val="num" w:pos="0"/>
        </w:tabs>
        <w:spacing w:line="300" w:lineRule="exact"/>
        <w:rPr>
          <w:rFonts w:ascii="Calibri" w:hAnsi="Calibri" w:cs="Calibri"/>
          <w:b/>
          <w:bCs/>
          <w:sz w:val="22"/>
          <w:szCs w:val="22"/>
        </w:rPr>
      </w:pPr>
      <w:r w:rsidRPr="00CA6591">
        <w:rPr>
          <w:rFonts w:ascii="Calibri" w:hAnsi="Calibri" w:cs="Calibri"/>
          <w:b/>
          <w:bCs/>
          <w:sz w:val="22"/>
          <w:szCs w:val="22"/>
        </w:rPr>
        <w:t>Seasonality of operations</w:t>
      </w:r>
    </w:p>
    <w:p w14:paraId="7FC8F54D" w14:textId="0CFED0E4" w:rsidR="00832D00" w:rsidRDefault="00832D00" w:rsidP="00832D00">
      <w:pPr>
        <w:keepNext/>
        <w:tabs>
          <w:tab w:val="num" w:pos="0"/>
        </w:tabs>
        <w:spacing w:line="300" w:lineRule="exact"/>
        <w:jc w:val="both"/>
        <w:rPr>
          <w:rFonts w:ascii="Calibri" w:hAnsi="Calibri" w:cs="Calibri"/>
          <w:sz w:val="22"/>
          <w:szCs w:val="22"/>
        </w:rPr>
      </w:pPr>
      <w:r w:rsidRPr="00CA6591">
        <w:rPr>
          <w:rFonts w:ascii="Calibri" w:hAnsi="Calibri" w:cs="Calibri"/>
          <w:sz w:val="22"/>
          <w:szCs w:val="22"/>
        </w:rPr>
        <w:t>The Group’s results of operations have varied significantly from quarter to quarter, and management expects these variations to continue.  Among the factors causing these variations are the airline industry’s sensitivity to general economic conditions and the seasonal nature of air travel.  Accordingly, the first half-year typically results in higher revenues and results.</w:t>
      </w:r>
    </w:p>
    <w:p w14:paraId="26A0743A" w14:textId="77777777" w:rsidR="00555666" w:rsidRPr="00CA6591" w:rsidRDefault="00555666" w:rsidP="00832D00">
      <w:pPr>
        <w:keepNext/>
        <w:tabs>
          <w:tab w:val="num" w:pos="0"/>
        </w:tabs>
        <w:spacing w:line="300" w:lineRule="exact"/>
        <w:jc w:val="both"/>
        <w:rPr>
          <w:rFonts w:ascii="Calibri" w:hAnsi="Calibri" w:cs="Calibri"/>
          <w:sz w:val="22"/>
          <w:szCs w:val="22"/>
        </w:rPr>
      </w:pPr>
    </w:p>
    <w:p w14:paraId="5B779597" w14:textId="77777777" w:rsidR="00832D00" w:rsidRPr="00CA6591" w:rsidRDefault="00832D00" w:rsidP="00832D00">
      <w:pPr>
        <w:widowControl w:val="0"/>
        <w:tabs>
          <w:tab w:val="num" w:pos="0"/>
        </w:tabs>
        <w:spacing w:line="300" w:lineRule="exact"/>
        <w:jc w:val="both"/>
        <w:rPr>
          <w:rFonts w:ascii="Calibri" w:hAnsi="Calibri" w:cs="Calibri"/>
          <w:sz w:val="22"/>
          <w:szCs w:val="22"/>
        </w:rPr>
      </w:pPr>
    </w:p>
    <w:p w14:paraId="15B29D32" w14:textId="77777777" w:rsidR="00832D00" w:rsidRPr="00CA6591" w:rsidRDefault="00832D00" w:rsidP="00832D00">
      <w:pPr>
        <w:pStyle w:val="Outline3L1"/>
        <w:keepNext w:val="0"/>
        <w:tabs>
          <w:tab w:val="num" w:pos="0"/>
        </w:tabs>
        <w:spacing w:line="300" w:lineRule="exact"/>
        <w:rPr>
          <w:rFonts w:ascii="Calibri" w:hAnsi="Calibri" w:cs="Calibri"/>
          <w:b/>
          <w:bCs/>
          <w:sz w:val="22"/>
          <w:szCs w:val="22"/>
        </w:rPr>
      </w:pPr>
      <w:bookmarkStart w:id="14" w:name="_Hlk526950167"/>
      <w:r w:rsidRPr="00CA6591">
        <w:rPr>
          <w:rFonts w:ascii="Calibri" w:hAnsi="Calibri" w:cs="Calibri"/>
          <w:b/>
          <w:bCs/>
          <w:sz w:val="22"/>
          <w:szCs w:val="22"/>
        </w:rPr>
        <w:t xml:space="preserve">Income tax </w:t>
      </w:r>
    </w:p>
    <w:p w14:paraId="00454AC1" w14:textId="77777777" w:rsidR="00832D00" w:rsidRPr="00CA6591" w:rsidRDefault="00832D00" w:rsidP="00832D00">
      <w:pPr>
        <w:pStyle w:val="Outline3L1"/>
        <w:keepNext w:val="0"/>
        <w:numPr>
          <w:ilvl w:val="0"/>
          <w:numId w:val="0"/>
        </w:numPr>
        <w:tabs>
          <w:tab w:val="num" w:pos="0"/>
        </w:tabs>
        <w:spacing w:after="0" w:line="300" w:lineRule="exact"/>
        <w:jc w:val="both"/>
        <w:rPr>
          <w:rFonts w:ascii="Calibri" w:hAnsi="Calibri" w:cs="Calibri"/>
          <w:sz w:val="22"/>
          <w:szCs w:val="22"/>
        </w:rPr>
      </w:pPr>
      <w:r w:rsidRPr="00CA6591">
        <w:rPr>
          <w:rFonts w:ascii="Calibri" w:hAnsi="Calibri" w:cs="Calibri"/>
          <w:sz w:val="22"/>
          <w:szCs w:val="22"/>
        </w:rPr>
        <w:t xml:space="preserve">The Group’s consolidated effective tax rate in respect of operations for the nine-months ended December 31, 2019 was </w:t>
      </w:r>
      <w:r>
        <w:rPr>
          <w:rFonts w:ascii="Calibri" w:hAnsi="Calibri" w:cs="Calibri"/>
          <w:sz w:val="22"/>
          <w:szCs w:val="22"/>
        </w:rPr>
        <w:t>7</w:t>
      </w:r>
      <w:r w:rsidRPr="00CA6591">
        <w:rPr>
          <w:rFonts w:ascii="Calibri" w:hAnsi="Calibri" w:cs="Calibri"/>
          <w:sz w:val="22"/>
          <w:szCs w:val="22"/>
        </w:rPr>
        <w:t>.</w:t>
      </w:r>
      <w:r>
        <w:rPr>
          <w:rFonts w:ascii="Calibri" w:hAnsi="Calibri" w:cs="Calibri"/>
          <w:sz w:val="22"/>
          <w:szCs w:val="22"/>
        </w:rPr>
        <w:t>5</w:t>
      </w:r>
      <w:r w:rsidRPr="00CA6591">
        <w:rPr>
          <w:rFonts w:ascii="Calibri" w:hAnsi="Calibri" w:cs="Calibri"/>
          <w:sz w:val="22"/>
          <w:szCs w:val="22"/>
        </w:rPr>
        <w:t>% (December 31, 2018: 8.1%).  The tax charge for the nine-months ended December 31, 2019 of €1</w:t>
      </w:r>
      <w:r>
        <w:rPr>
          <w:rFonts w:ascii="Calibri" w:hAnsi="Calibri" w:cs="Calibri"/>
          <w:sz w:val="22"/>
          <w:szCs w:val="22"/>
        </w:rPr>
        <w:t>00</w:t>
      </w:r>
      <w:r w:rsidRPr="00CA6591">
        <w:rPr>
          <w:rFonts w:ascii="Calibri" w:hAnsi="Calibri" w:cs="Calibri"/>
          <w:sz w:val="22"/>
          <w:szCs w:val="22"/>
        </w:rPr>
        <w:t>.6M (December 31, 2018: €</w:t>
      </w:r>
      <w:r>
        <w:rPr>
          <w:rFonts w:ascii="Calibri" w:hAnsi="Calibri" w:cs="Calibri"/>
          <w:sz w:val="22"/>
          <w:szCs w:val="22"/>
        </w:rPr>
        <w:t>95</w:t>
      </w:r>
      <w:r w:rsidRPr="00CA6591">
        <w:rPr>
          <w:rFonts w:ascii="Calibri" w:hAnsi="Calibri" w:cs="Calibri"/>
          <w:sz w:val="22"/>
          <w:szCs w:val="22"/>
        </w:rPr>
        <w:t>.</w:t>
      </w:r>
      <w:r>
        <w:rPr>
          <w:rFonts w:ascii="Calibri" w:hAnsi="Calibri" w:cs="Calibri"/>
          <w:sz w:val="22"/>
          <w:szCs w:val="22"/>
        </w:rPr>
        <w:t>3</w:t>
      </w:r>
      <w:r w:rsidRPr="00CA6591">
        <w:rPr>
          <w:rFonts w:ascii="Calibri" w:hAnsi="Calibri" w:cs="Calibri"/>
          <w:sz w:val="22"/>
          <w:szCs w:val="22"/>
        </w:rPr>
        <w:t>M) comprises a current tax charge of €1</w:t>
      </w:r>
      <w:r>
        <w:rPr>
          <w:rFonts w:ascii="Calibri" w:hAnsi="Calibri" w:cs="Calibri"/>
          <w:sz w:val="22"/>
          <w:szCs w:val="22"/>
        </w:rPr>
        <w:t>46</w:t>
      </w:r>
      <w:r w:rsidRPr="00CA6591">
        <w:rPr>
          <w:rFonts w:ascii="Calibri" w:hAnsi="Calibri" w:cs="Calibri"/>
          <w:sz w:val="22"/>
          <w:szCs w:val="22"/>
        </w:rPr>
        <w:t>.</w:t>
      </w:r>
      <w:r>
        <w:rPr>
          <w:rFonts w:ascii="Calibri" w:hAnsi="Calibri" w:cs="Calibri"/>
          <w:sz w:val="22"/>
          <w:szCs w:val="22"/>
        </w:rPr>
        <w:t>1</w:t>
      </w:r>
      <w:r w:rsidRPr="00CA6591">
        <w:rPr>
          <w:rFonts w:ascii="Calibri" w:hAnsi="Calibri" w:cs="Calibri"/>
          <w:sz w:val="22"/>
          <w:szCs w:val="22"/>
        </w:rPr>
        <w:t>M and a deferred tax credit of €</w:t>
      </w:r>
      <w:r>
        <w:rPr>
          <w:rFonts w:ascii="Calibri" w:hAnsi="Calibri" w:cs="Calibri"/>
          <w:sz w:val="22"/>
          <w:szCs w:val="22"/>
        </w:rPr>
        <w:t>45</w:t>
      </w:r>
      <w:r w:rsidRPr="00CA6591">
        <w:rPr>
          <w:rFonts w:ascii="Calibri" w:hAnsi="Calibri" w:cs="Calibri"/>
          <w:sz w:val="22"/>
          <w:szCs w:val="22"/>
        </w:rPr>
        <w:t>.</w:t>
      </w:r>
      <w:r>
        <w:rPr>
          <w:rFonts w:ascii="Calibri" w:hAnsi="Calibri" w:cs="Calibri"/>
          <w:sz w:val="22"/>
          <w:szCs w:val="22"/>
        </w:rPr>
        <w:t>5</w:t>
      </w:r>
      <w:r w:rsidRPr="00CA6591">
        <w:rPr>
          <w:rFonts w:ascii="Calibri" w:hAnsi="Calibri" w:cs="Calibri"/>
          <w:sz w:val="22"/>
          <w:szCs w:val="22"/>
        </w:rPr>
        <w:t>M primarily relating to the temporary differences for property, plant and equipment and net operating losses.</w:t>
      </w:r>
    </w:p>
    <w:p w14:paraId="7D517B71" w14:textId="77777777" w:rsidR="00832D00" w:rsidRPr="00CA6591" w:rsidRDefault="00832D00" w:rsidP="00832D00">
      <w:pPr>
        <w:rPr>
          <w:lang w:val="en-US"/>
        </w:rPr>
      </w:pPr>
      <w:bookmarkStart w:id="15" w:name="_Hlk20754049"/>
      <w:bookmarkEnd w:id="14"/>
    </w:p>
    <w:p w14:paraId="39F99A22" w14:textId="77777777" w:rsidR="00832D00" w:rsidRPr="00CA6591" w:rsidRDefault="00832D00" w:rsidP="00832D00">
      <w:pPr>
        <w:pStyle w:val="Outline3L1"/>
        <w:tabs>
          <w:tab w:val="num" w:pos="0"/>
        </w:tabs>
        <w:spacing w:line="300" w:lineRule="exact"/>
        <w:rPr>
          <w:rFonts w:ascii="Calibri" w:hAnsi="Calibri" w:cs="Calibri"/>
          <w:b/>
          <w:bCs/>
          <w:sz w:val="22"/>
          <w:szCs w:val="22"/>
        </w:rPr>
      </w:pPr>
      <w:bookmarkStart w:id="16" w:name="_Hlk29989728"/>
      <w:r w:rsidRPr="00CA6591">
        <w:rPr>
          <w:rFonts w:ascii="Calibri" w:hAnsi="Calibri" w:cs="Calibri"/>
          <w:b/>
          <w:bCs/>
          <w:sz w:val="22"/>
          <w:szCs w:val="22"/>
        </w:rPr>
        <w:lastRenderedPageBreak/>
        <w:t>Share based payments</w:t>
      </w:r>
    </w:p>
    <w:p w14:paraId="379AEAC9" w14:textId="77777777" w:rsidR="00832D00" w:rsidRPr="00CA6591" w:rsidRDefault="00832D00" w:rsidP="00832D00">
      <w:pPr>
        <w:tabs>
          <w:tab w:val="num" w:pos="0"/>
        </w:tabs>
        <w:spacing w:line="300" w:lineRule="exact"/>
        <w:jc w:val="both"/>
        <w:rPr>
          <w:rFonts w:ascii="Calibri" w:hAnsi="Calibri" w:cs="Calibri"/>
          <w:sz w:val="22"/>
          <w:szCs w:val="22"/>
        </w:rPr>
      </w:pPr>
      <w:r w:rsidRPr="00CA6591">
        <w:rPr>
          <w:rFonts w:ascii="Calibri" w:hAnsi="Calibri" w:cs="Calibri"/>
          <w:sz w:val="22"/>
          <w:szCs w:val="22"/>
        </w:rPr>
        <w:t>The terms and conditions of the share option programme are disclosed in the most recent, published, consolidated financial statements. The charge of €</w:t>
      </w:r>
      <w:r>
        <w:rPr>
          <w:rFonts w:ascii="Calibri" w:hAnsi="Calibri" w:cs="Calibri"/>
          <w:sz w:val="22"/>
          <w:szCs w:val="22"/>
        </w:rPr>
        <w:t>5</w:t>
      </w:r>
      <w:r w:rsidRPr="00CA6591">
        <w:rPr>
          <w:rFonts w:ascii="Calibri" w:hAnsi="Calibri" w:cs="Calibri"/>
          <w:sz w:val="22"/>
          <w:szCs w:val="22"/>
        </w:rPr>
        <w:t>.</w:t>
      </w:r>
      <w:r>
        <w:rPr>
          <w:rFonts w:ascii="Calibri" w:hAnsi="Calibri" w:cs="Calibri"/>
          <w:sz w:val="22"/>
          <w:szCs w:val="22"/>
        </w:rPr>
        <w:t>9</w:t>
      </w:r>
      <w:r w:rsidRPr="00CA6591">
        <w:rPr>
          <w:rFonts w:ascii="Calibri" w:hAnsi="Calibri" w:cs="Calibri"/>
          <w:sz w:val="22"/>
          <w:szCs w:val="22"/>
        </w:rPr>
        <w:t xml:space="preserve">M in the </w:t>
      </w:r>
      <w:r>
        <w:rPr>
          <w:rFonts w:ascii="Calibri" w:hAnsi="Calibri" w:cs="Calibri"/>
          <w:sz w:val="22"/>
          <w:szCs w:val="22"/>
        </w:rPr>
        <w:t>nine months</w:t>
      </w:r>
      <w:r w:rsidRPr="00CA6591">
        <w:rPr>
          <w:rFonts w:ascii="Calibri" w:hAnsi="Calibri" w:cs="Calibri"/>
          <w:sz w:val="22"/>
          <w:szCs w:val="22"/>
        </w:rPr>
        <w:t xml:space="preserve"> ended </w:t>
      </w:r>
      <w:r>
        <w:rPr>
          <w:rFonts w:ascii="Calibri" w:hAnsi="Calibri" w:cs="Calibri"/>
          <w:sz w:val="22"/>
          <w:szCs w:val="22"/>
        </w:rPr>
        <w:t>Dec</w:t>
      </w:r>
      <w:r w:rsidRPr="00CA6591">
        <w:rPr>
          <w:rFonts w:ascii="Calibri" w:hAnsi="Calibri" w:cs="Calibri"/>
          <w:sz w:val="22"/>
          <w:szCs w:val="22"/>
        </w:rPr>
        <w:t>ember 3</w:t>
      </w:r>
      <w:r>
        <w:rPr>
          <w:rFonts w:ascii="Calibri" w:hAnsi="Calibri" w:cs="Calibri"/>
          <w:sz w:val="22"/>
          <w:szCs w:val="22"/>
        </w:rPr>
        <w:t>1</w:t>
      </w:r>
      <w:r w:rsidRPr="00CA6591">
        <w:rPr>
          <w:rFonts w:ascii="Calibri" w:hAnsi="Calibri" w:cs="Calibri"/>
          <w:sz w:val="22"/>
          <w:szCs w:val="22"/>
        </w:rPr>
        <w:t>, 2019 (</w:t>
      </w:r>
      <w:r>
        <w:rPr>
          <w:rFonts w:ascii="Calibri" w:hAnsi="Calibri" w:cs="Calibri"/>
          <w:sz w:val="22"/>
          <w:szCs w:val="22"/>
        </w:rPr>
        <w:t>Dec</w:t>
      </w:r>
      <w:r w:rsidRPr="00CA6591">
        <w:rPr>
          <w:rFonts w:ascii="Calibri" w:hAnsi="Calibri" w:cs="Calibri"/>
          <w:sz w:val="22"/>
          <w:szCs w:val="22"/>
        </w:rPr>
        <w:t>ember 3</w:t>
      </w:r>
      <w:r>
        <w:rPr>
          <w:rFonts w:ascii="Calibri" w:hAnsi="Calibri" w:cs="Calibri"/>
          <w:sz w:val="22"/>
          <w:szCs w:val="22"/>
        </w:rPr>
        <w:t>1</w:t>
      </w:r>
      <w:r w:rsidRPr="00CA6591">
        <w:rPr>
          <w:rFonts w:ascii="Calibri" w:hAnsi="Calibri" w:cs="Calibri"/>
          <w:sz w:val="22"/>
          <w:szCs w:val="22"/>
        </w:rPr>
        <w:t>, 2018: €</w:t>
      </w:r>
      <w:r>
        <w:rPr>
          <w:rFonts w:ascii="Calibri" w:hAnsi="Calibri" w:cs="Calibri"/>
          <w:sz w:val="22"/>
          <w:szCs w:val="22"/>
        </w:rPr>
        <w:t>7</w:t>
      </w:r>
      <w:r w:rsidRPr="00CA6591">
        <w:rPr>
          <w:rFonts w:ascii="Calibri" w:hAnsi="Calibri" w:cs="Calibri"/>
          <w:sz w:val="22"/>
          <w:szCs w:val="22"/>
        </w:rPr>
        <w:t>.</w:t>
      </w:r>
      <w:r>
        <w:rPr>
          <w:rFonts w:ascii="Calibri" w:hAnsi="Calibri" w:cs="Calibri"/>
          <w:sz w:val="22"/>
          <w:szCs w:val="22"/>
        </w:rPr>
        <w:t>5</w:t>
      </w:r>
      <w:r w:rsidRPr="00CA6591">
        <w:rPr>
          <w:rFonts w:ascii="Calibri" w:hAnsi="Calibri" w:cs="Calibri"/>
          <w:sz w:val="22"/>
          <w:szCs w:val="22"/>
        </w:rPr>
        <w:t xml:space="preserve">M) is the fair value of options granted in prior periods, which is being recognised within the income statement in accordance with employee services rendered.  During the period </w:t>
      </w:r>
      <w:r>
        <w:rPr>
          <w:rFonts w:ascii="Calibri" w:hAnsi="Calibri" w:cs="Calibri"/>
          <w:sz w:val="22"/>
          <w:szCs w:val="22"/>
        </w:rPr>
        <w:t>1</w:t>
      </w:r>
      <w:r w:rsidRPr="00CA6591">
        <w:rPr>
          <w:rFonts w:ascii="Calibri" w:hAnsi="Calibri" w:cs="Calibri"/>
          <w:sz w:val="22"/>
          <w:szCs w:val="22"/>
        </w:rPr>
        <w:t>.</w:t>
      </w:r>
      <w:r>
        <w:rPr>
          <w:rFonts w:ascii="Calibri" w:hAnsi="Calibri" w:cs="Calibri"/>
          <w:sz w:val="22"/>
          <w:szCs w:val="22"/>
        </w:rPr>
        <w:t>9</w:t>
      </w:r>
      <w:r w:rsidRPr="00CA6591">
        <w:rPr>
          <w:rFonts w:ascii="Calibri" w:hAnsi="Calibri" w:cs="Calibri"/>
          <w:sz w:val="22"/>
          <w:szCs w:val="22"/>
        </w:rPr>
        <w:t xml:space="preserve">M ordinary shares were issued at a strike price </w:t>
      </w:r>
      <w:r>
        <w:rPr>
          <w:rFonts w:ascii="Calibri" w:hAnsi="Calibri" w:cs="Calibri"/>
          <w:sz w:val="22"/>
          <w:szCs w:val="22"/>
        </w:rPr>
        <w:t>between</w:t>
      </w:r>
      <w:r w:rsidRPr="00CA6591">
        <w:rPr>
          <w:rFonts w:ascii="Calibri" w:hAnsi="Calibri" w:cs="Calibri"/>
          <w:sz w:val="22"/>
          <w:szCs w:val="22"/>
        </w:rPr>
        <w:t xml:space="preserve"> €6.25</w:t>
      </w:r>
      <w:r>
        <w:rPr>
          <w:rFonts w:ascii="Calibri" w:hAnsi="Calibri" w:cs="Calibri"/>
          <w:sz w:val="22"/>
          <w:szCs w:val="22"/>
        </w:rPr>
        <w:t xml:space="preserve"> and €6.74</w:t>
      </w:r>
      <w:r w:rsidRPr="00CA6591">
        <w:rPr>
          <w:rFonts w:ascii="Calibri" w:hAnsi="Calibri" w:cs="Calibri"/>
          <w:sz w:val="22"/>
          <w:szCs w:val="22"/>
        </w:rPr>
        <w:t xml:space="preserve"> per share following the exercise of vested options</w:t>
      </w:r>
      <w:r>
        <w:rPr>
          <w:rFonts w:ascii="Calibri" w:hAnsi="Calibri" w:cs="Calibri"/>
          <w:sz w:val="22"/>
          <w:szCs w:val="22"/>
        </w:rPr>
        <w:t>.</w:t>
      </w:r>
    </w:p>
    <w:bookmarkEnd w:id="15"/>
    <w:bookmarkEnd w:id="16"/>
    <w:p w14:paraId="4D2DF217" w14:textId="77777777" w:rsidR="00832D00" w:rsidRPr="00CA6591" w:rsidRDefault="00832D00" w:rsidP="00832D00">
      <w:pPr>
        <w:tabs>
          <w:tab w:val="num" w:pos="0"/>
        </w:tabs>
        <w:spacing w:line="300" w:lineRule="exact"/>
        <w:jc w:val="both"/>
        <w:rPr>
          <w:rFonts w:ascii="Calibri" w:hAnsi="Calibri" w:cs="Calibri"/>
          <w:sz w:val="22"/>
          <w:szCs w:val="22"/>
        </w:rPr>
      </w:pPr>
    </w:p>
    <w:p w14:paraId="76AD4AB9" w14:textId="77777777" w:rsidR="00832D00" w:rsidRPr="00CA6591" w:rsidRDefault="00832D00" w:rsidP="00832D00">
      <w:pPr>
        <w:pStyle w:val="Outline3L1"/>
        <w:tabs>
          <w:tab w:val="num" w:pos="0"/>
        </w:tabs>
        <w:spacing w:line="300" w:lineRule="exact"/>
        <w:rPr>
          <w:rFonts w:ascii="Calibri" w:hAnsi="Calibri" w:cs="Calibri"/>
          <w:b/>
          <w:bCs/>
          <w:sz w:val="22"/>
          <w:szCs w:val="22"/>
        </w:rPr>
      </w:pPr>
      <w:r w:rsidRPr="00CA6591">
        <w:rPr>
          <w:rFonts w:ascii="Calibri" w:hAnsi="Calibri" w:cs="Calibri"/>
          <w:b/>
          <w:bCs/>
          <w:sz w:val="22"/>
          <w:szCs w:val="22"/>
        </w:rPr>
        <w:t>Contingencies</w:t>
      </w:r>
    </w:p>
    <w:p w14:paraId="71188A66" w14:textId="77777777" w:rsidR="00832D00" w:rsidRPr="00CA6591" w:rsidRDefault="00832D00" w:rsidP="00832D00">
      <w:pPr>
        <w:tabs>
          <w:tab w:val="num" w:pos="0"/>
        </w:tabs>
        <w:spacing w:line="300" w:lineRule="exact"/>
        <w:jc w:val="both"/>
        <w:rPr>
          <w:rFonts w:ascii="Calibri" w:hAnsi="Calibri" w:cs="Calibri"/>
          <w:sz w:val="22"/>
          <w:szCs w:val="22"/>
        </w:rPr>
      </w:pPr>
      <w:r w:rsidRPr="00CA6591">
        <w:rPr>
          <w:rFonts w:ascii="Calibri" w:hAnsi="Calibri" w:cs="Calibri"/>
          <w:sz w:val="22"/>
          <w:szCs w:val="22"/>
        </w:rPr>
        <w:t>The Group is engaged in litigation arising in the ordinary course of its business.  The Group does not believe that any such litigation will individually, or in aggregate, have a material adverse effect on the financial condition of the Group.  Should the Group be unsuccessful in these litigation actions, management believes the possible liabilities then arising cannot be determined but are not expected to materially adversely affect the Group’s results of operations or financial position.</w:t>
      </w:r>
    </w:p>
    <w:p w14:paraId="55825A2C" w14:textId="77777777" w:rsidR="00832D00" w:rsidRPr="00CA6591" w:rsidRDefault="00832D00" w:rsidP="00832D00">
      <w:pPr>
        <w:pStyle w:val="Outline3L1"/>
        <w:tabs>
          <w:tab w:val="num" w:pos="0"/>
        </w:tabs>
        <w:spacing w:before="240" w:line="300" w:lineRule="exact"/>
        <w:rPr>
          <w:rFonts w:ascii="Calibri" w:hAnsi="Calibri" w:cs="Calibri"/>
          <w:b/>
          <w:bCs/>
          <w:sz w:val="22"/>
          <w:szCs w:val="22"/>
        </w:rPr>
      </w:pPr>
      <w:r w:rsidRPr="00CA6591">
        <w:rPr>
          <w:rFonts w:ascii="Calibri" w:hAnsi="Calibri" w:cs="Calibri"/>
          <w:b/>
          <w:bCs/>
          <w:sz w:val="22"/>
          <w:szCs w:val="22"/>
        </w:rPr>
        <w:t>Capital commitments</w:t>
      </w:r>
    </w:p>
    <w:p w14:paraId="04CA3237" w14:textId="77777777" w:rsidR="00832D00" w:rsidRPr="00CA6591" w:rsidRDefault="00832D00" w:rsidP="00832D00">
      <w:pPr>
        <w:pStyle w:val="Outline3L1"/>
        <w:numPr>
          <w:ilvl w:val="0"/>
          <w:numId w:val="0"/>
        </w:numPr>
        <w:tabs>
          <w:tab w:val="num" w:pos="0"/>
        </w:tabs>
        <w:spacing w:after="120" w:line="300" w:lineRule="exact"/>
        <w:jc w:val="both"/>
        <w:rPr>
          <w:rFonts w:ascii="Calibri" w:hAnsi="Calibri" w:cs="Calibri"/>
          <w:sz w:val="22"/>
          <w:szCs w:val="22"/>
        </w:rPr>
      </w:pPr>
      <w:r w:rsidRPr="00CA6591">
        <w:rPr>
          <w:rFonts w:ascii="Calibri" w:hAnsi="Calibri" w:cs="Calibri"/>
          <w:sz w:val="22"/>
          <w:szCs w:val="22"/>
        </w:rPr>
        <w:t xml:space="preserve">At December 31, 2019 the Group had an operating fleet of 445 (2018: 456) Boeing 737 and 23 (2018: 11) Airbus A320 aircraft. The Group has agreed to purchase up to 210 (135 firm and 75 options) Boeing 737-MAX-200 aircraft from the Boeing Corporation during the periods </w:t>
      </w:r>
      <w:r>
        <w:rPr>
          <w:rFonts w:ascii="Calibri" w:hAnsi="Calibri" w:cs="Calibri"/>
          <w:sz w:val="22"/>
          <w:szCs w:val="22"/>
        </w:rPr>
        <w:t>over the next four years</w:t>
      </w:r>
      <w:r w:rsidRPr="0001333A">
        <w:rPr>
          <w:rFonts w:ascii="Calibri" w:hAnsi="Calibri" w:cs="Calibri"/>
          <w:sz w:val="22"/>
          <w:szCs w:val="22"/>
        </w:rPr>
        <w:t>.</w:t>
      </w:r>
    </w:p>
    <w:p w14:paraId="5A888131" w14:textId="77777777" w:rsidR="00866A24" w:rsidRDefault="00866A24" w:rsidP="00866A24">
      <w:pPr>
        <w:jc w:val="both"/>
        <w:rPr>
          <w:rFonts w:ascii="Calibri" w:hAnsi="Calibri" w:cs="Calibri"/>
          <w:b/>
        </w:rPr>
      </w:pPr>
    </w:p>
    <w:bookmarkEnd w:id="1"/>
    <w:p w14:paraId="5221B4C3" w14:textId="77777777" w:rsidR="00832D00" w:rsidRPr="00CA6591" w:rsidRDefault="00832D00" w:rsidP="00832D00">
      <w:pPr>
        <w:pStyle w:val="Outline3L1"/>
        <w:keepNext w:val="0"/>
        <w:tabs>
          <w:tab w:val="num" w:pos="-567"/>
          <w:tab w:val="num" w:pos="0"/>
        </w:tabs>
        <w:spacing w:line="300" w:lineRule="exact"/>
        <w:rPr>
          <w:rFonts w:ascii="Calibri" w:hAnsi="Calibri" w:cs="Calibri"/>
          <w:b/>
          <w:sz w:val="22"/>
          <w:szCs w:val="22"/>
        </w:rPr>
      </w:pPr>
      <w:r w:rsidRPr="00CA6591">
        <w:rPr>
          <w:rFonts w:ascii="Calibri" w:hAnsi="Calibri" w:cs="Calibri"/>
          <w:b/>
          <w:sz w:val="22"/>
          <w:szCs w:val="22"/>
        </w:rPr>
        <w:t>Analysis of operating segment</w:t>
      </w:r>
    </w:p>
    <w:p w14:paraId="72206F8F" w14:textId="77777777" w:rsidR="00832D00" w:rsidRPr="00304967" w:rsidRDefault="00832D00" w:rsidP="00832D00">
      <w:pPr>
        <w:tabs>
          <w:tab w:val="num" w:pos="0"/>
        </w:tabs>
        <w:spacing w:line="300" w:lineRule="exact"/>
        <w:jc w:val="both"/>
        <w:rPr>
          <w:rFonts w:ascii="Calibri" w:hAnsi="Calibri" w:cs="Calibri"/>
          <w:sz w:val="22"/>
          <w:szCs w:val="22"/>
        </w:rPr>
      </w:pPr>
      <w:r w:rsidRPr="00CA6591">
        <w:rPr>
          <w:rFonts w:ascii="Calibri" w:hAnsi="Calibri" w:cs="Calibri"/>
          <w:sz w:val="22"/>
          <w:szCs w:val="22"/>
        </w:rPr>
        <w:t>The Group determines and presents operating segments based on the information that internally is provided to the Group CEO, who is the Company’s Chief Operating Decision Maker (CODM). There have been no changes to the basis of segmentation or the measurement basis for the segment profit or loss since the prior year. The intent to create a new Group structure was announced in February 2019.  The Group currently comprises four separate airlines, Buzz, Lauda, Malta Air (established in June 2019) and Ryanair</w:t>
      </w:r>
      <w:r w:rsidRPr="00304967">
        <w:rPr>
          <w:rFonts w:ascii="Calibri" w:hAnsi="Calibri" w:cs="Calibri"/>
          <w:sz w:val="22"/>
          <w:szCs w:val="22"/>
        </w:rPr>
        <w:t xml:space="preserve"> DAC.  While good progress has been made in developing our Group airlines, we have not yet finalised the operational structures, the basis of allocation of capital and resources and the form and content of reporting of performance. </w:t>
      </w:r>
    </w:p>
    <w:p w14:paraId="6164AF2B" w14:textId="77777777" w:rsidR="00832D00" w:rsidRPr="00304967" w:rsidRDefault="00832D00" w:rsidP="00832D00">
      <w:pPr>
        <w:tabs>
          <w:tab w:val="num" w:pos="0"/>
        </w:tabs>
        <w:spacing w:line="300" w:lineRule="exact"/>
        <w:jc w:val="both"/>
        <w:rPr>
          <w:rFonts w:ascii="Calibri" w:hAnsi="Calibri" w:cs="Calibri"/>
          <w:sz w:val="22"/>
          <w:szCs w:val="22"/>
        </w:rPr>
      </w:pPr>
    </w:p>
    <w:p w14:paraId="6EA0E5F3" w14:textId="77777777" w:rsidR="00832D00" w:rsidRPr="00304967" w:rsidRDefault="00832D00" w:rsidP="00832D00">
      <w:pPr>
        <w:tabs>
          <w:tab w:val="num" w:pos="0"/>
        </w:tabs>
        <w:spacing w:line="300" w:lineRule="exact"/>
        <w:jc w:val="both"/>
        <w:rPr>
          <w:rFonts w:ascii="Calibri" w:hAnsi="Calibri" w:cs="Calibri"/>
          <w:sz w:val="22"/>
          <w:szCs w:val="22"/>
        </w:rPr>
      </w:pPr>
      <w:r w:rsidRPr="00304967">
        <w:rPr>
          <w:rFonts w:ascii="Calibri" w:hAnsi="Calibri" w:cs="Calibri"/>
          <w:sz w:val="22"/>
          <w:szCs w:val="22"/>
        </w:rPr>
        <w:t xml:space="preserve">Accordingly, the Group remained managed as a single business unit and is reported as a single reportable segment.  We expect the implementation of the group structure will be finalised in the coming months, at which stage the basis of segmentation will be reviewed and updated, where necessary, in our March 31, 2020 Annual Report.  </w:t>
      </w:r>
    </w:p>
    <w:p w14:paraId="2DA2999C" w14:textId="77777777" w:rsidR="00832D00" w:rsidRPr="00304967" w:rsidRDefault="00832D00" w:rsidP="00832D00">
      <w:pPr>
        <w:rPr>
          <w:rFonts w:ascii="Calibri" w:hAnsi="Calibri" w:cs="Calibri"/>
          <w:sz w:val="22"/>
          <w:szCs w:val="22"/>
          <w:lang w:val="en-US"/>
        </w:rPr>
      </w:pPr>
    </w:p>
    <w:p w14:paraId="51EBB2BD" w14:textId="77777777" w:rsidR="00832D00" w:rsidRDefault="00832D00" w:rsidP="00832D00">
      <w:pPr>
        <w:rPr>
          <w:lang w:val="en-US"/>
        </w:rPr>
      </w:pPr>
      <w:r w:rsidRPr="00304967">
        <w:rPr>
          <w:rFonts w:ascii="Calibri" w:hAnsi="Calibri" w:cs="Calibri"/>
          <w:sz w:val="22"/>
          <w:szCs w:val="22"/>
          <w:lang w:val="en-US"/>
        </w:rPr>
        <w:lastRenderedPageBreak/>
        <w:t xml:space="preserve">The CODM assessed the performance of the business based on the profit/(loss) after tax of the Group for the </w:t>
      </w:r>
      <w:r>
        <w:rPr>
          <w:rFonts w:ascii="Calibri" w:hAnsi="Calibri" w:cs="Calibri"/>
          <w:sz w:val="22"/>
          <w:szCs w:val="22"/>
          <w:lang w:val="en-US"/>
        </w:rPr>
        <w:t>nine months</w:t>
      </w:r>
      <w:r w:rsidRPr="00304967">
        <w:rPr>
          <w:rFonts w:ascii="Calibri" w:hAnsi="Calibri" w:cs="Calibri"/>
          <w:sz w:val="22"/>
          <w:szCs w:val="22"/>
          <w:lang w:val="en-US"/>
        </w:rPr>
        <w:t>.</w:t>
      </w:r>
    </w:p>
    <w:p w14:paraId="5A34D7EC" w14:textId="77777777" w:rsidR="00832D00" w:rsidRDefault="00832D00" w:rsidP="00832D00">
      <w:pPr>
        <w:rPr>
          <w:lang w:val="en-US"/>
        </w:rPr>
      </w:pPr>
    </w:p>
    <w:tbl>
      <w:tblPr>
        <w:tblW w:w="10314" w:type="dxa"/>
        <w:tblLook w:val="04A0" w:firstRow="1" w:lastRow="0" w:firstColumn="1" w:lastColumn="0" w:noHBand="0" w:noVBand="1"/>
      </w:tblPr>
      <w:tblGrid>
        <w:gridCol w:w="10314"/>
      </w:tblGrid>
      <w:tr w:rsidR="00832D00" w:rsidRPr="00267817" w14:paraId="6467534B" w14:textId="77777777" w:rsidTr="00B06D81">
        <w:trPr>
          <w:trHeight w:val="221"/>
        </w:trPr>
        <w:tc>
          <w:tcPr>
            <w:tcW w:w="10173" w:type="dxa"/>
            <w:tcBorders>
              <w:top w:val="nil"/>
              <w:left w:val="nil"/>
              <w:bottom w:val="nil"/>
              <w:right w:val="nil"/>
            </w:tcBorders>
            <w:shd w:val="clear" w:color="auto" w:fill="auto"/>
            <w:noWrap/>
            <w:vAlign w:val="bottom"/>
          </w:tcPr>
          <w:p w14:paraId="384C5BB7" w14:textId="77777777" w:rsidR="00832D00" w:rsidRPr="00267817" w:rsidRDefault="00832D00" w:rsidP="00B06D81">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Reportable segment information is presented as follows:</w:t>
            </w:r>
          </w:p>
        </w:tc>
      </w:tr>
    </w:tbl>
    <w:p w14:paraId="741946D2" w14:textId="77777777" w:rsidR="00F90425" w:rsidRPr="00832D00" w:rsidRDefault="00F90425" w:rsidP="00F90425">
      <w:pPr>
        <w:rPr>
          <w:b/>
          <w:lang w:val="en-US"/>
        </w:rPr>
      </w:pPr>
    </w:p>
    <w:tbl>
      <w:tblPr>
        <w:tblW w:w="14175" w:type="dxa"/>
        <w:tblLook w:val="0000" w:firstRow="0" w:lastRow="0" w:firstColumn="0" w:lastColumn="0" w:noHBand="0" w:noVBand="0"/>
      </w:tblPr>
      <w:tblGrid>
        <w:gridCol w:w="11624"/>
        <w:gridCol w:w="1276"/>
        <w:gridCol w:w="1275"/>
      </w:tblGrid>
      <w:tr w:rsidR="005660A9" w:rsidRPr="00505482" w14:paraId="4B29FB42" w14:textId="77777777" w:rsidTr="00064ACE">
        <w:trPr>
          <w:trHeight w:val="247"/>
        </w:trPr>
        <w:tc>
          <w:tcPr>
            <w:tcW w:w="11624" w:type="dxa"/>
          </w:tcPr>
          <w:p w14:paraId="737A1C28" w14:textId="340E8AEC" w:rsidR="00832D00" w:rsidRPr="00DB22BA" w:rsidRDefault="00832D00" w:rsidP="00832D00">
            <w:pPr>
              <w:rPr>
                <w:rFonts w:ascii="Calibri" w:hAnsi="Calibri" w:cs="Calibri"/>
                <w:color w:val="000000"/>
                <w:sz w:val="22"/>
                <w:szCs w:val="22"/>
              </w:rPr>
            </w:pPr>
          </w:p>
        </w:tc>
        <w:tc>
          <w:tcPr>
            <w:tcW w:w="1276" w:type="dxa"/>
            <w:shd w:val="clear" w:color="auto" w:fill="auto"/>
          </w:tcPr>
          <w:p w14:paraId="2E970FFC" w14:textId="77777777" w:rsidR="005660A9" w:rsidRPr="001E383F" w:rsidRDefault="005660A9" w:rsidP="00832D00">
            <w:pPr>
              <w:autoSpaceDE w:val="0"/>
              <w:autoSpaceDN w:val="0"/>
              <w:adjustRightInd w:val="0"/>
              <w:rPr>
                <w:rFonts w:ascii="Calibri" w:hAnsi="Calibri" w:cs="Calibri"/>
                <w:b/>
                <w:bCs/>
                <w:color w:val="000000"/>
                <w:sz w:val="22"/>
                <w:szCs w:val="22"/>
              </w:rPr>
            </w:pPr>
          </w:p>
        </w:tc>
        <w:tc>
          <w:tcPr>
            <w:tcW w:w="1275" w:type="dxa"/>
            <w:shd w:val="clear" w:color="auto" w:fill="auto"/>
          </w:tcPr>
          <w:p w14:paraId="744D0E49" w14:textId="77777777" w:rsidR="005660A9" w:rsidRPr="001E383F" w:rsidRDefault="005660A9" w:rsidP="00483427">
            <w:pPr>
              <w:autoSpaceDE w:val="0"/>
              <w:autoSpaceDN w:val="0"/>
              <w:adjustRightInd w:val="0"/>
              <w:jc w:val="right"/>
              <w:rPr>
                <w:rFonts w:ascii="Calibri" w:hAnsi="Calibri" w:cs="Calibri"/>
                <w:bCs/>
                <w:color w:val="000000"/>
                <w:sz w:val="22"/>
                <w:szCs w:val="22"/>
              </w:rPr>
            </w:pPr>
          </w:p>
        </w:tc>
      </w:tr>
      <w:tr w:rsidR="005660A9" w:rsidRPr="00505482" w14:paraId="027023B0" w14:textId="77777777" w:rsidTr="00064ACE">
        <w:trPr>
          <w:trHeight w:val="247"/>
        </w:trPr>
        <w:tc>
          <w:tcPr>
            <w:tcW w:w="11624" w:type="dxa"/>
          </w:tcPr>
          <w:p w14:paraId="2498ECD1" w14:textId="77777777" w:rsidR="005660A9" w:rsidRPr="00DB22BA" w:rsidRDefault="005660A9" w:rsidP="00832D00">
            <w:pPr>
              <w:autoSpaceDE w:val="0"/>
              <w:autoSpaceDN w:val="0"/>
              <w:adjustRightInd w:val="0"/>
              <w:rPr>
                <w:rFonts w:ascii="Calibri" w:hAnsi="Calibri" w:cs="Calibri"/>
                <w:color w:val="000000"/>
                <w:sz w:val="22"/>
                <w:szCs w:val="22"/>
              </w:rPr>
            </w:pPr>
          </w:p>
        </w:tc>
        <w:tc>
          <w:tcPr>
            <w:tcW w:w="1276" w:type="dxa"/>
            <w:shd w:val="clear" w:color="auto" w:fill="auto"/>
          </w:tcPr>
          <w:p w14:paraId="19C1DF9A" w14:textId="125A9950" w:rsidR="005660A9" w:rsidRPr="001E383F" w:rsidRDefault="00832D00" w:rsidP="00483427">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Nine Months</w:t>
            </w:r>
          </w:p>
        </w:tc>
        <w:tc>
          <w:tcPr>
            <w:tcW w:w="1275" w:type="dxa"/>
            <w:shd w:val="clear" w:color="auto" w:fill="auto"/>
          </w:tcPr>
          <w:p w14:paraId="3DABC9F9" w14:textId="6D20CE8D" w:rsidR="005660A9" w:rsidRPr="001E383F" w:rsidRDefault="00832D00" w:rsidP="00483427">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Nine Months</w:t>
            </w:r>
          </w:p>
        </w:tc>
      </w:tr>
      <w:tr w:rsidR="005660A9" w:rsidRPr="00505482" w14:paraId="708291D8" w14:textId="77777777" w:rsidTr="00064ACE">
        <w:trPr>
          <w:trHeight w:val="312"/>
        </w:trPr>
        <w:tc>
          <w:tcPr>
            <w:tcW w:w="11624" w:type="dxa"/>
          </w:tcPr>
          <w:p w14:paraId="2315BC54" w14:textId="77777777" w:rsidR="005660A9" w:rsidRPr="00DB22BA" w:rsidRDefault="005660A9" w:rsidP="00483427">
            <w:pPr>
              <w:autoSpaceDE w:val="0"/>
              <w:autoSpaceDN w:val="0"/>
              <w:adjustRightInd w:val="0"/>
              <w:jc w:val="right"/>
              <w:rPr>
                <w:rFonts w:ascii="Calibri" w:hAnsi="Calibri" w:cs="Calibri"/>
                <w:color w:val="000000"/>
                <w:sz w:val="22"/>
                <w:szCs w:val="22"/>
              </w:rPr>
            </w:pPr>
          </w:p>
        </w:tc>
        <w:tc>
          <w:tcPr>
            <w:tcW w:w="1276" w:type="dxa"/>
            <w:shd w:val="clear" w:color="auto" w:fill="auto"/>
          </w:tcPr>
          <w:p w14:paraId="13E6AE80" w14:textId="77777777" w:rsidR="005660A9" w:rsidRPr="001E383F" w:rsidRDefault="00494B01" w:rsidP="00483427">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Ended</w:t>
            </w:r>
          </w:p>
        </w:tc>
        <w:tc>
          <w:tcPr>
            <w:tcW w:w="1275" w:type="dxa"/>
            <w:shd w:val="clear" w:color="auto" w:fill="auto"/>
          </w:tcPr>
          <w:p w14:paraId="13C10FA9" w14:textId="77777777" w:rsidR="005660A9" w:rsidRPr="001E383F" w:rsidRDefault="00494B01" w:rsidP="00483427">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Ended</w:t>
            </w:r>
          </w:p>
        </w:tc>
      </w:tr>
      <w:tr w:rsidR="005660A9" w:rsidRPr="00505482" w14:paraId="32DC909E" w14:textId="77777777" w:rsidTr="00064ACE">
        <w:trPr>
          <w:trHeight w:val="247"/>
        </w:trPr>
        <w:tc>
          <w:tcPr>
            <w:tcW w:w="11624" w:type="dxa"/>
          </w:tcPr>
          <w:p w14:paraId="5C22084C" w14:textId="77777777" w:rsidR="005660A9" w:rsidRPr="00DB22BA" w:rsidRDefault="005660A9" w:rsidP="00483427">
            <w:pPr>
              <w:autoSpaceDE w:val="0"/>
              <w:autoSpaceDN w:val="0"/>
              <w:adjustRightInd w:val="0"/>
              <w:jc w:val="right"/>
              <w:rPr>
                <w:rFonts w:ascii="Calibri" w:hAnsi="Calibri" w:cs="Calibri"/>
                <w:color w:val="000000"/>
                <w:sz w:val="22"/>
                <w:szCs w:val="22"/>
              </w:rPr>
            </w:pPr>
          </w:p>
        </w:tc>
        <w:tc>
          <w:tcPr>
            <w:tcW w:w="1276" w:type="dxa"/>
            <w:shd w:val="clear" w:color="auto" w:fill="auto"/>
          </w:tcPr>
          <w:p w14:paraId="20A53D21" w14:textId="4E211ED5" w:rsidR="005660A9" w:rsidRPr="001E383F" w:rsidRDefault="00832D00" w:rsidP="00483427">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Dec</w:t>
            </w:r>
            <w:r w:rsidR="00494B01">
              <w:rPr>
                <w:rFonts w:ascii="Calibri" w:hAnsi="Calibri" w:cs="Calibri"/>
                <w:b/>
                <w:bCs/>
                <w:color w:val="000000"/>
                <w:sz w:val="22"/>
                <w:szCs w:val="22"/>
              </w:rPr>
              <w:t xml:space="preserve"> 3</w:t>
            </w:r>
            <w:r>
              <w:rPr>
                <w:rFonts w:ascii="Calibri" w:hAnsi="Calibri" w:cs="Calibri"/>
                <w:b/>
                <w:bCs/>
                <w:color w:val="000000"/>
                <w:sz w:val="22"/>
                <w:szCs w:val="22"/>
              </w:rPr>
              <w:t>1</w:t>
            </w:r>
            <w:r w:rsidR="00013D2C">
              <w:rPr>
                <w:rFonts w:ascii="Calibri" w:hAnsi="Calibri" w:cs="Calibri"/>
                <w:b/>
                <w:bCs/>
                <w:color w:val="000000"/>
                <w:sz w:val="22"/>
                <w:szCs w:val="22"/>
              </w:rPr>
              <w:t xml:space="preserve">, </w:t>
            </w:r>
            <w:r w:rsidR="005660A9" w:rsidRPr="001E383F">
              <w:rPr>
                <w:rFonts w:ascii="Calibri" w:hAnsi="Calibri" w:cs="Calibri"/>
                <w:b/>
                <w:bCs/>
                <w:color w:val="000000"/>
                <w:sz w:val="22"/>
                <w:szCs w:val="22"/>
              </w:rPr>
              <w:t>201</w:t>
            </w:r>
            <w:r w:rsidR="00D3692D">
              <w:rPr>
                <w:rFonts w:ascii="Calibri" w:hAnsi="Calibri" w:cs="Calibri"/>
                <w:b/>
                <w:bCs/>
                <w:color w:val="000000"/>
                <w:sz w:val="22"/>
                <w:szCs w:val="22"/>
              </w:rPr>
              <w:t>9</w:t>
            </w:r>
          </w:p>
        </w:tc>
        <w:tc>
          <w:tcPr>
            <w:tcW w:w="1275" w:type="dxa"/>
            <w:shd w:val="clear" w:color="auto" w:fill="auto"/>
          </w:tcPr>
          <w:p w14:paraId="7E26D594" w14:textId="45D104B2" w:rsidR="005660A9" w:rsidRPr="001E383F" w:rsidRDefault="00832D00" w:rsidP="00483427">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Dec</w:t>
            </w:r>
            <w:r w:rsidR="00013D2C">
              <w:rPr>
                <w:rFonts w:ascii="Calibri" w:hAnsi="Calibri" w:cs="Calibri"/>
                <w:bCs/>
                <w:color w:val="000000"/>
                <w:sz w:val="22"/>
                <w:szCs w:val="22"/>
              </w:rPr>
              <w:t xml:space="preserve"> 3</w:t>
            </w:r>
            <w:r>
              <w:rPr>
                <w:rFonts w:ascii="Calibri" w:hAnsi="Calibri" w:cs="Calibri"/>
                <w:bCs/>
                <w:color w:val="000000"/>
                <w:sz w:val="22"/>
                <w:szCs w:val="22"/>
              </w:rPr>
              <w:t>1</w:t>
            </w:r>
            <w:r w:rsidR="00013D2C">
              <w:rPr>
                <w:rFonts w:ascii="Calibri" w:hAnsi="Calibri" w:cs="Calibri"/>
                <w:bCs/>
                <w:color w:val="000000"/>
                <w:sz w:val="22"/>
                <w:szCs w:val="22"/>
              </w:rPr>
              <w:t xml:space="preserve">, </w:t>
            </w:r>
            <w:r w:rsidR="005660A9" w:rsidRPr="001E383F">
              <w:rPr>
                <w:rFonts w:ascii="Calibri" w:hAnsi="Calibri" w:cs="Calibri"/>
                <w:bCs/>
                <w:color w:val="000000"/>
                <w:sz w:val="22"/>
                <w:szCs w:val="22"/>
              </w:rPr>
              <w:t>201</w:t>
            </w:r>
            <w:r w:rsidR="00D3692D">
              <w:rPr>
                <w:rFonts w:ascii="Calibri" w:hAnsi="Calibri" w:cs="Calibri"/>
                <w:bCs/>
                <w:color w:val="000000"/>
                <w:sz w:val="22"/>
                <w:szCs w:val="22"/>
              </w:rPr>
              <w:t>8</w:t>
            </w:r>
          </w:p>
        </w:tc>
      </w:tr>
      <w:tr w:rsidR="005660A9" w:rsidRPr="00505482" w14:paraId="1409A17E" w14:textId="77777777" w:rsidTr="00064ACE">
        <w:trPr>
          <w:trHeight w:val="247"/>
        </w:trPr>
        <w:tc>
          <w:tcPr>
            <w:tcW w:w="11624" w:type="dxa"/>
          </w:tcPr>
          <w:p w14:paraId="52A4CEFF" w14:textId="77777777" w:rsidR="005660A9" w:rsidRPr="00DB22BA" w:rsidRDefault="005660A9" w:rsidP="00483427">
            <w:pPr>
              <w:autoSpaceDE w:val="0"/>
              <w:autoSpaceDN w:val="0"/>
              <w:adjustRightInd w:val="0"/>
              <w:spacing w:after="120"/>
              <w:jc w:val="right"/>
              <w:rPr>
                <w:rFonts w:ascii="Calibri" w:hAnsi="Calibri" w:cs="Calibri"/>
                <w:color w:val="000000"/>
                <w:sz w:val="22"/>
                <w:szCs w:val="22"/>
              </w:rPr>
            </w:pPr>
          </w:p>
        </w:tc>
        <w:tc>
          <w:tcPr>
            <w:tcW w:w="1276" w:type="dxa"/>
            <w:shd w:val="clear" w:color="auto" w:fill="auto"/>
          </w:tcPr>
          <w:p w14:paraId="17A5DF10" w14:textId="77777777" w:rsidR="005660A9" w:rsidRPr="001E383F" w:rsidRDefault="005660A9" w:rsidP="00483427">
            <w:pPr>
              <w:autoSpaceDE w:val="0"/>
              <w:autoSpaceDN w:val="0"/>
              <w:adjustRightInd w:val="0"/>
              <w:spacing w:after="120"/>
              <w:jc w:val="right"/>
              <w:rPr>
                <w:rFonts w:ascii="Calibri" w:hAnsi="Calibri" w:cs="Calibri"/>
                <w:b/>
                <w:bCs/>
                <w:color w:val="000000"/>
                <w:sz w:val="22"/>
                <w:szCs w:val="22"/>
                <w:u w:val="single"/>
              </w:rPr>
            </w:pPr>
            <w:r w:rsidRPr="001E383F">
              <w:rPr>
                <w:rFonts w:ascii="Calibri" w:hAnsi="Calibri" w:cs="Calibri"/>
                <w:b/>
                <w:bCs/>
                <w:color w:val="000000"/>
                <w:sz w:val="22"/>
                <w:szCs w:val="22"/>
                <w:u w:val="single"/>
              </w:rPr>
              <w:t>€M</w:t>
            </w:r>
          </w:p>
        </w:tc>
        <w:tc>
          <w:tcPr>
            <w:tcW w:w="1275" w:type="dxa"/>
            <w:shd w:val="clear" w:color="auto" w:fill="auto"/>
          </w:tcPr>
          <w:p w14:paraId="516B14CB" w14:textId="77777777" w:rsidR="005660A9" w:rsidRPr="001E383F" w:rsidRDefault="005660A9" w:rsidP="00483427">
            <w:pPr>
              <w:autoSpaceDE w:val="0"/>
              <w:autoSpaceDN w:val="0"/>
              <w:adjustRightInd w:val="0"/>
              <w:spacing w:after="120"/>
              <w:jc w:val="right"/>
              <w:rPr>
                <w:rFonts w:ascii="Calibri" w:hAnsi="Calibri" w:cs="Calibri"/>
                <w:bCs/>
                <w:color w:val="000000"/>
                <w:sz w:val="22"/>
                <w:szCs w:val="22"/>
                <w:u w:val="single"/>
              </w:rPr>
            </w:pPr>
            <w:r w:rsidRPr="001E383F">
              <w:rPr>
                <w:rFonts w:ascii="Calibri" w:hAnsi="Calibri" w:cs="Calibri"/>
                <w:bCs/>
                <w:color w:val="000000"/>
                <w:sz w:val="22"/>
                <w:szCs w:val="22"/>
                <w:u w:val="single"/>
              </w:rPr>
              <w:t>€M</w:t>
            </w:r>
          </w:p>
        </w:tc>
      </w:tr>
      <w:tr w:rsidR="00FE391A" w:rsidRPr="00505482" w14:paraId="22A55ADF" w14:textId="77777777" w:rsidTr="00064ACE">
        <w:trPr>
          <w:trHeight w:val="247"/>
        </w:trPr>
        <w:tc>
          <w:tcPr>
            <w:tcW w:w="11624" w:type="dxa"/>
          </w:tcPr>
          <w:p w14:paraId="508507E9" w14:textId="77777777" w:rsidR="00FE391A" w:rsidRPr="00DB22BA" w:rsidRDefault="00013D2C" w:rsidP="00FE391A">
            <w:pPr>
              <w:autoSpaceDE w:val="0"/>
              <w:autoSpaceDN w:val="0"/>
              <w:adjustRightInd w:val="0"/>
              <w:spacing w:after="120"/>
              <w:rPr>
                <w:rFonts w:ascii="Calibri" w:hAnsi="Calibri" w:cs="Calibri"/>
                <w:color w:val="000000"/>
                <w:sz w:val="22"/>
                <w:szCs w:val="22"/>
              </w:rPr>
            </w:pPr>
            <w:r>
              <w:rPr>
                <w:rFonts w:ascii="Calibri" w:hAnsi="Calibri" w:cs="Calibri"/>
                <w:color w:val="000000"/>
                <w:sz w:val="22"/>
                <w:szCs w:val="22"/>
              </w:rPr>
              <w:t>R</w:t>
            </w:r>
            <w:r w:rsidR="00FE391A" w:rsidRPr="00DB22BA">
              <w:rPr>
                <w:rFonts w:ascii="Calibri" w:hAnsi="Calibri" w:cs="Calibri"/>
                <w:color w:val="000000"/>
                <w:sz w:val="22"/>
                <w:szCs w:val="22"/>
              </w:rPr>
              <w:t>evenues</w:t>
            </w:r>
          </w:p>
        </w:tc>
        <w:tc>
          <w:tcPr>
            <w:tcW w:w="1276" w:type="dxa"/>
            <w:tcBorders>
              <w:bottom w:val="single" w:sz="4" w:space="0" w:color="auto"/>
            </w:tcBorders>
            <w:shd w:val="clear" w:color="auto" w:fill="auto"/>
          </w:tcPr>
          <w:p w14:paraId="1A8D44C5" w14:textId="3224DA27" w:rsidR="00FE391A" w:rsidRPr="00DB22BA" w:rsidRDefault="00832D00" w:rsidP="00FE391A">
            <w:pPr>
              <w:autoSpaceDE w:val="0"/>
              <w:autoSpaceDN w:val="0"/>
              <w:adjustRightInd w:val="0"/>
              <w:spacing w:after="120"/>
              <w:jc w:val="right"/>
              <w:rPr>
                <w:rFonts w:ascii="Calibri" w:hAnsi="Calibri" w:cs="Calibri"/>
                <w:b/>
                <w:color w:val="000000"/>
                <w:sz w:val="22"/>
                <w:szCs w:val="22"/>
              </w:rPr>
            </w:pPr>
            <w:r>
              <w:rPr>
                <w:rFonts w:ascii="Calibri" w:hAnsi="Calibri" w:cs="Calibri"/>
                <w:b/>
                <w:color w:val="000000"/>
                <w:sz w:val="22"/>
                <w:szCs w:val="22"/>
              </w:rPr>
              <w:t>7,295.7</w:t>
            </w:r>
          </w:p>
        </w:tc>
        <w:tc>
          <w:tcPr>
            <w:tcW w:w="1275" w:type="dxa"/>
            <w:tcBorders>
              <w:bottom w:val="single" w:sz="4" w:space="0" w:color="auto"/>
            </w:tcBorders>
            <w:shd w:val="clear" w:color="auto" w:fill="auto"/>
          </w:tcPr>
          <w:p w14:paraId="38940C37" w14:textId="024ED97C" w:rsidR="00FE391A" w:rsidRPr="00DB22BA" w:rsidRDefault="00832D00" w:rsidP="00FE391A">
            <w:pPr>
              <w:autoSpaceDE w:val="0"/>
              <w:autoSpaceDN w:val="0"/>
              <w:adjustRightInd w:val="0"/>
              <w:spacing w:after="120"/>
              <w:jc w:val="right"/>
              <w:rPr>
                <w:rFonts w:ascii="Calibri" w:hAnsi="Calibri" w:cs="Calibri"/>
                <w:color w:val="000000"/>
                <w:sz w:val="22"/>
                <w:szCs w:val="22"/>
              </w:rPr>
            </w:pPr>
            <w:r>
              <w:rPr>
                <w:rFonts w:ascii="Calibri" w:hAnsi="Calibri" w:cs="Calibri"/>
                <w:color w:val="000000"/>
                <w:sz w:val="22"/>
                <w:szCs w:val="22"/>
              </w:rPr>
              <w:t>6,419.4</w:t>
            </w:r>
          </w:p>
        </w:tc>
      </w:tr>
      <w:tr w:rsidR="007243DA" w:rsidRPr="00505482" w14:paraId="6F093544" w14:textId="77777777" w:rsidTr="00064ACE">
        <w:trPr>
          <w:trHeight w:val="344"/>
        </w:trPr>
        <w:tc>
          <w:tcPr>
            <w:tcW w:w="11624" w:type="dxa"/>
            <w:shd w:val="clear" w:color="auto" w:fill="auto"/>
          </w:tcPr>
          <w:p w14:paraId="3C9BDC07" w14:textId="70795ADB" w:rsidR="007243DA" w:rsidRPr="007243DA" w:rsidRDefault="00EA7BE2" w:rsidP="00FE391A">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Profit after tax</w:t>
            </w:r>
          </w:p>
        </w:tc>
        <w:tc>
          <w:tcPr>
            <w:tcW w:w="1276" w:type="dxa"/>
            <w:tcBorders>
              <w:bottom w:val="single" w:sz="4" w:space="0" w:color="auto"/>
            </w:tcBorders>
            <w:shd w:val="clear" w:color="auto" w:fill="auto"/>
          </w:tcPr>
          <w:p w14:paraId="4254C92A" w14:textId="3A21AE23" w:rsidR="007243DA" w:rsidRDefault="00282291" w:rsidP="00FE391A">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1</w:t>
            </w:r>
            <w:r w:rsidR="00832D00">
              <w:rPr>
                <w:rFonts w:ascii="Calibri" w:hAnsi="Calibri" w:cs="Calibri"/>
                <w:b/>
                <w:color w:val="000000"/>
                <w:sz w:val="22"/>
                <w:szCs w:val="22"/>
              </w:rPr>
              <w:t>,240.4</w:t>
            </w:r>
          </w:p>
        </w:tc>
        <w:tc>
          <w:tcPr>
            <w:tcW w:w="1275" w:type="dxa"/>
            <w:tcBorders>
              <w:bottom w:val="single" w:sz="4" w:space="0" w:color="auto"/>
            </w:tcBorders>
          </w:tcPr>
          <w:p w14:paraId="49B63B2E" w14:textId="0F3B24D3" w:rsidR="00832D00" w:rsidRDefault="00282291" w:rsidP="00832D0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w:t>
            </w:r>
            <w:r w:rsidR="00832D00">
              <w:rPr>
                <w:rFonts w:ascii="Calibri" w:hAnsi="Calibri" w:cs="Calibri"/>
                <w:color w:val="000000"/>
                <w:sz w:val="22"/>
                <w:szCs w:val="22"/>
              </w:rPr>
              <w:t>084.6</w:t>
            </w:r>
          </w:p>
        </w:tc>
      </w:tr>
      <w:tr w:rsidR="007243DA" w:rsidRPr="00505482" w14:paraId="41434AB5" w14:textId="77777777" w:rsidTr="00064ACE">
        <w:trPr>
          <w:trHeight w:val="344"/>
        </w:trPr>
        <w:tc>
          <w:tcPr>
            <w:tcW w:w="11624" w:type="dxa"/>
            <w:shd w:val="clear" w:color="auto" w:fill="auto"/>
          </w:tcPr>
          <w:p w14:paraId="4F4D5E93" w14:textId="77777777" w:rsidR="007243DA" w:rsidRPr="007243DA" w:rsidRDefault="007243DA" w:rsidP="00FE391A">
            <w:pPr>
              <w:autoSpaceDE w:val="0"/>
              <w:autoSpaceDN w:val="0"/>
              <w:adjustRightInd w:val="0"/>
              <w:rPr>
                <w:rFonts w:ascii="Calibri" w:hAnsi="Calibri" w:cs="Calibri"/>
                <w:b/>
                <w:color w:val="000000"/>
                <w:sz w:val="22"/>
                <w:szCs w:val="22"/>
              </w:rPr>
            </w:pPr>
          </w:p>
        </w:tc>
        <w:tc>
          <w:tcPr>
            <w:tcW w:w="1276" w:type="dxa"/>
            <w:shd w:val="clear" w:color="auto" w:fill="auto"/>
          </w:tcPr>
          <w:p w14:paraId="66320464" w14:textId="77777777" w:rsidR="007243DA" w:rsidRDefault="007243DA" w:rsidP="00FE391A">
            <w:pPr>
              <w:autoSpaceDE w:val="0"/>
              <w:autoSpaceDN w:val="0"/>
              <w:adjustRightInd w:val="0"/>
              <w:jc w:val="right"/>
              <w:rPr>
                <w:rFonts w:ascii="Calibri" w:hAnsi="Calibri" w:cs="Calibri"/>
                <w:b/>
                <w:color w:val="000000"/>
                <w:sz w:val="22"/>
                <w:szCs w:val="22"/>
              </w:rPr>
            </w:pPr>
          </w:p>
        </w:tc>
        <w:tc>
          <w:tcPr>
            <w:tcW w:w="1275" w:type="dxa"/>
          </w:tcPr>
          <w:p w14:paraId="27DF6C1D" w14:textId="77777777" w:rsidR="007243DA" w:rsidRDefault="007243DA" w:rsidP="00FE391A">
            <w:pPr>
              <w:autoSpaceDE w:val="0"/>
              <w:autoSpaceDN w:val="0"/>
              <w:adjustRightInd w:val="0"/>
              <w:jc w:val="right"/>
              <w:rPr>
                <w:rFonts w:ascii="Calibri" w:hAnsi="Calibri" w:cs="Calibri"/>
                <w:color w:val="000000"/>
                <w:sz w:val="22"/>
                <w:szCs w:val="22"/>
              </w:rPr>
            </w:pPr>
          </w:p>
        </w:tc>
      </w:tr>
      <w:tr w:rsidR="007243DA" w:rsidRPr="00505482" w14:paraId="32B9976F" w14:textId="77777777" w:rsidTr="00064ACE">
        <w:trPr>
          <w:trHeight w:val="344"/>
        </w:trPr>
        <w:tc>
          <w:tcPr>
            <w:tcW w:w="11624" w:type="dxa"/>
            <w:shd w:val="clear" w:color="auto" w:fill="auto"/>
          </w:tcPr>
          <w:p w14:paraId="4D95E81B" w14:textId="77777777" w:rsidR="007243DA" w:rsidRPr="007243DA" w:rsidRDefault="007243DA" w:rsidP="00FE391A">
            <w:pPr>
              <w:autoSpaceDE w:val="0"/>
              <w:autoSpaceDN w:val="0"/>
              <w:adjustRightInd w:val="0"/>
              <w:rPr>
                <w:rFonts w:ascii="Calibri" w:hAnsi="Calibri" w:cs="Calibri"/>
                <w:b/>
                <w:color w:val="000000"/>
                <w:sz w:val="22"/>
                <w:szCs w:val="22"/>
              </w:rPr>
            </w:pPr>
          </w:p>
        </w:tc>
        <w:tc>
          <w:tcPr>
            <w:tcW w:w="1276" w:type="dxa"/>
            <w:shd w:val="clear" w:color="auto" w:fill="auto"/>
          </w:tcPr>
          <w:p w14:paraId="0AF6324C" w14:textId="77777777" w:rsidR="007243DA" w:rsidRDefault="007243DA" w:rsidP="00FE391A">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Total</w:t>
            </w:r>
          </w:p>
        </w:tc>
        <w:tc>
          <w:tcPr>
            <w:tcW w:w="1275" w:type="dxa"/>
          </w:tcPr>
          <w:p w14:paraId="21F442F6" w14:textId="77777777" w:rsidR="007243DA" w:rsidRDefault="007243DA" w:rsidP="00FE391A">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Total</w:t>
            </w:r>
          </w:p>
        </w:tc>
      </w:tr>
      <w:tr w:rsidR="005660A9" w:rsidRPr="00505482" w14:paraId="0EBD2C82" w14:textId="77777777" w:rsidTr="00064ACE">
        <w:trPr>
          <w:trHeight w:val="247"/>
        </w:trPr>
        <w:tc>
          <w:tcPr>
            <w:tcW w:w="11624" w:type="dxa"/>
          </w:tcPr>
          <w:p w14:paraId="14F33C6B" w14:textId="77777777" w:rsidR="005660A9" w:rsidRPr="00DB22BA" w:rsidRDefault="005660A9" w:rsidP="00483427">
            <w:pPr>
              <w:autoSpaceDE w:val="0"/>
              <w:autoSpaceDN w:val="0"/>
              <w:adjustRightInd w:val="0"/>
              <w:rPr>
                <w:rFonts w:ascii="Calibri" w:hAnsi="Calibri" w:cs="Calibri"/>
                <w:color w:val="000000"/>
                <w:sz w:val="22"/>
                <w:szCs w:val="22"/>
              </w:rPr>
            </w:pPr>
          </w:p>
          <w:p w14:paraId="52618619" w14:textId="77777777" w:rsidR="005660A9" w:rsidRPr="00DB22BA" w:rsidRDefault="005660A9" w:rsidP="00483427">
            <w:pPr>
              <w:autoSpaceDE w:val="0"/>
              <w:autoSpaceDN w:val="0"/>
              <w:adjustRightInd w:val="0"/>
              <w:rPr>
                <w:rFonts w:ascii="Calibri" w:hAnsi="Calibri" w:cs="Calibri"/>
                <w:color w:val="000000"/>
                <w:sz w:val="22"/>
                <w:szCs w:val="22"/>
              </w:rPr>
            </w:pPr>
          </w:p>
        </w:tc>
        <w:tc>
          <w:tcPr>
            <w:tcW w:w="1276" w:type="dxa"/>
            <w:shd w:val="clear" w:color="auto" w:fill="auto"/>
          </w:tcPr>
          <w:p w14:paraId="026253E3" w14:textId="385CC637" w:rsidR="005660A9" w:rsidRPr="00DB22BA" w:rsidRDefault="005660A9" w:rsidP="00483427">
            <w:pPr>
              <w:autoSpaceDE w:val="0"/>
              <w:autoSpaceDN w:val="0"/>
              <w:adjustRightInd w:val="0"/>
              <w:jc w:val="right"/>
              <w:rPr>
                <w:rFonts w:ascii="Calibri" w:hAnsi="Calibri" w:cs="Calibri"/>
                <w:b/>
                <w:color w:val="000000"/>
                <w:sz w:val="22"/>
                <w:szCs w:val="22"/>
              </w:rPr>
            </w:pPr>
            <w:r w:rsidRPr="00DB22BA">
              <w:rPr>
                <w:rFonts w:ascii="Calibri" w:hAnsi="Calibri" w:cs="Calibri"/>
                <w:b/>
                <w:color w:val="000000"/>
                <w:sz w:val="22"/>
                <w:szCs w:val="22"/>
              </w:rPr>
              <w:t xml:space="preserve">At </w:t>
            </w:r>
            <w:r w:rsidR="00E832D8">
              <w:rPr>
                <w:rFonts w:ascii="Calibri" w:hAnsi="Calibri" w:cs="Calibri"/>
                <w:b/>
                <w:color w:val="000000"/>
                <w:sz w:val="22"/>
                <w:szCs w:val="22"/>
              </w:rPr>
              <w:t>Dec</w:t>
            </w:r>
            <w:r w:rsidR="00064ACE">
              <w:rPr>
                <w:rFonts w:ascii="Calibri" w:hAnsi="Calibri" w:cs="Calibri"/>
                <w:b/>
                <w:color w:val="000000"/>
                <w:sz w:val="22"/>
                <w:szCs w:val="22"/>
              </w:rPr>
              <w:t xml:space="preserve"> 3</w:t>
            </w:r>
            <w:r w:rsidR="00E832D8">
              <w:rPr>
                <w:rFonts w:ascii="Calibri" w:hAnsi="Calibri" w:cs="Calibri"/>
                <w:b/>
                <w:color w:val="000000"/>
                <w:sz w:val="22"/>
                <w:szCs w:val="22"/>
              </w:rPr>
              <w:t>1</w:t>
            </w:r>
            <w:r w:rsidRPr="00DB22BA">
              <w:rPr>
                <w:rFonts w:ascii="Calibri" w:hAnsi="Calibri" w:cs="Calibri"/>
                <w:b/>
                <w:color w:val="000000"/>
                <w:sz w:val="22"/>
                <w:szCs w:val="22"/>
              </w:rPr>
              <w:t>, 201</w:t>
            </w:r>
            <w:r w:rsidR="00D3692D">
              <w:rPr>
                <w:rFonts w:ascii="Calibri" w:hAnsi="Calibri" w:cs="Calibri"/>
                <w:b/>
                <w:color w:val="000000"/>
                <w:sz w:val="22"/>
                <w:szCs w:val="22"/>
              </w:rPr>
              <w:t>9</w:t>
            </w:r>
          </w:p>
          <w:p w14:paraId="1138E709" w14:textId="77777777" w:rsidR="005660A9" w:rsidRPr="00DB22BA" w:rsidRDefault="005660A9" w:rsidP="00483427">
            <w:pPr>
              <w:autoSpaceDE w:val="0"/>
              <w:autoSpaceDN w:val="0"/>
              <w:adjustRightInd w:val="0"/>
              <w:jc w:val="right"/>
              <w:rPr>
                <w:rFonts w:ascii="Calibri" w:hAnsi="Calibri" w:cs="Calibri"/>
                <w:b/>
                <w:color w:val="000000"/>
                <w:sz w:val="22"/>
                <w:szCs w:val="22"/>
              </w:rPr>
            </w:pPr>
            <w:r w:rsidRPr="00DB22BA">
              <w:rPr>
                <w:rFonts w:ascii="Calibri" w:hAnsi="Calibri" w:cs="Calibri"/>
                <w:b/>
                <w:color w:val="000000"/>
                <w:sz w:val="22"/>
                <w:szCs w:val="22"/>
                <w:u w:val="single"/>
              </w:rPr>
              <w:t>€M</w:t>
            </w:r>
          </w:p>
        </w:tc>
        <w:tc>
          <w:tcPr>
            <w:tcW w:w="1275" w:type="dxa"/>
            <w:shd w:val="clear" w:color="auto" w:fill="auto"/>
          </w:tcPr>
          <w:p w14:paraId="4F040742" w14:textId="59E274D8" w:rsidR="005660A9" w:rsidRPr="00DB22BA" w:rsidRDefault="005660A9" w:rsidP="00483427">
            <w:pPr>
              <w:autoSpaceDE w:val="0"/>
              <w:autoSpaceDN w:val="0"/>
              <w:adjustRightInd w:val="0"/>
              <w:jc w:val="right"/>
              <w:rPr>
                <w:rFonts w:ascii="Calibri" w:hAnsi="Calibri" w:cs="Calibri"/>
                <w:color w:val="000000"/>
                <w:sz w:val="22"/>
                <w:szCs w:val="22"/>
              </w:rPr>
            </w:pPr>
            <w:r w:rsidRPr="00DB22BA">
              <w:rPr>
                <w:rFonts w:ascii="Calibri" w:hAnsi="Calibri" w:cs="Calibri"/>
                <w:color w:val="000000"/>
                <w:sz w:val="22"/>
                <w:szCs w:val="22"/>
              </w:rPr>
              <w:t xml:space="preserve">At </w:t>
            </w:r>
            <w:r w:rsidR="00F54A8C">
              <w:rPr>
                <w:rFonts w:ascii="Calibri" w:hAnsi="Calibri" w:cs="Calibri"/>
                <w:color w:val="000000"/>
                <w:sz w:val="22"/>
                <w:szCs w:val="22"/>
              </w:rPr>
              <w:t>Mar</w:t>
            </w:r>
            <w:r w:rsidR="00BE45A0">
              <w:rPr>
                <w:rFonts w:ascii="Calibri" w:hAnsi="Calibri" w:cs="Calibri"/>
                <w:color w:val="000000"/>
                <w:sz w:val="22"/>
                <w:szCs w:val="22"/>
              </w:rPr>
              <w:t xml:space="preserve"> 3</w:t>
            </w:r>
            <w:r w:rsidR="004E3273">
              <w:rPr>
                <w:rFonts w:ascii="Calibri" w:hAnsi="Calibri" w:cs="Calibri"/>
                <w:color w:val="000000"/>
                <w:sz w:val="22"/>
                <w:szCs w:val="22"/>
              </w:rPr>
              <w:t>1</w:t>
            </w:r>
            <w:r w:rsidRPr="00DB22BA">
              <w:rPr>
                <w:rFonts w:ascii="Calibri" w:hAnsi="Calibri" w:cs="Calibri"/>
                <w:color w:val="000000"/>
                <w:sz w:val="22"/>
                <w:szCs w:val="22"/>
              </w:rPr>
              <w:t>, 201</w:t>
            </w:r>
            <w:r w:rsidR="00064ACE">
              <w:rPr>
                <w:rFonts w:ascii="Calibri" w:hAnsi="Calibri" w:cs="Calibri"/>
                <w:color w:val="000000"/>
                <w:sz w:val="22"/>
                <w:szCs w:val="22"/>
              </w:rPr>
              <w:t>9</w:t>
            </w:r>
          </w:p>
          <w:p w14:paraId="6897484A" w14:textId="77777777" w:rsidR="005660A9" w:rsidRPr="00DB22BA" w:rsidRDefault="005660A9" w:rsidP="00483427">
            <w:pPr>
              <w:autoSpaceDE w:val="0"/>
              <w:autoSpaceDN w:val="0"/>
              <w:adjustRightInd w:val="0"/>
              <w:jc w:val="right"/>
              <w:rPr>
                <w:rFonts w:ascii="Calibri" w:hAnsi="Calibri" w:cs="Calibri"/>
                <w:color w:val="000000"/>
                <w:sz w:val="22"/>
                <w:szCs w:val="22"/>
                <w:u w:val="single"/>
              </w:rPr>
            </w:pPr>
            <w:r w:rsidRPr="00DB22BA">
              <w:rPr>
                <w:rFonts w:ascii="Calibri" w:hAnsi="Calibri" w:cs="Calibri"/>
                <w:color w:val="000000"/>
                <w:sz w:val="22"/>
                <w:szCs w:val="22"/>
                <w:u w:val="single"/>
              </w:rPr>
              <w:t>€M</w:t>
            </w:r>
          </w:p>
        </w:tc>
      </w:tr>
      <w:tr w:rsidR="00FE391A" w:rsidRPr="00505482" w14:paraId="5F260625" w14:textId="77777777" w:rsidTr="00064ACE">
        <w:trPr>
          <w:trHeight w:val="247"/>
        </w:trPr>
        <w:tc>
          <w:tcPr>
            <w:tcW w:w="11624" w:type="dxa"/>
          </w:tcPr>
          <w:p w14:paraId="0A6120BE" w14:textId="77777777" w:rsidR="00FE391A" w:rsidRPr="00DB22BA" w:rsidRDefault="00FE391A" w:rsidP="00FE391A">
            <w:pPr>
              <w:autoSpaceDE w:val="0"/>
              <w:autoSpaceDN w:val="0"/>
              <w:adjustRightInd w:val="0"/>
              <w:spacing w:before="120" w:after="120"/>
              <w:rPr>
                <w:rFonts w:ascii="Calibri" w:hAnsi="Calibri" w:cs="Calibri"/>
                <w:color w:val="000000"/>
                <w:sz w:val="22"/>
                <w:szCs w:val="22"/>
              </w:rPr>
            </w:pPr>
            <w:r w:rsidRPr="00DB22BA">
              <w:rPr>
                <w:rFonts w:ascii="Calibri" w:hAnsi="Calibri" w:cs="Calibri"/>
                <w:color w:val="000000"/>
                <w:sz w:val="22"/>
                <w:szCs w:val="22"/>
              </w:rPr>
              <w:t>Reportable segment assets</w:t>
            </w:r>
          </w:p>
        </w:tc>
        <w:tc>
          <w:tcPr>
            <w:tcW w:w="1276" w:type="dxa"/>
            <w:shd w:val="clear" w:color="auto" w:fill="auto"/>
          </w:tcPr>
          <w:p w14:paraId="4B31BE43" w14:textId="40218498" w:rsidR="00FE391A" w:rsidRPr="00DB22BA" w:rsidRDefault="00FE391A" w:rsidP="00FE391A">
            <w:pPr>
              <w:autoSpaceDE w:val="0"/>
              <w:autoSpaceDN w:val="0"/>
              <w:adjustRightInd w:val="0"/>
              <w:spacing w:before="120" w:after="120"/>
              <w:jc w:val="right"/>
              <w:rPr>
                <w:rFonts w:ascii="Calibri" w:hAnsi="Calibri" w:cs="Calibri"/>
                <w:b/>
                <w:color w:val="000000"/>
                <w:sz w:val="22"/>
                <w:szCs w:val="22"/>
              </w:rPr>
            </w:pPr>
            <w:r w:rsidRPr="00DB22BA">
              <w:rPr>
                <w:rFonts w:ascii="Calibri" w:hAnsi="Calibri" w:cs="Calibri"/>
                <w:b/>
                <w:color w:val="000000"/>
                <w:sz w:val="22"/>
                <w:szCs w:val="22"/>
              </w:rPr>
              <w:t xml:space="preserve">  </w:t>
            </w:r>
            <w:r w:rsidR="00064ACE">
              <w:rPr>
                <w:rFonts w:ascii="Calibri" w:hAnsi="Calibri" w:cs="Calibri"/>
                <w:b/>
                <w:color w:val="000000"/>
                <w:sz w:val="22"/>
                <w:szCs w:val="22"/>
              </w:rPr>
              <w:t>14,</w:t>
            </w:r>
            <w:r w:rsidR="00E832D8">
              <w:rPr>
                <w:rFonts w:ascii="Calibri" w:hAnsi="Calibri" w:cs="Calibri"/>
                <w:b/>
                <w:color w:val="000000"/>
                <w:sz w:val="22"/>
                <w:szCs w:val="22"/>
              </w:rPr>
              <w:t>861.0</w:t>
            </w:r>
          </w:p>
        </w:tc>
        <w:tc>
          <w:tcPr>
            <w:tcW w:w="1275" w:type="dxa"/>
            <w:shd w:val="clear" w:color="auto" w:fill="auto"/>
          </w:tcPr>
          <w:p w14:paraId="4E5CF4BE" w14:textId="0E5F28D3" w:rsidR="00FE391A" w:rsidRPr="00DB22BA" w:rsidRDefault="00064ACE" w:rsidP="00FE391A">
            <w:pPr>
              <w:autoSpaceDE w:val="0"/>
              <w:autoSpaceDN w:val="0"/>
              <w:adjustRightInd w:val="0"/>
              <w:spacing w:before="120" w:after="120"/>
              <w:jc w:val="right"/>
              <w:rPr>
                <w:rFonts w:ascii="Calibri" w:hAnsi="Calibri" w:cs="Calibri"/>
                <w:color w:val="000000"/>
                <w:sz w:val="22"/>
                <w:szCs w:val="22"/>
              </w:rPr>
            </w:pPr>
            <w:r>
              <w:rPr>
                <w:rFonts w:ascii="Calibri" w:hAnsi="Calibri" w:cs="Calibri"/>
                <w:color w:val="000000"/>
                <w:sz w:val="22"/>
                <w:szCs w:val="22"/>
              </w:rPr>
              <w:t>13,</w:t>
            </w:r>
            <w:r w:rsidR="00E832D8">
              <w:rPr>
                <w:rFonts w:ascii="Calibri" w:hAnsi="Calibri" w:cs="Calibri"/>
                <w:color w:val="000000"/>
                <w:sz w:val="22"/>
                <w:szCs w:val="22"/>
              </w:rPr>
              <w:t>250.7</w:t>
            </w:r>
          </w:p>
        </w:tc>
      </w:tr>
      <w:tr w:rsidR="00FE391A" w:rsidRPr="00505482" w14:paraId="5EF16366" w14:textId="77777777" w:rsidTr="00064ACE">
        <w:trPr>
          <w:trHeight w:val="247"/>
        </w:trPr>
        <w:tc>
          <w:tcPr>
            <w:tcW w:w="11624" w:type="dxa"/>
          </w:tcPr>
          <w:p w14:paraId="50C6B393" w14:textId="77777777" w:rsidR="00FE391A" w:rsidRPr="00DB22BA" w:rsidRDefault="00FE391A" w:rsidP="00FE391A">
            <w:pPr>
              <w:autoSpaceDE w:val="0"/>
              <w:autoSpaceDN w:val="0"/>
              <w:adjustRightInd w:val="0"/>
              <w:spacing w:after="120"/>
              <w:rPr>
                <w:rFonts w:ascii="Calibri" w:hAnsi="Calibri" w:cs="Calibri"/>
                <w:color w:val="000000"/>
                <w:sz w:val="22"/>
                <w:szCs w:val="22"/>
              </w:rPr>
            </w:pPr>
            <w:r w:rsidRPr="00DB22BA">
              <w:rPr>
                <w:rFonts w:ascii="Calibri" w:hAnsi="Calibri" w:cs="Calibri"/>
                <w:color w:val="000000"/>
                <w:sz w:val="22"/>
                <w:szCs w:val="22"/>
              </w:rPr>
              <w:t>Reportable segment liabilities</w:t>
            </w:r>
          </w:p>
        </w:tc>
        <w:tc>
          <w:tcPr>
            <w:tcW w:w="1276" w:type="dxa"/>
            <w:tcBorders>
              <w:bottom w:val="single" w:sz="4" w:space="0" w:color="auto"/>
            </w:tcBorders>
            <w:shd w:val="clear" w:color="auto" w:fill="auto"/>
          </w:tcPr>
          <w:p w14:paraId="71E3EB16" w14:textId="25037F30" w:rsidR="00FE391A" w:rsidRPr="00DB22BA" w:rsidRDefault="00F54A8C" w:rsidP="00FE391A">
            <w:pPr>
              <w:autoSpaceDE w:val="0"/>
              <w:autoSpaceDN w:val="0"/>
              <w:adjustRightInd w:val="0"/>
              <w:spacing w:after="120"/>
              <w:jc w:val="right"/>
              <w:rPr>
                <w:rFonts w:ascii="Calibri" w:hAnsi="Calibri" w:cs="Calibri"/>
                <w:b/>
                <w:color w:val="000000"/>
                <w:sz w:val="22"/>
                <w:szCs w:val="22"/>
              </w:rPr>
            </w:pPr>
            <w:r>
              <w:rPr>
                <w:rFonts w:ascii="Calibri" w:hAnsi="Calibri" w:cs="Calibri"/>
                <w:b/>
                <w:color w:val="000000"/>
                <w:sz w:val="22"/>
                <w:szCs w:val="22"/>
              </w:rPr>
              <w:t>8</w:t>
            </w:r>
            <w:r w:rsidR="00064ACE">
              <w:rPr>
                <w:rFonts w:ascii="Calibri" w:hAnsi="Calibri" w:cs="Calibri"/>
                <w:b/>
                <w:color w:val="000000"/>
                <w:sz w:val="22"/>
                <w:szCs w:val="22"/>
              </w:rPr>
              <w:t>,</w:t>
            </w:r>
            <w:r w:rsidR="00E832D8">
              <w:rPr>
                <w:rFonts w:ascii="Calibri" w:hAnsi="Calibri" w:cs="Calibri"/>
                <w:b/>
                <w:color w:val="000000"/>
                <w:sz w:val="22"/>
                <w:szCs w:val="22"/>
              </w:rPr>
              <w:t>603.3</w:t>
            </w:r>
          </w:p>
        </w:tc>
        <w:tc>
          <w:tcPr>
            <w:tcW w:w="1275" w:type="dxa"/>
            <w:tcBorders>
              <w:bottom w:val="single" w:sz="4" w:space="0" w:color="auto"/>
            </w:tcBorders>
            <w:shd w:val="clear" w:color="auto" w:fill="auto"/>
          </w:tcPr>
          <w:p w14:paraId="4FBE9F48" w14:textId="3638F232" w:rsidR="00FE391A" w:rsidRPr="00DB22BA" w:rsidRDefault="00064ACE" w:rsidP="00FE391A">
            <w:pPr>
              <w:autoSpaceDE w:val="0"/>
              <w:autoSpaceDN w:val="0"/>
              <w:adjustRightInd w:val="0"/>
              <w:spacing w:after="120"/>
              <w:jc w:val="right"/>
              <w:rPr>
                <w:rFonts w:ascii="Calibri" w:hAnsi="Calibri" w:cs="Calibri"/>
                <w:color w:val="000000"/>
                <w:sz w:val="22"/>
                <w:szCs w:val="22"/>
              </w:rPr>
            </w:pPr>
            <w:r>
              <w:rPr>
                <w:rFonts w:ascii="Calibri" w:hAnsi="Calibri" w:cs="Calibri"/>
                <w:color w:val="000000"/>
                <w:sz w:val="22"/>
                <w:szCs w:val="22"/>
              </w:rPr>
              <w:t>8,0</w:t>
            </w:r>
            <w:r w:rsidR="00E832D8">
              <w:rPr>
                <w:rFonts w:ascii="Calibri" w:hAnsi="Calibri" w:cs="Calibri"/>
                <w:color w:val="000000"/>
                <w:sz w:val="22"/>
                <w:szCs w:val="22"/>
              </w:rPr>
              <w:t>35.8</w:t>
            </w:r>
          </w:p>
        </w:tc>
      </w:tr>
    </w:tbl>
    <w:p w14:paraId="6D7F1C84" w14:textId="77777777" w:rsidR="005660A9" w:rsidRDefault="005660A9" w:rsidP="005660A9">
      <w:pPr>
        <w:pStyle w:val="Outline3L1"/>
        <w:keepNext w:val="0"/>
        <w:numPr>
          <w:ilvl w:val="0"/>
          <w:numId w:val="0"/>
        </w:numPr>
        <w:spacing w:after="0"/>
        <w:rPr>
          <w:rFonts w:ascii="Calibri" w:hAnsi="Calibri" w:cs="Calibri"/>
          <w:b/>
          <w:sz w:val="22"/>
          <w:szCs w:val="22"/>
        </w:rPr>
      </w:pPr>
    </w:p>
    <w:p w14:paraId="4075D356" w14:textId="77777777" w:rsidR="00EC7DFF" w:rsidRDefault="00EC7DFF" w:rsidP="00EC7DFF">
      <w:pPr>
        <w:rPr>
          <w:lang w:val="en-US"/>
        </w:rPr>
      </w:pPr>
    </w:p>
    <w:p w14:paraId="792F573F" w14:textId="77777777" w:rsidR="00F54A8C" w:rsidRDefault="00F54A8C" w:rsidP="00F54A8C">
      <w:pPr>
        <w:spacing w:after="240" w:line="300" w:lineRule="exact"/>
        <w:jc w:val="both"/>
        <w:rPr>
          <w:rFonts w:ascii="Calibri" w:hAnsi="Calibri" w:cs="Calibri"/>
          <w:sz w:val="22"/>
          <w:szCs w:val="22"/>
        </w:rPr>
      </w:pPr>
      <w:bookmarkStart w:id="17" w:name="_Hlk527705627"/>
      <w:r w:rsidRPr="00E130E3">
        <w:rPr>
          <w:rFonts w:ascii="Calibri" w:hAnsi="Calibri" w:cs="Calibri"/>
          <w:sz w:val="22"/>
          <w:szCs w:val="22"/>
        </w:rPr>
        <w:t xml:space="preserve">The </w:t>
      </w:r>
      <w:r>
        <w:rPr>
          <w:rFonts w:ascii="Calibri" w:hAnsi="Calibri" w:cs="Calibri"/>
          <w:sz w:val="22"/>
          <w:szCs w:val="22"/>
        </w:rPr>
        <w:t>C</w:t>
      </w:r>
      <w:r w:rsidRPr="00E130E3">
        <w:rPr>
          <w:rFonts w:ascii="Calibri" w:hAnsi="Calibri" w:cs="Calibri"/>
          <w:sz w:val="22"/>
          <w:szCs w:val="22"/>
        </w:rPr>
        <w:t>ompany has two main categories of revenue, scheduled revenues and ancillary revenues. The split of revenues between these two categories is as shown on the face of the consolidated</w:t>
      </w:r>
      <w:r>
        <w:rPr>
          <w:rFonts w:ascii="Calibri" w:hAnsi="Calibri" w:cs="Calibri"/>
          <w:sz w:val="22"/>
          <w:szCs w:val="22"/>
        </w:rPr>
        <w:t xml:space="preserve"> condensed interim</w:t>
      </w:r>
      <w:r w:rsidRPr="00E130E3">
        <w:rPr>
          <w:rFonts w:ascii="Calibri" w:hAnsi="Calibri" w:cs="Calibri"/>
          <w:sz w:val="22"/>
          <w:szCs w:val="22"/>
        </w:rPr>
        <w:t xml:space="preserve"> income statement.</w:t>
      </w:r>
    </w:p>
    <w:bookmarkEnd w:id="17"/>
    <w:p w14:paraId="702934AE" w14:textId="77777777" w:rsidR="00EC7DFF" w:rsidRPr="00EC7DFF" w:rsidRDefault="004B4B15" w:rsidP="00EC7DFF">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14:paraId="77D6DBD6" w14:textId="77777777" w:rsidR="005660A9" w:rsidRPr="00DB22BA" w:rsidRDefault="005660A9" w:rsidP="005660A9">
      <w:pPr>
        <w:pStyle w:val="Outline3L1"/>
        <w:keepNext w:val="0"/>
        <w:numPr>
          <w:ilvl w:val="0"/>
          <w:numId w:val="0"/>
        </w:numPr>
        <w:spacing w:after="0"/>
        <w:rPr>
          <w:rFonts w:ascii="Calibri" w:hAnsi="Calibri" w:cs="Calibri"/>
          <w:b/>
          <w:sz w:val="22"/>
          <w:szCs w:val="22"/>
        </w:rPr>
      </w:pPr>
      <w:r>
        <w:rPr>
          <w:rFonts w:ascii="Calibri" w:hAnsi="Calibri" w:cs="Calibri"/>
          <w:b/>
          <w:sz w:val="22"/>
          <w:szCs w:val="22"/>
        </w:rPr>
        <w:t>9.</w:t>
      </w:r>
      <w:r>
        <w:rPr>
          <w:rFonts w:ascii="Calibri" w:hAnsi="Calibri" w:cs="Calibri"/>
          <w:b/>
          <w:sz w:val="22"/>
          <w:szCs w:val="22"/>
        </w:rPr>
        <w:tab/>
      </w:r>
      <w:r w:rsidRPr="00DB22BA">
        <w:rPr>
          <w:rFonts w:ascii="Calibri" w:hAnsi="Calibri" w:cs="Calibri"/>
          <w:b/>
          <w:sz w:val="22"/>
          <w:szCs w:val="22"/>
        </w:rPr>
        <w:t>Earnings per share</w:t>
      </w:r>
      <w:r w:rsidRPr="00DB22BA">
        <w:rPr>
          <w:rFonts w:ascii="Calibri" w:hAnsi="Calibri" w:cs="Calibri"/>
          <w:b/>
          <w:sz w:val="22"/>
          <w:szCs w:val="22"/>
        </w:rPr>
        <w:tab/>
      </w:r>
      <w:r w:rsidRPr="00DB22BA">
        <w:rPr>
          <w:rFonts w:ascii="Calibri" w:hAnsi="Calibri" w:cs="Calibri"/>
          <w:b/>
          <w:sz w:val="22"/>
          <w:szCs w:val="22"/>
        </w:rPr>
        <w:tab/>
      </w:r>
    </w:p>
    <w:tbl>
      <w:tblPr>
        <w:tblW w:w="14634" w:type="dxa"/>
        <w:tblInd w:w="108" w:type="dxa"/>
        <w:tblLayout w:type="fixed"/>
        <w:tblLook w:val="0000" w:firstRow="0" w:lastRow="0" w:firstColumn="0" w:lastColumn="0" w:noHBand="0" w:noVBand="0"/>
      </w:tblPr>
      <w:tblGrid>
        <w:gridCol w:w="5733"/>
        <w:gridCol w:w="2806"/>
        <w:gridCol w:w="1276"/>
        <w:gridCol w:w="1417"/>
        <w:gridCol w:w="1276"/>
        <w:gridCol w:w="1276"/>
        <w:gridCol w:w="850"/>
      </w:tblGrid>
      <w:tr w:rsidR="00771E0C" w:rsidRPr="001E383F" w14:paraId="4771E5B7" w14:textId="77777777" w:rsidTr="00771E0C">
        <w:trPr>
          <w:trHeight w:val="223"/>
        </w:trPr>
        <w:tc>
          <w:tcPr>
            <w:tcW w:w="5733" w:type="dxa"/>
            <w:tcBorders>
              <w:top w:val="nil"/>
              <w:left w:val="nil"/>
              <w:bottom w:val="nil"/>
            </w:tcBorders>
          </w:tcPr>
          <w:p w14:paraId="08BC9EDA" w14:textId="77777777" w:rsidR="00771E0C" w:rsidRPr="00DB22BA" w:rsidRDefault="00771E0C" w:rsidP="00771E0C">
            <w:pPr>
              <w:autoSpaceDE w:val="0"/>
              <w:autoSpaceDN w:val="0"/>
              <w:adjustRightInd w:val="0"/>
              <w:jc w:val="right"/>
              <w:rPr>
                <w:rFonts w:ascii="Calibri" w:hAnsi="Calibri" w:cs="Calibri"/>
                <w:color w:val="000000"/>
                <w:sz w:val="22"/>
                <w:szCs w:val="22"/>
              </w:rPr>
            </w:pPr>
          </w:p>
        </w:tc>
        <w:tc>
          <w:tcPr>
            <w:tcW w:w="2806" w:type="dxa"/>
            <w:tcBorders>
              <w:bottom w:val="nil"/>
            </w:tcBorders>
            <w:shd w:val="clear" w:color="auto" w:fill="auto"/>
          </w:tcPr>
          <w:p w14:paraId="4726B948" w14:textId="77777777" w:rsidR="00771E0C" w:rsidRPr="00DB22BA" w:rsidRDefault="00771E0C" w:rsidP="00771E0C">
            <w:pPr>
              <w:autoSpaceDE w:val="0"/>
              <w:autoSpaceDN w:val="0"/>
              <w:adjustRightInd w:val="0"/>
              <w:jc w:val="right"/>
              <w:rPr>
                <w:rFonts w:ascii="Calibri" w:hAnsi="Calibri" w:cs="Calibri"/>
                <w:b/>
                <w:bCs/>
                <w:color w:val="000000"/>
                <w:sz w:val="22"/>
                <w:szCs w:val="22"/>
              </w:rPr>
            </w:pPr>
          </w:p>
        </w:tc>
        <w:tc>
          <w:tcPr>
            <w:tcW w:w="1276" w:type="dxa"/>
            <w:tcBorders>
              <w:bottom w:val="nil"/>
            </w:tcBorders>
            <w:shd w:val="clear" w:color="auto" w:fill="auto"/>
          </w:tcPr>
          <w:p w14:paraId="339EDFD1" w14:textId="3E424C95" w:rsidR="00771E0C" w:rsidRPr="001E383F" w:rsidRDefault="00E832D8" w:rsidP="00771E0C">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Quarter</w:t>
            </w:r>
          </w:p>
        </w:tc>
        <w:tc>
          <w:tcPr>
            <w:tcW w:w="1417" w:type="dxa"/>
            <w:tcBorders>
              <w:bottom w:val="nil"/>
            </w:tcBorders>
            <w:shd w:val="clear" w:color="auto" w:fill="auto"/>
          </w:tcPr>
          <w:p w14:paraId="70FD148A" w14:textId="65254619" w:rsidR="00771E0C" w:rsidRPr="001E383F" w:rsidRDefault="00E832D8" w:rsidP="00771E0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Quarter</w:t>
            </w:r>
          </w:p>
        </w:tc>
        <w:tc>
          <w:tcPr>
            <w:tcW w:w="1276" w:type="dxa"/>
            <w:tcBorders>
              <w:bottom w:val="nil"/>
            </w:tcBorders>
          </w:tcPr>
          <w:p w14:paraId="3809D424" w14:textId="06FD04DE" w:rsidR="00771E0C" w:rsidRPr="00494B01" w:rsidRDefault="00E832D8" w:rsidP="00771E0C">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Nine</w:t>
            </w:r>
          </w:p>
        </w:tc>
        <w:tc>
          <w:tcPr>
            <w:tcW w:w="1276" w:type="dxa"/>
            <w:tcBorders>
              <w:bottom w:val="nil"/>
            </w:tcBorders>
          </w:tcPr>
          <w:p w14:paraId="6C1C3308" w14:textId="5317DA8C" w:rsidR="00771E0C" w:rsidRDefault="00E832D8" w:rsidP="00771E0C">
            <w:pPr>
              <w:tabs>
                <w:tab w:val="left" w:pos="1173"/>
              </w:tabs>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Nine</w:t>
            </w:r>
          </w:p>
        </w:tc>
        <w:tc>
          <w:tcPr>
            <w:tcW w:w="850" w:type="dxa"/>
            <w:tcBorders>
              <w:bottom w:val="nil"/>
            </w:tcBorders>
          </w:tcPr>
          <w:p w14:paraId="10DE9E77" w14:textId="77777777" w:rsidR="00771E0C" w:rsidRDefault="00771E0C" w:rsidP="00771E0C">
            <w:pPr>
              <w:autoSpaceDE w:val="0"/>
              <w:autoSpaceDN w:val="0"/>
              <w:adjustRightInd w:val="0"/>
              <w:jc w:val="right"/>
              <w:rPr>
                <w:rFonts w:ascii="Calibri" w:hAnsi="Calibri" w:cs="Calibri"/>
                <w:color w:val="000000"/>
                <w:sz w:val="22"/>
                <w:szCs w:val="22"/>
              </w:rPr>
            </w:pPr>
          </w:p>
        </w:tc>
      </w:tr>
      <w:tr w:rsidR="00771E0C" w:rsidRPr="001E383F" w14:paraId="4CCF4EFF" w14:textId="77777777" w:rsidTr="00771E0C">
        <w:trPr>
          <w:trHeight w:val="223"/>
        </w:trPr>
        <w:tc>
          <w:tcPr>
            <w:tcW w:w="5733" w:type="dxa"/>
            <w:tcBorders>
              <w:top w:val="nil"/>
              <w:left w:val="nil"/>
              <w:bottom w:val="nil"/>
            </w:tcBorders>
          </w:tcPr>
          <w:p w14:paraId="778676F1" w14:textId="77777777" w:rsidR="00771E0C" w:rsidRPr="001E383F" w:rsidRDefault="00771E0C" w:rsidP="00771E0C">
            <w:pPr>
              <w:autoSpaceDE w:val="0"/>
              <w:autoSpaceDN w:val="0"/>
              <w:adjustRightInd w:val="0"/>
              <w:jc w:val="right"/>
              <w:rPr>
                <w:rFonts w:ascii="Calibri" w:hAnsi="Calibri" w:cs="Calibri"/>
                <w:color w:val="000000"/>
                <w:sz w:val="22"/>
                <w:szCs w:val="22"/>
              </w:rPr>
            </w:pPr>
          </w:p>
        </w:tc>
        <w:tc>
          <w:tcPr>
            <w:tcW w:w="2806" w:type="dxa"/>
            <w:tcBorders>
              <w:bottom w:val="nil"/>
            </w:tcBorders>
            <w:shd w:val="clear" w:color="auto" w:fill="auto"/>
          </w:tcPr>
          <w:p w14:paraId="7C8DF71B" w14:textId="77777777" w:rsidR="00771E0C" w:rsidRPr="001E383F" w:rsidRDefault="00771E0C" w:rsidP="00771E0C">
            <w:pPr>
              <w:autoSpaceDE w:val="0"/>
              <w:autoSpaceDN w:val="0"/>
              <w:adjustRightInd w:val="0"/>
              <w:jc w:val="right"/>
              <w:rPr>
                <w:rFonts w:ascii="Calibri" w:hAnsi="Calibri" w:cs="Calibri"/>
                <w:b/>
                <w:bCs/>
                <w:color w:val="000000"/>
                <w:sz w:val="22"/>
                <w:szCs w:val="22"/>
              </w:rPr>
            </w:pPr>
          </w:p>
        </w:tc>
        <w:tc>
          <w:tcPr>
            <w:tcW w:w="1276" w:type="dxa"/>
            <w:tcBorders>
              <w:bottom w:val="nil"/>
            </w:tcBorders>
            <w:shd w:val="clear" w:color="auto" w:fill="auto"/>
          </w:tcPr>
          <w:p w14:paraId="6D4DB4E0" w14:textId="3368DFED" w:rsidR="00771E0C" w:rsidRPr="001E383F" w:rsidRDefault="00771E0C" w:rsidP="00771E0C">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Ended</w:t>
            </w:r>
          </w:p>
        </w:tc>
        <w:tc>
          <w:tcPr>
            <w:tcW w:w="1417" w:type="dxa"/>
            <w:tcBorders>
              <w:bottom w:val="nil"/>
            </w:tcBorders>
            <w:shd w:val="clear" w:color="auto" w:fill="auto"/>
          </w:tcPr>
          <w:p w14:paraId="5920EF22" w14:textId="1E7ED9BB" w:rsidR="00771E0C" w:rsidRPr="001E383F" w:rsidRDefault="00771E0C" w:rsidP="00771E0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Ended</w:t>
            </w:r>
          </w:p>
        </w:tc>
        <w:tc>
          <w:tcPr>
            <w:tcW w:w="1276" w:type="dxa"/>
            <w:tcBorders>
              <w:bottom w:val="nil"/>
            </w:tcBorders>
          </w:tcPr>
          <w:p w14:paraId="5F82CBA2" w14:textId="6A30AAE4" w:rsidR="00771E0C" w:rsidRPr="00FF2F42" w:rsidRDefault="00E832D8" w:rsidP="00771E0C">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Months Ended</w:t>
            </w:r>
          </w:p>
        </w:tc>
        <w:tc>
          <w:tcPr>
            <w:tcW w:w="1276" w:type="dxa"/>
            <w:tcBorders>
              <w:bottom w:val="nil"/>
            </w:tcBorders>
          </w:tcPr>
          <w:p w14:paraId="37CAEF5A" w14:textId="39F55121" w:rsidR="00771E0C" w:rsidRPr="001E383F" w:rsidRDefault="00E832D8" w:rsidP="00771E0C">
            <w:pPr>
              <w:tabs>
                <w:tab w:val="left" w:pos="1173"/>
              </w:tabs>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Months Ended</w:t>
            </w:r>
          </w:p>
        </w:tc>
        <w:tc>
          <w:tcPr>
            <w:tcW w:w="850" w:type="dxa"/>
            <w:tcBorders>
              <w:bottom w:val="nil"/>
            </w:tcBorders>
          </w:tcPr>
          <w:p w14:paraId="7F4D1FF1" w14:textId="77777777" w:rsidR="00771E0C" w:rsidRPr="001E383F" w:rsidRDefault="00771E0C" w:rsidP="00771E0C">
            <w:pPr>
              <w:autoSpaceDE w:val="0"/>
              <w:autoSpaceDN w:val="0"/>
              <w:adjustRightInd w:val="0"/>
              <w:jc w:val="right"/>
              <w:rPr>
                <w:rFonts w:ascii="Calibri" w:hAnsi="Calibri" w:cs="Calibri"/>
                <w:color w:val="000000"/>
                <w:sz w:val="22"/>
                <w:szCs w:val="22"/>
              </w:rPr>
            </w:pPr>
          </w:p>
        </w:tc>
      </w:tr>
      <w:tr w:rsidR="00771E0C" w:rsidRPr="001E383F" w14:paraId="40511190" w14:textId="77777777" w:rsidTr="00771E0C">
        <w:trPr>
          <w:trHeight w:val="223"/>
        </w:trPr>
        <w:tc>
          <w:tcPr>
            <w:tcW w:w="5733" w:type="dxa"/>
            <w:tcBorders>
              <w:top w:val="nil"/>
              <w:left w:val="nil"/>
              <w:bottom w:val="nil"/>
            </w:tcBorders>
          </w:tcPr>
          <w:p w14:paraId="48165C96" w14:textId="77777777" w:rsidR="00771E0C" w:rsidRPr="001E383F" w:rsidRDefault="00771E0C" w:rsidP="00771E0C">
            <w:pPr>
              <w:autoSpaceDE w:val="0"/>
              <w:autoSpaceDN w:val="0"/>
              <w:adjustRightInd w:val="0"/>
              <w:jc w:val="right"/>
              <w:rPr>
                <w:rFonts w:ascii="Calibri" w:hAnsi="Calibri" w:cs="Calibri"/>
                <w:color w:val="000000"/>
                <w:sz w:val="22"/>
                <w:szCs w:val="22"/>
              </w:rPr>
            </w:pPr>
          </w:p>
        </w:tc>
        <w:tc>
          <w:tcPr>
            <w:tcW w:w="2806" w:type="dxa"/>
            <w:tcBorders>
              <w:top w:val="nil"/>
              <w:bottom w:val="nil"/>
            </w:tcBorders>
            <w:shd w:val="clear" w:color="auto" w:fill="auto"/>
          </w:tcPr>
          <w:p w14:paraId="1CEAB911" w14:textId="77777777" w:rsidR="00771E0C" w:rsidRPr="001E383F" w:rsidRDefault="00771E0C" w:rsidP="00771E0C">
            <w:pPr>
              <w:autoSpaceDE w:val="0"/>
              <w:autoSpaceDN w:val="0"/>
              <w:adjustRightInd w:val="0"/>
              <w:jc w:val="right"/>
              <w:rPr>
                <w:rFonts w:ascii="Calibri" w:hAnsi="Calibri" w:cs="Calibri"/>
                <w:b/>
                <w:bCs/>
                <w:color w:val="000000"/>
                <w:sz w:val="22"/>
                <w:szCs w:val="22"/>
              </w:rPr>
            </w:pPr>
          </w:p>
        </w:tc>
        <w:tc>
          <w:tcPr>
            <w:tcW w:w="1276" w:type="dxa"/>
            <w:tcBorders>
              <w:top w:val="nil"/>
              <w:bottom w:val="nil"/>
            </w:tcBorders>
            <w:shd w:val="clear" w:color="auto" w:fill="auto"/>
          </w:tcPr>
          <w:p w14:paraId="73CA7B18" w14:textId="1B51CB7D" w:rsidR="00771E0C" w:rsidRPr="001E383F" w:rsidRDefault="00E832D8" w:rsidP="00771E0C">
            <w:pPr>
              <w:autoSpaceDE w:val="0"/>
              <w:autoSpaceDN w:val="0"/>
              <w:adjustRightInd w:val="0"/>
              <w:jc w:val="right"/>
              <w:rPr>
                <w:rFonts w:ascii="Calibri" w:hAnsi="Calibri" w:cs="Calibri"/>
                <w:b/>
                <w:bCs/>
                <w:color w:val="000000"/>
                <w:sz w:val="22"/>
                <w:szCs w:val="22"/>
              </w:rPr>
            </w:pPr>
            <w:r>
              <w:rPr>
                <w:rFonts w:ascii="Calibri" w:hAnsi="Calibri" w:cs="Calibri"/>
                <w:b/>
                <w:color w:val="000000"/>
                <w:sz w:val="22"/>
                <w:szCs w:val="22"/>
              </w:rPr>
              <w:t>Dec</w:t>
            </w:r>
            <w:r w:rsidR="00771E0C">
              <w:rPr>
                <w:rFonts w:ascii="Calibri" w:hAnsi="Calibri" w:cs="Calibri"/>
                <w:b/>
                <w:color w:val="000000"/>
                <w:sz w:val="22"/>
                <w:szCs w:val="22"/>
              </w:rPr>
              <w:t xml:space="preserve"> 3</w:t>
            </w:r>
            <w:r>
              <w:rPr>
                <w:rFonts w:ascii="Calibri" w:hAnsi="Calibri" w:cs="Calibri"/>
                <w:b/>
                <w:color w:val="000000"/>
                <w:sz w:val="22"/>
                <w:szCs w:val="22"/>
              </w:rPr>
              <w:t>1</w:t>
            </w:r>
            <w:r w:rsidR="00771E0C">
              <w:rPr>
                <w:rFonts w:ascii="Calibri" w:hAnsi="Calibri" w:cs="Calibri"/>
                <w:b/>
                <w:color w:val="000000"/>
                <w:sz w:val="22"/>
                <w:szCs w:val="22"/>
              </w:rPr>
              <w:t>,</w:t>
            </w:r>
          </w:p>
        </w:tc>
        <w:tc>
          <w:tcPr>
            <w:tcW w:w="1417" w:type="dxa"/>
            <w:tcBorders>
              <w:top w:val="nil"/>
              <w:bottom w:val="nil"/>
            </w:tcBorders>
            <w:shd w:val="clear" w:color="auto" w:fill="auto"/>
          </w:tcPr>
          <w:p w14:paraId="39E13138" w14:textId="6F4DA779" w:rsidR="00771E0C" w:rsidRPr="001E383F" w:rsidRDefault="00E832D8" w:rsidP="00771E0C">
            <w:pPr>
              <w:autoSpaceDE w:val="0"/>
              <w:autoSpaceDN w:val="0"/>
              <w:adjustRightInd w:val="0"/>
              <w:jc w:val="right"/>
              <w:rPr>
                <w:rFonts w:ascii="Calibri" w:hAnsi="Calibri" w:cs="Calibri"/>
                <w:bCs/>
                <w:color w:val="000000"/>
                <w:sz w:val="22"/>
                <w:szCs w:val="22"/>
              </w:rPr>
            </w:pPr>
            <w:r>
              <w:rPr>
                <w:rFonts w:ascii="Calibri" w:hAnsi="Calibri" w:cs="Calibri"/>
                <w:color w:val="000000"/>
                <w:sz w:val="22"/>
                <w:szCs w:val="22"/>
              </w:rPr>
              <w:t>Dec 31</w:t>
            </w:r>
            <w:r w:rsidR="00771E0C">
              <w:rPr>
                <w:rFonts w:ascii="Calibri" w:hAnsi="Calibri" w:cs="Calibri"/>
                <w:color w:val="000000"/>
                <w:sz w:val="22"/>
                <w:szCs w:val="22"/>
              </w:rPr>
              <w:t>,</w:t>
            </w:r>
          </w:p>
        </w:tc>
        <w:tc>
          <w:tcPr>
            <w:tcW w:w="1276" w:type="dxa"/>
            <w:tcBorders>
              <w:top w:val="nil"/>
              <w:bottom w:val="nil"/>
            </w:tcBorders>
          </w:tcPr>
          <w:p w14:paraId="0F2A0198" w14:textId="4E723DFC" w:rsidR="00771E0C" w:rsidRPr="00FF2F42" w:rsidRDefault="00E832D8" w:rsidP="00771E0C">
            <w:pPr>
              <w:autoSpaceDE w:val="0"/>
              <w:autoSpaceDN w:val="0"/>
              <w:adjustRightInd w:val="0"/>
              <w:jc w:val="right"/>
              <w:rPr>
                <w:rFonts w:ascii="Calibri" w:hAnsi="Calibri" w:cs="Calibri"/>
                <w:b/>
                <w:bCs/>
                <w:color w:val="000000"/>
                <w:sz w:val="22"/>
                <w:szCs w:val="22"/>
              </w:rPr>
            </w:pPr>
            <w:r>
              <w:rPr>
                <w:rFonts w:ascii="Calibri" w:hAnsi="Calibri" w:cs="Calibri"/>
                <w:b/>
                <w:color w:val="000000"/>
                <w:sz w:val="22"/>
                <w:szCs w:val="22"/>
              </w:rPr>
              <w:t>Dec 31</w:t>
            </w:r>
            <w:r w:rsidR="00771E0C">
              <w:rPr>
                <w:rFonts w:ascii="Calibri" w:hAnsi="Calibri" w:cs="Calibri"/>
                <w:b/>
                <w:color w:val="000000"/>
                <w:sz w:val="22"/>
                <w:szCs w:val="22"/>
              </w:rPr>
              <w:t>,</w:t>
            </w:r>
          </w:p>
        </w:tc>
        <w:tc>
          <w:tcPr>
            <w:tcW w:w="1276" w:type="dxa"/>
            <w:tcBorders>
              <w:top w:val="nil"/>
              <w:bottom w:val="nil"/>
            </w:tcBorders>
          </w:tcPr>
          <w:p w14:paraId="598BEC4C" w14:textId="311BB737" w:rsidR="00771E0C" w:rsidRPr="00064ACE" w:rsidRDefault="00E832D8" w:rsidP="00771E0C">
            <w:pPr>
              <w:tabs>
                <w:tab w:val="left" w:pos="1173"/>
              </w:tabs>
              <w:autoSpaceDE w:val="0"/>
              <w:autoSpaceDN w:val="0"/>
              <w:adjustRightInd w:val="0"/>
              <w:jc w:val="right"/>
              <w:rPr>
                <w:rFonts w:ascii="Calibri" w:hAnsi="Calibri" w:cs="Calibri"/>
                <w:bCs/>
                <w:color w:val="000000"/>
                <w:sz w:val="22"/>
                <w:szCs w:val="22"/>
              </w:rPr>
            </w:pPr>
            <w:r>
              <w:rPr>
                <w:rFonts w:ascii="Calibri" w:hAnsi="Calibri" w:cs="Calibri"/>
                <w:color w:val="000000"/>
                <w:sz w:val="22"/>
                <w:szCs w:val="22"/>
              </w:rPr>
              <w:t>Dec 31</w:t>
            </w:r>
            <w:r w:rsidR="00771E0C" w:rsidRPr="00064ACE">
              <w:rPr>
                <w:rFonts w:ascii="Calibri" w:hAnsi="Calibri" w:cs="Calibri"/>
                <w:color w:val="000000"/>
                <w:sz w:val="22"/>
                <w:szCs w:val="22"/>
              </w:rPr>
              <w:t>,</w:t>
            </w:r>
          </w:p>
        </w:tc>
        <w:tc>
          <w:tcPr>
            <w:tcW w:w="850" w:type="dxa"/>
            <w:tcBorders>
              <w:top w:val="nil"/>
              <w:bottom w:val="nil"/>
            </w:tcBorders>
          </w:tcPr>
          <w:p w14:paraId="67F515C5" w14:textId="77777777" w:rsidR="00771E0C" w:rsidRDefault="00771E0C" w:rsidP="00771E0C">
            <w:pPr>
              <w:autoSpaceDE w:val="0"/>
              <w:autoSpaceDN w:val="0"/>
              <w:adjustRightInd w:val="0"/>
              <w:jc w:val="right"/>
              <w:rPr>
                <w:rFonts w:ascii="Calibri" w:hAnsi="Calibri" w:cs="Calibri"/>
                <w:bCs/>
                <w:color w:val="000000"/>
                <w:sz w:val="22"/>
                <w:szCs w:val="22"/>
              </w:rPr>
            </w:pPr>
          </w:p>
        </w:tc>
      </w:tr>
      <w:tr w:rsidR="00771E0C" w:rsidRPr="001E383F" w14:paraId="3A0508BD" w14:textId="77777777" w:rsidTr="00771E0C">
        <w:trPr>
          <w:trHeight w:val="223"/>
        </w:trPr>
        <w:tc>
          <w:tcPr>
            <w:tcW w:w="5733" w:type="dxa"/>
            <w:tcBorders>
              <w:top w:val="nil"/>
              <w:left w:val="nil"/>
              <w:bottom w:val="nil"/>
            </w:tcBorders>
          </w:tcPr>
          <w:p w14:paraId="011BA9D7" w14:textId="77777777" w:rsidR="00771E0C" w:rsidRPr="001E383F" w:rsidRDefault="00771E0C" w:rsidP="00771E0C">
            <w:pPr>
              <w:autoSpaceDE w:val="0"/>
              <w:autoSpaceDN w:val="0"/>
              <w:adjustRightInd w:val="0"/>
              <w:jc w:val="right"/>
              <w:rPr>
                <w:rFonts w:ascii="Calibri" w:hAnsi="Calibri" w:cs="Calibri"/>
                <w:color w:val="000000"/>
                <w:sz w:val="22"/>
                <w:szCs w:val="22"/>
              </w:rPr>
            </w:pPr>
          </w:p>
        </w:tc>
        <w:tc>
          <w:tcPr>
            <w:tcW w:w="2806" w:type="dxa"/>
            <w:tcBorders>
              <w:top w:val="nil"/>
              <w:bottom w:val="nil"/>
            </w:tcBorders>
            <w:shd w:val="clear" w:color="auto" w:fill="auto"/>
          </w:tcPr>
          <w:p w14:paraId="1D4F5F7F" w14:textId="77777777" w:rsidR="00771E0C" w:rsidRPr="001E383F" w:rsidRDefault="00771E0C" w:rsidP="00771E0C">
            <w:pPr>
              <w:autoSpaceDE w:val="0"/>
              <w:autoSpaceDN w:val="0"/>
              <w:adjustRightInd w:val="0"/>
              <w:jc w:val="right"/>
              <w:rPr>
                <w:rFonts w:ascii="Calibri" w:hAnsi="Calibri" w:cs="Calibri"/>
                <w:b/>
                <w:bCs/>
                <w:color w:val="000000"/>
                <w:sz w:val="22"/>
                <w:szCs w:val="22"/>
              </w:rPr>
            </w:pPr>
          </w:p>
        </w:tc>
        <w:tc>
          <w:tcPr>
            <w:tcW w:w="1276" w:type="dxa"/>
            <w:tcBorders>
              <w:top w:val="nil"/>
              <w:bottom w:val="nil"/>
            </w:tcBorders>
            <w:shd w:val="clear" w:color="auto" w:fill="auto"/>
          </w:tcPr>
          <w:p w14:paraId="090F3C12" w14:textId="51EFC6DD" w:rsidR="00771E0C" w:rsidRPr="001E383F" w:rsidRDefault="00771E0C" w:rsidP="00771E0C">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2019</w:t>
            </w:r>
          </w:p>
        </w:tc>
        <w:tc>
          <w:tcPr>
            <w:tcW w:w="1417" w:type="dxa"/>
            <w:tcBorders>
              <w:top w:val="nil"/>
              <w:bottom w:val="nil"/>
            </w:tcBorders>
            <w:shd w:val="clear" w:color="auto" w:fill="auto"/>
          </w:tcPr>
          <w:p w14:paraId="28802E9B" w14:textId="040B59BC" w:rsidR="00771E0C" w:rsidRPr="001E383F" w:rsidRDefault="00771E0C" w:rsidP="00771E0C">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2018</w:t>
            </w:r>
          </w:p>
        </w:tc>
        <w:tc>
          <w:tcPr>
            <w:tcW w:w="1276" w:type="dxa"/>
            <w:tcBorders>
              <w:top w:val="nil"/>
              <w:bottom w:val="nil"/>
            </w:tcBorders>
          </w:tcPr>
          <w:p w14:paraId="5888CB02" w14:textId="77777777" w:rsidR="00771E0C" w:rsidRPr="00FF2F42" w:rsidRDefault="00771E0C" w:rsidP="00771E0C">
            <w:pPr>
              <w:autoSpaceDE w:val="0"/>
              <w:autoSpaceDN w:val="0"/>
              <w:adjustRightInd w:val="0"/>
              <w:jc w:val="right"/>
              <w:rPr>
                <w:rFonts w:ascii="Calibri" w:hAnsi="Calibri" w:cs="Calibri"/>
                <w:b/>
                <w:bCs/>
                <w:color w:val="000000"/>
                <w:sz w:val="22"/>
                <w:szCs w:val="22"/>
              </w:rPr>
            </w:pPr>
            <w:r w:rsidRPr="00FF2F42">
              <w:rPr>
                <w:rFonts w:ascii="Calibri" w:hAnsi="Calibri" w:cs="Calibri"/>
                <w:b/>
                <w:bCs/>
                <w:color w:val="000000"/>
                <w:sz w:val="22"/>
                <w:szCs w:val="22"/>
              </w:rPr>
              <w:t>201</w:t>
            </w:r>
            <w:r>
              <w:rPr>
                <w:rFonts w:ascii="Calibri" w:hAnsi="Calibri" w:cs="Calibri"/>
                <w:b/>
                <w:bCs/>
                <w:color w:val="000000"/>
                <w:sz w:val="22"/>
                <w:szCs w:val="22"/>
              </w:rPr>
              <w:t>9</w:t>
            </w:r>
          </w:p>
        </w:tc>
        <w:tc>
          <w:tcPr>
            <w:tcW w:w="1276" w:type="dxa"/>
            <w:tcBorders>
              <w:top w:val="nil"/>
              <w:bottom w:val="nil"/>
            </w:tcBorders>
          </w:tcPr>
          <w:p w14:paraId="12E0F3FE" w14:textId="77777777" w:rsidR="00771E0C" w:rsidRPr="001E383F" w:rsidRDefault="00771E0C" w:rsidP="00771E0C">
            <w:pPr>
              <w:tabs>
                <w:tab w:val="left" w:pos="747"/>
              </w:tabs>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2018</w:t>
            </w:r>
          </w:p>
        </w:tc>
        <w:tc>
          <w:tcPr>
            <w:tcW w:w="850" w:type="dxa"/>
            <w:tcBorders>
              <w:top w:val="nil"/>
              <w:bottom w:val="nil"/>
            </w:tcBorders>
          </w:tcPr>
          <w:p w14:paraId="5AFD146A" w14:textId="77777777" w:rsidR="00771E0C" w:rsidRPr="001E383F" w:rsidRDefault="00771E0C" w:rsidP="00771E0C">
            <w:pPr>
              <w:autoSpaceDE w:val="0"/>
              <w:autoSpaceDN w:val="0"/>
              <w:adjustRightInd w:val="0"/>
              <w:jc w:val="right"/>
              <w:rPr>
                <w:rFonts w:ascii="Calibri" w:hAnsi="Calibri" w:cs="Calibri"/>
                <w:bCs/>
                <w:color w:val="000000"/>
                <w:sz w:val="22"/>
                <w:szCs w:val="22"/>
              </w:rPr>
            </w:pPr>
          </w:p>
        </w:tc>
      </w:tr>
      <w:tr w:rsidR="00771E0C" w:rsidRPr="001E383F" w14:paraId="68BD4A8C" w14:textId="77777777" w:rsidTr="00771E0C">
        <w:trPr>
          <w:trHeight w:val="223"/>
        </w:trPr>
        <w:tc>
          <w:tcPr>
            <w:tcW w:w="5733" w:type="dxa"/>
            <w:tcBorders>
              <w:top w:val="nil"/>
              <w:left w:val="nil"/>
              <w:bottom w:val="nil"/>
            </w:tcBorders>
          </w:tcPr>
          <w:p w14:paraId="6E2D1984" w14:textId="77777777" w:rsidR="00771E0C" w:rsidRPr="001E383F" w:rsidRDefault="00771E0C" w:rsidP="00771E0C">
            <w:pPr>
              <w:autoSpaceDE w:val="0"/>
              <w:autoSpaceDN w:val="0"/>
              <w:adjustRightInd w:val="0"/>
              <w:jc w:val="right"/>
              <w:rPr>
                <w:rFonts w:ascii="Calibri" w:hAnsi="Calibri" w:cs="Calibri"/>
                <w:color w:val="000000"/>
                <w:sz w:val="22"/>
                <w:szCs w:val="22"/>
              </w:rPr>
            </w:pPr>
          </w:p>
        </w:tc>
        <w:tc>
          <w:tcPr>
            <w:tcW w:w="2806" w:type="dxa"/>
            <w:tcBorders>
              <w:top w:val="nil"/>
              <w:bottom w:val="nil"/>
            </w:tcBorders>
            <w:shd w:val="clear" w:color="auto" w:fill="auto"/>
          </w:tcPr>
          <w:p w14:paraId="5338DB82" w14:textId="77777777" w:rsidR="00771E0C" w:rsidRPr="001E383F" w:rsidRDefault="00771E0C" w:rsidP="00771E0C">
            <w:pPr>
              <w:autoSpaceDE w:val="0"/>
              <w:autoSpaceDN w:val="0"/>
              <w:adjustRightInd w:val="0"/>
              <w:jc w:val="right"/>
              <w:rPr>
                <w:rFonts w:ascii="Calibri" w:hAnsi="Calibri" w:cs="Calibri"/>
                <w:b/>
                <w:bCs/>
                <w:color w:val="000000"/>
                <w:sz w:val="22"/>
                <w:szCs w:val="22"/>
              </w:rPr>
            </w:pPr>
          </w:p>
        </w:tc>
        <w:tc>
          <w:tcPr>
            <w:tcW w:w="1276" w:type="dxa"/>
            <w:tcBorders>
              <w:top w:val="nil"/>
              <w:bottom w:val="nil"/>
            </w:tcBorders>
            <w:shd w:val="clear" w:color="auto" w:fill="auto"/>
          </w:tcPr>
          <w:p w14:paraId="4749DC20" w14:textId="77777777" w:rsidR="00771E0C" w:rsidRPr="001E383F" w:rsidRDefault="00771E0C" w:rsidP="00771E0C">
            <w:pPr>
              <w:autoSpaceDE w:val="0"/>
              <w:autoSpaceDN w:val="0"/>
              <w:adjustRightInd w:val="0"/>
              <w:jc w:val="right"/>
              <w:rPr>
                <w:rFonts w:ascii="Calibri" w:hAnsi="Calibri" w:cs="Calibri"/>
                <w:b/>
                <w:bCs/>
                <w:color w:val="000000"/>
                <w:sz w:val="22"/>
                <w:szCs w:val="22"/>
              </w:rPr>
            </w:pPr>
          </w:p>
        </w:tc>
        <w:tc>
          <w:tcPr>
            <w:tcW w:w="1417" w:type="dxa"/>
            <w:tcBorders>
              <w:top w:val="nil"/>
              <w:bottom w:val="nil"/>
            </w:tcBorders>
            <w:shd w:val="clear" w:color="auto" w:fill="auto"/>
          </w:tcPr>
          <w:p w14:paraId="778E7F8E" w14:textId="77777777" w:rsidR="00771E0C" w:rsidRPr="001E383F" w:rsidRDefault="00771E0C" w:rsidP="00771E0C">
            <w:pPr>
              <w:autoSpaceDE w:val="0"/>
              <w:autoSpaceDN w:val="0"/>
              <w:adjustRightInd w:val="0"/>
              <w:jc w:val="right"/>
              <w:rPr>
                <w:rFonts w:ascii="Calibri" w:hAnsi="Calibri" w:cs="Calibri"/>
                <w:bCs/>
                <w:color w:val="000000"/>
                <w:sz w:val="22"/>
                <w:szCs w:val="22"/>
              </w:rPr>
            </w:pPr>
          </w:p>
        </w:tc>
        <w:tc>
          <w:tcPr>
            <w:tcW w:w="1276" w:type="dxa"/>
            <w:tcBorders>
              <w:top w:val="nil"/>
              <w:bottom w:val="nil"/>
            </w:tcBorders>
          </w:tcPr>
          <w:p w14:paraId="30C052D0" w14:textId="77777777" w:rsidR="00771E0C" w:rsidRPr="00FF2F42" w:rsidRDefault="00771E0C" w:rsidP="00771E0C">
            <w:pPr>
              <w:autoSpaceDE w:val="0"/>
              <w:autoSpaceDN w:val="0"/>
              <w:adjustRightInd w:val="0"/>
              <w:jc w:val="right"/>
              <w:rPr>
                <w:rFonts w:ascii="Calibri" w:hAnsi="Calibri" w:cs="Calibri"/>
                <w:b/>
                <w:bCs/>
                <w:color w:val="000000"/>
                <w:sz w:val="22"/>
                <w:szCs w:val="22"/>
              </w:rPr>
            </w:pPr>
          </w:p>
        </w:tc>
        <w:tc>
          <w:tcPr>
            <w:tcW w:w="1276" w:type="dxa"/>
            <w:tcBorders>
              <w:top w:val="nil"/>
              <w:bottom w:val="nil"/>
            </w:tcBorders>
          </w:tcPr>
          <w:p w14:paraId="5D35C283" w14:textId="77777777" w:rsidR="00771E0C" w:rsidRPr="001E383F" w:rsidRDefault="00771E0C" w:rsidP="00771E0C">
            <w:pPr>
              <w:tabs>
                <w:tab w:val="left" w:pos="1173"/>
              </w:tabs>
              <w:autoSpaceDE w:val="0"/>
              <w:autoSpaceDN w:val="0"/>
              <w:adjustRightInd w:val="0"/>
              <w:jc w:val="right"/>
              <w:rPr>
                <w:rFonts w:ascii="Calibri" w:hAnsi="Calibri" w:cs="Calibri"/>
                <w:bCs/>
                <w:color w:val="000000"/>
                <w:sz w:val="22"/>
                <w:szCs w:val="22"/>
              </w:rPr>
            </w:pPr>
          </w:p>
        </w:tc>
        <w:tc>
          <w:tcPr>
            <w:tcW w:w="850" w:type="dxa"/>
            <w:tcBorders>
              <w:top w:val="nil"/>
              <w:bottom w:val="nil"/>
            </w:tcBorders>
          </w:tcPr>
          <w:p w14:paraId="72740A55" w14:textId="77777777" w:rsidR="00771E0C" w:rsidRPr="001E383F" w:rsidRDefault="00771E0C" w:rsidP="00771E0C">
            <w:pPr>
              <w:autoSpaceDE w:val="0"/>
              <w:autoSpaceDN w:val="0"/>
              <w:adjustRightInd w:val="0"/>
              <w:jc w:val="right"/>
              <w:rPr>
                <w:rFonts w:ascii="Calibri" w:hAnsi="Calibri" w:cs="Calibri"/>
                <w:bCs/>
                <w:color w:val="000000"/>
                <w:sz w:val="22"/>
                <w:szCs w:val="22"/>
              </w:rPr>
            </w:pPr>
          </w:p>
        </w:tc>
      </w:tr>
      <w:tr w:rsidR="00771E0C" w:rsidRPr="001E383F" w14:paraId="664C0106" w14:textId="77777777" w:rsidTr="00771E0C">
        <w:trPr>
          <w:trHeight w:val="223"/>
        </w:trPr>
        <w:tc>
          <w:tcPr>
            <w:tcW w:w="5733" w:type="dxa"/>
            <w:tcBorders>
              <w:top w:val="nil"/>
              <w:left w:val="nil"/>
              <w:bottom w:val="nil"/>
            </w:tcBorders>
          </w:tcPr>
          <w:p w14:paraId="40E1DDD0" w14:textId="77777777" w:rsidR="00771E0C" w:rsidRPr="001E383F" w:rsidRDefault="00771E0C" w:rsidP="00771E0C">
            <w:pPr>
              <w:autoSpaceDE w:val="0"/>
              <w:autoSpaceDN w:val="0"/>
              <w:adjustRightInd w:val="0"/>
              <w:rPr>
                <w:rFonts w:ascii="Calibri" w:hAnsi="Calibri" w:cs="Calibri"/>
                <w:color w:val="000000"/>
                <w:sz w:val="22"/>
                <w:szCs w:val="22"/>
              </w:rPr>
            </w:pPr>
            <w:r w:rsidRPr="001E383F">
              <w:rPr>
                <w:rFonts w:ascii="Calibri" w:hAnsi="Calibri" w:cs="Calibri"/>
                <w:color w:val="000000"/>
                <w:sz w:val="22"/>
                <w:szCs w:val="22"/>
              </w:rPr>
              <w:t>Basic earnings per ordinary share (€)</w:t>
            </w:r>
          </w:p>
        </w:tc>
        <w:tc>
          <w:tcPr>
            <w:tcW w:w="2806" w:type="dxa"/>
            <w:tcBorders>
              <w:top w:val="nil"/>
              <w:bottom w:val="nil"/>
            </w:tcBorders>
            <w:shd w:val="clear" w:color="auto" w:fill="auto"/>
          </w:tcPr>
          <w:p w14:paraId="34073F31" w14:textId="77777777" w:rsidR="00771E0C" w:rsidRPr="001E383F" w:rsidRDefault="00771E0C" w:rsidP="00771E0C">
            <w:pPr>
              <w:autoSpaceDE w:val="0"/>
              <w:autoSpaceDN w:val="0"/>
              <w:adjustRightInd w:val="0"/>
              <w:jc w:val="right"/>
              <w:rPr>
                <w:rFonts w:ascii="Calibri" w:hAnsi="Calibri" w:cs="Calibri"/>
                <w:b/>
                <w:bCs/>
                <w:color w:val="000000"/>
                <w:sz w:val="22"/>
                <w:szCs w:val="22"/>
              </w:rPr>
            </w:pPr>
          </w:p>
        </w:tc>
        <w:tc>
          <w:tcPr>
            <w:tcW w:w="1276" w:type="dxa"/>
            <w:tcBorders>
              <w:top w:val="nil"/>
              <w:bottom w:val="nil"/>
            </w:tcBorders>
            <w:shd w:val="clear" w:color="auto" w:fill="auto"/>
          </w:tcPr>
          <w:p w14:paraId="15101159" w14:textId="3D797874" w:rsidR="00771E0C" w:rsidRPr="005F68EA" w:rsidRDefault="005102A9" w:rsidP="00771E0C">
            <w:pPr>
              <w:autoSpaceDE w:val="0"/>
              <w:autoSpaceDN w:val="0"/>
              <w:adjustRightInd w:val="0"/>
              <w:jc w:val="right"/>
              <w:rPr>
                <w:rFonts w:ascii="Calibri" w:hAnsi="Calibri" w:cs="Calibri"/>
                <w:b/>
                <w:bCs/>
                <w:color w:val="000000"/>
                <w:sz w:val="22"/>
                <w:szCs w:val="22"/>
              </w:rPr>
            </w:pPr>
            <w:r>
              <w:rPr>
                <w:rFonts w:ascii="Calibri" w:hAnsi="Calibri" w:cs="Calibri"/>
                <w:b/>
                <w:bCs/>
                <w:sz w:val="22"/>
                <w:szCs w:val="22"/>
              </w:rPr>
              <w:t>0.0791</w:t>
            </w:r>
          </w:p>
        </w:tc>
        <w:tc>
          <w:tcPr>
            <w:tcW w:w="1417" w:type="dxa"/>
            <w:tcBorders>
              <w:top w:val="nil"/>
              <w:bottom w:val="nil"/>
            </w:tcBorders>
            <w:shd w:val="clear" w:color="auto" w:fill="auto"/>
          </w:tcPr>
          <w:p w14:paraId="24762EF1" w14:textId="024A050B" w:rsidR="00771E0C" w:rsidRPr="00DB22BA" w:rsidRDefault="00F652F6" w:rsidP="00771E0C">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(0.0583)</w:t>
            </w:r>
          </w:p>
        </w:tc>
        <w:tc>
          <w:tcPr>
            <w:tcW w:w="1276" w:type="dxa"/>
            <w:tcBorders>
              <w:top w:val="nil"/>
              <w:bottom w:val="nil"/>
            </w:tcBorders>
          </w:tcPr>
          <w:p w14:paraId="64F3A273" w14:textId="7C6F7AF0" w:rsidR="00771E0C" w:rsidRPr="00A93AF2" w:rsidRDefault="00F652F6" w:rsidP="00771E0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1.1077</w:t>
            </w:r>
          </w:p>
        </w:tc>
        <w:tc>
          <w:tcPr>
            <w:tcW w:w="1276" w:type="dxa"/>
            <w:tcBorders>
              <w:top w:val="nil"/>
              <w:bottom w:val="nil"/>
            </w:tcBorders>
          </w:tcPr>
          <w:p w14:paraId="71ABF9E1" w14:textId="363C5583" w:rsidR="00771E0C" w:rsidRDefault="00771E0C" w:rsidP="00771E0C">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0</w:t>
            </w:r>
            <w:r w:rsidR="00F652F6">
              <w:rPr>
                <w:rFonts w:ascii="Calibri" w:hAnsi="Calibri" w:cs="Calibri"/>
                <w:bCs/>
                <w:color w:val="000000"/>
                <w:sz w:val="22"/>
                <w:szCs w:val="22"/>
              </w:rPr>
              <w:t>.9457</w:t>
            </w:r>
          </w:p>
        </w:tc>
        <w:tc>
          <w:tcPr>
            <w:tcW w:w="850" w:type="dxa"/>
            <w:tcBorders>
              <w:top w:val="nil"/>
              <w:bottom w:val="nil"/>
            </w:tcBorders>
          </w:tcPr>
          <w:p w14:paraId="6D9E205A" w14:textId="77777777" w:rsidR="00771E0C" w:rsidRDefault="00771E0C" w:rsidP="00771E0C">
            <w:pPr>
              <w:autoSpaceDE w:val="0"/>
              <w:autoSpaceDN w:val="0"/>
              <w:adjustRightInd w:val="0"/>
              <w:jc w:val="right"/>
              <w:rPr>
                <w:rFonts w:ascii="Calibri" w:hAnsi="Calibri" w:cs="Calibri"/>
                <w:bCs/>
                <w:color w:val="000000"/>
                <w:sz w:val="22"/>
                <w:szCs w:val="22"/>
              </w:rPr>
            </w:pPr>
          </w:p>
        </w:tc>
      </w:tr>
      <w:tr w:rsidR="00771E0C" w:rsidRPr="001E383F" w14:paraId="4652C134" w14:textId="77777777" w:rsidTr="00771E0C">
        <w:trPr>
          <w:trHeight w:val="223"/>
        </w:trPr>
        <w:tc>
          <w:tcPr>
            <w:tcW w:w="5733" w:type="dxa"/>
            <w:tcBorders>
              <w:top w:val="nil"/>
              <w:left w:val="nil"/>
              <w:bottom w:val="nil"/>
            </w:tcBorders>
          </w:tcPr>
          <w:p w14:paraId="0CD0256A" w14:textId="77777777" w:rsidR="00771E0C" w:rsidRPr="001E383F" w:rsidRDefault="00771E0C" w:rsidP="00771E0C">
            <w:pPr>
              <w:autoSpaceDE w:val="0"/>
              <w:autoSpaceDN w:val="0"/>
              <w:adjustRightInd w:val="0"/>
              <w:rPr>
                <w:rFonts w:ascii="Calibri" w:hAnsi="Calibri" w:cs="Calibri"/>
                <w:color w:val="000000"/>
                <w:sz w:val="22"/>
                <w:szCs w:val="22"/>
              </w:rPr>
            </w:pPr>
            <w:r w:rsidRPr="001E383F">
              <w:rPr>
                <w:rFonts w:ascii="Calibri" w:hAnsi="Calibri" w:cs="Calibri"/>
                <w:color w:val="000000"/>
                <w:sz w:val="22"/>
                <w:szCs w:val="22"/>
              </w:rPr>
              <w:t>Diluted</w:t>
            </w:r>
            <w:r>
              <w:rPr>
                <w:rFonts w:ascii="Calibri" w:hAnsi="Calibri" w:cs="Calibri"/>
                <w:color w:val="000000"/>
                <w:sz w:val="22"/>
                <w:szCs w:val="22"/>
              </w:rPr>
              <w:t xml:space="preserve"> </w:t>
            </w:r>
            <w:r w:rsidRPr="001E383F">
              <w:rPr>
                <w:rFonts w:ascii="Calibri" w:hAnsi="Calibri" w:cs="Calibri"/>
                <w:color w:val="000000"/>
                <w:sz w:val="22"/>
                <w:szCs w:val="22"/>
              </w:rPr>
              <w:t>earnings per ordinary share (€)</w:t>
            </w:r>
          </w:p>
        </w:tc>
        <w:tc>
          <w:tcPr>
            <w:tcW w:w="2806" w:type="dxa"/>
            <w:tcBorders>
              <w:top w:val="nil"/>
              <w:bottom w:val="nil"/>
            </w:tcBorders>
            <w:shd w:val="clear" w:color="auto" w:fill="auto"/>
          </w:tcPr>
          <w:p w14:paraId="28380C01" w14:textId="77777777" w:rsidR="00771E0C" w:rsidRPr="001E383F" w:rsidRDefault="00771E0C" w:rsidP="00771E0C">
            <w:pPr>
              <w:autoSpaceDE w:val="0"/>
              <w:autoSpaceDN w:val="0"/>
              <w:adjustRightInd w:val="0"/>
              <w:jc w:val="right"/>
              <w:rPr>
                <w:rFonts w:ascii="Calibri" w:hAnsi="Calibri" w:cs="Calibri"/>
                <w:b/>
                <w:bCs/>
                <w:color w:val="000000"/>
                <w:sz w:val="22"/>
                <w:szCs w:val="22"/>
              </w:rPr>
            </w:pPr>
          </w:p>
        </w:tc>
        <w:tc>
          <w:tcPr>
            <w:tcW w:w="1276" w:type="dxa"/>
            <w:tcBorders>
              <w:top w:val="nil"/>
              <w:bottom w:val="nil"/>
            </w:tcBorders>
            <w:shd w:val="clear" w:color="auto" w:fill="auto"/>
          </w:tcPr>
          <w:p w14:paraId="09315A8F" w14:textId="70AB0932" w:rsidR="00771E0C" w:rsidRPr="005F68EA" w:rsidRDefault="005102A9" w:rsidP="005102A9">
            <w:pPr>
              <w:autoSpaceDE w:val="0"/>
              <w:autoSpaceDN w:val="0"/>
              <w:adjustRightInd w:val="0"/>
              <w:jc w:val="right"/>
              <w:rPr>
                <w:rFonts w:ascii="Calibri" w:hAnsi="Calibri" w:cs="Calibri"/>
                <w:b/>
                <w:bCs/>
                <w:color w:val="000000"/>
                <w:sz w:val="22"/>
                <w:szCs w:val="22"/>
              </w:rPr>
            </w:pPr>
            <w:r>
              <w:rPr>
                <w:rFonts w:ascii="Calibri" w:hAnsi="Calibri" w:cs="Calibri"/>
                <w:b/>
                <w:bCs/>
                <w:sz w:val="22"/>
                <w:szCs w:val="22"/>
              </w:rPr>
              <w:t>0.0784</w:t>
            </w:r>
          </w:p>
        </w:tc>
        <w:tc>
          <w:tcPr>
            <w:tcW w:w="1417" w:type="dxa"/>
            <w:tcBorders>
              <w:top w:val="nil"/>
              <w:bottom w:val="nil"/>
            </w:tcBorders>
            <w:shd w:val="clear" w:color="auto" w:fill="auto"/>
          </w:tcPr>
          <w:p w14:paraId="456BCB68" w14:textId="2CB9B0B1" w:rsidR="00771E0C" w:rsidRPr="00DB22BA" w:rsidRDefault="00F652F6" w:rsidP="00771E0C">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(0.0580)</w:t>
            </w:r>
          </w:p>
        </w:tc>
        <w:tc>
          <w:tcPr>
            <w:tcW w:w="1276" w:type="dxa"/>
            <w:tcBorders>
              <w:top w:val="nil"/>
              <w:bottom w:val="nil"/>
            </w:tcBorders>
          </w:tcPr>
          <w:p w14:paraId="53673C1B" w14:textId="44FF6C73" w:rsidR="00771E0C" w:rsidRPr="00A93AF2" w:rsidRDefault="00F652F6" w:rsidP="00771E0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1.1026</w:t>
            </w:r>
          </w:p>
        </w:tc>
        <w:tc>
          <w:tcPr>
            <w:tcW w:w="1276" w:type="dxa"/>
            <w:tcBorders>
              <w:top w:val="nil"/>
              <w:bottom w:val="nil"/>
            </w:tcBorders>
          </w:tcPr>
          <w:p w14:paraId="3A79C428" w14:textId="083578BB" w:rsidR="00771E0C" w:rsidRDefault="00771E0C" w:rsidP="00771E0C">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0.</w:t>
            </w:r>
            <w:r w:rsidR="00F652F6">
              <w:rPr>
                <w:rFonts w:ascii="Calibri" w:hAnsi="Calibri" w:cs="Calibri"/>
                <w:bCs/>
                <w:color w:val="000000"/>
                <w:sz w:val="22"/>
                <w:szCs w:val="22"/>
              </w:rPr>
              <w:t>9388</w:t>
            </w:r>
          </w:p>
        </w:tc>
        <w:tc>
          <w:tcPr>
            <w:tcW w:w="850" w:type="dxa"/>
            <w:tcBorders>
              <w:top w:val="nil"/>
              <w:bottom w:val="nil"/>
            </w:tcBorders>
          </w:tcPr>
          <w:p w14:paraId="6C66FF08" w14:textId="77777777" w:rsidR="00771E0C" w:rsidRDefault="00771E0C" w:rsidP="00771E0C">
            <w:pPr>
              <w:autoSpaceDE w:val="0"/>
              <w:autoSpaceDN w:val="0"/>
              <w:adjustRightInd w:val="0"/>
              <w:jc w:val="right"/>
              <w:rPr>
                <w:rFonts w:ascii="Calibri" w:hAnsi="Calibri" w:cs="Calibri"/>
                <w:bCs/>
                <w:color w:val="000000"/>
                <w:sz w:val="22"/>
                <w:szCs w:val="22"/>
              </w:rPr>
            </w:pPr>
          </w:p>
        </w:tc>
      </w:tr>
      <w:tr w:rsidR="00771E0C" w:rsidRPr="001E383F" w14:paraId="64152040" w14:textId="77777777" w:rsidTr="00771E0C">
        <w:trPr>
          <w:trHeight w:val="223"/>
        </w:trPr>
        <w:tc>
          <w:tcPr>
            <w:tcW w:w="5733" w:type="dxa"/>
            <w:tcBorders>
              <w:top w:val="nil"/>
              <w:left w:val="nil"/>
              <w:bottom w:val="nil"/>
            </w:tcBorders>
          </w:tcPr>
          <w:p w14:paraId="6FCAC5EC" w14:textId="77777777" w:rsidR="00771E0C" w:rsidRPr="001E383F" w:rsidRDefault="00771E0C" w:rsidP="00771E0C">
            <w:pPr>
              <w:autoSpaceDE w:val="0"/>
              <w:autoSpaceDN w:val="0"/>
              <w:adjustRightInd w:val="0"/>
              <w:rPr>
                <w:rFonts w:ascii="Calibri" w:hAnsi="Calibri" w:cs="Calibri"/>
                <w:color w:val="000000"/>
                <w:sz w:val="22"/>
                <w:szCs w:val="22"/>
              </w:rPr>
            </w:pPr>
            <w:r w:rsidRPr="001E383F">
              <w:rPr>
                <w:rFonts w:ascii="Calibri" w:hAnsi="Calibri" w:cs="Calibri"/>
                <w:color w:val="000000"/>
                <w:sz w:val="22"/>
                <w:szCs w:val="22"/>
              </w:rPr>
              <w:t>Weighted average number of ordinary shares (in M’s) – basic</w:t>
            </w:r>
          </w:p>
        </w:tc>
        <w:tc>
          <w:tcPr>
            <w:tcW w:w="2806" w:type="dxa"/>
            <w:tcBorders>
              <w:top w:val="nil"/>
              <w:bottom w:val="nil"/>
            </w:tcBorders>
            <w:shd w:val="clear" w:color="auto" w:fill="auto"/>
          </w:tcPr>
          <w:p w14:paraId="5117ED5D" w14:textId="77777777" w:rsidR="00771E0C" w:rsidRPr="001E383F" w:rsidRDefault="00771E0C" w:rsidP="00771E0C">
            <w:pPr>
              <w:autoSpaceDE w:val="0"/>
              <w:autoSpaceDN w:val="0"/>
              <w:adjustRightInd w:val="0"/>
              <w:jc w:val="right"/>
              <w:rPr>
                <w:rFonts w:ascii="Calibri" w:hAnsi="Calibri" w:cs="Calibri"/>
                <w:b/>
                <w:bCs/>
                <w:color w:val="000000"/>
                <w:sz w:val="22"/>
                <w:szCs w:val="22"/>
              </w:rPr>
            </w:pPr>
          </w:p>
        </w:tc>
        <w:tc>
          <w:tcPr>
            <w:tcW w:w="1276" w:type="dxa"/>
            <w:tcBorders>
              <w:top w:val="nil"/>
              <w:bottom w:val="nil"/>
            </w:tcBorders>
            <w:shd w:val="clear" w:color="auto" w:fill="auto"/>
          </w:tcPr>
          <w:p w14:paraId="1DF9E1BA" w14:textId="77CEDC52" w:rsidR="00771E0C" w:rsidRPr="005F68EA" w:rsidRDefault="00771E0C" w:rsidP="00771E0C">
            <w:pPr>
              <w:autoSpaceDE w:val="0"/>
              <w:autoSpaceDN w:val="0"/>
              <w:adjustRightInd w:val="0"/>
              <w:jc w:val="right"/>
              <w:rPr>
                <w:rFonts w:ascii="Calibri" w:hAnsi="Calibri" w:cs="Calibri"/>
                <w:b/>
                <w:bCs/>
                <w:color w:val="000000"/>
                <w:sz w:val="22"/>
                <w:szCs w:val="22"/>
              </w:rPr>
            </w:pPr>
            <w:r w:rsidRPr="00A93AF2">
              <w:rPr>
                <w:rFonts w:ascii="Calibri" w:hAnsi="Calibri" w:cs="Calibri"/>
                <w:b/>
                <w:bCs/>
                <w:sz w:val="22"/>
                <w:szCs w:val="22"/>
              </w:rPr>
              <w:t>1,</w:t>
            </w:r>
            <w:r w:rsidR="005102A9">
              <w:rPr>
                <w:rFonts w:ascii="Calibri" w:hAnsi="Calibri" w:cs="Calibri"/>
                <w:b/>
                <w:bCs/>
                <w:sz w:val="22"/>
                <w:szCs w:val="22"/>
              </w:rPr>
              <w:t>109.6</w:t>
            </w:r>
          </w:p>
        </w:tc>
        <w:tc>
          <w:tcPr>
            <w:tcW w:w="1417" w:type="dxa"/>
            <w:tcBorders>
              <w:top w:val="nil"/>
              <w:bottom w:val="nil"/>
            </w:tcBorders>
            <w:shd w:val="clear" w:color="auto" w:fill="auto"/>
          </w:tcPr>
          <w:p w14:paraId="1655675A" w14:textId="2FC1625B" w:rsidR="00771E0C" w:rsidRPr="00DB22BA" w:rsidRDefault="00F652F6" w:rsidP="00771E0C">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1,133.5</w:t>
            </w:r>
          </w:p>
        </w:tc>
        <w:tc>
          <w:tcPr>
            <w:tcW w:w="1276" w:type="dxa"/>
            <w:tcBorders>
              <w:top w:val="nil"/>
              <w:bottom w:val="nil"/>
            </w:tcBorders>
          </w:tcPr>
          <w:p w14:paraId="656AA5CF" w14:textId="7E378034" w:rsidR="00771E0C" w:rsidRPr="00A93AF2" w:rsidRDefault="00771E0C" w:rsidP="00771E0C">
            <w:pPr>
              <w:widowControl w:val="0"/>
              <w:autoSpaceDE w:val="0"/>
              <w:autoSpaceDN w:val="0"/>
              <w:adjustRightInd w:val="0"/>
              <w:jc w:val="right"/>
              <w:rPr>
                <w:rFonts w:ascii="Calibri" w:hAnsi="Calibri" w:cs="Calibri"/>
                <w:b/>
                <w:bCs/>
                <w:sz w:val="22"/>
                <w:szCs w:val="22"/>
              </w:rPr>
            </w:pPr>
            <w:r w:rsidRPr="00A93AF2">
              <w:rPr>
                <w:rFonts w:ascii="Calibri" w:hAnsi="Calibri" w:cs="Calibri"/>
                <w:b/>
                <w:bCs/>
                <w:sz w:val="22"/>
                <w:szCs w:val="22"/>
              </w:rPr>
              <w:t>1,</w:t>
            </w:r>
            <w:r w:rsidR="00F652F6">
              <w:rPr>
                <w:rFonts w:ascii="Calibri" w:hAnsi="Calibri" w:cs="Calibri"/>
                <w:b/>
                <w:bCs/>
                <w:sz w:val="22"/>
                <w:szCs w:val="22"/>
              </w:rPr>
              <w:t>119.8</w:t>
            </w:r>
          </w:p>
        </w:tc>
        <w:tc>
          <w:tcPr>
            <w:tcW w:w="1276" w:type="dxa"/>
            <w:tcBorders>
              <w:top w:val="nil"/>
              <w:bottom w:val="nil"/>
            </w:tcBorders>
          </w:tcPr>
          <w:p w14:paraId="4767E64B" w14:textId="4412EFB6" w:rsidR="00771E0C" w:rsidRDefault="00771E0C" w:rsidP="00771E0C">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1,1</w:t>
            </w:r>
            <w:r w:rsidR="00F652F6">
              <w:rPr>
                <w:rFonts w:ascii="Calibri" w:hAnsi="Calibri" w:cs="Calibri"/>
                <w:bCs/>
                <w:color w:val="000000"/>
                <w:sz w:val="22"/>
                <w:szCs w:val="22"/>
              </w:rPr>
              <w:t>46.9</w:t>
            </w:r>
          </w:p>
        </w:tc>
        <w:tc>
          <w:tcPr>
            <w:tcW w:w="850" w:type="dxa"/>
            <w:tcBorders>
              <w:top w:val="nil"/>
              <w:bottom w:val="nil"/>
            </w:tcBorders>
          </w:tcPr>
          <w:p w14:paraId="77FA9AE4" w14:textId="77777777" w:rsidR="00771E0C" w:rsidRDefault="00771E0C" w:rsidP="00771E0C">
            <w:pPr>
              <w:autoSpaceDE w:val="0"/>
              <w:autoSpaceDN w:val="0"/>
              <w:adjustRightInd w:val="0"/>
              <w:jc w:val="right"/>
              <w:rPr>
                <w:rFonts w:ascii="Calibri" w:hAnsi="Calibri" w:cs="Calibri"/>
                <w:bCs/>
                <w:color w:val="000000"/>
                <w:sz w:val="22"/>
                <w:szCs w:val="22"/>
              </w:rPr>
            </w:pPr>
          </w:p>
        </w:tc>
      </w:tr>
      <w:tr w:rsidR="00771E0C" w:rsidRPr="001E383F" w14:paraId="55681084" w14:textId="77777777" w:rsidTr="00771E0C">
        <w:trPr>
          <w:trHeight w:val="223"/>
        </w:trPr>
        <w:tc>
          <w:tcPr>
            <w:tcW w:w="5733" w:type="dxa"/>
            <w:tcBorders>
              <w:top w:val="nil"/>
              <w:left w:val="nil"/>
              <w:bottom w:val="nil"/>
            </w:tcBorders>
          </w:tcPr>
          <w:p w14:paraId="1983282B" w14:textId="410A436F" w:rsidR="00771E0C" w:rsidRPr="001E383F" w:rsidRDefault="00771E0C" w:rsidP="00A3268A">
            <w:pPr>
              <w:autoSpaceDE w:val="0"/>
              <w:autoSpaceDN w:val="0"/>
              <w:adjustRightInd w:val="0"/>
              <w:ind w:right="-224"/>
              <w:rPr>
                <w:rFonts w:ascii="Calibri" w:hAnsi="Calibri" w:cs="Calibri"/>
                <w:color w:val="000000"/>
                <w:sz w:val="22"/>
                <w:szCs w:val="22"/>
              </w:rPr>
            </w:pPr>
            <w:r w:rsidRPr="001E383F">
              <w:rPr>
                <w:rFonts w:ascii="Calibri" w:hAnsi="Calibri" w:cs="Calibri"/>
                <w:color w:val="000000"/>
                <w:sz w:val="22"/>
                <w:szCs w:val="22"/>
              </w:rPr>
              <w:t>Weighted average number of ordinary shares (in M’s) – diluted</w:t>
            </w:r>
          </w:p>
        </w:tc>
        <w:tc>
          <w:tcPr>
            <w:tcW w:w="2806" w:type="dxa"/>
            <w:tcBorders>
              <w:top w:val="nil"/>
              <w:bottom w:val="nil"/>
            </w:tcBorders>
            <w:shd w:val="clear" w:color="auto" w:fill="auto"/>
          </w:tcPr>
          <w:p w14:paraId="57A8C932" w14:textId="77777777" w:rsidR="00771E0C" w:rsidRPr="001E383F" w:rsidRDefault="00771E0C" w:rsidP="00771E0C">
            <w:pPr>
              <w:autoSpaceDE w:val="0"/>
              <w:autoSpaceDN w:val="0"/>
              <w:adjustRightInd w:val="0"/>
              <w:jc w:val="right"/>
              <w:rPr>
                <w:rFonts w:ascii="Calibri" w:hAnsi="Calibri" w:cs="Calibri"/>
                <w:b/>
                <w:bCs/>
                <w:color w:val="000000"/>
                <w:sz w:val="22"/>
                <w:szCs w:val="22"/>
              </w:rPr>
            </w:pPr>
          </w:p>
        </w:tc>
        <w:tc>
          <w:tcPr>
            <w:tcW w:w="1276" w:type="dxa"/>
            <w:tcBorders>
              <w:top w:val="nil"/>
              <w:bottom w:val="nil"/>
            </w:tcBorders>
            <w:shd w:val="clear" w:color="auto" w:fill="auto"/>
          </w:tcPr>
          <w:p w14:paraId="013B5943" w14:textId="69E4862C" w:rsidR="00771E0C" w:rsidRPr="005F68EA" w:rsidRDefault="00771E0C" w:rsidP="00771E0C">
            <w:pPr>
              <w:autoSpaceDE w:val="0"/>
              <w:autoSpaceDN w:val="0"/>
              <w:adjustRightInd w:val="0"/>
              <w:jc w:val="right"/>
              <w:rPr>
                <w:rFonts w:ascii="Calibri" w:hAnsi="Calibri" w:cs="Calibri"/>
                <w:b/>
                <w:bCs/>
                <w:color w:val="000000"/>
                <w:sz w:val="22"/>
                <w:szCs w:val="22"/>
              </w:rPr>
            </w:pPr>
            <w:r w:rsidRPr="00A93AF2">
              <w:rPr>
                <w:rFonts w:ascii="Calibri" w:hAnsi="Calibri" w:cs="Calibri"/>
                <w:b/>
                <w:bCs/>
                <w:sz w:val="22"/>
                <w:szCs w:val="22"/>
              </w:rPr>
              <w:t>1,1</w:t>
            </w:r>
            <w:r w:rsidR="00F652F6">
              <w:rPr>
                <w:rFonts w:ascii="Calibri" w:hAnsi="Calibri" w:cs="Calibri"/>
                <w:b/>
                <w:bCs/>
                <w:sz w:val="22"/>
                <w:szCs w:val="22"/>
              </w:rPr>
              <w:t>19.2</w:t>
            </w:r>
          </w:p>
        </w:tc>
        <w:tc>
          <w:tcPr>
            <w:tcW w:w="1417" w:type="dxa"/>
            <w:tcBorders>
              <w:top w:val="nil"/>
              <w:bottom w:val="nil"/>
            </w:tcBorders>
            <w:shd w:val="clear" w:color="auto" w:fill="auto"/>
          </w:tcPr>
          <w:p w14:paraId="5CDC0780" w14:textId="2EF92408" w:rsidR="00771E0C" w:rsidRPr="00DB22BA" w:rsidRDefault="00771E0C" w:rsidP="00771E0C">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w:t>
            </w:r>
            <w:r w:rsidR="00F652F6">
              <w:rPr>
                <w:rFonts w:ascii="Calibri" w:hAnsi="Calibri" w:cs="Calibri"/>
                <w:bCs/>
                <w:color w:val="000000"/>
                <w:sz w:val="22"/>
                <w:szCs w:val="22"/>
              </w:rPr>
              <w:t>139.8</w:t>
            </w:r>
          </w:p>
        </w:tc>
        <w:tc>
          <w:tcPr>
            <w:tcW w:w="1276" w:type="dxa"/>
            <w:tcBorders>
              <w:top w:val="nil"/>
              <w:bottom w:val="nil"/>
            </w:tcBorders>
          </w:tcPr>
          <w:p w14:paraId="0018A122" w14:textId="7BC8768D" w:rsidR="00771E0C" w:rsidRPr="00A93AF2" w:rsidRDefault="00771E0C" w:rsidP="00771E0C">
            <w:pPr>
              <w:widowControl w:val="0"/>
              <w:autoSpaceDE w:val="0"/>
              <w:autoSpaceDN w:val="0"/>
              <w:adjustRightInd w:val="0"/>
              <w:jc w:val="right"/>
              <w:rPr>
                <w:rFonts w:ascii="Calibri" w:hAnsi="Calibri" w:cs="Calibri"/>
                <w:b/>
                <w:bCs/>
                <w:sz w:val="22"/>
                <w:szCs w:val="22"/>
              </w:rPr>
            </w:pPr>
            <w:r w:rsidRPr="00A93AF2">
              <w:rPr>
                <w:rFonts w:ascii="Calibri" w:hAnsi="Calibri" w:cs="Calibri"/>
                <w:b/>
                <w:bCs/>
                <w:sz w:val="22"/>
                <w:szCs w:val="22"/>
              </w:rPr>
              <w:t>1,1</w:t>
            </w:r>
            <w:r w:rsidR="00F652F6">
              <w:rPr>
                <w:rFonts w:ascii="Calibri" w:hAnsi="Calibri" w:cs="Calibri"/>
                <w:b/>
                <w:bCs/>
                <w:sz w:val="22"/>
                <w:szCs w:val="22"/>
              </w:rPr>
              <w:t>25.0</w:t>
            </w:r>
          </w:p>
        </w:tc>
        <w:tc>
          <w:tcPr>
            <w:tcW w:w="1276" w:type="dxa"/>
            <w:tcBorders>
              <w:top w:val="nil"/>
              <w:bottom w:val="nil"/>
            </w:tcBorders>
          </w:tcPr>
          <w:p w14:paraId="4BEA35F2" w14:textId="5D2CE7BB" w:rsidR="00771E0C" w:rsidRDefault="00771E0C" w:rsidP="00771E0C">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1,1</w:t>
            </w:r>
            <w:r w:rsidR="00F652F6">
              <w:rPr>
                <w:rFonts w:ascii="Calibri" w:hAnsi="Calibri" w:cs="Calibri"/>
                <w:bCs/>
                <w:color w:val="000000"/>
                <w:sz w:val="22"/>
                <w:szCs w:val="22"/>
              </w:rPr>
              <w:t>55.3</w:t>
            </w:r>
          </w:p>
        </w:tc>
        <w:tc>
          <w:tcPr>
            <w:tcW w:w="850" w:type="dxa"/>
            <w:tcBorders>
              <w:top w:val="nil"/>
              <w:bottom w:val="nil"/>
            </w:tcBorders>
          </w:tcPr>
          <w:p w14:paraId="73245F47" w14:textId="77777777" w:rsidR="00771E0C" w:rsidRDefault="00771E0C" w:rsidP="00771E0C">
            <w:pPr>
              <w:autoSpaceDE w:val="0"/>
              <w:autoSpaceDN w:val="0"/>
              <w:adjustRightInd w:val="0"/>
              <w:jc w:val="right"/>
              <w:rPr>
                <w:rFonts w:ascii="Calibri" w:hAnsi="Calibri" w:cs="Calibri"/>
                <w:bCs/>
                <w:color w:val="000000"/>
                <w:sz w:val="22"/>
                <w:szCs w:val="22"/>
              </w:rPr>
            </w:pPr>
          </w:p>
        </w:tc>
      </w:tr>
    </w:tbl>
    <w:p w14:paraId="589F17DF" w14:textId="7B02F5D4" w:rsidR="006E679D" w:rsidRDefault="006E679D" w:rsidP="006E679D">
      <w:pPr>
        <w:autoSpaceDE w:val="0"/>
        <w:autoSpaceDN w:val="0"/>
        <w:adjustRightInd w:val="0"/>
        <w:spacing w:before="120" w:line="300" w:lineRule="exact"/>
        <w:ind w:right="-23"/>
        <w:jc w:val="both"/>
        <w:rPr>
          <w:rFonts w:ascii="Calibri" w:hAnsi="Calibri" w:cs="Calibri"/>
          <w:sz w:val="22"/>
          <w:szCs w:val="22"/>
        </w:rPr>
      </w:pPr>
      <w:bookmarkStart w:id="18" w:name="_Hlk527705731"/>
      <w:bookmarkStart w:id="19" w:name="_Hlk536721886"/>
      <w:bookmarkStart w:id="20" w:name="_Hlk496863591"/>
      <w:r w:rsidRPr="00DB22BA">
        <w:rPr>
          <w:rFonts w:ascii="Calibri" w:hAnsi="Calibri" w:cs="Calibri"/>
          <w:sz w:val="22"/>
          <w:szCs w:val="22"/>
        </w:rPr>
        <w:t xml:space="preserve">Diluted earnings per share takes account of the potential future exercises of share options granted under the Company’s share option schemes and the weighted average number of shares includes weighted average share options assumed to be converted </w:t>
      </w:r>
      <w:r w:rsidRPr="006D47A8">
        <w:rPr>
          <w:rFonts w:ascii="Calibri" w:hAnsi="Calibri" w:cs="Calibri"/>
          <w:sz w:val="22"/>
          <w:szCs w:val="22"/>
        </w:rPr>
        <w:t>of</w:t>
      </w:r>
      <w:r>
        <w:rPr>
          <w:rFonts w:ascii="Calibri" w:hAnsi="Calibri" w:cs="Calibri"/>
          <w:sz w:val="22"/>
          <w:szCs w:val="22"/>
        </w:rPr>
        <w:t xml:space="preserve"> €</w:t>
      </w:r>
      <w:r w:rsidR="00F652F6">
        <w:rPr>
          <w:rFonts w:ascii="Calibri" w:hAnsi="Calibri" w:cs="Calibri"/>
          <w:sz w:val="22"/>
          <w:szCs w:val="22"/>
        </w:rPr>
        <w:t>5.3</w:t>
      </w:r>
      <w:r w:rsidRPr="006D47A8">
        <w:rPr>
          <w:rFonts w:ascii="Calibri" w:hAnsi="Calibri" w:cs="Calibri"/>
          <w:sz w:val="22"/>
          <w:szCs w:val="22"/>
        </w:rPr>
        <w:t>M</w:t>
      </w:r>
      <w:r w:rsidRPr="00A5762B">
        <w:rPr>
          <w:rFonts w:ascii="Calibri" w:hAnsi="Calibri" w:cs="Calibri"/>
          <w:sz w:val="22"/>
          <w:szCs w:val="22"/>
        </w:rPr>
        <w:t xml:space="preserve"> (2018</w:t>
      </w:r>
      <w:r w:rsidRPr="00DB22BA">
        <w:rPr>
          <w:rFonts w:ascii="Calibri" w:hAnsi="Calibri" w:cs="Calibri"/>
          <w:sz w:val="22"/>
          <w:szCs w:val="22"/>
        </w:rPr>
        <w:t xml:space="preserve">: </w:t>
      </w:r>
      <w:r>
        <w:rPr>
          <w:rFonts w:ascii="Calibri" w:hAnsi="Calibri" w:cs="Calibri"/>
          <w:sz w:val="22"/>
          <w:szCs w:val="22"/>
        </w:rPr>
        <w:t>€</w:t>
      </w:r>
      <w:r w:rsidR="00F652F6">
        <w:rPr>
          <w:rFonts w:ascii="Calibri" w:hAnsi="Calibri" w:cs="Calibri"/>
          <w:sz w:val="22"/>
          <w:szCs w:val="22"/>
        </w:rPr>
        <w:t>8.4</w:t>
      </w:r>
      <w:r w:rsidRPr="00DB22BA">
        <w:rPr>
          <w:rFonts w:ascii="Calibri" w:hAnsi="Calibri" w:cs="Calibri"/>
          <w:sz w:val="22"/>
          <w:szCs w:val="22"/>
        </w:rPr>
        <w:t>M).</w:t>
      </w:r>
    </w:p>
    <w:p w14:paraId="6A63A8EA" w14:textId="77777777" w:rsidR="006E679D" w:rsidRDefault="006E679D" w:rsidP="006E679D">
      <w:pPr>
        <w:autoSpaceDE w:val="0"/>
        <w:autoSpaceDN w:val="0"/>
        <w:adjustRightInd w:val="0"/>
        <w:spacing w:before="120" w:line="300" w:lineRule="exact"/>
        <w:ind w:right="-23"/>
        <w:jc w:val="both"/>
        <w:rPr>
          <w:rFonts w:ascii="Calibri" w:hAnsi="Calibri" w:cs="Calibri"/>
          <w:sz w:val="22"/>
          <w:szCs w:val="22"/>
        </w:rPr>
      </w:pPr>
    </w:p>
    <w:p w14:paraId="442B6CF9" w14:textId="77777777" w:rsidR="00F652F6" w:rsidRPr="002F2889" w:rsidRDefault="00F652F6" w:rsidP="00F652F6">
      <w:pPr>
        <w:pStyle w:val="Outline3L1"/>
        <w:numPr>
          <w:ilvl w:val="0"/>
          <w:numId w:val="0"/>
        </w:numPr>
        <w:spacing w:after="120"/>
        <w:rPr>
          <w:rFonts w:ascii="Calibri" w:hAnsi="Calibri" w:cs="Calibri"/>
          <w:b/>
          <w:sz w:val="22"/>
          <w:szCs w:val="22"/>
        </w:rPr>
      </w:pPr>
      <w:bookmarkStart w:id="21" w:name="_Hlk527705971"/>
      <w:bookmarkStart w:id="22" w:name="_Hlk483400216"/>
      <w:bookmarkEnd w:id="18"/>
      <w:bookmarkEnd w:id="19"/>
      <w:r w:rsidRPr="002F2889">
        <w:rPr>
          <w:rFonts w:ascii="Calibri" w:hAnsi="Calibri" w:cs="Calibri"/>
          <w:b/>
          <w:sz w:val="22"/>
          <w:szCs w:val="22"/>
        </w:rPr>
        <w:t>10.</w:t>
      </w:r>
      <w:r w:rsidRPr="002F2889">
        <w:rPr>
          <w:rFonts w:ascii="Calibri" w:hAnsi="Calibri" w:cs="Calibri"/>
          <w:b/>
          <w:sz w:val="22"/>
          <w:szCs w:val="22"/>
        </w:rPr>
        <w:tab/>
        <w:t>Property, plant and equipment</w:t>
      </w:r>
    </w:p>
    <w:p w14:paraId="51006D6A" w14:textId="77777777" w:rsidR="00F652F6" w:rsidRPr="002F2889" w:rsidRDefault="00F652F6" w:rsidP="00F652F6">
      <w:pPr>
        <w:autoSpaceDE w:val="0"/>
        <w:autoSpaceDN w:val="0"/>
        <w:adjustRightInd w:val="0"/>
        <w:spacing w:after="120"/>
        <w:ind w:right="-23"/>
        <w:jc w:val="both"/>
        <w:rPr>
          <w:rFonts w:ascii="Calibri" w:hAnsi="Calibri" w:cs="Calibri"/>
          <w:i/>
          <w:sz w:val="22"/>
          <w:szCs w:val="22"/>
        </w:rPr>
      </w:pPr>
      <w:r w:rsidRPr="002F2889">
        <w:rPr>
          <w:rFonts w:ascii="Calibri" w:hAnsi="Calibri" w:cs="Calibri"/>
          <w:i/>
          <w:sz w:val="22"/>
          <w:szCs w:val="22"/>
        </w:rPr>
        <w:t>Acquisitions and disposals</w:t>
      </w:r>
    </w:p>
    <w:p w14:paraId="187256FF" w14:textId="77777777" w:rsidR="00F652F6" w:rsidRPr="002F2889" w:rsidRDefault="00F652F6" w:rsidP="00F652F6">
      <w:pPr>
        <w:autoSpaceDE w:val="0"/>
        <w:autoSpaceDN w:val="0"/>
        <w:adjustRightInd w:val="0"/>
        <w:spacing w:line="300" w:lineRule="exact"/>
        <w:ind w:right="-24"/>
        <w:jc w:val="both"/>
        <w:rPr>
          <w:rFonts w:ascii="Calibri" w:hAnsi="Calibri" w:cs="Calibri"/>
          <w:sz w:val="22"/>
          <w:szCs w:val="22"/>
        </w:rPr>
      </w:pPr>
      <w:r w:rsidRPr="002F2889">
        <w:rPr>
          <w:rFonts w:ascii="Calibri" w:hAnsi="Calibri" w:cs="Calibri"/>
          <w:sz w:val="22"/>
          <w:szCs w:val="22"/>
        </w:rPr>
        <w:t xml:space="preserve">Capital expenditure in the </w:t>
      </w:r>
      <w:r>
        <w:rPr>
          <w:rFonts w:ascii="Calibri" w:hAnsi="Calibri" w:cs="Calibri"/>
          <w:sz w:val="22"/>
          <w:szCs w:val="22"/>
        </w:rPr>
        <w:t>nine</w:t>
      </w:r>
      <w:r w:rsidRPr="002F2889">
        <w:rPr>
          <w:rFonts w:ascii="Calibri" w:hAnsi="Calibri" w:cs="Calibri"/>
          <w:sz w:val="22"/>
          <w:szCs w:val="22"/>
        </w:rPr>
        <w:t>-</w:t>
      </w:r>
      <w:r>
        <w:rPr>
          <w:rFonts w:ascii="Calibri" w:hAnsi="Calibri" w:cs="Calibri"/>
          <w:sz w:val="22"/>
          <w:szCs w:val="22"/>
        </w:rPr>
        <w:t>months</w:t>
      </w:r>
      <w:r w:rsidRPr="002F2889">
        <w:rPr>
          <w:rFonts w:ascii="Calibri" w:hAnsi="Calibri" w:cs="Calibri"/>
          <w:sz w:val="22"/>
          <w:szCs w:val="22"/>
        </w:rPr>
        <w:t xml:space="preserve"> ended December 31, 2019 amounted to €</w:t>
      </w:r>
      <w:r>
        <w:rPr>
          <w:rFonts w:ascii="Calibri" w:hAnsi="Calibri" w:cs="Calibri"/>
          <w:sz w:val="22"/>
          <w:szCs w:val="22"/>
        </w:rPr>
        <w:t xml:space="preserve">1,375.1M </w:t>
      </w:r>
      <w:r w:rsidRPr="002F2889">
        <w:rPr>
          <w:rFonts w:ascii="Calibri" w:hAnsi="Calibri" w:cs="Calibri"/>
          <w:sz w:val="22"/>
          <w:szCs w:val="22"/>
        </w:rPr>
        <w:t xml:space="preserve">and primarily relates to aircraft deposits, spare engines, simulators and heavy maintenance checks. </w:t>
      </w:r>
    </w:p>
    <w:p w14:paraId="75804628" w14:textId="77777777" w:rsidR="00F652F6" w:rsidRPr="00961368" w:rsidRDefault="00F652F6" w:rsidP="00F652F6">
      <w:pPr>
        <w:autoSpaceDE w:val="0"/>
        <w:autoSpaceDN w:val="0"/>
        <w:adjustRightInd w:val="0"/>
        <w:spacing w:line="300" w:lineRule="exact"/>
        <w:ind w:right="-24"/>
        <w:jc w:val="both"/>
        <w:rPr>
          <w:rFonts w:ascii="Calibri" w:hAnsi="Calibri" w:cs="Calibri"/>
          <w:b/>
          <w:sz w:val="22"/>
          <w:szCs w:val="22"/>
          <w:highlight w:val="yellow"/>
        </w:rPr>
      </w:pPr>
    </w:p>
    <w:p w14:paraId="55105E59" w14:textId="77777777" w:rsidR="00F652F6" w:rsidRPr="000B51D5" w:rsidRDefault="00F652F6" w:rsidP="00F652F6">
      <w:pPr>
        <w:autoSpaceDE w:val="0"/>
        <w:autoSpaceDN w:val="0"/>
        <w:adjustRightInd w:val="0"/>
        <w:spacing w:line="300" w:lineRule="exact"/>
        <w:ind w:right="-24"/>
        <w:jc w:val="both"/>
        <w:rPr>
          <w:rFonts w:ascii="Calibri" w:hAnsi="Calibri" w:cs="Calibri"/>
          <w:b/>
          <w:sz w:val="22"/>
          <w:szCs w:val="22"/>
        </w:rPr>
      </w:pPr>
      <w:r w:rsidRPr="000B51D5">
        <w:rPr>
          <w:rFonts w:ascii="Calibri" w:hAnsi="Calibri" w:cs="Calibri"/>
          <w:b/>
          <w:sz w:val="22"/>
          <w:szCs w:val="22"/>
        </w:rPr>
        <w:t>11.</w:t>
      </w:r>
      <w:r w:rsidRPr="000B51D5">
        <w:rPr>
          <w:rFonts w:ascii="Calibri" w:hAnsi="Calibri" w:cs="Calibri"/>
          <w:b/>
          <w:sz w:val="22"/>
          <w:szCs w:val="22"/>
        </w:rPr>
        <w:tab/>
        <w:t>Assets held for sale</w:t>
      </w:r>
    </w:p>
    <w:p w14:paraId="700052DF" w14:textId="77777777" w:rsidR="00F652F6" w:rsidRPr="000B51D5" w:rsidRDefault="00F652F6" w:rsidP="00F652F6">
      <w:pPr>
        <w:autoSpaceDE w:val="0"/>
        <w:autoSpaceDN w:val="0"/>
        <w:adjustRightInd w:val="0"/>
        <w:spacing w:line="300" w:lineRule="exact"/>
        <w:ind w:right="-24"/>
        <w:jc w:val="both"/>
        <w:rPr>
          <w:rFonts w:ascii="Calibri" w:hAnsi="Calibri" w:cs="Calibri"/>
          <w:sz w:val="22"/>
          <w:szCs w:val="22"/>
        </w:rPr>
      </w:pPr>
      <w:r w:rsidRPr="000B51D5">
        <w:rPr>
          <w:rFonts w:ascii="Calibri" w:hAnsi="Calibri" w:cs="Calibri"/>
          <w:sz w:val="22"/>
          <w:szCs w:val="22"/>
        </w:rPr>
        <w:t>In August 2019, the Company entered into an agreement to sell 10 Boeing 737-800 aircraft for delivery in FY20 and FY21</w:t>
      </w:r>
      <w:r>
        <w:rPr>
          <w:rFonts w:ascii="Calibri" w:hAnsi="Calibri" w:cs="Calibri"/>
          <w:sz w:val="22"/>
          <w:szCs w:val="22"/>
        </w:rPr>
        <w:t xml:space="preserve">. 3 of these aircraft were sold in the quarter ended December 31, 2019. The remaining 7 aircraft are </w:t>
      </w:r>
      <w:r w:rsidRPr="000B51D5">
        <w:rPr>
          <w:rFonts w:ascii="Calibri" w:hAnsi="Calibri" w:cs="Calibri"/>
          <w:sz w:val="22"/>
          <w:szCs w:val="22"/>
        </w:rPr>
        <w:t>presented as assets held for sale as at December 31, 2019 and are stated at the lower of their carrying amount and fair value less costs to sell.</w:t>
      </w:r>
      <w:bookmarkEnd w:id="21"/>
    </w:p>
    <w:p w14:paraId="57782D58" w14:textId="77777777" w:rsidR="00F652F6" w:rsidRDefault="00F652F6" w:rsidP="00F652F6">
      <w:pPr>
        <w:autoSpaceDE w:val="0"/>
        <w:autoSpaceDN w:val="0"/>
        <w:adjustRightInd w:val="0"/>
        <w:spacing w:line="300" w:lineRule="exact"/>
        <w:ind w:right="-24"/>
        <w:jc w:val="both"/>
        <w:rPr>
          <w:rFonts w:ascii="Calibri" w:hAnsi="Calibri" w:cs="Calibri"/>
          <w:b/>
          <w:sz w:val="22"/>
          <w:szCs w:val="22"/>
        </w:rPr>
      </w:pPr>
    </w:p>
    <w:p w14:paraId="38707E62" w14:textId="77777777" w:rsidR="00F652F6" w:rsidRPr="00304967" w:rsidRDefault="00F652F6" w:rsidP="00F652F6">
      <w:pPr>
        <w:autoSpaceDE w:val="0"/>
        <w:autoSpaceDN w:val="0"/>
        <w:adjustRightInd w:val="0"/>
        <w:spacing w:line="300" w:lineRule="exact"/>
        <w:ind w:right="-24"/>
        <w:jc w:val="both"/>
        <w:rPr>
          <w:rFonts w:ascii="Calibri" w:hAnsi="Calibri" w:cs="Calibri"/>
          <w:sz w:val="22"/>
          <w:szCs w:val="22"/>
        </w:rPr>
      </w:pPr>
      <w:r w:rsidRPr="00304967">
        <w:rPr>
          <w:rFonts w:ascii="Calibri" w:hAnsi="Calibri" w:cs="Calibri"/>
          <w:b/>
          <w:sz w:val="22"/>
          <w:szCs w:val="22"/>
        </w:rPr>
        <w:t>12.</w:t>
      </w:r>
      <w:r w:rsidRPr="00304967">
        <w:rPr>
          <w:rFonts w:ascii="Calibri" w:hAnsi="Calibri" w:cs="Calibri"/>
          <w:sz w:val="22"/>
          <w:szCs w:val="22"/>
        </w:rPr>
        <w:tab/>
      </w:r>
      <w:r w:rsidRPr="00304967">
        <w:rPr>
          <w:rFonts w:ascii="Calibri" w:hAnsi="Calibri" w:cs="Calibri"/>
          <w:b/>
          <w:sz w:val="22"/>
          <w:szCs w:val="22"/>
        </w:rPr>
        <w:t xml:space="preserve">Financial instruments and financial risk management </w:t>
      </w:r>
    </w:p>
    <w:p w14:paraId="4EAD4147" w14:textId="77777777" w:rsidR="00F652F6" w:rsidRPr="00304967" w:rsidRDefault="00F652F6" w:rsidP="00F652F6">
      <w:pPr>
        <w:autoSpaceDE w:val="0"/>
        <w:autoSpaceDN w:val="0"/>
        <w:adjustRightInd w:val="0"/>
        <w:jc w:val="both"/>
        <w:rPr>
          <w:rFonts w:ascii="Calibri" w:eastAsia="Calibri" w:hAnsi="Calibri" w:cs="Calibri"/>
          <w:sz w:val="22"/>
          <w:szCs w:val="22"/>
        </w:rPr>
      </w:pPr>
      <w:bookmarkStart w:id="23" w:name="_Hlk527706049"/>
      <w:r w:rsidRPr="00304967">
        <w:rPr>
          <w:rFonts w:ascii="Calibri" w:eastAsia="Calibri" w:hAnsi="Calibri" w:cs="Calibri"/>
          <w:sz w:val="22"/>
          <w:szCs w:val="22"/>
        </w:rPr>
        <w:t xml:space="preserve">The Group is exposed to various financial risks arising in the normal course of business. The Group’s financial risk exposures are predominantly related to </w:t>
      </w:r>
      <w:r w:rsidRPr="00304967">
        <w:rPr>
          <w:rFonts w:ascii="Calibri" w:hAnsi="Calibri" w:cs="Calibri"/>
          <w:sz w:val="22"/>
          <w:szCs w:val="22"/>
        </w:rPr>
        <w:t xml:space="preserve">commodity price, foreign exchange and interest rate risks. The Group uses financial instruments to manage exposures arising from these risks. </w:t>
      </w:r>
      <w:r w:rsidRPr="00304967">
        <w:rPr>
          <w:rFonts w:ascii="Calibri" w:eastAsia="Calibri" w:hAnsi="Calibri" w:cs="Calibri"/>
          <w:sz w:val="22"/>
          <w:szCs w:val="22"/>
        </w:rPr>
        <w:t xml:space="preserve"> </w:t>
      </w:r>
    </w:p>
    <w:p w14:paraId="67AE2C2A" w14:textId="77777777" w:rsidR="00F652F6" w:rsidRPr="00304967" w:rsidRDefault="00F652F6" w:rsidP="00F652F6">
      <w:pPr>
        <w:autoSpaceDE w:val="0"/>
        <w:autoSpaceDN w:val="0"/>
        <w:adjustRightInd w:val="0"/>
        <w:jc w:val="both"/>
        <w:rPr>
          <w:rFonts w:ascii="Calibri" w:eastAsia="Calibri" w:hAnsi="Calibri" w:cs="Calibri"/>
          <w:sz w:val="22"/>
          <w:szCs w:val="22"/>
        </w:rPr>
      </w:pPr>
    </w:p>
    <w:p w14:paraId="1FE12C43" w14:textId="77777777" w:rsidR="00F652F6" w:rsidRPr="00304967" w:rsidRDefault="00F652F6" w:rsidP="00F652F6">
      <w:pPr>
        <w:autoSpaceDE w:val="0"/>
        <w:autoSpaceDN w:val="0"/>
        <w:adjustRightInd w:val="0"/>
        <w:jc w:val="both"/>
        <w:rPr>
          <w:rFonts w:ascii="Calibri" w:eastAsia="Calibri" w:hAnsi="Calibri" w:cs="Calibri"/>
          <w:sz w:val="22"/>
          <w:szCs w:val="22"/>
        </w:rPr>
      </w:pPr>
      <w:r w:rsidRPr="00304967">
        <w:rPr>
          <w:rFonts w:ascii="Calibri" w:eastAsia="Calibri" w:hAnsi="Calibri" w:cs="Calibri"/>
          <w:sz w:val="22"/>
          <w:szCs w:val="22"/>
        </w:rPr>
        <w:t xml:space="preserve">These interim financial statements do not include all financial risk management information and disclosures required in the annual financial </w:t>
      </w:r>
      <w:proofErr w:type="gramStart"/>
      <w:r w:rsidRPr="00304967">
        <w:rPr>
          <w:rFonts w:ascii="Calibri" w:eastAsia="Calibri" w:hAnsi="Calibri" w:cs="Calibri"/>
          <w:sz w:val="22"/>
          <w:szCs w:val="22"/>
        </w:rPr>
        <w:t>statements, and</w:t>
      </w:r>
      <w:proofErr w:type="gramEnd"/>
      <w:r w:rsidRPr="00304967">
        <w:rPr>
          <w:rFonts w:ascii="Calibri" w:eastAsia="Calibri" w:hAnsi="Calibri" w:cs="Calibri"/>
          <w:sz w:val="22"/>
          <w:szCs w:val="22"/>
        </w:rPr>
        <w:t xml:space="preserve"> should be read in conjunction with the </w:t>
      </w:r>
      <w:r>
        <w:rPr>
          <w:rFonts w:ascii="Calibri" w:eastAsia="Calibri" w:hAnsi="Calibri" w:cs="Calibri"/>
          <w:sz w:val="22"/>
          <w:szCs w:val="22"/>
        </w:rPr>
        <w:t xml:space="preserve">Ryanair </w:t>
      </w:r>
      <w:r w:rsidRPr="00304967">
        <w:rPr>
          <w:rFonts w:ascii="Calibri" w:eastAsia="Calibri" w:hAnsi="Calibri" w:cs="Calibri"/>
          <w:sz w:val="22"/>
          <w:szCs w:val="22"/>
        </w:rPr>
        <w:t xml:space="preserve">2019 Annual Report. There have been no changes in our risk management policies </w:t>
      </w:r>
      <w:r>
        <w:rPr>
          <w:rFonts w:ascii="Calibri" w:eastAsia="Calibri" w:hAnsi="Calibri" w:cs="Calibri"/>
          <w:sz w:val="22"/>
          <w:szCs w:val="22"/>
        </w:rPr>
        <w:t>during</w:t>
      </w:r>
      <w:r w:rsidRPr="00304967">
        <w:rPr>
          <w:rFonts w:ascii="Calibri" w:eastAsia="Calibri" w:hAnsi="Calibri" w:cs="Calibri"/>
          <w:sz w:val="22"/>
          <w:szCs w:val="22"/>
        </w:rPr>
        <w:t xml:space="preserve"> the year.</w:t>
      </w:r>
    </w:p>
    <w:p w14:paraId="1C6BDA7D" w14:textId="77777777" w:rsidR="00F652F6" w:rsidRPr="00304967" w:rsidRDefault="00F652F6" w:rsidP="00F652F6">
      <w:pPr>
        <w:autoSpaceDE w:val="0"/>
        <w:autoSpaceDN w:val="0"/>
        <w:adjustRightInd w:val="0"/>
        <w:jc w:val="both"/>
        <w:rPr>
          <w:rFonts w:ascii="Calibri" w:eastAsia="Calibri" w:hAnsi="Calibri" w:cs="Calibri"/>
          <w:b/>
          <w:bCs/>
          <w:i/>
          <w:iCs/>
          <w:sz w:val="22"/>
          <w:szCs w:val="22"/>
        </w:rPr>
      </w:pPr>
    </w:p>
    <w:p w14:paraId="70A9A035" w14:textId="77777777" w:rsidR="00F652F6" w:rsidRPr="00304967" w:rsidRDefault="00F652F6" w:rsidP="00F652F6">
      <w:pPr>
        <w:autoSpaceDE w:val="0"/>
        <w:autoSpaceDN w:val="0"/>
        <w:adjustRightInd w:val="0"/>
        <w:spacing w:after="120"/>
        <w:jc w:val="both"/>
        <w:rPr>
          <w:rFonts w:ascii="Calibri" w:eastAsia="Calibri" w:hAnsi="Calibri" w:cs="Calibri"/>
          <w:b/>
          <w:bCs/>
          <w:i/>
          <w:iCs/>
          <w:sz w:val="22"/>
          <w:szCs w:val="22"/>
        </w:rPr>
      </w:pPr>
      <w:r w:rsidRPr="00304967">
        <w:rPr>
          <w:rFonts w:ascii="Calibri" w:eastAsia="Calibri" w:hAnsi="Calibri" w:cs="Calibri"/>
          <w:b/>
          <w:bCs/>
          <w:i/>
          <w:iCs/>
          <w:sz w:val="22"/>
          <w:szCs w:val="22"/>
        </w:rPr>
        <w:t>Fair value hierarchy</w:t>
      </w:r>
    </w:p>
    <w:p w14:paraId="3674174D" w14:textId="77777777" w:rsidR="00F652F6" w:rsidRPr="00304967" w:rsidRDefault="00F652F6" w:rsidP="00F652F6">
      <w:pPr>
        <w:spacing w:line="276" w:lineRule="auto"/>
        <w:jc w:val="both"/>
        <w:rPr>
          <w:rFonts w:ascii="Calibri" w:eastAsia="MS Mincho" w:hAnsi="Calibri" w:cs="Calibri"/>
          <w:sz w:val="22"/>
          <w:szCs w:val="22"/>
          <w:lang w:val="en-US"/>
        </w:rPr>
      </w:pPr>
      <w:r w:rsidRPr="00304967">
        <w:rPr>
          <w:rFonts w:ascii="Calibri" w:hAnsi="Calibri" w:cs="Calibri"/>
          <w:sz w:val="22"/>
          <w:szCs w:val="22"/>
        </w:rPr>
        <w:t>Financial instruments measured at fair value in the balance sheet are categorised by the type of valuation method used. The different valuation levels are defined as follows:</w:t>
      </w:r>
    </w:p>
    <w:p w14:paraId="1EAEBD2A" w14:textId="77777777" w:rsidR="00F652F6" w:rsidRPr="00304967" w:rsidRDefault="00F652F6" w:rsidP="00F652F6">
      <w:pPr>
        <w:pStyle w:val="CG-SingleSp05s2"/>
        <w:numPr>
          <w:ilvl w:val="0"/>
          <w:numId w:val="5"/>
        </w:numPr>
        <w:tabs>
          <w:tab w:val="clear" w:pos="567"/>
          <w:tab w:val="num" w:pos="-284"/>
        </w:tabs>
        <w:spacing w:after="0"/>
        <w:ind w:left="0" w:firstLine="0"/>
        <w:rPr>
          <w:rFonts w:ascii="Calibri" w:hAnsi="Calibri" w:cs="Calibri"/>
          <w:szCs w:val="22"/>
        </w:rPr>
      </w:pPr>
      <w:r w:rsidRPr="00304967">
        <w:rPr>
          <w:rFonts w:ascii="Calibri" w:hAnsi="Calibri" w:cs="Calibri"/>
          <w:szCs w:val="22"/>
        </w:rPr>
        <w:lastRenderedPageBreak/>
        <w:t>Level 1: quoted prices (unadjusted) in active markets for identical assets or liabilities that the Group can access at the measurement date.</w:t>
      </w:r>
    </w:p>
    <w:p w14:paraId="309BC615" w14:textId="77777777" w:rsidR="00F652F6" w:rsidRPr="00304967" w:rsidRDefault="00F652F6" w:rsidP="00F652F6">
      <w:pPr>
        <w:pStyle w:val="CG-SingleSp05s2"/>
        <w:numPr>
          <w:ilvl w:val="0"/>
          <w:numId w:val="5"/>
        </w:numPr>
        <w:tabs>
          <w:tab w:val="clear" w:pos="567"/>
          <w:tab w:val="num" w:pos="-284"/>
        </w:tabs>
        <w:spacing w:after="0"/>
        <w:ind w:left="0" w:firstLine="0"/>
        <w:rPr>
          <w:rFonts w:ascii="Calibri" w:hAnsi="Calibri" w:cs="Calibri"/>
          <w:szCs w:val="22"/>
        </w:rPr>
      </w:pPr>
      <w:r w:rsidRPr="00304967">
        <w:rPr>
          <w:rFonts w:ascii="Calibri" w:hAnsi="Calibri" w:cs="Calibri"/>
          <w:szCs w:val="22"/>
        </w:rPr>
        <w:t>Level 2: inputs other than quoted prices included within Level 1 that are observable for that asset or liability, either directly or indirectly.</w:t>
      </w:r>
    </w:p>
    <w:p w14:paraId="630AD497" w14:textId="77777777" w:rsidR="00F652F6" w:rsidRPr="00304967" w:rsidRDefault="00F652F6" w:rsidP="00F652F6">
      <w:pPr>
        <w:pStyle w:val="CG-SingleSp05s2"/>
        <w:numPr>
          <w:ilvl w:val="0"/>
          <w:numId w:val="5"/>
        </w:numPr>
        <w:tabs>
          <w:tab w:val="clear" w:pos="567"/>
          <w:tab w:val="num" w:pos="-284"/>
        </w:tabs>
        <w:spacing w:after="0"/>
        <w:ind w:left="0" w:firstLine="0"/>
        <w:rPr>
          <w:rFonts w:ascii="Calibri" w:hAnsi="Calibri" w:cs="Calibri"/>
          <w:szCs w:val="22"/>
        </w:rPr>
      </w:pPr>
      <w:r w:rsidRPr="00304967">
        <w:rPr>
          <w:rFonts w:ascii="Calibri" w:hAnsi="Calibri" w:cs="Calibri"/>
          <w:szCs w:val="22"/>
        </w:rPr>
        <w:t>Level 3: significant unobservable inputs for the asset or liability.</w:t>
      </w:r>
    </w:p>
    <w:p w14:paraId="318A9134" w14:textId="77777777" w:rsidR="00F652F6" w:rsidRDefault="00F652F6" w:rsidP="00F652F6">
      <w:pPr>
        <w:autoSpaceDE w:val="0"/>
        <w:autoSpaceDN w:val="0"/>
        <w:adjustRightInd w:val="0"/>
        <w:spacing w:before="240" w:after="120"/>
        <w:jc w:val="both"/>
        <w:rPr>
          <w:rFonts w:ascii="Calibri" w:eastAsia="Calibri" w:hAnsi="Calibri" w:cs="Calibri"/>
          <w:b/>
          <w:bCs/>
          <w:i/>
          <w:iCs/>
          <w:sz w:val="22"/>
          <w:szCs w:val="22"/>
        </w:rPr>
      </w:pPr>
    </w:p>
    <w:p w14:paraId="2BF14465" w14:textId="77777777" w:rsidR="00F652F6" w:rsidRPr="00304967" w:rsidRDefault="00F652F6" w:rsidP="00F652F6">
      <w:pPr>
        <w:autoSpaceDE w:val="0"/>
        <w:autoSpaceDN w:val="0"/>
        <w:adjustRightInd w:val="0"/>
        <w:spacing w:before="240" w:after="120"/>
        <w:jc w:val="both"/>
        <w:rPr>
          <w:rFonts w:ascii="Calibri" w:eastAsia="Calibri" w:hAnsi="Calibri" w:cs="Calibri"/>
          <w:b/>
          <w:bCs/>
          <w:i/>
          <w:iCs/>
          <w:sz w:val="22"/>
          <w:szCs w:val="22"/>
        </w:rPr>
      </w:pPr>
      <w:r w:rsidRPr="00304967">
        <w:rPr>
          <w:rFonts w:ascii="Calibri" w:eastAsia="Calibri" w:hAnsi="Calibri" w:cs="Calibri"/>
          <w:b/>
          <w:bCs/>
          <w:i/>
          <w:iCs/>
          <w:sz w:val="22"/>
          <w:szCs w:val="22"/>
        </w:rPr>
        <w:t>Fair value estimation</w:t>
      </w:r>
    </w:p>
    <w:p w14:paraId="61D99BA0" w14:textId="77777777" w:rsidR="00F652F6" w:rsidRPr="00304967" w:rsidRDefault="00F652F6" w:rsidP="00F652F6">
      <w:pPr>
        <w:pStyle w:val="CG-SingleSp05s2"/>
        <w:spacing w:after="0"/>
        <w:ind w:firstLine="0"/>
        <w:rPr>
          <w:rFonts w:ascii="Calibri" w:hAnsi="Calibri" w:cs="Calibri"/>
          <w:szCs w:val="22"/>
        </w:rPr>
      </w:pPr>
      <w:r w:rsidRPr="00304967">
        <w:rPr>
          <w:rFonts w:ascii="Calibri" w:hAnsi="Calibri" w:cs="Calibri"/>
          <w:szCs w:val="22"/>
        </w:rPr>
        <w:t>Fair value is the price that would be received to sell an asset, or paid to transfer a liability, in an orderly transaction between market participants at the measurement date. The following methods and assumptions were used to estimate the fair value of each material class of the Group’s financial instruments:</w:t>
      </w:r>
    </w:p>
    <w:p w14:paraId="74342728" w14:textId="77777777" w:rsidR="00F652F6" w:rsidRPr="00304967" w:rsidRDefault="00F652F6" w:rsidP="00F652F6">
      <w:pPr>
        <w:autoSpaceDE w:val="0"/>
        <w:autoSpaceDN w:val="0"/>
        <w:adjustRightInd w:val="0"/>
        <w:jc w:val="both"/>
        <w:rPr>
          <w:rFonts w:ascii="Calibri" w:hAnsi="Calibri" w:cs="Calibri"/>
          <w:b/>
          <w:sz w:val="22"/>
          <w:szCs w:val="22"/>
        </w:rPr>
      </w:pPr>
    </w:p>
    <w:p w14:paraId="0FCF282A" w14:textId="77777777" w:rsidR="00F652F6" w:rsidRPr="00304967" w:rsidRDefault="00F652F6" w:rsidP="00F652F6">
      <w:pPr>
        <w:pStyle w:val="CG-SingleSp05s2"/>
        <w:spacing w:after="120"/>
        <w:ind w:firstLine="0"/>
        <w:rPr>
          <w:rFonts w:ascii="Calibri" w:hAnsi="Calibri" w:cs="Calibri"/>
          <w:i/>
          <w:szCs w:val="22"/>
        </w:rPr>
      </w:pPr>
      <w:r w:rsidRPr="00304967">
        <w:rPr>
          <w:rFonts w:ascii="Calibri" w:hAnsi="Calibri" w:cs="Calibri"/>
          <w:i/>
          <w:szCs w:val="22"/>
        </w:rPr>
        <w:t>Financial instruments measured at fair value</w:t>
      </w:r>
    </w:p>
    <w:p w14:paraId="194485D6" w14:textId="77777777" w:rsidR="00F652F6" w:rsidRPr="00304967" w:rsidRDefault="00F652F6" w:rsidP="00F652F6">
      <w:pPr>
        <w:pStyle w:val="CG-SingleSp05s2"/>
        <w:numPr>
          <w:ilvl w:val="0"/>
          <w:numId w:val="6"/>
        </w:numPr>
        <w:tabs>
          <w:tab w:val="clear" w:pos="340"/>
          <w:tab w:val="left" w:pos="-284"/>
        </w:tabs>
        <w:spacing w:after="0"/>
        <w:ind w:left="0" w:firstLine="0"/>
        <w:rPr>
          <w:rFonts w:ascii="Calibri" w:hAnsi="Calibri" w:cs="Calibri"/>
          <w:szCs w:val="22"/>
        </w:rPr>
      </w:pPr>
      <w:r w:rsidRPr="00304967">
        <w:rPr>
          <w:rFonts w:ascii="Calibri" w:hAnsi="Calibri" w:cs="Calibri"/>
          <w:b/>
          <w:bCs/>
          <w:szCs w:val="22"/>
        </w:rPr>
        <w:t xml:space="preserve">Derivatives – interest rate swaps: </w:t>
      </w:r>
      <w:r w:rsidRPr="00304967">
        <w:rPr>
          <w:rFonts w:ascii="Calibri" w:hAnsi="Calibri" w:cs="Calibri"/>
          <w:szCs w:val="22"/>
        </w:rPr>
        <w:t xml:space="preserve">Discounted cash flow analyses have been used to determine the fair value, </w:t>
      </w:r>
      <w:proofErr w:type="gramStart"/>
      <w:r w:rsidRPr="00304967">
        <w:rPr>
          <w:rFonts w:ascii="Calibri" w:hAnsi="Calibri" w:cs="Calibri"/>
          <w:szCs w:val="22"/>
        </w:rPr>
        <w:t>taking into account</w:t>
      </w:r>
      <w:proofErr w:type="gramEnd"/>
      <w:r w:rsidRPr="00304967">
        <w:rPr>
          <w:rFonts w:ascii="Calibri" w:hAnsi="Calibri" w:cs="Calibri"/>
          <w:szCs w:val="22"/>
        </w:rPr>
        <w:t xml:space="preserve"> current market inputs and rates. (Level 2)</w:t>
      </w:r>
    </w:p>
    <w:p w14:paraId="74CF2D85" w14:textId="77777777" w:rsidR="00F652F6" w:rsidRPr="00304967" w:rsidRDefault="00F652F6" w:rsidP="00F652F6">
      <w:pPr>
        <w:pStyle w:val="CG-SingleSp05s2"/>
        <w:numPr>
          <w:ilvl w:val="0"/>
          <w:numId w:val="6"/>
        </w:numPr>
        <w:tabs>
          <w:tab w:val="clear" w:pos="340"/>
          <w:tab w:val="num" w:pos="-284"/>
        </w:tabs>
        <w:spacing w:after="120"/>
        <w:ind w:left="0" w:firstLine="0"/>
        <w:rPr>
          <w:rFonts w:ascii="Calibri" w:hAnsi="Calibri" w:cs="Calibri"/>
          <w:szCs w:val="22"/>
        </w:rPr>
      </w:pPr>
      <w:r w:rsidRPr="00304967">
        <w:rPr>
          <w:rFonts w:ascii="Calibri" w:hAnsi="Calibri" w:cs="Calibri"/>
          <w:b/>
          <w:bCs/>
          <w:szCs w:val="22"/>
        </w:rPr>
        <w:t xml:space="preserve">Derivatives – currency forwards and aircraft fuel contracts: </w:t>
      </w:r>
      <w:r w:rsidRPr="00304967">
        <w:rPr>
          <w:rFonts w:ascii="Calibri" w:hAnsi="Calibri" w:cs="Calibri"/>
          <w:szCs w:val="22"/>
        </w:rPr>
        <w:t xml:space="preserve">A comparison of the contracted rate to the market rate for contracts providing a similar risk profile at </w:t>
      </w:r>
      <w:r>
        <w:rPr>
          <w:rFonts w:ascii="Calibri" w:hAnsi="Calibri" w:cs="Calibri"/>
          <w:szCs w:val="22"/>
        </w:rPr>
        <w:t>Dec</w:t>
      </w:r>
      <w:r w:rsidRPr="00304967">
        <w:rPr>
          <w:rFonts w:ascii="Calibri" w:hAnsi="Calibri" w:cs="Calibri"/>
          <w:szCs w:val="22"/>
        </w:rPr>
        <w:t>ember 3</w:t>
      </w:r>
      <w:r>
        <w:rPr>
          <w:rFonts w:ascii="Calibri" w:hAnsi="Calibri" w:cs="Calibri"/>
          <w:szCs w:val="22"/>
        </w:rPr>
        <w:t>1</w:t>
      </w:r>
      <w:r w:rsidRPr="00304967">
        <w:rPr>
          <w:rFonts w:ascii="Calibri" w:hAnsi="Calibri" w:cs="Calibri"/>
          <w:szCs w:val="22"/>
        </w:rPr>
        <w:t>, 2019 has been used to establish fair value. (Level 2)</w:t>
      </w:r>
    </w:p>
    <w:p w14:paraId="4B122BCB" w14:textId="77777777" w:rsidR="00F652F6" w:rsidRPr="00304967" w:rsidRDefault="00F652F6" w:rsidP="00F652F6">
      <w:pPr>
        <w:pStyle w:val="ListParagraph"/>
        <w:autoSpaceDE w:val="0"/>
        <w:autoSpaceDN w:val="0"/>
        <w:adjustRightInd w:val="0"/>
        <w:spacing w:after="240"/>
        <w:ind w:left="0"/>
        <w:jc w:val="both"/>
        <w:rPr>
          <w:rFonts w:ascii="Calibri" w:hAnsi="Calibri" w:cs="Calibri"/>
          <w:bCs/>
          <w:iCs/>
          <w:sz w:val="22"/>
          <w:szCs w:val="22"/>
        </w:rPr>
      </w:pPr>
      <w:r w:rsidRPr="00304967">
        <w:rPr>
          <w:rFonts w:ascii="Calibri" w:hAnsi="Calibri" w:cs="Calibri"/>
          <w:bCs/>
          <w:iCs/>
          <w:sz w:val="22"/>
          <w:szCs w:val="22"/>
        </w:rPr>
        <w:t xml:space="preserve">The Group policy is to recognise any transfers between levels of the fair value hierarchy as of the end of the reporting period during which the transfer occurred. During the </w:t>
      </w:r>
      <w:r>
        <w:rPr>
          <w:rFonts w:ascii="Calibri" w:hAnsi="Calibri" w:cs="Calibri"/>
          <w:bCs/>
          <w:iCs/>
          <w:sz w:val="22"/>
          <w:szCs w:val="22"/>
        </w:rPr>
        <w:t>nine months</w:t>
      </w:r>
      <w:r w:rsidRPr="00304967">
        <w:rPr>
          <w:rFonts w:ascii="Calibri" w:hAnsi="Calibri" w:cs="Calibri"/>
          <w:bCs/>
          <w:iCs/>
          <w:sz w:val="22"/>
          <w:szCs w:val="22"/>
        </w:rPr>
        <w:t xml:space="preserve"> ended </w:t>
      </w:r>
      <w:r>
        <w:rPr>
          <w:rFonts w:ascii="Calibri" w:hAnsi="Calibri" w:cs="Calibri"/>
          <w:bCs/>
          <w:iCs/>
          <w:sz w:val="22"/>
          <w:szCs w:val="22"/>
        </w:rPr>
        <w:t>Dec</w:t>
      </w:r>
      <w:r w:rsidRPr="00304967">
        <w:rPr>
          <w:rFonts w:ascii="Calibri" w:hAnsi="Calibri" w:cs="Calibri"/>
          <w:bCs/>
          <w:iCs/>
          <w:sz w:val="22"/>
          <w:szCs w:val="22"/>
        </w:rPr>
        <w:t>ember 3</w:t>
      </w:r>
      <w:r>
        <w:rPr>
          <w:rFonts w:ascii="Calibri" w:hAnsi="Calibri" w:cs="Calibri"/>
          <w:bCs/>
          <w:iCs/>
          <w:sz w:val="22"/>
          <w:szCs w:val="22"/>
        </w:rPr>
        <w:t>1</w:t>
      </w:r>
      <w:r w:rsidRPr="00304967">
        <w:rPr>
          <w:rFonts w:ascii="Calibri" w:hAnsi="Calibri" w:cs="Calibri"/>
          <w:bCs/>
          <w:iCs/>
          <w:sz w:val="22"/>
          <w:szCs w:val="22"/>
        </w:rPr>
        <w:t>, 2019, there were no reclassifications of financial instruments and no transfers between levels of the fair value hierarchy used in measuring the fair value of financial instruments.</w:t>
      </w:r>
    </w:p>
    <w:p w14:paraId="1326FAEB" w14:textId="77777777" w:rsidR="00F652F6" w:rsidRPr="00304967" w:rsidRDefault="00F652F6" w:rsidP="00F652F6">
      <w:pPr>
        <w:pStyle w:val="CG-SingleSp05s2"/>
        <w:spacing w:after="120"/>
        <w:ind w:firstLine="0"/>
        <w:rPr>
          <w:rFonts w:ascii="Calibri" w:hAnsi="Calibri" w:cs="Calibri"/>
          <w:i/>
          <w:szCs w:val="22"/>
        </w:rPr>
      </w:pPr>
      <w:r w:rsidRPr="00304967">
        <w:rPr>
          <w:rFonts w:ascii="Calibri" w:hAnsi="Calibri" w:cs="Calibri"/>
          <w:i/>
          <w:szCs w:val="22"/>
        </w:rPr>
        <w:t>Financial instruments not measured at fair value</w:t>
      </w:r>
    </w:p>
    <w:p w14:paraId="5974B9A0" w14:textId="77777777" w:rsidR="00F652F6" w:rsidRPr="00304967" w:rsidRDefault="00F652F6" w:rsidP="00F652F6">
      <w:pPr>
        <w:pStyle w:val="CG-SingleSp05s2"/>
        <w:numPr>
          <w:ilvl w:val="0"/>
          <w:numId w:val="6"/>
        </w:numPr>
        <w:tabs>
          <w:tab w:val="clear" w:pos="340"/>
          <w:tab w:val="num" w:pos="-284"/>
        </w:tabs>
        <w:spacing w:after="120"/>
        <w:ind w:left="0" w:firstLine="0"/>
        <w:rPr>
          <w:rFonts w:ascii="Calibri" w:hAnsi="Calibri" w:cs="Calibri"/>
          <w:szCs w:val="22"/>
        </w:rPr>
      </w:pPr>
      <w:r w:rsidRPr="00304967">
        <w:rPr>
          <w:rFonts w:ascii="Calibri" w:hAnsi="Calibri" w:cs="Calibri"/>
          <w:b/>
          <w:bCs/>
          <w:szCs w:val="22"/>
        </w:rPr>
        <w:t xml:space="preserve">Long-term debt: </w:t>
      </w:r>
      <w:r w:rsidRPr="00304967">
        <w:rPr>
          <w:rFonts w:ascii="Calibri" w:hAnsi="Calibri" w:cs="Calibri"/>
          <w:szCs w:val="22"/>
        </w:rPr>
        <w:t xml:space="preserve">The repayments which Ryanair is committed to make have been discounted at the relevant market rates of interest applicable (including credit spreads) at </w:t>
      </w:r>
      <w:r>
        <w:rPr>
          <w:rFonts w:ascii="Calibri" w:hAnsi="Calibri" w:cs="Calibri"/>
          <w:szCs w:val="22"/>
        </w:rPr>
        <w:t>Dec</w:t>
      </w:r>
      <w:r w:rsidRPr="00304967">
        <w:rPr>
          <w:rFonts w:ascii="Calibri" w:hAnsi="Calibri" w:cs="Calibri"/>
          <w:szCs w:val="22"/>
        </w:rPr>
        <w:t>ember 3</w:t>
      </w:r>
      <w:r>
        <w:rPr>
          <w:rFonts w:ascii="Calibri" w:hAnsi="Calibri" w:cs="Calibri"/>
          <w:szCs w:val="22"/>
        </w:rPr>
        <w:t>1</w:t>
      </w:r>
      <w:r w:rsidRPr="00304967">
        <w:rPr>
          <w:rFonts w:ascii="Calibri" w:hAnsi="Calibri" w:cs="Calibri"/>
          <w:szCs w:val="22"/>
        </w:rPr>
        <w:t>, 2019 to arrive at a fair value representing the amount payable to a third party to assume the obligations.</w:t>
      </w:r>
    </w:p>
    <w:p w14:paraId="6E020810" w14:textId="77777777" w:rsidR="00F652F6" w:rsidRPr="00304967" w:rsidRDefault="00F652F6" w:rsidP="00F652F6">
      <w:pPr>
        <w:autoSpaceDE w:val="0"/>
        <w:autoSpaceDN w:val="0"/>
        <w:adjustRightInd w:val="0"/>
        <w:spacing w:after="120"/>
        <w:jc w:val="both"/>
        <w:rPr>
          <w:rFonts w:ascii="Calibri" w:hAnsi="Calibri" w:cs="Calibri"/>
          <w:bCs/>
          <w:iCs/>
          <w:sz w:val="22"/>
          <w:szCs w:val="22"/>
        </w:rPr>
      </w:pPr>
      <w:r w:rsidRPr="00304967">
        <w:rPr>
          <w:rFonts w:ascii="Calibri" w:hAnsi="Calibri" w:cs="Calibri"/>
          <w:bCs/>
          <w:iCs/>
          <w:sz w:val="22"/>
          <w:szCs w:val="22"/>
        </w:rPr>
        <w:t xml:space="preserve">There were no significant changes in the business or economic circumstances during the </w:t>
      </w:r>
      <w:r>
        <w:rPr>
          <w:rFonts w:ascii="Calibri" w:hAnsi="Calibri" w:cs="Calibri"/>
          <w:bCs/>
          <w:iCs/>
          <w:sz w:val="22"/>
          <w:szCs w:val="22"/>
        </w:rPr>
        <w:t>nine months</w:t>
      </w:r>
      <w:r w:rsidRPr="00304967">
        <w:rPr>
          <w:rFonts w:ascii="Calibri" w:hAnsi="Calibri" w:cs="Calibri"/>
          <w:bCs/>
          <w:iCs/>
          <w:sz w:val="22"/>
          <w:szCs w:val="22"/>
        </w:rPr>
        <w:t xml:space="preserve"> ended </w:t>
      </w:r>
      <w:r>
        <w:rPr>
          <w:rFonts w:ascii="Calibri" w:hAnsi="Calibri" w:cs="Calibri"/>
          <w:bCs/>
          <w:iCs/>
          <w:sz w:val="22"/>
          <w:szCs w:val="22"/>
        </w:rPr>
        <w:t>Dec</w:t>
      </w:r>
      <w:r w:rsidRPr="00304967">
        <w:rPr>
          <w:rFonts w:ascii="Calibri" w:hAnsi="Calibri" w:cs="Calibri"/>
          <w:bCs/>
          <w:iCs/>
          <w:sz w:val="22"/>
          <w:szCs w:val="22"/>
        </w:rPr>
        <w:t>ember 3</w:t>
      </w:r>
      <w:r>
        <w:rPr>
          <w:rFonts w:ascii="Calibri" w:hAnsi="Calibri" w:cs="Calibri"/>
          <w:bCs/>
          <w:iCs/>
          <w:sz w:val="22"/>
          <w:szCs w:val="22"/>
        </w:rPr>
        <w:t>1</w:t>
      </w:r>
      <w:r w:rsidRPr="00304967">
        <w:rPr>
          <w:rFonts w:ascii="Calibri" w:hAnsi="Calibri" w:cs="Calibri"/>
          <w:bCs/>
          <w:iCs/>
          <w:sz w:val="22"/>
          <w:szCs w:val="22"/>
        </w:rPr>
        <w:t>, 2019 that affect the fair value of our financial assets and financial liabilities.</w:t>
      </w:r>
      <w:bookmarkEnd w:id="22"/>
    </w:p>
    <w:bookmarkEnd w:id="23"/>
    <w:p w14:paraId="5EFC3EF4" w14:textId="77777777" w:rsidR="00F652F6" w:rsidRPr="00304967" w:rsidRDefault="00F652F6" w:rsidP="00F652F6">
      <w:pPr>
        <w:autoSpaceDE w:val="0"/>
        <w:autoSpaceDN w:val="0"/>
        <w:adjustRightInd w:val="0"/>
        <w:spacing w:after="120"/>
        <w:jc w:val="both"/>
        <w:rPr>
          <w:rFonts w:ascii="Calibri" w:hAnsi="Calibri" w:cs="Calibri"/>
          <w:b/>
          <w:sz w:val="22"/>
          <w:szCs w:val="22"/>
        </w:rPr>
      </w:pPr>
      <w:r w:rsidRPr="00304967">
        <w:rPr>
          <w:rFonts w:ascii="Calibri" w:hAnsi="Calibri" w:cs="Calibri"/>
          <w:bCs/>
          <w:iCs/>
          <w:sz w:val="22"/>
          <w:szCs w:val="22"/>
        </w:rPr>
        <w:br w:type="page"/>
      </w:r>
      <w:r w:rsidRPr="00304967">
        <w:rPr>
          <w:rFonts w:ascii="Calibri" w:hAnsi="Calibri" w:cs="Calibri"/>
          <w:b/>
          <w:sz w:val="22"/>
          <w:szCs w:val="22"/>
        </w:rPr>
        <w:lastRenderedPageBreak/>
        <w:t>12.</w:t>
      </w:r>
      <w:r w:rsidRPr="00304967">
        <w:rPr>
          <w:rFonts w:ascii="Calibri" w:hAnsi="Calibri" w:cs="Calibri"/>
          <w:sz w:val="22"/>
          <w:szCs w:val="22"/>
        </w:rPr>
        <w:tab/>
      </w:r>
      <w:r w:rsidRPr="00304967">
        <w:rPr>
          <w:rFonts w:ascii="Calibri" w:hAnsi="Calibri" w:cs="Calibri"/>
          <w:b/>
          <w:sz w:val="22"/>
          <w:szCs w:val="22"/>
        </w:rPr>
        <w:t>Financial instruments and financial risk management (continued)</w:t>
      </w:r>
    </w:p>
    <w:p w14:paraId="0E07FB46" w14:textId="77777777" w:rsidR="00F652F6" w:rsidRPr="00DB22BA" w:rsidRDefault="00F652F6" w:rsidP="00F652F6">
      <w:pPr>
        <w:autoSpaceDE w:val="0"/>
        <w:autoSpaceDN w:val="0"/>
        <w:adjustRightInd w:val="0"/>
        <w:jc w:val="both"/>
        <w:rPr>
          <w:rFonts w:ascii="Calibri" w:hAnsi="Calibri" w:cs="Calibri"/>
          <w:bCs/>
          <w:iCs/>
          <w:sz w:val="22"/>
          <w:szCs w:val="22"/>
        </w:rPr>
      </w:pPr>
      <w:r w:rsidRPr="00304967">
        <w:rPr>
          <w:rFonts w:ascii="Calibri" w:hAnsi="Calibri" w:cs="Calibri"/>
          <w:bCs/>
          <w:iCs/>
          <w:sz w:val="22"/>
          <w:szCs w:val="22"/>
        </w:rPr>
        <w:t>The fair value of financial assets and financial liabilities, together with the carrying amounts in the condensed consolidated financial balance sheet, are as follows:</w:t>
      </w:r>
    </w:p>
    <w:p w14:paraId="57B1AC64" w14:textId="77777777" w:rsidR="00494B01" w:rsidRPr="00DB22BA" w:rsidRDefault="00494B01" w:rsidP="00494B01">
      <w:pPr>
        <w:autoSpaceDE w:val="0"/>
        <w:autoSpaceDN w:val="0"/>
        <w:adjustRightInd w:val="0"/>
        <w:jc w:val="both"/>
        <w:rPr>
          <w:rFonts w:ascii="Calibri" w:hAnsi="Calibri" w:cs="Calibri"/>
          <w:bCs/>
          <w:iCs/>
          <w:sz w:val="22"/>
          <w:szCs w:val="22"/>
        </w:rPr>
      </w:pPr>
    </w:p>
    <w:bookmarkEnd w:id="20"/>
    <w:tbl>
      <w:tblPr>
        <w:tblW w:w="12984" w:type="dxa"/>
        <w:tblLayout w:type="fixed"/>
        <w:tblLook w:val="04A0" w:firstRow="1" w:lastRow="0" w:firstColumn="1" w:lastColumn="0" w:noHBand="0" w:noVBand="1"/>
      </w:tblPr>
      <w:tblGrid>
        <w:gridCol w:w="7223"/>
        <w:gridCol w:w="568"/>
        <w:gridCol w:w="409"/>
        <w:gridCol w:w="332"/>
        <w:gridCol w:w="413"/>
        <w:gridCol w:w="573"/>
        <w:gridCol w:w="148"/>
        <w:gridCol w:w="641"/>
        <w:gridCol w:w="63"/>
        <w:gridCol w:w="572"/>
        <w:gridCol w:w="390"/>
        <w:gridCol w:w="455"/>
        <w:gridCol w:w="404"/>
        <w:gridCol w:w="146"/>
        <w:gridCol w:w="647"/>
      </w:tblGrid>
      <w:tr w:rsidR="005660A9" w:rsidRPr="00505482" w14:paraId="4AD96189" w14:textId="77777777" w:rsidTr="00FF2F42">
        <w:trPr>
          <w:trHeight w:val="230"/>
        </w:trPr>
        <w:tc>
          <w:tcPr>
            <w:tcW w:w="7791" w:type="dxa"/>
            <w:gridSpan w:val="2"/>
            <w:vAlign w:val="bottom"/>
          </w:tcPr>
          <w:p w14:paraId="562F5EAE" w14:textId="77777777" w:rsidR="005660A9" w:rsidRPr="00DB22BA" w:rsidRDefault="005660A9" w:rsidP="00483427">
            <w:pPr>
              <w:tabs>
                <w:tab w:val="left" w:leader="dot" w:pos="6804"/>
              </w:tabs>
              <w:rPr>
                <w:rFonts w:ascii="Calibri" w:hAnsi="Calibri" w:cs="Calibri"/>
                <w:b/>
                <w:bCs/>
                <w:sz w:val="22"/>
                <w:szCs w:val="22"/>
              </w:rPr>
            </w:pPr>
          </w:p>
        </w:tc>
        <w:tc>
          <w:tcPr>
            <w:tcW w:w="1154" w:type="dxa"/>
            <w:gridSpan w:val="3"/>
            <w:shd w:val="clear" w:color="auto" w:fill="auto"/>
            <w:vAlign w:val="bottom"/>
          </w:tcPr>
          <w:p w14:paraId="72502328" w14:textId="77777777" w:rsidR="005660A9" w:rsidRPr="00DB22BA" w:rsidRDefault="005660A9" w:rsidP="00483427">
            <w:pPr>
              <w:ind w:right="-115"/>
              <w:jc w:val="right"/>
              <w:rPr>
                <w:rFonts w:ascii="Calibri" w:eastAsia="MS Mincho" w:hAnsi="Calibri" w:cs="Calibri"/>
                <w:b/>
                <w:sz w:val="22"/>
                <w:szCs w:val="22"/>
                <w:lang w:val="en-US"/>
              </w:rPr>
            </w:pPr>
          </w:p>
        </w:tc>
        <w:tc>
          <w:tcPr>
            <w:tcW w:w="1425" w:type="dxa"/>
            <w:gridSpan w:val="4"/>
            <w:shd w:val="clear" w:color="auto" w:fill="auto"/>
            <w:vAlign w:val="bottom"/>
          </w:tcPr>
          <w:p w14:paraId="0761AF98" w14:textId="77777777" w:rsidR="005660A9" w:rsidRPr="00DB22BA" w:rsidRDefault="005660A9" w:rsidP="00483427">
            <w:pPr>
              <w:jc w:val="right"/>
              <w:rPr>
                <w:rFonts w:ascii="Calibri" w:eastAsia="MS Mincho" w:hAnsi="Calibri" w:cs="Calibri"/>
                <w:b/>
                <w:sz w:val="22"/>
                <w:szCs w:val="22"/>
                <w:lang w:val="en-US"/>
              </w:rPr>
            </w:pPr>
          </w:p>
        </w:tc>
        <w:tc>
          <w:tcPr>
            <w:tcW w:w="1417" w:type="dxa"/>
            <w:gridSpan w:val="3"/>
          </w:tcPr>
          <w:p w14:paraId="499A09A6" w14:textId="77777777" w:rsidR="005660A9" w:rsidRPr="00DB22BA" w:rsidRDefault="005660A9" w:rsidP="00483427">
            <w:pPr>
              <w:jc w:val="right"/>
              <w:rPr>
                <w:rFonts w:ascii="Calibri" w:eastAsia="MS Mincho" w:hAnsi="Calibri" w:cs="Calibri"/>
                <w:b/>
                <w:sz w:val="22"/>
                <w:szCs w:val="22"/>
                <w:lang w:val="en-US"/>
              </w:rPr>
            </w:pPr>
          </w:p>
        </w:tc>
        <w:tc>
          <w:tcPr>
            <w:tcW w:w="1197" w:type="dxa"/>
            <w:gridSpan w:val="3"/>
          </w:tcPr>
          <w:p w14:paraId="3570FE52" w14:textId="77777777" w:rsidR="005660A9" w:rsidRPr="00DB22BA" w:rsidRDefault="005660A9" w:rsidP="00483427">
            <w:pPr>
              <w:jc w:val="right"/>
              <w:rPr>
                <w:rFonts w:ascii="Calibri" w:eastAsia="MS Mincho" w:hAnsi="Calibri" w:cs="Calibri"/>
                <w:b/>
                <w:sz w:val="22"/>
                <w:szCs w:val="22"/>
                <w:lang w:val="en-US"/>
              </w:rPr>
            </w:pPr>
          </w:p>
        </w:tc>
      </w:tr>
      <w:tr w:rsidR="00064ACE" w:rsidRPr="00FF2F42" w14:paraId="60C51849" w14:textId="77777777" w:rsidTr="00FF2F42">
        <w:trPr>
          <w:gridAfter w:val="2"/>
          <w:wAfter w:w="793" w:type="dxa"/>
          <w:trHeight w:val="230"/>
        </w:trPr>
        <w:tc>
          <w:tcPr>
            <w:tcW w:w="7223" w:type="dxa"/>
            <w:vAlign w:val="bottom"/>
          </w:tcPr>
          <w:p w14:paraId="107FA521" w14:textId="77777777" w:rsidR="00064ACE" w:rsidRPr="00DB22BA" w:rsidRDefault="00064ACE" w:rsidP="00064ACE">
            <w:pPr>
              <w:tabs>
                <w:tab w:val="left" w:leader="dot" w:pos="6804"/>
              </w:tabs>
              <w:rPr>
                <w:rFonts w:ascii="Calibri" w:hAnsi="Calibri" w:cs="Calibri"/>
                <w:b/>
                <w:bCs/>
                <w:sz w:val="22"/>
                <w:szCs w:val="22"/>
              </w:rPr>
            </w:pPr>
          </w:p>
        </w:tc>
        <w:tc>
          <w:tcPr>
            <w:tcW w:w="1309" w:type="dxa"/>
            <w:gridSpan w:val="3"/>
            <w:shd w:val="clear" w:color="auto" w:fill="auto"/>
            <w:vAlign w:val="bottom"/>
          </w:tcPr>
          <w:p w14:paraId="0BEEAD19" w14:textId="45FD6DE5" w:rsidR="00064ACE" w:rsidRPr="00DB22BA" w:rsidRDefault="00064ACE" w:rsidP="00064ACE">
            <w:pPr>
              <w:ind w:left="-116" w:right="34"/>
              <w:jc w:val="right"/>
              <w:rPr>
                <w:rFonts w:ascii="Calibri" w:eastAsia="MS Mincho" w:hAnsi="Calibri" w:cs="Calibri"/>
                <w:b/>
                <w:sz w:val="22"/>
                <w:szCs w:val="22"/>
                <w:lang w:val="en-US"/>
              </w:rPr>
            </w:pPr>
            <w:r>
              <w:rPr>
                <w:rFonts w:ascii="Calibri" w:eastAsia="MS Mincho" w:hAnsi="Calibri" w:cs="Calibri"/>
                <w:b/>
                <w:sz w:val="22"/>
                <w:szCs w:val="22"/>
                <w:lang w:val="en-US"/>
              </w:rPr>
              <w:t xml:space="preserve">At </w:t>
            </w:r>
            <w:r w:rsidR="00F652F6">
              <w:rPr>
                <w:rFonts w:ascii="Calibri" w:eastAsia="MS Mincho" w:hAnsi="Calibri" w:cs="Calibri"/>
                <w:b/>
                <w:sz w:val="22"/>
                <w:szCs w:val="22"/>
                <w:lang w:val="en-US"/>
              </w:rPr>
              <w:t>Dec</w:t>
            </w:r>
            <w:r>
              <w:rPr>
                <w:rFonts w:ascii="Calibri" w:eastAsia="MS Mincho" w:hAnsi="Calibri" w:cs="Calibri"/>
                <w:b/>
                <w:sz w:val="22"/>
                <w:szCs w:val="22"/>
                <w:lang w:val="en-US"/>
              </w:rPr>
              <w:t xml:space="preserve"> 3</w:t>
            </w:r>
            <w:r w:rsidR="00F652F6">
              <w:rPr>
                <w:rFonts w:ascii="Calibri" w:eastAsia="MS Mincho" w:hAnsi="Calibri" w:cs="Calibri"/>
                <w:b/>
                <w:sz w:val="22"/>
                <w:szCs w:val="22"/>
                <w:lang w:val="en-US"/>
              </w:rPr>
              <w:t>1</w:t>
            </w:r>
            <w:r>
              <w:rPr>
                <w:rFonts w:ascii="Calibri" w:eastAsia="MS Mincho" w:hAnsi="Calibri" w:cs="Calibri"/>
                <w:b/>
                <w:sz w:val="22"/>
                <w:szCs w:val="22"/>
                <w:lang w:val="en-US"/>
              </w:rPr>
              <w:t>,</w:t>
            </w:r>
          </w:p>
        </w:tc>
        <w:tc>
          <w:tcPr>
            <w:tcW w:w="1134" w:type="dxa"/>
            <w:gridSpan w:val="3"/>
            <w:shd w:val="clear" w:color="auto" w:fill="auto"/>
            <w:vAlign w:val="bottom"/>
          </w:tcPr>
          <w:p w14:paraId="5E733DD8" w14:textId="645C0CEF" w:rsidR="00064ACE" w:rsidRPr="00DB22BA" w:rsidRDefault="00064ACE" w:rsidP="00F652F6">
            <w:pPr>
              <w:ind w:right="-84"/>
              <w:jc w:val="right"/>
              <w:rPr>
                <w:rFonts w:ascii="Calibri" w:eastAsia="MS Mincho" w:hAnsi="Calibri" w:cs="Calibri"/>
                <w:b/>
                <w:sz w:val="22"/>
                <w:szCs w:val="22"/>
                <w:lang w:val="en-US"/>
              </w:rPr>
            </w:pPr>
            <w:r>
              <w:rPr>
                <w:rFonts w:ascii="Calibri" w:eastAsia="MS Mincho" w:hAnsi="Calibri" w:cs="Calibri"/>
                <w:b/>
                <w:sz w:val="22"/>
                <w:szCs w:val="22"/>
                <w:lang w:val="en-US"/>
              </w:rPr>
              <w:t xml:space="preserve">At </w:t>
            </w:r>
            <w:r w:rsidR="00F652F6">
              <w:rPr>
                <w:rFonts w:ascii="Calibri" w:eastAsia="MS Mincho" w:hAnsi="Calibri" w:cs="Calibri"/>
                <w:b/>
                <w:sz w:val="22"/>
                <w:szCs w:val="22"/>
                <w:lang w:val="en-US"/>
              </w:rPr>
              <w:t>Dec</w:t>
            </w:r>
            <w:r>
              <w:rPr>
                <w:rFonts w:ascii="Calibri" w:eastAsia="MS Mincho" w:hAnsi="Calibri" w:cs="Calibri"/>
                <w:b/>
                <w:sz w:val="22"/>
                <w:szCs w:val="22"/>
                <w:lang w:val="en-US"/>
              </w:rPr>
              <w:t xml:space="preserve"> 3</w:t>
            </w:r>
            <w:r w:rsidR="00F652F6">
              <w:rPr>
                <w:rFonts w:ascii="Calibri" w:eastAsia="MS Mincho" w:hAnsi="Calibri" w:cs="Calibri"/>
                <w:b/>
                <w:sz w:val="22"/>
                <w:szCs w:val="22"/>
                <w:lang w:val="en-US"/>
              </w:rPr>
              <w:t>1</w:t>
            </w:r>
            <w:r>
              <w:rPr>
                <w:rFonts w:ascii="Calibri" w:eastAsia="MS Mincho" w:hAnsi="Calibri" w:cs="Calibri"/>
                <w:b/>
                <w:sz w:val="22"/>
                <w:szCs w:val="22"/>
                <w:lang w:val="en-US"/>
              </w:rPr>
              <w:t>,</w:t>
            </w:r>
          </w:p>
        </w:tc>
        <w:tc>
          <w:tcPr>
            <w:tcW w:w="1276" w:type="dxa"/>
            <w:gridSpan w:val="3"/>
          </w:tcPr>
          <w:p w14:paraId="0618764B" w14:textId="77777777" w:rsidR="00064ACE" w:rsidRPr="00A9218A" w:rsidRDefault="00064ACE" w:rsidP="00064ACE">
            <w:pPr>
              <w:jc w:val="right"/>
              <w:rPr>
                <w:rFonts w:ascii="Calibri" w:eastAsia="MS Mincho" w:hAnsi="Calibri" w:cs="Calibri"/>
                <w:sz w:val="22"/>
                <w:szCs w:val="22"/>
                <w:lang w:val="en-US"/>
              </w:rPr>
            </w:pPr>
            <w:r>
              <w:rPr>
                <w:rFonts w:ascii="Calibri" w:eastAsia="MS Mincho" w:hAnsi="Calibri" w:cs="Calibri"/>
                <w:sz w:val="22"/>
                <w:szCs w:val="22"/>
                <w:lang w:val="en-US"/>
              </w:rPr>
              <w:t>At Mar 31,</w:t>
            </w:r>
          </w:p>
        </w:tc>
        <w:tc>
          <w:tcPr>
            <w:tcW w:w="1249" w:type="dxa"/>
            <w:gridSpan w:val="3"/>
          </w:tcPr>
          <w:p w14:paraId="737EC128" w14:textId="77777777" w:rsidR="00064ACE" w:rsidRPr="00A9218A" w:rsidRDefault="00064ACE" w:rsidP="00064ACE">
            <w:pPr>
              <w:jc w:val="right"/>
              <w:rPr>
                <w:rFonts w:ascii="Calibri" w:eastAsia="MS Mincho" w:hAnsi="Calibri" w:cs="Calibri"/>
                <w:sz w:val="22"/>
                <w:szCs w:val="22"/>
                <w:lang w:val="en-US"/>
              </w:rPr>
            </w:pPr>
            <w:r>
              <w:rPr>
                <w:rFonts w:ascii="Calibri" w:eastAsia="MS Mincho" w:hAnsi="Calibri" w:cs="Calibri"/>
                <w:sz w:val="22"/>
                <w:szCs w:val="22"/>
                <w:lang w:val="en-US"/>
              </w:rPr>
              <w:t>At Mar 31,</w:t>
            </w:r>
          </w:p>
        </w:tc>
      </w:tr>
      <w:tr w:rsidR="00064ACE" w:rsidRPr="00FF2F42" w14:paraId="28F33968" w14:textId="77777777" w:rsidTr="00FF2F42">
        <w:trPr>
          <w:gridAfter w:val="2"/>
          <w:wAfter w:w="793" w:type="dxa"/>
          <w:trHeight w:val="230"/>
        </w:trPr>
        <w:tc>
          <w:tcPr>
            <w:tcW w:w="7223" w:type="dxa"/>
            <w:vAlign w:val="bottom"/>
          </w:tcPr>
          <w:p w14:paraId="044192FF" w14:textId="77777777" w:rsidR="00064ACE" w:rsidRPr="00DB22BA" w:rsidRDefault="00064ACE" w:rsidP="00064ACE">
            <w:pPr>
              <w:tabs>
                <w:tab w:val="left" w:leader="dot" w:pos="6804"/>
              </w:tabs>
              <w:rPr>
                <w:rFonts w:ascii="Calibri" w:hAnsi="Calibri" w:cs="Calibri"/>
                <w:b/>
                <w:bCs/>
                <w:sz w:val="22"/>
                <w:szCs w:val="22"/>
              </w:rPr>
            </w:pPr>
          </w:p>
        </w:tc>
        <w:tc>
          <w:tcPr>
            <w:tcW w:w="1309" w:type="dxa"/>
            <w:gridSpan w:val="3"/>
            <w:shd w:val="clear" w:color="auto" w:fill="auto"/>
            <w:vAlign w:val="bottom"/>
          </w:tcPr>
          <w:p w14:paraId="62B0F862" w14:textId="77777777" w:rsidR="00064ACE" w:rsidRPr="00DB22BA" w:rsidRDefault="00064ACE" w:rsidP="00064ACE">
            <w:pPr>
              <w:ind w:left="-116" w:right="34"/>
              <w:jc w:val="right"/>
              <w:rPr>
                <w:rFonts w:ascii="Calibri" w:eastAsia="MS Mincho" w:hAnsi="Calibri" w:cs="Calibri"/>
                <w:b/>
                <w:sz w:val="22"/>
                <w:szCs w:val="22"/>
                <w:lang w:val="en-US"/>
              </w:rPr>
            </w:pPr>
            <w:r>
              <w:rPr>
                <w:rFonts w:ascii="Calibri" w:eastAsia="MS Mincho" w:hAnsi="Calibri" w:cs="Calibri"/>
                <w:b/>
                <w:sz w:val="22"/>
                <w:szCs w:val="22"/>
                <w:lang w:val="en-US"/>
              </w:rPr>
              <w:t>2019</w:t>
            </w:r>
          </w:p>
        </w:tc>
        <w:tc>
          <w:tcPr>
            <w:tcW w:w="1134" w:type="dxa"/>
            <w:gridSpan w:val="3"/>
            <w:shd w:val="clear" w:color="auto" w:fill="auto"/>
            <w:vAlign w:val="bottom"/>
          </w:tcPr>
          <w:p w14:paraId="3A35A6D6" w14:textId="77777777" w:rsidR="00064ACE" w:rsidRPr="00DB22BA" w:rsidRDefault="00064ACE" w:rsidP="00064ACE">
            <w:pPr>
              <w:jc w:val="right"/>
              <w:rPr>
                <w:rFonts w:ascii="Calibri" w:eastAsia="MS Mincho" w:hAnsi="Calibri" w:cs="Calibri"/>
                <w:b/>
                <w:sz w:val="22"/>
                <w:szCs w:val="22"/>
                <w:lang w:val="en-US"/>
              </w:rPr>
            </w:pPr>
            <w:r>
              <w:rPr>
                <w:rFonts w:ascii="Calibri" w:eastAsia="MS Mincho" w:hAnsi="Calibri" w:cs="Calibri"/>
                <w:b/>
                <w:sz w:val="22"/>
                <w:szCs w:val="22"/>
                <w:lang w:val="en-US"/>
              </w:rPr>
              <w:t>2019</w:t>
            </w:r>
          </w:p>
        </w:tc>
        <w:tc>
          <w:tcPr>
            <w:tcW w:w="1276" w:type="dxa"/>
            <w:gridSpan w:val="3"/>
          </w:tcPr>
          <w:p w14:paraId="374E3469" w14:textId="77777777" w:rsidR="00064ACE" w:rsidRPr="00A9218A" w:rsidRDefault="00064ACE" w:rsidP="00064ACE">
            <w:pPr>
              <w:jc w:val="right"/>
              <w:rPr>
                <w:rFonts w:ascii="Calibri" w:eastAsia="MS Mincho" w:hAnsi="Calibri" w:cs="Calibri"/>
                <w:sz w:val="22"/>
                <w:szCs w:val="22"/>
                <w:lang w:val="en-US"/>
              </w:rPr>
            </w:pPr>
            <w:r>
              <w:rPr>
                <w:rFonts w:ascii="Calibri" w:eastAsia="MS Mincho" w:hAnsi="Calibri" w:cs="Calibri"/>
                <w:sz w:val="22"/>
                <w:szCs w:val="22"/>
                <w:lang w:val="en-US"/>
              </w:rPr>
              <w:t>2019</w:t>
            </w:r>
          </w:p>
        </w:tc>
        <w:tc>
          <w:tcPr>
            <w:tcW w:w="1249" w:type="dxa"/>
            <w:gridSpan w:val="3"/>
          </w:tcPr>
          <w:p w14:paraId="4E3D83B9" w14:textId="77777777" w:rsidR="00064ACE" w:rsidRPr="00A9218A" w:rsidRDefault="00064ACE" w:rsidP="00064ACE">
            <w:pPr>
              <w:jc w:val="right"/>
              <w:rPr>
                <w:rFonts w:ascii="Calibri" w:eastAsia="MS Mincho" w:hAnsi="Calibri" w:cs="Calibri"/>
                <w:sz w:val="22"/>
                <w:szCs w:val="22"/>
                <w:lang w:val="en-US"/>
              </w:rPr>
            </w:pPr>
            <w:r>
              <w:rPr>
                <w:rFonts w:ascii="Calibri" w:eastAsia="MS Mincho" w:hAnsi="Calibri" w:cs="Calibri"/>
                <w:sz w:val="22"/>
                <w:szCs w:val="22"/>
                <w:lang w:val="en-US"/>
              </w:rPr>
              <w:t>2019</w:t>
            </w:r>
          </w:p>
        </w:tc>
      </w:tr>
      <w:tr w:rsidR="00064ACE" w:rsidRPr="00FF2F42" w14:paraId="23DF0CD8" w14:textId="77777777" w:rsidTr="00FF2F42">
        <w:trPr>
          <w:gridAfter w:val="2"/>
          <w:wAfter w:w="793" w:type="dxa"/>
          <w:trHeight w:val="230"/>
        </w:trPr>
        <w:tc>
          <w:tcPr>
            <w:tcW w:w="7223" w:type="dxa"/>
            <w:vAlign w:val="bottom"/>
          </w:tcPr>
          <w:p w14:paraId="15EE2586" w14:textId="77777777" w:rsidR="00064ACE" w:rsidRPr="00DB22BA" w:rsidRDefault="00064ACE" w:rsidP="00064ACE">
            <w:pPr>
              <w:tabs>
                <w:tab w:val="left" w:leader="dot" w:pos="6804"/>
              </w:tabs>
              <w:rPr>
                <w:rFonts w:ascii="Calibri" w:hAnsi="Calibri" w:cs="Calibri"/>
                <w:b/>
                <w:bCs/>
                <w:sz w:val="22"/>
                <w:szCs w:val="22"/>
              </w:rPr>
            </w:pPr>
          </w:p>
        </w:tc>
        <w:tc>
          <w:tcPr>
            <w:tcW w:w="1309" w:type="dxa"/>
            <w:gridSpan w:val="3"/>
            <w:shd w:val="clear" w:color="auto" w:fill="auto"/>
            <w:vAlign w:val="bottom"/>
          </w:tcPr>
          <w:p w14:paraId="6C2237E1" w14:textId="77777777" w:rsidR="00064ACE" w:rsidRPr="00DB22BA" w:rsidRDefault="00064ACE" w:rsidP="00064ACE">
            <w:pPr>
              <w:ind w:left="-116" w:right="34"/>
              <w:jc w:val="right"/>
              <w:rPr>
                <w:rFonts w:ascii="Calibri" w:eastAsia="MS Mincho" w:hAnsi="Calibri" w:cs="Calibri"/>
                <w:b/>
                <w:sz w:val="22"/>
                <w:szCs w:val="22"/>
                <w:lang w:val="en-US"/>
              </w:rPr>
            </w:pPr>
            <w:r w:rsidRPr="00DB22BA">
              <w:rPr>
                <w:rFonts w:ascii="Calibri" w:eastAsia="MS Mincho" w:hAnsi="Calibri" w:cs="Calibri"/>
                <w:b/>
                <w:sz w:val="22"/>
                <w:szCs w:val="22"/>
                <w:lang w:val="en-US"/>
              </w:rPr>
              <w:t>Carrying</w:t>
            </w:r>
          </w:p>
        </w:tc>
        <w:tc>
          <w:tcPr>
            <w:tcW w:w="1134" w:type="dxa"/>
            <w:gridSpan w:val="3"/>
            <w:shd w:val="clear" w:color="auto" w:fill="auto"/>
            <w:vAlign w:val="bottom"/>
          </w:tcPr>
          <w:p w14:paraId="77C6A766" w14:textId="77777777" w:rsidR="00064ACE" w:rsidRPr="00DB22BA" w:rsidRDefault="00064ACE" w:rsidP="00064ACE">
            <w:pPr>
              <w:jc w:val="right"/>
              <w:rPr>
                <w:rFonts w:ascii="Calibri" w:eastAsia="MS Mincho" w:hAnsi="Calibri" w:cs="Calibri"/>
                <w:b/>
                <w:sz w:val="22"/>
                <w:szCs w:val="22"/>
                <w:lang w:val="en-US"/>
              </w:rPr>
            </w:pPr>
            <w:r w:rsidRPr="00DB22BA">
              <w:rPr>
                <w:rFonts w:ascii="Calibri" w:eastAsia="MS Mincho" w:hAnsi="Calibri" w:cs="Calibri"/>
                <w:b/>
                <w:sz w:val="22"/>
                <w:szCs w:val="22"/>
                <w:lang w:val="en-US"/>
              </w:rPr>
              <w:t>Fair</w:t>
            </w:r>
          </w:p>
        </w:tc>
        <w:tc>
          <w:tcPr>
            <w:tcW w:w="1276" w:type="dxa"/>
            <w:gridSpan w:val="3"/>
          </w:tcPr>
          <w:p w14:paraId="1B10ED37" w14:textId="77777777" w:rsidR="00064ACE" w:rsidRPr="00A9218A" w:rsidRDefault="00064ACE" w:rsidP="00064ACE">
            <w:pPr>
              <w:jc w:val="right"/>
              <w:rPr>
                <w:rFonts w:ascii="Calibri" w:eastAsia="MS Mincho" w:hAnsi="Calibri" w:cs="Calibri"/>
                <w:sz w:val="22"/>
                <w:szCs w:val="22"/>
                <w:lang w:val="en-US"/>
              </w:rPr>
            </w:pPr>
            <w:r w:rsidRPr="00A9218A">
              <w:rPr>
                <w:rFonts w:ascii="Calibri" w:eastAsia="MS Mincho" w:hAnsi="Calibri" w:cs="Calibri"/>
                <w:sz w:val="22"/>
                <w:szCs w:val="22"/>
                <w:lang w:val="en-US"/>
              </w:rPr>
              <w:t>Carrying</w:t>
            </w:r>
          </w:p>
        </w:tc>
        <w:tc>
          <w:tcPr>
            <w:tcW w:w="1249" w:type="dxa"/>
            <w:gridSpan w:val="3"/>
          </w:tcPr>
          <w:p w14:paraId="736925E1" w14:textId="77777777" w:rsidR="00064ACE" w:rsidRPr="00A9218A" w:rsidRDefault="00064ACE" w:rsidP="00064ACE">
            <w:pPr>
              <w:jc w:val="right"/>
              <w:rPr>
                <w:rFonts w:ascii="Calibri" w:eastAsia="MS Mincho" w:hAnsi="Calibri" w:cs="Calibri"/>
                <w:sz w:val="22"/>
                <w:szCs w:val="22"/>
                <w:lang w:val="en-US"/>
              </w:rPr>
            </w:pPr>
            <w:r w:rsidRPr="00A9218A">
              <w:rPr>
                <w:rFonts w:ascii="Calibri" w:eastAsia="MS Mincho" w:hAnsi="Calibri" w:cs="Calibri"/>
                <w:sz w:val="22"/>
                <w:szCs w:val="22"/>
                <w:lang w:val="en-US"/>
              </w:rPr>
              <w:t>Fair</w:t>
            </w:r>
          </w:p>
        </w:tc>
      </w:tr>
      <w:tr w:rsidR="00064ACE" w:rsidRPr="00FF2F42" w14:paraId="71F7C7BF" w14:textId="77777777" w:rsidTr="00FF2F42">
        <w:trPr>
          <w:gridAfter w:val="2"/>
          <w:wAfter w:w="793" w:type="dxa"/>
          <w:trHeight w:val="230"/>
        </w:trPr>
        <w:tc>
          <w:tcPr>
            <w:tcW w:w="7223" w:type="dxa"/>
            <w:vAlign w:val="bottom"/>
          </w:tcPr>
          <w:p w14:paraId="3EFC87B8" w14:textId="77777777" w:rsidR="00064ACE" w:rsidRPr="00DB22BA" w:rsidRDefault="00064ACE" w:rsidP="00064ACE">
            <w:pPr>
              <w:tabs>
                <w:tab w:val="left" w:leader="dot" w:pos="6804"/>
              </w:tabs>
              <w:rPr>
                <w:rFonts w:ascii="Calibri" w:hAnsi="Calibri" w:cs="Calibri"/>
                <w:b/>
                <w:bCs/>
                <w:sz w:val="22"/>
                <w:szCs w:val="22"/>
              </w:rPr>
            </w:pPr>
          </w:p>
        </w:tc>
        <w:tc>
          <w:tcPr>
            <w:tcW w:w="1309" w:type="dxa"/>
            <w:gridSpan w:val="3"/>
            <w:tcBorders>
              <w:bottom w:val="single" w:sz="4" w:space="0" w:color="auto"/>
            </w:tcBorders>
            <w:shd w:val="clear" w:color="auto" w:fill="auto"/>
            <w:vAlign w:val="bottom"/>
          </w:tcPr>
          <w:p w14:paraId="78EF8218" w14:textId="77777777" w:rsidR="00064ACE" w:rsidRPr="00DB22BA" w:rsidRDefault="00064ACE" w:rsidP="00064ACE">
            <w:pPr>
              <w:ind w:left="-116" w:right="34"/>
              <w:jc w:val="right"/>
              <w:rPr>
                <w:rFonts w:ascii="Calibri" w:eastAsia="MS Mincho" w:hAnsi="Calibri" w:cs="Calibri"/>
                <w:b/>
                <w:sz w:val="22"/>
                <w:szCs w:val="22"/>
                <w:lang w:val="en-US"/>
              </w:rPr>
            </w:pPr>
            <w:r w:rsidRPr="00DB22BA">
              <w:rPr>
                <w:rFonts w:ascii="Calibri" w:eastAsia="MS Mincho" w:hAnsi="Calibri" w:cs="Calibri"/>
                <w:b/>
                <w:sz w:val="22"/>
                <w:szCs w:val="22"/>
                <w:lang w:val="en-US"/>
              </w:rPr>
              <w:t>Amount</w:t>
            </w:r>
          </w:p>
        </w:tc>
        <w:tc>
          <w:tcPr>
            <w:tcW w:w="1134" w:type="dxa"/>
            <w:gridSpan w:val="3"/>
            <w:tcBorders>
              <w:bottom w:val="single" w:sz="4" w:space="0" w:color="auto"/>
            </w:tcBorders>
            <w:shd w:val="clear" w:color="auto" w:fill="auto"/>
            <w:vAlign w:val="bottom"/>
          </w:tcPr>
          <w:p w14:paraId="175ED446" w14:textId="77777777" w:rsidR="00064ACE" w:rsidRPr="00DB22BA" w:rsidRDefault="00064ACE" w:rsidP="00064ACE">
            <w:pPr>
              <w:jc w:val="right"/>
              <w:rPr>
                <w:rFonts w:ascii="Calibri" w:eastAsia="MS Mincho" w:hAnsi="Calibri" w:cs="Calibri"/>
                <w:b/>
                <w:sz w:val="22"/>
                <w:szCs w:val="22"/>
                <w:lang w:val="en-US"/>
              </w:rPr>
            </w:pPr>
            <w:r w:rsidRPr="00DB22BA">
              <w:rPr>
                <w:rFonts w:ascii="Calibri" w:eastAsia="MS Mincho" w:hAnsi="Calibri" w:cs="Calibri"/>
                <w:b/>
                <w:sz w:val="22"/>
                <w:szCs w:val="22"/>
                <w:lang w:val="en-US"/>
              </w:rPr>
              <w:t>Value</w:t>
            </w:r>
          </w:p>
        </w:tc>
        <w:tc>
          <w:tcPr>
            <w:tcW w:w="1276" w:type="dxa"/>
            <w:gridSpan w:val="3"/>
            <w:tcBorders>
              <w:bottom w:val="single" w:sz="4" w:space="0" w:color="auto"/>
            </w:tcBorders>
          </w:tcPr>
          <w:p w14:paraId="2C023728" w14:textId="77777777" w:rsidR="00064ACE" w:rsidRPr="00A9218A" w:rsidRDefault="00064ACE" w:rsidP="00064ACE">
            <w:pPr>
              <w:jc w:val="right"/>
              <w:rPr>
                <w:rFonts w:ascii="Calibri" w:eastAsia="MS Mincho" w:hAnsi="Calibri" w:cs="Calibri"/>
                <w:sz w:val="22"/>
                <w:szCs w:val="22"/>
                <w:lang w:val="en-US"/>
              </w:rPr>
            </w:pPr>
            <w:r w:rsidRPr="00A9218A">
              <w:rPr>
                <w:rFonts w:ascii="Calibri" w:eastAsia="MS Mincho" w:hAnsi="Calibri" w:cs="Calibri"/>
                <w:sz w:val="22"/>
                <w:szCs w:val="22"/>
                <w:lang w:val="en-US"/>
              </w:rPr>
              <w:t>Amount</w:t>
            </w:r>
          </w:p>
        </w:tc>
        <w:tc>
          <w:tcPr>
            <w:tcW w:w="1249" w:type="dxa"/>
            <w:gridSpan w:val="3"/>
            <w:tcBorders>
              <w:bottom w:val="single" w:sz="4" w:space="0" w:color="auto"/>
            </w:tcBorders>
          </w:tcPr>
          <w:p w14:paraId="6C0AB612" w14:textId="77777777" w:rsidR="00064ACE" w:rsidRPr="00A9218A" w:rsidRDefault="00064ACE" w:rsidP="00064ACE">
            <w:pPr>
              <w:jc w:val="right"/>
              <w:rPr>
                <w:rFonts w:ascii="Calibri" w:eastAsia="MS Mincho" w:hAnsi="Calibri" w:cs="Calibri"/>
                <w:sz w:val="22"/>
                <w:szCs w:val="22"/>
                <w:lang w:val="en-US"/>
              </w:rPr>
            </w:pPr>
            <w:r w:rsidRPr="00A9218A">
              <w:rPr>
                <w:rFonts w:ascii="Calibri" w:eastAsia="MS Mincho" w:hAnsi="Calibri" w:cs="Calibri"/>
                <w:sz w:val="22"/>
                <w:szCs w:val="22"/>
                <w:lang w:val="en-US"/>
              </w:rPr>
              <w:t>Value</w:t>
            </w:r>
          </w:p>
        </w:tc>
      </w:tr>
      <w:tr w:rsidR="005660A9" w:rsidRPr="00FF2F42" w14:paraId="1EA3E99F" w14:textId="77777777" w:rsidTr="00FF2F42">
        <w:trPr>
          <w:gridAfter w:val="2"/>
          <w:wAfter w:w="793" w:type="dxa"/>
          <w:trHeight w:val="230"/>
        </w:trPr>
        <w:tc>
          <w:tcPr>
            <w:tcW w:w="7223" w:type="dxa"/>
            <w:vAlign w:val="bottom"/>
            <w:hideMark/>
          </w:tcPr>
          <w:p w14:paraId="49B6EA4A" w14:textId="77777777" w:rsidR="005660A9" w:rsidRPr="00DB22BA" w:rsidRDefault="005660A9" w:rsidP="00483427">
            <w:pPr>
              <w:tabs>
                <w:tab w:val="left" w:leader="dot" w:pos="6804"/>
              </w:tabs>
              <w:rPr>
                <w:rFonts w:ascii="Calibri" w:eastAsia="MS Mincho" w:hAnsi="Calibri" w:cs="Calibri"/>
                <w:b/>
                <w:bCs/>
                <w:sz w:val="22"/>
                <w:szCs w:val="22"/>
              </w:rPr>
            </w:pPr>
            <w:r w:rsidRPr="00DB22BA">
              <w:rPr>
                <w:rFonts w:ascii="Calibri" w:hAnsi="Calibri" w:cs="Calibri"/>
                <w:b/>
                <w:bCs/>
                <w:sz w:val="22"/>
                <w:szCs w:val="22"/>
              </w:rPr>
              <w:t>Non-current financial assets</w:t>
            </w:r>
          </w:p>
        </w:tc>
        <w:tc>
          <w:tcPr>
            <w:tcW w:w="1309" w:type="dxa"/>
            <w:gridSpan w:val="3"/>
            <w:tcBorders>
              <w:top w:val="single" w:sz="4" w:space="0" w:color="auto"/>
            </w:tcBorders>
            <w:shd w:val="clear" w:color="auto" w:fill="auto"/>
            <w:vAlign w:val="bottom"/>
          </w:tcPr>
          <w:p w14:paraId="0946F520" w14:textId="77777777" w:rsidR="005660A9" w:rsidRPr="00FF2F42" w:rsidRDefault="005660A9" w:rsidP="00483427">
            <w:pPr>
              <w:ind w:left="-116" w:right="34"/>
              <w:jc w:val="right"/>
              <w:rPr>
                <w:rFonts w:ascii="Calibri" w:eastAsia="MS Mincho" w:hAnsi="Calibri" w:cs="Calibri"/>
                <w:b/>
                <w:sz w:val="22"/>
                <w:szCs w:val="22"/>
                <w:u w:val="single"/>
                <w:lang w:val="en-US"/>
              </w:rPr>
            </w:pPr>
            <w:r w:rsidRPr="00FF2F42">
              <w:rPr>
                <w:rFonts w:ascii="Calibri" w:eastAsia="MS Mincho" w:hAnsi="Calibri" w:cs="Calibri"/>
                <w:b/>
                <w:sz w:val="22"/>
                <w:szCs w:val="22"/>
                <w:u w:val="single"/>
                <w:lang w:val="en-US"/>
              </w:rPr>
              <w:t>€M</w:t>
            </w:r>
          </w:p>
        </w:tc>
        <w:tc>
          <w:tcPr>
            <w:tcW w:w="1134" w:type="dxa"/>
            <w:gridSpan w:val="3"/>
            <w:tcBorders>
              <w:top w:val="single" w:sz="4" w:space="0" w:color="auto"/>
            </w:tcBorders>
            <w:shd w:val="clear" w:color="auto" w:fill="auto"/>
            <w:vAlign w:val="bottom"/>
          </w:tcPr>
          <w:p w14:paraId="023670BF" w14:textId="77777777" w:rsidR="005660A9" w:rsidRPr="00FF2F42" w:rsidRDefault="005660A9" w:rsidP="00483427">
            <w:pPr>
              <w:jc w:val="right"/>
              <w:rPr>
                <w:rFonts w:ascii="Calibri" w:eastAsia="MS Mincho" w:hAnsi="Calibri" w:cs="Calibri"/>
                <w:b/>
                <w:sz w:val="22"/>
                <w:szCs w:val="22"/>
                <w:u w:val="single"/>
                <w:lang w:val="en-US"/>
              </w:rPr>
            </w:pPr>
            <w:r w:rsidRPr="00FF2F42">
              <w:rPr>
                <w:rFonts w:ascii="Calibri" w:eastAsia="MS Mincho" w:hAnsi="Calibri" w:cs="Calibri"/>
                <w:b/>
                <w:sz w:val="22"/>
                <w:szCs w:val="22"/>
                <w:u w:val="single"/>
                <w:lang w:val="en-US"/>
              </w:rPr>
              <w:t>€M</w:t>
            </w:r>
          </w:p>
        </w:tc>
        <w:tc>
          <w:tcPr>
            <w:tcW w:w="1276" w:type="dxa"/>
            <w:gridSpan w:val="3"/>
            <w:tcBorders>
              <w:top w:val="single" w:sz="4" w:space="0" w:color="auto"/>
            </w:tcBorders>
          </w:tcPr>
          <w:p w14:paraId="7D8FF1A0" w14:textId="77777777" w:rsidR="005660A9" w:rsidRPr="00FF2F42" w:rsidRDefault="005660A9" w:rsidP="00483427">
            <w:pPr>
              <w:jc w:val="right"/>
              <w:rPr>
                <w:rFonts w:ascii="Calibri" w:eastAsia="MS Mincho" w:hAnsi="Calibri" w:cs="Calibri"/>
                <w:sz w:val="22"/>
                <w:szCs w:val="22"/>
                <w:u w:val="single"/>
                <w:lang w:val="en-US"/>
              </w:rPr>
            </w:pPr>
            <w:r w:rsidRPr="00FF2F42">
              <w:rPr>
                <w:rFonts w:ascii="Calibri" w:eastAsia="MS Mincho" w:hAnsi="Calibri" w:cs="Calibri"/>
                <w:sz w:val="22"/>
                <w:szCs w:val="22"/>
                <w:u w:val="single"/>
                <w:lang w:val="en-US"/>
              </w:rPr>
              <w:t>€M</w:t>
            </w:r>
          </w:p>
        </w:tc>
        <w:tc>
          <w:tcPr>
            <w:tcW w:w="1249" w:type="dxa"/>
            <w:gridSpan w:val="3"/>
            <w:tcBorders>
              <w:top w:val="single" w:sz="4" w:space="0" w:color="auto"/>
            </w:tcBorders>
          </w:tcPr>
          <w:p w14:paraId="163587B5" w14:textId="77777777" w:rsidR="005660A9" w:rsidRPr="00FF2F42" w:rsidRDefault="005660A9" w:rsidP="00483427">
            <w:pPr>
              <w:jc w:val="right"/>
              <w:rPr>
                <w:rFonts w:ascii="Calibri" w:eastAsia="MS Mincho" w:hAnsi="Calibri" w:cs="Calibri"/>
                <w:sz w:val="22"/>
                <w:szCs w:val="22"/>
                <w:u w:val="single"/>
                <w:lang w:val="en-US"/>
              </w:rPr>
            </w:pPr>
            <w:r w:rsidRPr="00FF2F42">
              <w:rPr>
                <w:rFonts w:ascii="Calibri" w:eastAsia="MS Mincho" w:hAnsi="Calibri" w:cs="Calibri"/>
                <w:sz w:val="22"/>
                <w:szCs w:val="22"/>
                <w:u w:val="single"/>
                <w:lang w:val="en-US"/>
              </w:rPr>
              <w:t>€M</w:t>
            </w:r>
          </w:p>
        </w:tc>
      </w:tr>
      <w:tr w:rsidR="005660A9" w:rsidRPr="00505482" w14:paraId="5B5CC3A2" w14:textId="77777777" w:rsidTr="00FF2F42">
        <w:trPr>
          <w:gridAfter w:val="2"/>
          <w:wAfter w:w="793" w:type="dxa"/>
          <w:trHeight w:val="230"/>
        </w:trPr>
        <w:tc>
          <w:tcPr>
            <w:tcW w:w="7223" w:type="dxa"/>
            <w:vAlign w:val="bottom"/>
          </w:tcPr>
          <w:p w14:paraId="11463B73" w14:textId="77777777" w:rsidR="005660A9" w:rsidRPr="00DB22BA" w:rsidRDefault="005660A9" w:rsidP="00483427">
            <w:pPr>
              <w:tabs>
                <w:tab w:val="left" w:leader="dot" w:pos="6804"/>
              </w:tabs>
              <w:rPr>
                <w:rFonts w:ascii="Calibri" w:eastAsia="MS Mincho" w:hAnsi="Calibri" w:cs="Calibri"/>
                <w:bCs/>
                <w:sz w:val="22"/>
                <w:szCs w:val="22"/>
              </w:rPr>
            </w:pPr>
            <w:r w:rsidRPr="00DB22BA">
              <w:rPr>
                <w:rFonts w:ascii="Calibri" w:hAnsi="Calibri" w:cs="Calibri"/>
                <w:bCs/>
                <w:sz w:val="22"/>
                <w:szCs w:val="22"/>
              </w:rPr>
              <w:t>Derivative financial instruments:-</w:t>
            </w:r>
          </w:p>
        </w:tc>
        <w:tc>
          <w:tcPr>
            <w:tcW w:w="1309" w:type="dxa"/>
            <w:gridSpan w:val="3"/>
            <w:shd w:val="clear" w:color="auto" w:fill="auto"/>
            <w:vAlign w:val="bottom"/>
          </w:tcPr>
          <w:p w14:paraId="4E637794" w14:textId="77777777" w:rsidR="005660A9" w:rsidRPr="00DB22BA" w:rsidRDefault="005660A9" w:rsidP="00483427">
            <w:pPr>
              <w:tabs>
                <w:tab w:val="decimal" w:pos="689"/>
              </w:tabs>
              <w:ind w:left="-116" w:right="34"/>
              <w:jc w:val="right"/>
              <w:rPr>
                <w:rFonts w:ascii="Calibri" w:eastAsia="MS Mincho" w:hAnsi="Calibri" w:cs="Calibri"/>
                <w:sz w:val="22"/>
                <w:szCs w:val="22"/>
              </w:rPr>
            </w:pPr>
          </w:p>
        </w:tc>
        <w:tc>
          <w:tcPr>
            <w:tcW w:w="1134" w:type="dxa"/>
            <w:gridSpan w:val="3"/>
            <w:shd w:val="clear" w:color="auto" w:fill="auto"/>
            <w:vAlign w:val="bottom"/>
          </w:tcPr>
          <w:p w14:paraId="58EF4992" w14:textId="77777777" w:rsidR="005660A9" w:rsidRPr="00DB22BA" w:rsidRDefault="005660A9" w:rsidP="00483427">
            <w:pPr>
              <w:tabs>
                <w:tab w:val="decimal" w:pos="689"/>
              </w:tabs>
              <w:jc w:val="right"/>
              <w:rPr>
                <w:rFonts w:ascii="Calibri" w:eastAsia="MS Mincho" w:hAnsi="Calibri" w:cs="Calibri"/>
                <w:sz w:val="22"/>
                <w:szCs w:val="22"/>
              </w:rPr>
            </w:pPr>
          </w:p>
        </w:tc>
        <w:tc>
          <w:tcPr>
            <w:tcW w:w="1276" w:type="dxa"/>
            <w:gridSpan w:val="3"/>
          </w:tcPr>
          <w:p w14:paraId="6EE659F3" w14:textId="77777777" w:rsidR="005660A9" w:rsidRPr="00DB22BA" w:rsidRDefault="005660A9" w:rsidP="00483427">
            <w:pPr>
              <w:tabs>
                <w:tab w:val="decimal" w:pos="689"/>
              </w:tabs>
              <w:jc w:val="right"/>
              <w:rPr>
                <w:rFonts w:ascii="Calibri" w:eastAsia="MS Mincho" w:hAnsi="Calibri" w:cs="Calibri"/>
                <w:sz w:val="22"/>
                <w:szCs w:val="22"/>
              </w:rPr>
            </w:pPr>
          </w:p>
        </w:tc>
        <w:tc>
          <w:tcPr>
            <w:tcW w:w="1249" w:type="dxa"/>
            <w:gridSpan w:val="3"/>
          </w:tcPr>
          <w:p w14:paraId="1615BF68" w14:textId="77777777" w:rsidR="005660A9" w:rsidRPr="00DB22BA" w:rsidRDefault="005660A9" w:rsidP="00483427">
            <w:pPr>
              <w:tabs>
                <w:tab w:val="decimal" w:pos="689"/>
              </w:tabs>
              <w:jc w:val="right"/>
              <w:rPr>
                <w:rFonts w:ascii="Calibri" w:eastAsia="MS Mincho" w:hAnsi="Calibri" w:cs="Calibri"/>
                <w:sz w:val="22"/>
                <w:szCs w:val="22"/>
              </w:rPr>
            </w:pPr>
          </w:p>
        </w:tc>
      </w:tr>
      <w:tr w:rsidR="00064ACE" w:rsidRPr="00505482" w14:paraId="7B69AB07" w14:textId="77777777" w:rsidTr="00064ACE">
        <w:trPr>
          <w:gridAfter w:val="2"/>
          <w:wAfter w:w="793" w:type="dxa"/>
          <w:trHeight w:val="216"/>
        </w:trPr>
        <w:tc>
          <w:tcPr>
            <w:tcW w:w="7223" w:type="dxa"/>
            <w:vAlign w:val="bottom"/>
            <w:hideMark/>
          </w:tcPr>
          <w:p w14:paraId="10CA094D" w14:textId="77777777" w:rsidR="00064ACE" w:rsidRPr="00DB22BA" w:rsidRDefault="00064ACE" w:rsidP="00064ACE">
            <w:pPr>
              <w:tabs>
                <w:tab w:val="left" w:leader="dot" w:pos="6804"/>
              </w:tabs>
              <w:rPr>
                <w:rFonts w:ascii="Calibri" w:eastAsia="MS Mincho" w:hAnsi="Calibri" w:cs="Calibri"/>
                <w:sz w:val="22"/>
                <w:szCs w:val="22"/>
              </w:rPr>
            </w:pPr>
            <w:r w:rsidRPr="00DB22BA">
              <w:rPr>
                <w:rFonts w:ascii="Calibri" w:hAnsi="Calibri" w:cs="Calibri"/>
                <w:bCs/>
                <w:sz w:val="22"/>
                <w:szCs w:val="22"/>
              </w:rPr>
              <w:t xml:space="preserve">- </w:t>
            </w:r>
            <w:r w:rsidRPr="00DB22BA">
              <w:rPr>
                <w:rFonts w:ascii="Calibri" w:hAnsi="Calibri" w:cs="Calibri"/>
                <w:sz w:val="22"/>
                <w:szCs w:val="22"/>
              </w:rPr>
              <w:t xml:space="preserve">U.S. dollar currency forward contracts </w:t>
            </w:r>
          </w:p>
        </w:tc>
        <w:tc>
          <w:tcPr>
            <w:tcW w:w="1309" w:type="dxa"/>
            <w:gridSpan w:val="3"/>
            <w:shd w:val="clear" w:color="auto" w:fill="auto"/>
            <w:vAlign w:val="bottom"/>
          </w:tcPr>
          <w:p w14:paraId="31D39495" w14:textId="1C6BABF0"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237.3</w:t>
            </w:r>
          </w:p>
        </w:tc>
        <w:tc>
          <w:tcPr>
            <w:tcW w:w="1134" w:type="dxa"/>
            <w:gridSpan w:val="3"/>
            <w:shd w:val="clear" w:color="auto" w:fill="auto"/>
            <w:vAlign w:val="bottom"/>
          </w:tcPr>
          <w:p w14:paraId="1CF7E828" w14:textId="233CC73A"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237.3</w:t>
            </w:r>
          </w:p>
        </w:tc>
        <w:tc>
          <w:tcPr>
            <w:tcW w:w="1276" w:type="dxa"/>
            <w:gridSpan w:val="3"/>
            <w:vAlign w:val="bottom"/>
          </w:tcPr>
          <w:p w14:paraId="6D91F9B4"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220.7</w:t>
            </w:r>
          </w:p>
        </w:tc>
        <w:tc>
          <w:tcPr>
            <w:tcW w:w="1249" w:type="dxa"/>
            <w:gridSpan w:val="3"/>
            <w:vAlign w:val="bottom"/>
          </w:tcPr>
          <w:p w14:paraId="142570EB" w14:textId="77777777" w:rsidR="00064ACE" w:rsidRPr="00DB22BA" w:rsidRDefault="00064ACE" w:rsidP="00064ACE">
            <w:pPr>
              <w:tabs>
                <w:tab w:val="decimal" w:pos="689"/>
              </w:tabs>
              <w:jc w:val="right"/>
              <w:rPr>
                <w:rFonts w:ascii="Calibri" w:eastAsia="MS Mincho" w:hAnsi="Calibri" w:cs="Calibri"/>
                <w:sz w:val="22"/>
                <w:szCs w:val="22"/>
              </w:rPr>
            </w:pPr>
            <w:r>
              <w:rPr>
                <w:rFonts w:ascii="Calibri" w:eastAsia="MS Mincho" w:hAnsi="Calibri" w:cs="Calibri"/>
                <w:sz w:val="22"/>
                <w:szCs w:val="22"/>
              </w:rPr>
              <w:t>220.7</w:t>
            </w:r>
          </w:p>
        </w:tc>
      </w:tr>
      <w:tr w:rsidR="00064ACE" w:rsidRPr="00505482" w14:paraId="4C74478A" w14:textId="77777777" w:rsidTr="00064ACE">
        <w:trPr>
          <w:gridAfter w:val="2"/>
          <w:wAfter w:w="793" w:type="dxa"/>
          <w:trHeight w:val="216"/>
        </w:trPr>
        <w:tc>
          <w:tcPr>
            <w:tcW w:w="7223" w:type="dxa"/>
            <w:vAlign w:val="bottom"/>
          </w:tcPr>
          <w:p w14:paraId="1FD32C92" w14:textId="77777777" w:rsidR="00064ACE" w:rsidRPr="00D3692D" w:rsidRDefault="00064ACE" w:rsidP="00064ACE">
            <w:pPr>
              <w:tabs>
                <w:tab w:val="left" w:leader="dot" w:pos="6804"/>
              </w:tabs>
              <w:rPr>
                <w:rFonts w:ascii="Calibri" w:hAnsi="Calibri" w:cs="Calibri"/>
                <w:bCs/>
                <w:sz w:val="22"/>
                <w:szCs w:val="22"/>
              </w:rPr>
            </w:pPr>
            <w:r w:rsidRPr="00D3692D">
              <w:rPr>
                <w:rFonts w:ascii="Calibri" w:hAnsi="Calibri" w:cs="Calibri"/>
                <w:bCs/>
                <w:sz w:val="22"/>
                <w:szCs w:val="22"/>
              </w:rPr>
              <w:t>-</w:t>
            </w:r>
            <w:r>
              <w:rPr>
                <w:rFonts w:ascii="Calibri" w:hAnsi="Calibri" w:cs="Calibri"/>
                <w:bCs/>
                <w:sz w:val="22"/>
                <w:szCs w:val="22"/>
              </w:rPr>
              <w:t xml:space="preserve"> Jet fuel derivative contracts</w:t>
            </w:r>
          </w:p>
        </w:tc>
        <w:tc>
          <w:tcPr>
            <w:tcW w:w="1309" w:type="dxa"/>
            <w:gridSpan w:val="3"/>
            <w:shd w:val="clear" w:color="auto" w:fill="auto"/>
            <w:vAlign w:val="bottom"/>
          </w:tcPr>
          <w:p w14:paraId="0361AECA" w14:textId="6E735B2E"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15.2</w:t>
            </w:r>
          </w:p>
        </w:tc>
        <w:tc>
          <w:tcPr>
            <w:tcW w:w="1134" w:type="dxa"/>
            <w:gridSpan w:val="3"/>
            <w:shd w:val="clear" w:color="auto" w:fill="auto"/>
            <w:vAlign w:val="bottom"/>
          </w:tcPr>
          <w:p w14:paraId="557B3560" w14:textId="746B6E88"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15.2</w:t>
            </w:r>
          </w:p>
        </w:tc>
        <w:tc>
          <w:tcPr>
            <w:tcW w:w="1276" w:type="dxa"/>
            <w:gridSpan w:val="3"/>
            <w:vAlign w:val="bottom"/>
          </w:tcPr>
          <w:p w14:paraId="72BB9457" w14:textId="77777777" w:rsidR="00064ACE"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4.5</w:t>
            </w:r>
          </w:p>
        </w:tc>
        <w:tc>
          <w:tcPr>
            <w:tcW w:w="1249" w:type="dxa"/>
            <w:gridSpan w:val="3"/>
            <w:vAlign w:val="bottom"/>
          </w:tcPr>
          <w:p w14:paraId="2136C019" w14:textId="77777777" w:rsidR="00064ACE" w:rsidRDefault="00064ACE" w:rsidP="00064ACE">
            <w:pPr>
              <w:tabs>
                <w:tab w:val="decimal" w:pos="689"/>
              </w:tabs>
              <w:jc w:val="right"/>
              <w:rPr>
                <w:rFonts w:ascii="Calibri" w:eastAsia="MS Mincho" w:hAnsi="Calibri" w:cs="Calibri"/>
                <w:sz w:val="22"/>
                <w:szCs w:val="22"/>
              </w:rPr>
            </w:pPr>
            <w:r>
              <w:rPr>
                <w:rFonts w:ascii="Calibri" w:eastAsia="MS Mincho" w:hAnsi="Calibri" w:cs="Calibri"/>
                <w:sz w:val="22"/>
                <w:szCs w:val="22"/>
              </w:rPr>
              <w:t>4.5</w:t>
            </w:r>
          </w:p>
        </w:tc>
      </w:tr>
      <w:tr w:rsidR="00064ACE" w:rsidRPr="00505482" w14:paraId="633D5375" w14:textId="77777777" w:rsidTr="00064ACE">
        <w:trPr>
          <w:gridAfter w:val="2"/>
          <w:wAfter w:w="793" w:type="dxa"/>
          <w:trHeight w:val="230"/>
        </w:trPr>
        <w:tc>
          <w:tcPr>
            <w:tcW w:w="7223" w:type="dxa"/>
            <w:vAlign w:val="bottom"/>
            <w:hideMark/>
          </w:tcPr>
          <w:p w14:paraId="23E94569" w14:textId="77777777" w:rsidR="00064ACE" w:rsidRPr="00DB22BA" w:rsidRDefault="00064ACE" w:rsidP="00064ACE">
            <w:pPr>
              <w:tabs>
                <w:tab w:val="left" w:leader="dot" w:pos="6804"/>
              </w:tabs>
              <w:ind w:right="-90"/>
              <w:rPr>
                <w:rFonts w:ascii="Calibri" w:eastAsia="MS Mincho" w:hAnsi="Calibri" w:cs="Calibri"/>
                <w:bCs/>
                <w:sz w:val="22"/>
                <w:szCs w:val="22"/>
              </w:rPr>
            </w:pPr>
            <w:r w:rsidRPr="00DB22BA">
              <w:rPr>
                <w:rFonts w:ascii="Calibri" w:hAnsi="Calibri" w:cs="Calibri"/>
                <w:bCs/>
                <w:sz w:val="22"/>
                <w:szCs w:val="22"/>
              </w:rPr>
              <w:t xml:space="preserve">- </w:t>
            </w:r>
            <w:r>
              <w:rPr>
                <w:rFonts w:ascii="Calibri" w:hAnsi="Calibri" w:cs="Calibri"/>
                <w:bCs/>
                <w:sz w:val="22"/>
                <w:szCs w:val="22"/>
              </w:rPr>
              <w:t>Interest rate swaps</w:t>
            </w:r>
          </w:p>
        </w:tc>
        <w:tc>
          <w:tcPr>
            <w:tcW w:w="1309" w:type="dxa"/>
            <w:gridSpan w:val="3"/>
            <w:tcBorders>
              <w:bottom w:val="single" w:sz="4" w:space="0" w:color="auto"/>
            </w:tcBorders>
            <w:shd w:val="clear" w:color="auto" w:fill="auto"/>
            <w:vAlign w:val="bottom"/>
          </w:tcPr>
          <w:p w14:paraId="4718A389" w14:textId="0937DB0E"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3.3</w:t>
            </w:r>
          </w:p>
        </w:tc>
        <w:tc>
          <w:tcPr>
            <w:tcW w:w="1134" w:type="dxa"/>
            <w:gridSpan w:val="3"/>
            <w:tcBorders>
              <w:bottom w:val="single" w:sz="4" w:space="0" w:color="auto"/>
            </w:tcBorders>
            <w:shd w:val="clear" w:color="auto" w:fill="auto"/>
            <w:vAlign w:val="bottom"/>
          </w:tcPr>
          <w:p w14:paraId="1746A92C" w14:textId="6AD914DF"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3.3</w:t>
            </w:r>
          </w:p>
        </w:tc>
        <w:tc>
          <w:tcPr>
            <w:tcW w:w="1276" w:type="dxa"/>
            <w:gridSpan w:val="3"/>
            <w:tcBorders>
              <w:bottom w:val="single" w:sz="4" w:space="0" w:color="auto"/>
            </w:tcBorders>
            <w:vAlign w:val="bottom"/>
          </w:tcPr>
          <w:p w14:paraId="0CD4ADC4"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2.3</w:t>
            </w:r>
          </w:p>
        </w:tc>
        <w:tc>
          <w:tcPr>
            <w:tcW w:w="1249" w:type="dxa"/>
            <w:gridSpan w:val="3"/>
            <w:tcBorders>
              <w:bottom w:val="single" w:sz="4" w:space="0" w:color="auto"/>
            </w:tcBorders>
            <w:vAlign w:val="bottom"/>
          </w:tcPr>
          <w:p w14:paraId="561AF532" w14:textId="77777777" w:rsidR="00064ACE" w:rsidRPr="00DB22BA" w:rsidRDefault="00064ACE" w:rsidP="00064ACE">
            <w:pPr>
              <w:tabs>
                <w:tab w:val="decimal" w:pos="689"/>
              </w:tabs>
              <w:jc w:val="right"/>
              <w:rPr>
                <w:rFonts w:ascii="Calibri" w:eastAsia="MS Mincho" w:hAnsi="Calibri" w:cs="Calibri"/>
                <w:sz w:val="22"/>
                <w:szCs w:val="22"/>
              </w:rPr>
            </w:pPr>
            <w:r>
              <w:rPr>
                <w:rFonts w:ascii="Calibri" w:eastAsia="MS Mincho" w:hAnsi="Calibri" w:cs="Calibri"/>
                <w:sz w:val="22"/>
                <w:szCs w:val="22"/>
              </w:rPr>
              <w:t>2.3</w:t>
            </w:r>
          </w:p>
        </w:tc>
      </w:tr>
      <w:tr w:rsidR="00064ACE" w:rsidRPr="00505482" w14:paraId="2AA6FDEA" w14:textId="77777777" w:rsidTr="00064ACE">
        <w:trPr>
          <w:gridAfter w:val="2"/>
          <w:wAfter w:w="793" w:type="dxa"/>
          <w:trHeight w:val="230"/>
        </w:trPr>
        <w:tc>
          <w:tcPr>
            <w:tcW w:w="7223" w:type="dxa"/>
            <w:vAlign w:val="bottom"/>
            <w:hideMark/>
          </w:tcPr>
          <w:p w14:paraId="42B7969B" w14:textId="77777777" w:rsidR="00064ACE" w:rsidRPr="00DB22BA" w:rsidRDefault="00064ACE" w:rsidP="00064ACE">
            <w:pPr>
              <w:tabs>
                <w:tab w:val="left" w:leader="dot" w:pos="6804"/>
              </w:tabs>
              <w:rPr>
                <w:rFonts w:ascii="Calibri" w:eastAsia="MS Mincho" w:hAnsi="Calibri" w:cs="Calibri"/>
                <w:sz w:val="22"/>
                <w:szCs w:val="22"/>
              </w:rPr>
            </w:pPr>
          </w:p>
        </w:tc>
        <w:tc>
          <w:tcPr>
            <w:tcW w:w="1309" w:type="dxa"/>
            <w:gridSpan w:val="3"/>
            <w:tcBorders>
              <w:top w:val="single" w:sz="4" w:space="0" w:color="auto"/>
            </w:tcBorders>
            <w:shd w:val="clear" w:color="auto" w:fill="auto"/>
            <w:vAlign w:val="bottom"/>
          </w:tcPr>
          <w:p w14:paraId="18198FC1" w14:textId="71CC4E4A"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255.8</w:t>
            </w:r>
          </w:p>
        </w:tc>
        <w:tc>
          <w:tcPr>
            <w:tcW w:w="1134" w:type="dxa"/>
            <w:gridSpan w:val="3"/>
            <w:tcBorders>
              <w:top w:val="single" w:sz="4" w:space="0" w:color="auto"/>
            </w:tcBorders>
            <w:shd w:val="clear" w:color="auto" w:fill="auto"/>
            <w:vAlign w:val="bottom"/>
          </w:tcPr>
          <w:p w14:paraId="27AC919E" w14:textId="1C8538B2"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255.8</w:t>
            </w:r>
          </w:p>
        </w:tc>
        <w:tc>
          <w:tcPr>
            <w:tcW w:w="1276" w:type="dxa"/>
            <w:gridSpan w:val="3"/>
            <w:tcBorders>
              <w:top w:val="single" w:sz="4" w:space="0" w:color="auto"/>
            </w:tcBorders>
            <w:vAlign w:val="bottom"/>
          </w:tcPr>
          <w:p w14:paraId="225B1E36"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227.5</w:t>
            </w:r>
          </w:p>
        </w:tc>
        <w:tc>
          <w:tcPr>
            <w:tcW w:w="1249" w:type="dxa"/>
            <w:gridSpan w:val="3"/>
            <w:tcBorders>
              <w:top w:val="single" w:sz="4" w:space="0" w:color="auto"/>
            </w:tcBorders>
            <w:vAlign w:val="bottom"/>
          </w:tcPr>
          <w:p w14:paraId="1CA2BFDB" w14:textId="77777777" w:rsidR="00064ACE" w:rsidRPr="00DB22BA" w:rsidRDefault="00064ACE" w:rsidP="00064ACE">
            <w:pPr>
              <w:tabs>
                <w:tab w:val="decimal" w:pos="689"/>
              </w:tabs>
              <w:jc w:val="right"/>
              <w:rPr>
                <w:rFonts w:ascii="Calibri" w:eastAsia="MS Mincho" w:hAnsi="Calibri" w:cs="Calibri"/>
                <w:sz w:val="22"/>
                <w:szCs w:val="22"/>
              </w:rPr>
            </w:pPr>
            <w:r>
              <w:rPr>
                <w:rFonts w:ascii="Calibri" w:eastAsia="MS Mincho" w:hAnsi="Calibri" w:cs="Calibri"/>
                <w:sz w:val="22"/>
                <w:szCs w:val="22"/>
              </w:rPr>
              <w:t>227.5</w:t>
            </w:r>
          </w:p>
        </w:tc>
      </w:tr>
      <w:tr w:rsidR="005660A9" w:rsidRPr="00505482" w14:paraId="0F020E1A" w14:textId="77777777" w:rsidTr="00FF2F42">
        <w:trPr>
          <w:gridAfter w:val="2"/>
          <w:wAfter w:w="793" w:type="dxa"/>
          <w:trHeight w:val="216"/>
        </w:trPr>
        <w:tc>
          <w:tcPr>
            <w:tcW w:w="7223" w:type="dxa"/>
            <w:vAlign w:val="bottom"/>
            <w:hideMark/>
          </w:tcPr>
          <w:p w14:paraId="6367CD2D" w14:textId="77777777" w:rsidR="005660A9" w:rsidRPr="00DB22BA" w:rsidRDefault="005660A9" w:rsidP="00483427">
            <w:pPr>
              <w:tabs>
                <w:tab w:val="left" w:leader="dot" w:pos="6804"/>
              </w:tabs>
              <w:rPr>
                <w:rFonts w:ascii="Calibri" w:eastAsia="MS Mincho" w:hAnsi="Calibri" w:cs="Calibri"/>
                <w:sz w:val="22"/>
                <w:szCs w:val="22"/>
              </w:rPr>
            </w:pPr>
            <w:r w:rsidRPr="00DB22BA">
              <w:rPr>
                <w:rFonts w:ascii="Calibri" w:hAnsi="Calibri" w:cs="Calibri"/>
                <w:b/>
                <w:bCs/>
                <w:sz w:val="22"/>
                <w:szCs w:val="22"/>
              </w:rPr>
              <w:t>Current financial assets</w:t>
            </w:r>
          </w:p>
        </w:tc>
        <w:tc>
          <w:tcPr>
            <w:tcW w:w="1309" w:type="dxa"/>
            <w:gridSpan w:val="3"/>
            <w:shd w:val="clear" w:color="auto" w:fill="auto"/>
            <w:vAlign w:val="bottom"/>
          </w:tcPr>
          <w:p w14:paraId="20372904" w14:textId="77777777" w:rsidR="005660A9" w:rsidRPr="00DB22BA" w:rsidRDefault="005660A9" w:rsidP="00483427">
            <w:pPr>
              <w:tabs>
                <w:tab w:val="decimal" w:pos="689"/>
              </w:tabs>
              <w:ind w:left="-116" w:right="34"/>
              <w:jc w:val="right"/>
              <w:rPr>
                <w:rFonts w:ascii="Calibri" w:eastAsia="MS Mincho" w:hAnsi="Calibri" w:cs="Calibri"/>
                <w:sz w:val="22"/>
                <w:szCs w:val="22"/>
              </w:rPr>
            </w:pPr>
          </w:p>
        </w:tc>
        <w:tc>
          <w:tcPr>
            <w:tcW w:w="1134" w:type="dxa"/>
            <w:gridSpan w:val="3"/>
            <w:shd w:val="clear" w:color="auto" w:fill="auto"/>
            <w:vAlign w:val="bottom"/>
          </w:tcPr>
          <w:p w14:paraId="7F2D46FB" w14:textId="77777777" w:rsidR="005660A9" w:rsidRPr="00DB22BA" w:rsidRDefault="005660A9" w:rsidP="00483427">
            <w:pPr>
              <w:tabs>
                <w:tab w:val="decimal" w:pos="689"/>
              </w:tabs>
              <w:jc w:val="right"/>
              <w:rPr>
                <w:rFonts w:ascii="Calibri" w:eastAsia="MS Mincho" w:hAnsi="Calibri" w:cs="Calibri"/>
                <w:sz w:val="22"/>
                <w:szCs w:val="22"/>
              </w:rPr>
            </w:pPr>
          </w:p>
        </w:tc>
        <w:tc>
          <w:tcPr>
            <w:tcW w:w="1276" w:type="dxa"/>
            <w:gridSpan w:val="3"/>
          </w:tcPr>
          <w:p w14:paraId="070904CC" w14:textId="77777777" w:rsidR="005660A9" w:rsidRPr="00DB22BA" w:rsidRDefault="005660A9" w:rsidP="00483427">
            <w:pPr>
              <w:tabs>
                <w:tab w:val="decimal" w:pos="689"/>
              </w:tabs>
              <w:jc w:val="right"/>
              <w:rPr>
                <w:rFonts w:ascii="Calibri" w:eastAsia="MS Mincho" w:hAnsi="Calibri" w:cs="Calibri"/>
                <w:sz w:val="22"/>
                <w:szCs w:val="22"/>
              </w:rPr>
            </w:pPr>
          </w:p>
        </w:tc>
        <w:tc>
          <w:tcPr>
            <w:tcW w:w="1249" w:type="dxa"/>
            <w:gridSpan w:val="3"/>
          </w:tcPr>
          <w:p w14:paraId="0009B219" w14:textId="77777777" w:rsidR="005660A9" w:rsidRPr="00DB22BA" w:rsidRDefault="005660A9" w:rsidP="00483427">
            <w:pPr>
              <w:tabs>
                <w:tab w:val="decimal" w:pos="689"/>
              </w:tabs>
              <w:jc w:val="right"/>
              <w:rPr>
                <w:rFonts w:ascii="Calibri" w:eastAsia="MS Mincho" w:hAnsi="Calibri" w:cs="Calibri"/>
                <w:sz w:val="22"/>
                <w:szCs w:val="22"/>
              </w:rPr>
            </w:pPr>
          </w:p>
        </w:tc>
      </w:tr>
      <w:tr w:rsidR="005660A9" w:rsidRPr="00505482" w14:paraId="31106380" w14:textId="77777777" w:rsidTr="00FF2F42">
        <w:trPr>
          <w:gridAfter w:val="2"/>
          <w:wAfter w:w="793" w:type="dxa"/>
          <w:trHeight w:val="216"/>
        </w:trPr>
        <w:tc>
          <w:tcPr>
            <w:tcW w:w="7223" w:type="dxa"/>
            <w:vAlign w:val="bottom"/>
            <w:hideMark/>
          </w:tcPr>
          <w:p w14:paraId="5CE3A495" w14:textId="77777777" w:rsidR="005660A9" w:rsidRPr="00DB22BA" w:rsidRDefault="005660A9" w:rsidP="00483427">
            <w:pPr>
              <w:tabs>
                <w:tab w:val="left" w:leader="dot" w:pos="6804"/>
              </w:tabs>
              <w:rPr>
                <w:rFonts w:ascii="Calibri" w:eastAsia="MS Mincho" w:hAnsi="Calibri" w:cs="Calibri"/>
                <w:bCs/>
                <w:sz w:val="22"/>
                <w:szCs w:val="22"/>
              </w:rPr>
            </w:pPr>
            <w:r w:rsidRPr="00DB22BA">
              <w:rPr>
                <w:rFonts w:ascii="Calibri" w:hAnsi="Calibri" w:cs="Calibri"/>
                <w:bCs/>
                <w:sz w:val="22"/>
                <w:szCs w:val="22"/>
              </w:rPr>
              <w:t>Derivative financial instruments:-</w:t>
            </w:r>
          </w:p>
        </w:tc>
        <w:tc>
          <w:tcPr>
            <w:tcW w:w="1309" w:type="dxa"/>
            <w:gridSpan w:val="3"/>
            <w:shd w:val="clear" w:color="auto" w:fill="auto"/>
            <w:vAlign w:val="bottom"/>
          </w:tcPr>
          <w:p w14:paraId="242DC4E9" w14:textId="77777777" w:rsidR="005660A9" w:rsidRPr="00DB22BA" w:rsidRDefault="005660A9" w:rsidP="00483427">
            <w:pPr>
              <w:tabs>
                <w:tab w:val="decimal" w:pos="689"/>
              </w:tabs>
              <w:ind w:left="-116" w:right="34"/>
              <w:jc w:val="right"/>
              <w:rPr>
                <w:rFonts w:ascii="Calibri" w:eastAsia="MS Mincho" w:hAnsi="Calibri" w:cs="Calibri"/>
                <w:sz w:val="22"/>
                <w:szCs w:val="22"/>
              </w:rPr>
            </w:pPr>
          </w:p>
        </w:tc>
        <w:tc>
          <w:tcPr>
            <w:tcW w:w="1134" w:type="dxa"/>
            <w:gridSpan w:val="3"/>
            <w:shd w:val="clear" w:color="auto" w:fill="auto"/>
            <w:vAlign w:val="bottom"/>
          </w:tcPr>
          <w:p w14:paraId="0AE7EBAD" w14:textId="77777777" w:rsidR="005660A9" w:rsidRPr="00DB22BA" w:rsidRDefault="005660A9" w:rsidP="00483427">
            <w:pPr>
              <w:tabs>
                <w:tab w:val="decimal" w:pos="689"/>
              </w:tabs>
              <w:jc w:val="right"/>
              <w:rPr>
                <w:rFonts w:ascii="Calibri" w:eastAsia="MS Mincho" w:hAnsi="Calibri" w:cs="Calibri"/>
                <w:sz w:val="22"/>
                <w:szCs w:val="22"/>
              </w:rPr>
            </w:pPr>
          </w:p>
        </w:tc>
        <w:tc>
          <w:tcPr>
            <w:tcW w:w="1276" w:type="dxa"/>
            <w:gridSpan w:val="3"/>
          </w:tcPr>
          <w:p w14:paraId="7E48F4D4" w14:textId="77777777" w:rsidR="005660A9" w:rsidRPr="00DB22BA" w:rsidRDefault="005660A9" w:rsidP="00483427">
            <w:pPr>
              <w:tabs>
                <w:tab w:val="decimal" w:pos="689"/>
              </w:tabs>
              <w:jc w:val="right"/>
              <w:rPr>
                <w:rFonts w:ascii="Calibri" w:eastAsia="MS Mincho" w:hAnsi="Calibri" w:cs="Calibri"/>
                <w:sz w:val="22"/>
                <w:szCs w:val="22"/>
              </w:rPr>
            </w:pPr>
          </w:p>
        </w:tc>
        <w:tc>
          <w:tcPr>
            <w:tcW w:w="1249" w:type="dxa"/>
            <w:gridSpan w:val="3"/>
          </w:tcPr>
          <w:p w14:paraId="4FE576EE" w14:textId="77777777" w:rsidR="005660A9" w:rsidRPr="00DB22BA" w:rsidRDefault="005660A9" w:rsidP="00483427">
            <w:pPr>
              <w:tabs>
                <w:tab w:val="decimal" w:pos="689"/>
              </w:tabs>
              <w:jc w:val="right"/>
              <w:rPr>
                <w:rFonts w:ascii="Calibri" w:eastAsia="MS Mincho" w:hAnsi="Calibri" w:cs="Calibri"/>
                <w:sz w:val="22"/>
                <w:szCs w:val="22"/>
              </w:rPr>
            </w:pPr>
          </w:p>
        </w:tc>
      </w:tr>
      <w:tr w:rsidR="00064ACE" w:rsidRPr="00505482" w14:paraId="659B141B" w14:textId="77777777" w:rsidTr="00064ACE">
        <w:trPr>
          <w:gridAfter w:val="2"/>
          <w:wAfter w:w="793" w:type="dxa"/>
          <w:trHeight w:val="216"/>
        </w:trPr>
        <w:tc>
          <w:tcPr>
            <w:tcW w:w="7223" w:type="dxa"/>
            <w:vAlign w:val="bottom"/>
            <w:hideMark/>
          </w:tcPr>
          <w:p w14:paraId="5CC5F393" w14:textId="77777777" w:rsidR="00064ACE" w:rsidRPr="00DB22BA" w:rsidRDefault="00064ACE" w:rsidP="00064ACE">
            <w:pPr>
              <w:tabs>
                <w:tab w:val="left" w:leader="dot" w:pos="6804"/>
              </w:tabs>
              <w:rPr>
                <w:rFonts w:ascii="Calibri" w:eastAsia="MS Mincho" w:hAnsi="Calibri" w:cs="Calibri"/>
                <w:sz w:val="22"/>
                <w:szCs w:val="22"/>
              </w:rPr>
            </w:pPr>
            <w:r w:rsidRPr="00DB22BA">
              <w:rPr>
                <w:rFonts w:ascii="Calibri" w:hAnsi="Calibri" w:cs="Calibri"/>
                <w:bCs/>
                <w:sz w:val="22"/>
                <w:szCs w:val="22"/>
              </w:rPr>
              <w:t xml:space="preserve">- </w:t>
            </w:r>
            <w:r w:rsidRPr="00DB22BA">
              <w:rPr>
                <w:rFonts w:ascii="Calibri" w:hAnsi="Calibri" w:cs="Calibri"/>
                <w:sz w:val="22"/>
                <w:szCs w:val="22"/>
              </w:rPr>
              <w:t>U.S. dollar currency forward contracts</w:t>
            </w:r>
          </w:p>
        </w:tc>
        <w:tc>
          <w:tcPr>
            <w:tcW w:w="1309" w:type="dxa"/>
            <w:gridSpan w:val="3"/>
            <w:shd w:val="clear" w:color="auto" w:fill="auto"/>
            <w:vAlign w:val="bottom"/>
          </w:tcPr>
          <w:p w14:paraId="311E3295" w14:textId="56BA76ED"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235.5</w:t>
            </w:r>
          </w:p>
        </w:tc>
        <w:tc>
          <w:tcPr>
            <w:tcW w:w="1134" w:type="dxa"/>
            <w:gridSpan w:val="3"/>
            <w:shd w:val="clear" w:color="auto" w:fill="auto"/>
            <w:vAlign w:val="bottom"/>
          </w:tcPr>
          <w:p w14:paraId="6E875259" w14:textId="45F1556B"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235.5</w:t>
            </w:r>
          </w:p>
        </w:tc>
        <w:tc>
          <w:tcPr>
            <w:tcW w:w="1276" w:type="dxa"/>
            <w:gridSpan w:val="3"/>
            <w:vAlign w:val="bottom"/>
          </w:tcPr>
          <w:p w14:paraId="586F0077"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307.0</w:t>
            </w:r>
          </w:p>
        </w:tc>
        <w:tc>
          <w:tcPr>
            <w:tcW w:w="1249" w:type="dxa"/>
            <w:gridSpan w:val="3"/>
            <w:vAlign w:val="bottom"/>
          </w:tcPr>
          <w:p w14:paraId="3571B0DE" w14:textId="77777777" w:rsidR="00064ACE" w:rsidRPr="00DB22BA" w:rsidRDefault="00064ACE" w:rsidP="00064ACE">
            <w:pPr>
              <w:tabs>
                <w:tab w:val="decimal" w:pos="689"/>
              </w:tabs>
              <w:jc w:val="right"/>
              <w:rPr>
                <w:rFonts w:ascii="Calibri" w:eastAsia="MS Mincho" w:hAnsi="Calibri" w:cs="Calibri"/>
                <w:sz w:val="22"/>
                <w:szCs w:val="22"/>
              </w:rPr>
            </w:pPr>
            <w:r>
              <w:rPr>
                <w:rFonts w:ascii="Calibri" w:eastAsia="MS Mincho" w:hAnsi="Calibri" w:cs="Calibri"/>
                <w:sz w:val="22"/>
                <w:szCs w:val="22"/>
              </w:rPr>
              <w:t>307.0</w:t>
            </w:r>
          </w:p>
        </w:tc>
      </w:tr>
      <w:tr w:rsidR="00F652F6" w:rsidRPr="00505482" w14:paraId="351368B3" w14:textId="77777777" w:rsidTr="00064ACE">
        <w:trPr>
          <w:gridAfter w:val="2"/>
          <w:wAfter w:w="793" w:type="dxa"/>
          <w:trHeight w:val="216"/>
        </w:trPr>
        <w:tc>
          <w:tcPr>
            <w:tcW w:w="7223" w:type="dxa"/>
            <w:vAlign w:val="bottom"/>
          </w:tcPr>
          <w:p w14:paraId="2807ABB3" w14:textId="19D07625" w:rsidR="00F652F6" w:rsidRPr="00F652F6" w:rsidRDefault="00F652F6" w:rsidP="00F652F6">
            <w:pPr>
              <w:tabs>
                <w:tab w:val="left" w:leader="dot" w:pos="6804"/>
              </w:tabs>
              <w:rPr>
                <w:rFonts w:ascii="Calibri" w:hAnsi="Calibri" w:cs="Calibri"/>
                <w:bCs/>
                <w:sz w:val="22"/>
                <w:szCs w:val="22"/>
              </w:rPr>
            </w:pPr>
            <w:r w:rsidRPr="00DB22BA">
              <w:rPr>
                <w:rFonts w:ascii="Calibri" w:hAnsi="Calibri" w:cs="Calibri"/>
                <w:bCs/>
                <w:sz w:val="22"/>
                <w:szCs w:val="22"/>
              </w:rPr>
              <w:t xml:space="preserve">- </w:t>
            </w:r>
            <w:r>
              <w:rPr>
                <w:rFonts w:ascii="Calibri" w:hAnsi="Calibri" w:cs="Calibri"/>
                <w:sz w:val="22"/>
                <w:szCs w:val="22"/>
              </w:rPr>
              <w:t>Jet fuel &amp; carbon derivative contracts</w:t>
            </w:r>
          </w:p>
        </w:tc>
        <w:tc>
          <w:tcPr>
            <w:tcW w:w="1309" w:type="dxa"/>
            <w:gridSpan w:val="3"/>
            <w:shd w:val="clear" w:color="auto" w:fill="auto"/>
            <w:vAlign w:val="bottom"/>
          </w:tcPr>
          <w:p w14:paraId="4952AC8C" w14:textId="38B93BC0" w:rsidR="00F652F6"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44.4</w:t>
            </w:r>
          </w:p>
        </w:tc>
        <w:tc>
          <w:tcPr>
            <w:tcW w:w="1134" w:type="dxa"/>
            <w:gridSpan w:val="3"/>
            <w:shd w:val="clear" w:color="auto" w:fill="auto"/>
            <w:vAlign w:val="bottom"/>
          </w:tcPr>
          <w:p w14:paraId="03B24B62" w14:textId="48CB26B0" w:rsidR="00F652F6"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44.4</w:t>
            </w:r>
          </w:p>
        </w:tc>
        <w:tc>
          <w:tcPr>
            <w:tcW w:w="1276" w:type="dxa"/>
            <w:gridSpan w:val="3"/>
            <w:vAlign w:val="bottom"/>
          </w:tcPr>
          <w:p w14:paraId="6A029DE1" w14:textId="77777777" w:rsidR="00F652F6" w:rsidRDefault="00F652F6" w:rsidP="00064ACE">
            <w:pPr>
              <w:tabs>
                <w:tab w:val="decimal" w:pos="689"/>
              </w:tabs>
              <w:ind w:left="-116" w:right="34"/>
              <w:jc w:val="right"/>
              <w:rPr>
                <w:rFonts w:ascii="Calibri" w:eastAsia="MS Mincho" w:hAnsi="Calibri" w:cs="Calibri"/>
                <w:sz w:val="22"/>
                <w:szCs w:val="22"/>
              </w:rPr>
            </w:pPr>
          </w:p>
        </w:tc>
        <w:tc>
          <w:tcPr>
            <w:tcW w:w="1249" w:type="dxa"/>
            <w:gridSpan w:val="3"/>
            <w:vAlign w:val="bottom"/>
          </w:tcPr>
          <w:p w14:paraId="016FB22F" w14:textId="77777777" w:rsidR="00F652F6" w:rsidRDefault="00F652F6" w:rsidP="00064ACE">
            <w:pPr>
              <w:tabs>
                <w:tab w:val="decimal" w:pos="689"/>
              </w:tabs>
              <w:jc w:val="right"/>
              <w:rPr>
                <w:rFonts w:ascii="Calibri" w:eastAsia="MS Mincho" w:hAnsi="Calibri" w:cs="Calibri"/>
                <w:sz w:val="22"/>
                <w:szCs w:val="22"/>
              </w:rPr>
            </w:pPr>
          </w:p>
        </w:tc>
      </w:tr>
      <w:tr w:rsidR="00064ACE" w:rsidRPr="00505482" w14:paraId="45C24E09" w14:textId="77777777" w:rsidTr="00064ACE">
        <w:trPr>
          <w:gridAfter w:val="2"/>
          <w:wAfter w:w="793" w:type="dxa"/>
          <w:trHeight w:val="216"/>
        </w:trPr>
        <w:tc>
          <w:tcPr>
            <w:tcW w:w="7223" w:type="dxa"/>
            <w:vAlign w:val="bottom"/>
          </w:tcPr>
          <w:p w14:paraId="095F3963" w14:textId="77777777" w:rsidR="00064ACE" w:rsidRPr="00DB22BA" w:rsidRDefault="00064ACE" w:rsidP="00064ACE">
            <w:pPr>
              <w:tabs>
                <w:tab w:val="left" w:leader="dot" w:pos="6804"/>
              </w:tabs>
              <w:rPr>
                <w:rFonts w:ascii="Calibri" w:hAnsi="Calibri" w:cs="Calibri"/>
                <w:bCs/>
                <w:sz w:val="22"/>
                <w:szCs w:val="22"/>
              </w:rPr>
            </w:pPr>
            <w:r w:rsidRPr="00DB22BA">
              <w:rPr>
                <w:rFonts w:ascii="Calibri" w:hAnsi="Calibri" w:cs="Calibri"/>
                <w:bCs/>
                <w:sz w:val="22"/>
                <w:szCs w:val="22"/>
              </w:rPr>
              <w:t>- Interest rate swaps</w:t>
            </w:r>
          </w:p>
        </w:tc>
        <w:tc>
          <w:tcPr>
            <w:tcW w:w="1309" w:type="dxa"/>
            <w:gridSpan w:val="3"/>
            <w:shd w:val="clear" w:color="auto" w:fill="auto"/>
            <w:vAlign w:val="bottom"/>
          </w:tcPr>
          <w:p w14:paraId="25293BD2" w14:textId="432683E5"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1.7</w:t>
            </w:r>
          </w:p>
        </w:tc>
        <w:tc>
          <w:tcPr>
            <w:tcW w:w="1134" w:type="dxa"/>
            <w:gridSpan w:val="3"/>
            <w:shd w:val="clear" w:color="auto" w:fill="auto"/>
            <w:vAlign w:val="bottom"/>
          </w:tcPr>
          <w:p w14:paraId="39E8AB40" w14:textId="3C7E90BF"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1.7</w:t>
            </w:r>
          </w:p>
        </w:tc>
        <w:tc>
          <w:tcPr>
            <w:tcW w:w="1276" w:type="dxa"/>
            <w:gridSpan w:val="3"/>
            <w:vAlign w:val="bottom"/>
          </w:tcPr>
          <w:p w14:paraId="2DFE866D"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1.7</w:t>
            </w:r>
          </w:p>
        </w:tc>
        <w:tc>
          <w:tcPr>
            <w:tcW w:w="1249" w:type="dxa"/>
            <w:gridSpan w:val="3"/>
            <w:vAlign w:val="bottom"/>
          </w:tcPr>
          <w:p w14:paraId="1877C4B7" w14:textId="77777777" w:rsidR="00064ACE" w:rsidRPr="00DB22BA" w:rsidRDefault="00064ACE" w:rsidP="00064ACE">
            <w:pPr>
              <w:tabs>
                <w:tab w:val="decimal" w:pos="689"/>
              </w:tabs>
              <w:jc w:val="right"/>
              <w:rPr>
                <w:rFonts w:ascii="Calibri" w:eastAsia="MS Mincho" w:hAnsi="Calibri" w:cs="Calibri"/>
                <w:sz w:val="22"/>
                <w:szCs w:val="22"/>
              </w:rPr>
            </w:pPr>
            <w:r>
              <w:rPr>
                <w:rFonts w:ascii="Calibri" w:eastAsia="MS Mincho" w:hAnsi="Calibri" w:cs="Calibri"/>
                <w:sz w:val="22"/>
                <w:szCs w:val="22"/>
              </w:rPr>
              <w:t>1.7</w:t>
            </w:r>
          </w:p>
        </w:tc>
      </w:tr>
      <w:tr w:rsidR="00064ACE" w:rsidRPr="00505482" w14:paraId="3AF8E523" w14:textId="77777777" w:rsidTr="00064ACE">
        <w:trPr>
          <w:gridAfter w:val="2"/>
          <w:wAfter w:w="793" w:type="dxa"/>
          <w:trHeight w:val="216"/>
        </w:trPr>
        <w:tc>
          <w:tcPr>
            <w:tcW w:w="7223" w:type="dxa"/>
            <w:vAlign w:val="bottom"/>
          </w:tcPr>
          <w:p w14:paraId="1BBF9EC9" w14:textId="77777777" w:rsidR="00064ACE" w:rsidRPr="00DB22BA" w:rsidRDefault="00064ACE" w:rsidP="00064ACE">
            <w:pPr>
              <w:tabs>
                <w:tab w:val="left" w:leader="dot" w:pos="6804"/>
              </w:tabs>
              <w:rPr>
                <w:rFonts w:ascii="Calibri" w:eastAsia="MS Mincho" w:hAnsi="Calibri" w:cs="Calibri"/>
                <w:sz w:val="22"/>
                <w:szCs w:val="22"/>
              </w:rPr>
            </w:pPr>
          </w:p>
        </w:tc>
        <w:tc>
          <w:tcPr>
            <w:tcW w:w="1309" w:type="dxa"/>
            <w:gridSpan w:val="3"/>
            <w:tcBorders>
              <w:top w:val="single" w:sz="4" w:space="0" w:color="auto"/>
            </w:tcBorders>
            <w:shd w:val="clear" w:color="auto" w:fill="auto"/>
            <w:vAlign w:val="bottom"/>
          </w:tcPr>
          <w:p w14:paraId="213B36D9" w14:textId="2D4A5CD4"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281.6</w:t>
            </w:r>
          </w:p>
        </w:tc>
        <w:tc>
          <w:tcPr>
            <w:tcW w:w="1134" w:type="dxa"/>
            <w:gridSpan w:val="3"/>
            <w:tcBorders>
              <w:top w:val="single" w:sz="4" w:space="0" w:color="auto"/>
            </w:tcBorders>
            <w:shd w:val="clear" w:color="auto" w:fill="auto"/>
            <w:vAlign w:val="bottom"/>
          </w:tcPr>
          <w:p w14:paraId="77B3F4A7" w14:textId="513E1FF5"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281.6</w:t>
            </w:r>
          </w:p>
        </w:tc>
        <w:tc>
          <w:tcPr>
            <w:tcW w:w="1276" w:type="dxa"/>
            <w:gridSpan w:val="3"/>
            <w:tcBorders>
              <w:top w:val="single" w:sz="4" w:space="0" w:color="auto"/>
            </w:tcBorders>
            <w:vAlign w:val="bottom"/>
          </w:tcPr>
          <w:p w14:paraId="4DBD91FE"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308.7</w:t>
            </w:r>
          </w:p>
        </w:tc>
        <w:tc>
          <w:tcPr>
            <w:tcW w:w="1249" w:type="dxa"/>
            <w:gridSpan w:val="3"/>
            <w:tcBorders>
              <w:top w:val="single" w:sz="4" w:space="0" w:color="auto"/>
            </w:tcBorders>
            <w:vAlign w:val="bottom"/>
          </w:tcPr>
          <w:p w14:paraId="7C96A9B1" w14:textId="77777777" w:rsidR="00064ACE" w:rsidRPr="00DB22BA" w:rsidRDefault="00064ACE" w:rsidP="00064ACE">
            <w:pPr>
              <w:tabs>
                <w:tab w:val="decimal" w:pos="689"/>
              </w:tabs>
              <w:jc w:val="right"/>
              <w:rPr>
                <w:rFonts w:ascii="Calibri" w:eastAsia="MS Mincho" w:hAnsi="Calibri" w:cs="Calibri"/>
                <w:sz w:val="22"/>
                <w:szCs w:val="22"/>
              </w:rPr>
            </w:pPr>
            <w:r>
              <w:rPr>
                <w:rFonts w:ascii="Calibri" w:eastAsia="MS Mincho" w:hAnsi="Calibri" w:cs="Calibri"/>
                <w:sz w:val="22"/>
                <w:szCs w:val="22"/>
              </w:rPr>
              <w:t>308.7</w:t>
            </w:r>
          </w:p>
        </w:tc>
      </w:tr>
      <w:tr w:rsidR="00064ACE" w:rsidRPr="00505482" w14:paraId="0D0130F0" w14:textId="77777777" w:rsidTr="00064ACE">
        <w:trPr>
          <w:gridAfter w:val="2"/>
          <w:wAfter w:w="793" w:type="dxa"/>
          <w:trHeight w:val="216"/>
        </w:trPr>
        <w:tc>
          <w:tcPr>
            <w:tcW w:w="7223" w:type="dxa"/>
            <w:vAlign w:val="bottom"/>
            <w:hideMark/>
          </w:tcPr>
          <w:p w14:paraId="797B30AD" w14:textId="77777777" w:rsidR="00064ACE" w:rsidRPr="00DB22BA" w:rsidRDefault="00064ACE" w:rsidP="00064ACE">
            <w:pPr>
              <w:tabs>
                <w:tab w:val="left" w:leader="dot" w:pos="6804"/>
              </w:tabs>
              <w:rPr>
                <w:rFonts w:ascii="Calibri" w:eastAsia="MS Mincho" w:hAnsi="Calibri" w:cs="Calibri"/>
                <w:sz w:val="22"/>
                <w:szCs w:val="22"/>
              </w:rPr>
            </w:pPr>
            <w:r w:rsidRPr="00DB22BA">
              <w:rPr>
                <w:rFonts w:ascii="Calibri" w:hAnsi="Calibri" w:cs="Calibri"/>
                <w:sz w:val="22"/>
                <w:szCs w:val="22"/>
              </w:rPr>
              <w:t>Trade receivables*</w:t>
            </w:r>
          </w:p>
        </w:tc>
        <w:tc>
          <w:tcPr>
            <w:tcW w:w="1309" w:type="dxa"/>
            <w:gridSpan w:val="3"/>
            <w:shd w:val="clear" w:color="auto" w:fill="auto"/>
            <w:vAlign w:val="bottom"/>
          </w:tcPr>
          <w:p w14:paraId="06074933" w14:textId="45BFF062" w:rsidR="00064ACE" w:rsidRPr="00B21862" w:rsidRDefault="005111E9"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7</w:t>
            </w:r>
            <w:r w:rsidR="00F652F6">
              <w:rPr>
                <w:rFonts w:ascii="Calibri" w:eastAsia="MS Mincho" w:hAnsi="Calibri" w:cs="Calibri"/>
                <w:sz w:val="22"/>
                <w:szCs w:val="22"/>
              </w:rPr>
              <w:t>4.6</w:t>
            </w:r>
          </w:p>
        </w:tc>
        <w:tc>
          <w:tcPr>
            <w:tcW w:w="1134" w:type="dxa"/>
            <w:gridSpan w:val="3"/>
            <w:shd w:val="clear" w:color="auto" w:fill="auto"/>
            <w:vAlign w:val="bottom"/>
          </w:tcPr>
          <w:p w14:paraId="608FCFD0" w14:textId="77777777" w:rsidR="00064ACE" w:rsidRPr="00B21862" w:rsidRDefault="00064ACE" w:rsidP="00064ACE">
            <w:pPr>
              <w:tabs>
                <w:tab w:val="decimal" w:pos="689"/>
              </w:tabs>
              <w:jc w:val="right"/>
              <w:rPr>
                <w:rFonts w:ascii="Calibri" w:eastAsia="MS Mincho" w:hAnsi="Calibri" w:cs="Calibri"/>
                <w:sz w:val="22"/>
                <w:szCs w:val="22"/>
              </w:rPr>
            </w:pPr>
          </w:p>
        </w:tc>
        <w:tc>
          <w:tcPr>
            <w:tcW w:w="1276" w:type="dxa"/>
            <w:gridSpan w:val="3"/>
            <w:vAlign w:val="bottom"/>
          </w:tcPr>
          <w:p w14:paraId="082457CD"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59.5</w:t>
            </w:r>
          </w:p>
        </w:tc>
        <w:tc>
          <w:tcPr>
            <w:tcW w:w="1249" w:type="dxa"/>
            <w:gridSpan w:val="3"/>
            <w:vAlign w:val="bottom"/>
          </w:tcPr>
          <w:p w14:paraId="754902E6" w14:textId="77777777" w:rsidR="00064ACE" w:rsidRPr="00DB22BA" w:rsidRDefault="00064ACE" w:rsidP="00064ACE">
            <w:pPr>
              <w:tabs>
                <w:tab w:val="decimal" w:pos="689"/>
              </w:tabs>
              <w:jc w:val="right"/>
              <w:rPr>
                <w:rFonts w:ascii="Calibri" w:eastAsia="MS Mincho" w:hAnsi="Calibri" w:cs="Calibri"/>
                <w:sz w:val="22"/>
                <w:szCs w:val="22"/>
              </w:rPr>
            </w:pPr>
          </w:p>
        </w:tc>
      </w:tr>
      <w:tr w:rsidR="00064ACE" w:rsidRPr="00505482" w14:paraId="4FB81ECC" w14:textId="77777777" w:rsidTr="00064ACE">
        <w:trPr>
          <w:gridAfter w:val="2"/>
          <w:wAfter w:w="793" w:type="dxa"/>
          <w:trHeight w:val="216"/>
        </w:trPr>
        <w:tc>
          <w:tcPr>
            <w:tcW w:w="7223" w:type="dxa"/>
            <w:vAlign w:val="bottom"/>
            <w:hideMark/>
          </w:tcPr>
          <w:p w14:paraId="01BF1293" w14:textId="77777777" w:rsidR="00064ACE" w:rsidRPr="00DB22BA" w:rsidRDefault="00064ACE" w:rsidP="00064ACE">
            <w:pPr>
              <w:tabs>
                <w:tab w:val="left" w:leader="dot" w:pos="6804"/>
              </w:tabs>
              <w:rPr>
                <w:rFonts w:ascii="Calibri" w:eastAsia="MS Mincho" w:hAnsi="Calibri" w:cs="Calibri"/>
                <w:sz w:val="22"/>
                <w:szCs w:val="22"/>
              </w:rPr>
            </w:pPr>
            <w:r w:rsidRPr="00DB22BA">
              <w:rPr>
                <w:rFonts w:ascii="Calibri" w:hAnsi="Calibri" w:cs="Calibri"/>
                <w:sz w:val="22"/>
                <w:szCs w:val="22"/>
              </w:rPr>
              <w:t xml:space="preserve">Cash and </w:t>
            </w:r>
            <w:r w:rsidRPr="00DB22BA">
              <w:rPr>
                <w:rFonts w:ascii="Calibri" w:hAnsi="Calibri" w:cs="Calibri"/>
                <w:bCs/>
                <w:sz w:val="22"/>
                <w:szCs w:val="22"/>
              </w:rPr>
              <w:t>cash</w:t>
            </w:r>
            <w:r w:rsidRPr="00DB22BA">
              <w:rPr>
                <w:rFonts w:ascii="Calibri" w:hAnsi="Calibri" w:cs="Calibri"/>
                <w:sz w:val="22"/>
                <w:szCs w:val="22"/>
              </w:rPr>
              <w:t xml:space="preserve"> equivalents*</w:t>
            </w:r>
          </w:p>
        </w:tc>
        <w:tc>
          <w:tcPr>
            <w:tcW w:w="1309" w:type="dxa"/>
            <w:gridSpan w:val="3"/>
            <w:shd w:val="clear" w:color="auto" w:fill="auto"/>
            <w:vAlign w:val="bottom"/>
          </w:tcPr>
          <w:p w14:paraId="1A384B66" w14:textId="7049F8F8" w:rsidR="00064ACE" w:rsidRPr="00B21862" w:rsidRDefault="00064ACE" w:rsidP="00064ACE">
            <w:pPr>
              <w:tabs>
                <w:tab w:val="decimal" w:pos="689"/>
              </w:tabs>
              <w:ind w:left="-116" w:right="34"/>
              <w:jc w:val="right"/>
              <w:rPr>
                <w:rFonts w:ascii="Calibri" w:eastAsia="MS Mincho" w:hAnsi="Calibri" w:cs="Calibri"/>
                <w:sz w:val="22"/>
                <w:szCs w:val="22"/>
              </w:rPr>
            </w:pPr>
            <w:r w:rsidRPr="00B21862">
              <w:rPr>
                <w:rFonts w:ascii="Calibri" w:eastAsia="MS Mincho" w:hAnsi="Calibri" w:cs="Calibri"/>
                <w:sz w:val="22"/>
                <w:szCs w:val="22"/>
              </w:rPr>
              <w:t>2,</w:t>
            </w:r>
            <w:r w:rsidR="00F652F6">
              <w:rPr>
                <w:rFonts w:ascii="Calibri" w:eastAsia="MS Mincho" w:hAnsi="Calibri" w:cs="Calibri"/>
                <w:sz w:val="22"/>
                <w:szCs w:val="22"/>
              </w:rPr>
              <w:t>156.6</w:t>
            </w:r>
          </w:p>
        </w:tc>
        <w:tc>
          <w:tcPr>
            <w:tcW w:w="1134" w:type="dxa"/>
            <w:gridSpan w:val="3"/>
            <w:shd w:val="clear" w:color="auto" w:fill="auto"/>
            <w:vAlign w:val="bottom"/>
          </w:tcPr>
          <w:p w14:paraId="7CB15228" w14:textId="77777777" w:rsidR="00064ACE" w:rsidRPr="00B21862" w:rsidRDefault="00064ACE" w:rsidP="00064ACE">
            <w:pPr>
              <w:tabs>
                <w:tab w:val="decimal" w:pos="689"/>
              </w:tabs>
              <w:jc w:val="right"/>
              <w:rPr>
                <w:rFonts w:ascii="Calibri" w:eastAsia="MS Mincho" w:hAnsi="Calibri" w:cs="Calibri"/>
                <w:sz w:val="22"/>
                <w:szCs w:val="22"/>
              </w:rPr>
            </w:pPr>
          </w:p>
        </w:tc>
        <w:tc>
          <w:tcPr>
            <w:tcW w:w="1276" w:type="dxa"/>
            <w:gridSpan w:val="3"/>
            <w:vAlign w:val="bottom"/>
          </w:tcPr>
          <w:p w14:paraId="39A9D206"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1,675.6</w:t>
            </w:r>
          </w:p>
        </w:tc>
        <w:tc>
          <w:tcPr>
            <w:tcW w:w="1249" w:type="dxa"/>
            <w:gridSpan w:val="3"/>
            <w:vAlign w:val="bottom"/>
          </w:tcPr>
          <w:p w14:paraId="42EB1602" w14:textId="77777777" w:rsidR="00064ACE" w:rsidRPr="00DB22BA" w:rsidRDefault="00064ACE" w:rsidP="00064ACE">
            <w:pPr>
              <w:tabs>
                <w:tab w:val="decimal" w:pos="689"/>
              </w:tabs>
              <w:jc w:val="right"/>
              <w:rPr>
                <w:rFonts w:ascii="Calibri" w:eastAsia="MS Mincho" w:hAnsi="Calibri" w:cs="Calibri"/>
                <w:sz w:val="22"/>
                <w:szCs w:val="22"/>
              </w:rPr>
            </w:pPr>
          </w:p>
        </w:tc>
      </w:tr>
      <w:tr w:rsidR="00064ACE" w:rsidRPr="00505482" w14:paraId="189B9E84" w14:textId="77777777" w:rsidTr="00064ACE">
        <w:trPr>
          <w:gridAfter w:val="2"/>
          <w:wAfter w:w="793" w:type="dxa"/>
          <w:trHeight w:val="230"/>
        </w:trPr>
        <w:tc>
          <w:tcPr>
            <w:tcW w:w="7223" w:type="dxa"/>
            <w:vAlign w:val="bottom"/>
            <w:hideMark/>
          </w:tcPr>
          <w:p w14:paraId="65824A4E" w14:textId="77777777" w:rsidR="00064ACE" w:rsidRPr="00DB22BA" w:rsidRDefault="00064ACE" w:rsidP="00064ACE">
            <w:pPr>
              <w:tabs>
                <w:tab w:val="left" w:leader="dot" w:pos="6804"/>
              </w:tabs>
              <w:rPr>
                <w:rFonts w:ascii="Calibri" w:eastAsia="MS Mincho" w:hAnsi="Calibri" w:cs="Calibri"/>
                <w:sz w:val="22"/>
                <w:szCs w:val="22"/>
              </w:rPr>
            </w:pPr>
            <w:r w:rsidRPr="00DB22BA">
              <w:rPr>
                <w:rFonts w:ascii="Calibri" w:hAnsi="Calibri" w:cs="Calibri"/>
                <w:sz w:val="22"/>
                <w:szCs w:val="22"/>
              </w:rPr>
              <w:t>Financial asset: cash &gt; 3 months*</w:t>
            </w:r>
          </w:p>
        </w:tc>
        <w:tc>
          <w:tcPr>
            <w:tcW w:w="1309" w:type="dxa"/>
            <w:gridSpan w:val="3"/>
            <w:shd w:val="clear" w:color="auto" w:fill="auto"/>
            <w:vAlign w:val="bottom"/>
          </w:tcPr>
          <w:p w14:paraId="52697624" w14:textId="3E04D8D4" w:rsidR="00064ACE" w:rsidRPr="00B21862" w:rsidRDefault="00575DA2"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1</w:t>
            </w:r>
            <w:r w:rsidR="00064ACE">
              <w:rPr>
                <w:rFonts w:ascii="Calibri" w:eastAsia="MS Mincho" w:hAnsi="Calibri" w:cs="Calibri"/>
                <w:sz w:val="22"/>
                <w:szCs w:val="22"/>
              </w:rPr>
              <w:t>,</w:t>
            </w:r>
            <w:r w:rsidR="00F652F6">
              <w:rPr>
                <w:rFonts w:ascii="Calibri" w:eastAsia="MS Mincho" w:hAnsi="Calibri" w:cs="Calibri"/>
                <w:sz w:val="22"/>
                <w:szCs w:val="22"/>
              </w:rPr>
              <w:t>421.0</w:t>
            </w:r>
          </w:p>
        </w:tc>
        <w:tc>
          <w:tcPr>
            <w:tcW w:w="1134" w:type="dxa"/>
            <w:gridSpan w:val="3"/>
            <w:shd w:val="clear" w:color="auto" w:fill="auto"/>
            <w:vAlign w:val="bottom"/>
          </w:tcPr>
          <w:p w14:paraId="32E61AD2" w14:textId="77777777" w:rsidR="00064ACE" w:rsidRPr="00B21862" w:rsidRDefault="00064ACE" w:rsidP="00064ACE">
            <w:pPr>
              <w:tabs>
                <w:tab w:val="decimal" w:pos="689"/>
              </w:tabs>
              <w:jc w:val="right"/>
              <w:rPr>
                <w:rFonts w:ascii="Calibri" w:eastAsia="MS Mincho" w:hAnsi="Calibri" w:cs="Calibri"/>
                <w:sz w:val="22"/>
                <w:szCs w:val="22"/>
              </w:rPr>
            </w:pPr>
          </w:p>
        </w:tc>
        <w:tc>
          <w:tcPr>
            <w:tcW w:w="1276" w:type="dxa"/>
            <w:gridSpan w:val="3"/>
            <w:vAlign w:val="bottom"/>
          </w:tcPr>
          <w:p w14:paraId="409FB8AA"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1,484.4</w:t>
            </w:r>
          </w:p>
        </w:tc>
        <w:tc>
          <w:tcPr>
            <w:tcW w:w="1249" w:type="dxa"/>
            <w:gridSpan w:val="3"/>
            <w:vAlign w:val="bottom"/>
          </w:tcPr>
          <w:p w14:paraId="4A7C2B72" w14:textId="77777777" w:rsidR="00064ACE" w:rsidRPr="00DB22BA" w:rsidRDefault="00064ACE" w:rsidP="00064ACE">
            <w:pPr>
              <w:tabs>
                <w:tab w:val="decimal" w:pos="689"/>
              </w:tabs>
              <w:jc w:val="right"/>
              <w:rPr>
                <w:rFonts w:ascii="Calibri" w:eastAsia="MS Mincho" w:hAnsi="Calibri" w:cs="Calibri"/>
                <w:sz w:val="22"/>
                <w:szCs w:val="22"/>
              </w:rPr>
            </w:pPr>
          </w:p>
        </w:tc>
      </w:tr>
      <w:tr w:rsidR="00064ACE" w:rsidRPr="00505482" w14:paraId="7EF49E2F" w14:textId="77777777" w:rsidTr="00064ACE">
        <w:trPr>
          <w:gridAfter w:val="2"/>
          <w:wAfter w:w="793" w:type="dxa"/>
          <w:trHeight w:val="230"/>
        </w:trPr>
        <w:tc>
          <w:tcPr>
            <w:tcW w:w="7223" w:type="dxa"/>
            <w:vAlign w:val="bottom"/>
            <w:hideMark/>
          </w:tcPr>
          <w:p w14:paraId="251CE939" w14:textId="77777777" w:rsidR="00064ACE" w:rsidRPr="00DB22BA" w:rsidRDefault="00064ACE" w:rsidP="00064ACE">
            <w:pPr>
              <w:tabs>
                <w:tab w:val="left" w:leader="dot" w:pos="6804"/>
              </w:tabs>
              <w:rPr>
                <w:rFonts w:ascii="Calibri" w:eastAsia="MS Mincho" w:hAnsi="Calibri" w:cs="Calibri"/>
                <w:sz w:val="22"/>
                <w:szCs w:val="22"/>
              </w:rPr>
            </w:pPr>
            <w:r w:rsidRPr="00DB22BA">
              <w:rPr>
                <w:rFonts w:ascii="Calibri" w:hAnsi="Calibri" w:cs="Calibri"/>
                <w:sz w:val="22"/>
                <w:szCs w:val="22"/>
              </w:rPr>
              <w:t>Restricted cash*</w:t>
            </w:r>
          </w:p>
        </w:tc>
        <w:tc>
          <w:tcPr>
            <w:tcW w:w="1309" w:type="dxa"/>
            <w:gridSpan w:val="3"/>
            <w:shd w:val="clear" w:color="auto" w:fill="auto"/>
            <w:vAlign w:val="bottom"/>
          </w:tcPr>
          <w:p w14:paraId="612BFD2E" w14:textId="77777777" w:rsidR="00064ACE" w:rsidRPr="00B21862" w:rsidRDefault="00064ACE" w:rsidP="00064ACE">
            <w:pPr>
              <w:tabs>
                <w:tab w:val="decimal" w:pos="689"/>
              </w:tabs>
              <w:ind w:left="-116" w:right="34"/>
              <w:jc w:val="right"/>
              <w:rPr>
                <w:rFonts w:ascii="Calibri" w:eastAsia="MS Mincho" w:hAnsi="Calibri" w:cs="Calibri"/>
                <w:sz w:val="22"/>
                <w:szCs w:val="22"/>
              </w:rPr>
            </w:pPr>
            <w:r w:rsidRPr="00B21862">
              <w:rPr>
                <w:rFonts w:ascii="Calibri" w:eastAsia="MS Mincho" w:hAnsi="Calibri" w:cs="Calibri"/>
                <w:sz w:val="22"/>
                <w:szCs w:val="22"/>
              </w:rPr>
              <w:t>34.</w:t>
            </w:r>
            <w:r>
              <w:rPr>
                <w:rFonts w:ascii="Calibri" w:eastAsia="MS Mincho" w:hAnsi="Calibri" w:cs="Calibri"/>
                <w:sz w:val="22"/>
                <w:szCs w:val="22"/>
              </w:rPr>
              <w:t>4</w:t>
            </w:r>
          </w:p>
        </w:tc>
        <w:tc>
          <w:tcPr>
            <w:tcW w:w="1134" w:type="dxa"/>
            <w:gridSpan w:val="3"/>
            <w:shd w:val="clear" w:color="auto" w:fill="auto"/>
            <w:vAlign w:val="bottom"/>
          </w:tcPr>
          <w:p w14:paraId="6F9CC6DE" w14:textId="77777777" w:rsidR="00064ACE" w:rsidRPr="00B21862" w:rsidRDefault="00064ACE" w:rsidP="00064ACE">
            <w:pPr>
              <w:tabs>
                <w:tab w:val="decimal" w:pos="689"/>
              </w:tabs>
              <w:jc w:val="right"/>
              <w:rPr>
                <w:rFonts w:ascii="Calibri" w:eastAsia="MS Mincho" w:hAnsi="Calibri" w:cs="Calibri"/>
                <w:sz w:val="22"/>
                <w:szCs w:val="22"/>
              </w:rPr>
            </w:pPr>
          </w:p>
        </w:tc>
        <w:tc>
          <w:tcPr>
            <w:tcW w:w="1276" w:type="dxa"/>
            <w:gridSpan w:val="3"/>
            <w:vAlign w:val="bottom"/>
          </w:tcPr>
          <w:p w14:paraId="6C8627D5"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34.9</w:t>
            </w:r>
          </w:p>
        </w:tc>
        <w:tc>
          <w:tcPr>
            <w:tcW w:w="1249" w:type="dxa"/>
            <w:gridSpan w:val="3"/>
            <w:vAlign w:val="bottom"/>
          </w:tcPr>
          <w:p w14:paraId="71B319E0" w14:textId="77777777" w:rsidR="00064ACE" w:rsidRPr="00DB22BA" w:rsidRDefault="00064ACE" w:rsidP="00064ACE">
            <w:pPr>
              <w:tabs>
                <w:tab w:val="decimal" w:pos="689"/>
              </w:tabs>
              <w:jc w:val="right"/>
              <w:rPr>
                <w:rFonts w:ascii="Calibri" w:eastAsia="MS Mincho" w:hAnsi="Calibri" w:cs="Calibri"/>
                <w:sz w:val="22"/>
                <w:szCs w:val="22"/>
              </w:rPr>
            </w:pPr>
          </w:p>
        </w:tc>
      </w:tr>
      <w:tr w:rsidR="00064ACE" w:rsidRPr="00505482" w14:paraId="49E695AD" w14:textId="77777777" w:rsidTr="00064ACE">
        <w:trPr>
          <w:gridAfter w:val="2"/>
          <w:wAfter w:w="793" w:type="dxa"/>
          <w:trHeight w:val="216"/>
        </w:trPr>
        <w:tc>
          <w:tcPr>
            <w:tcW w:w="7223" w:type="dxa"/>
            <w:vAlign w:val="bottom"/>
            <w:hideMark/>
          </w:tcPr>
          <w:p w14:paraId="09655C00" w14:textId="77777777" w:rsidR="00064ACE" w:rsidRPr="00DB22BA" w:rsidRDefault="00064ACE" w:rsidP="00064ACE">
            <w:pPr>
              <w:tabs>
                <w:tab w:val="left" w:leader="dot" w:pos="6804"/>
              </w:tabs>
              <w:rPr>
                <w:rFonts w:ascii="Calibri" w:eastAsia="MS Mincho" w:hAnsi="Calibri" w:cs="Calibri"/>
                <w:sz w:val="22"/>
                <w:szCs w:val="22"/>
              </w:rPr>
            </w:pPr>
            <w:r w:rsidRPr="00DB22BA">
              <w:rPr>
                <w:rFonts w:ascii="Calibri" w:hAnsi="Calibri" w:cs="Calibri"/>
                <w:sz w:val="22"/>
                <w:szCs w:val="22"/>
              </w:rPr>
              <w:t>Other assets*</w:t>
            </w:r>
          </w:p>
        </w:tc>
        <w:tc>
          <w:tcPr>
            <w:tcW w:w="1309" w:type="dxa"/>
            <w:gridSpan w:val="3"/>
            <w:tcBorders>
              <w:bottom w:val="single" w:sz="4" w:space="0" w:color="auto"/>
            </w:tcBorders>
            <w:shd w:val="clear" w:color="auto" w:fill="auto"/>
            <w:vAlign w:val="bottom"/>
          </w:tcPr>
          <w:p w14:paraId="10872746" w14:textId="1FEFB8E3" w:rsidR="00064ACE" w:rsidRPr="00B21862" w:rsidRDefault="005111E9"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1.1</w:t>
            </w:r>
          </w:p>
        </w:tc>
        <w:tc>
          <w:tcPr>
            <w:tcW w:w="1134" w:type="dxa"/>
            <w:gridSpan w:val="3"/>
            <w:tcBorders>
              <w:bottom w:val="single" w:sz="4" w:space="0" w:color="auto"/>
            </w:tcBorders>
            <w:shd w:val="clear" w:color="auto" w:fill="auto"/>
            <w:vAlign w:val="bottom"/>
          </w:tcPr>
          <w:p w14:paraId="2BFA4F8B" w14:textId="77777777" w:rsidR="00064ACE" w:rsidRPr="00B21862" w:rsidRDefault="00064ACE" w:rsidP="00064ACE">
            <w:pPr>
              <w:tabs>
                <w:tab w:val="decimal" w:pos="689"/>
              </w:tabs>
              <w:jc w:val="right"/>
              <w:rPr>
                <w:rFonts w:ascii="Calibri" w:eastAsia="MS Mincho" w:hAnsi="Calibri" w:cs="Calibri"/>
                <w:sz w:val="22"/>
                <w:szCs w:val="22"/>
              </w:rPr>
            </w:pPr>
          </w:p>
        </w:tc>
        <w:tc>
          <w:tcPr>
            <w:tcW w:w="1276" w:type="dxa"/>
            <w:gridSpan w:val="3"/>
            <w:tcBorders>
              <w:bottom w:val="single" w:sz="4" w:space="0" w:color="auto"/>
            </w:tcBorders>
            <w:vAlign w:val="bottom"/>
          </w:tcPr>
          <w:p w14:paraId="3CCA5A4B"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0.8</w:t>
            </w:r>
          </w:p>
        </w:tc>
        <w:tc>
          <w:tcPr>
            <w:tcW w:w="1249" w:type="dxa"/>
            <w:gridSpan w:val="3"/>
            <w:tcBorders>
              <w:bottom w:val="single" w:sz="4" w:space="0" w:color="auto"/>
            </w:tcBorders>
            <w:vAlign w:val="bottom"/>
          </w:tcPr>
          <w:p w14:paraId="39F6BE12" w14:textId="77777777" w:rsidR="00064ACE" w:rsidRPr="00DB22BA" w:rsidRDefault="00064ACE" w:rsidP="00064ACE">
            <w:pPr>
              <w:tabs>
                <w:tab w:val="decimal" w:pos="689"/>
              </w:tabs>
              <w:jc w:val="right"/>
              <w:rPr>
                <w:rFonts w:ascii="Calibri" w:eastAsia="MS Mincho" w:hAnsi="Calibri" w:cs="Calibri"/>
                <w:sz w:val="22"/>
                <w:szCs w:val="22"/>
              </w:rPr>
            </w:pPr>
          </w:p>
        </w:tc>
      </w:tr>
      <w:tr w:rsidR="00064ACE" w:rsidRPr="00505482" w14:paraId="3A3C2AAA" w14:textId="77777777" w:rsidTr="00064ACE">
        <w:trPr>
          <w:gridAfter w:val="2"/>
          <w:wAfter w:w="793" w:type="dxa"/>
          <w:trHeight w:val="216"/>
        </w:trPr>
        <w:tc>
          <w:tcPr>
            <w:tcW w:w="7223" w:type="dxa"/>
            <w:vAlign w:val="bottom"/>
          </w:tcPr>
          <w:p w14:paraId="2E08DF39" w14:textId="77777777" w:rsidR="00064ACE" w:rsidRPr="00DB22BA" w:rsidRDefault="00064ACE" w:rsidP="00064ACE">
            <w:pPr>
              <w:tabs>
                <w:tab w:val="left" w:leader="dot" w:pos="6804"/>
              </w:tabs>
              <w:rPr>
                <w:rFonts w:ascii="Calibri" w:eastAsia="MS Mincho" w:hAnsi="Calibri" w:cs="Calibri"/>
                <w:sz w:val="22"/>
                <w:szCs w:val="22"/>
              </w:rPr>
            </w:pPr>
          </w:p>
        </w:tc>
        <w:tc>
          <w:tcPr>
            <w:tcW w:w="1309" w:type="dxa"/>
            <w:gridSpan w:val="3"/>
            <w:tcBorders>
              <w:top w:val="single" w:sz="4" w:space="0" w:color="auto"/>
              <w:bottom w:val="single" w:sz="4" w:space="0" w:color="auto"/>
            </w:tcBorders>
            <w:shd w:val="clear" w:color="auto" w:fill="auto"/>
            <w:vAlign w:val="bottom"/>
          </w:tcPr>
          <w:p w14:paraId="25684B3A" w14:textId="0D3E909D" w:rsidR="00064ACE" w:rsidRPr="00B21862" w:rsidRDefault="00F652F6"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3,969.3</w:t>
            </w:r>
          </w:p>
        </w:tc>
        <w:tc>
          <w:tcPr>
            <w:tcW w:w="1134" w:type="dxa"/>
            <w:gridSpan w:val="3"/>
            <w:tcBorders>
              <w:top w:val="single" w:sz="4" w:space="0" w:color="auto"/>
              <w:bottom w:val="single" w:sz="4" w:space="0" w:color="auto"/>
            </w:tcBorders>
            <w:shd w:val="clear" w:color="auto" w:fill="auto"/>
            <w:vAlign w:val="bottom"/>
          </w:tcPr>
          <w:p w14:paraId="2D1AA86B" w14:textId="77565A4D" w:rsidR="00064ACE" w:rsidRPr="00B21862" w:rsidRDefault="00F652F6" w:rsidP="00064ACE">
            <w:pPr>
              <w:tabs>
                <w:tab w:val="decimal" w:pos="689"/>
              </w:tabs>
              <w:jc w:val="right"/>
              <w:rPr>
                <w:rFonts w:ascii="Calibri" w:eastAsia="MS Mincho" w:hAnsi="Calibri" w:cs="Calibri"/>
                <w:sz w:val="22"/>
                <w:szCs w:val="22"/>
              </w:rPr>
            </w:pPr>
            <w:r>
              <w:rPr>
                <w:rFonts w:ascii="Calibri" w:eastAsia="MS Mincho" w:hAnsi="Calibri" w:cs="Calibri"/>
                <w:sz w:val="22"/>
                <w:szCs w:val="22"/>
              </w:rPr>
              <w:t>281.6</w:t>
            </w:r>
          </w:p>
        </w:tc>
        <w:tc>
          <w:tcPr>
            <w:tcW w:w="1276" w:type="dxa"/>
            <w:gridSpan w:val="3"/>
            <w:tcBorders>
              <w:top w:val="single" w:sz="4" w:space="0" w:color="auto"/>
              <w:bottom w:val="single" w:sz="4" w:space="0" w:color="auto"/>
            </w:tcBorders>
            <w:vAlign w:val="bottom"/>
          </w:tcPr>
          <w:p w14:paraId="72BBDB1F"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3,563.9</w:t>
            </w:r>
          </w:p>
        </w:tc>
        <w:tc>
          <w:tcPr>
            <w:tcW w:w="1249" w:type="dxa"/>
            <w:gridSpan w:val="3"/>
            <w:tcBorders>
              <w:top w:val="single" w:sz="4" w:space="0" w:color="auto"/>
              <w:bottom w:val="single" w:sz="4" w:space="0" w:color="auto"/>
            </w:tcBorders>
            <w:vAlign w:val="bottom"/>
          </w:tcPr>
          <w:p w14:paraId="2BD234B1" w14:textId="77777777" w:rsidR="00064ACE" w:rsidRPr="00DB22BA" w:rsidRDefault="00064ACE" w:rsidP="00064ACE">
            <w:pPr>
              <w:tabs>
                <w:tab w:val="decimal" w:pos="689"/>
              </w:tabs>
              <w:jc w:val="right"/>
              <w:rPr>
                <w:rFonts w:ascii="Calibri" w:eastAsia="MS Mincho" w:hAnsi="Calibri" w:cs="Calibri"/>
                <w:sz w:val="22"/>
                <w:szCs w:val="22"/>
              </w:rPr>
            </w:pPr>
            <w:r>
              <w:rPr>
                <w:rFonts w:ascii="Calibri" w:eastAsia="MS Mincho" w:hAnsi="Calibri" w:cs="Calibri"/>
                <w:sz w:val="22"/>
                <w:szCs w:val="22"/>
              </w:rPr>
              <w:t>308.7</w:t>
            </w:r>
          </w:p>
        </w:tc>
      </w:tr>
      <w:tr w:rsidR="00064ACE" w:rsidRPr="00505482" w14:paraId="7237BB3E" w14:textId="77777777" w:rsidTr="00064ACE">
        <w:trPr>
          <w:gridAfter w:val="2"/>
          <w:wAfter w:w="793" w:type="dxa"/>
          <w:trHeight w:val="216"/>
        </w:trPr>
        <w:tc>
          <w:tcPr>
            <w:tcW w:w="7223" w:type="dxa"/>
            <w:vAlign w:val="bottom"/>
          </w:tcPr>
          <w:p w14:paraId="313D96B9" w14:textId="77777777" w:rsidR="00064ACE" w:rsidRPr="00DB22BA" w:rsidRDefault="00064ACE" w:rsidP="00064ACE">
            <w:pPr>
              <w:tabs>
                <w:tab w:val="left" w:leader="dot" w:pos="6804"/>
              </w:tabs>
              <w:rPr>
                <w:rFonts w:ascii="Calibri" w:eastAsia="MS Mincho" w:hAnsi="Calibri" w:cs="Calibri"/>
                <w:sz w:val="22"/>
                <w:szCs w:val="22"/>
              </w:rPr>
            </w:pPr>
            <w:r w:rsidRPr="00DB22BA">
              <w:rPr>
                <w:rFonts w:ascii="Calibri" w:eastAsia="MS Mincho" w:hAnsi="Calibri" w:cs="Calibri"/>
                <w:sz w:val="22"/>
                <w:szCs w:val="22"/>
              </w:rPr>
              <w:t>Total financial assets</w:t>
            </w:r>
          </w:p>
        </w:tc>
        <w:tc>
          <w:tcPr>
            <w:tcW w:w="1309" w:type="dxa"/>
            <w:gridSpan w:val="3"/>
            <w:tcBorders>
              <w:top w:val="single" w:sz="4" w:space="0" w:color="auto"/>
              <w:bottom w:val="single" w:sz="4" w:space="0" w:color="auto"/>
            </w:tcBorders>
            <w:shd w:val="clear" w:color="auto" w:fill="auto"/>
            <w:vAlign w:val="bottom"/>
          </w:tcPr>
          <w:p w14:paraId="22CBFE51" w14:textId="424DADD1" w:rsidR="00064ACE" w:rsidRPr="00B21862" w:rsidRDefault="00064ACE" w:rsidP="00064ACE">
            <w:pPr>
              <w:tabs>
                <w:tab w:val="decimal" w:pos="689"/>
              </w:tabs>
              <w:ind w:left="-116" w:right="34"/>
              <w:jc w:val="right"/>
              <w:rPr>
                <w:rFonts w:ascii="Calibri" w:eastAsia="MS Mincho" w:hAnsi="Calibri" w:cs="Calibri"/>
                <w:sz w:val="22"/>
                <w:szCs w:val="22"/>
              </w:rPr>
            </w:pPr>
            <w:r w:rsidRPr="00B21862">
              <w:rPr>
                <w:rFonts w:ascii="Calibri" w:eastAsia="MS Mincho" w:hAnsi="Calibri" w:cs="Calibri"/>
                <w:sz w:val="22"/>
                <w:szCs w:val="22"/>
              </w:rPr>
              <w:t>4,</w:t>
            </w:r>
            <w:r w:rsidR="00F652F6">
              <w:rPr>
                <w:rFonts w:ascii="Calibri" w:eastAsia="MS Mincho" w:hAnsi="Calibri" w:cs="Calibri"/>
                <w:sz w:val="22"/>
                <w:szCs w:val="22"/>
              </w:rPr>
              <w:t>225.1</w:t>
            </w:r>
          </w:p>
        </w:tc>
        <w:tc>
          <w:tcPr>
            <w:tcW w:w="1134" w:type="dxa"/>
            <w:gridSpan w:val="3"/>
            <w:tcBorders>
              <w:top w:val="single" w:sz="4" w:space="0" w:color="auto"/>
              <w:bottom w:val="single" w:sz="4" w:space="0" w:color="auto"/>
            </w:tcBorders>
            <w:shd w:val="clear" w:color="auto" w:fill="auto"/>
            <w:vAlign w:val="bottom"/>
          </w:tcPr>
          <w:p w14:paraId="06E82B5E" w14:textId="20A72EEC" w:rsidR="00064ACE" w:rsidRPr="00B21862" w:rsidRDefault="00F652F6" w:rsidP="00064ACE">
            <w:pPr>
              <w:tabs>
                <w:tab w:val="decimal" w:pos="689"/>
              </w:tabs>
              <w:jc w:val="right"/>
              <w:rPr>
                <w:rFonts w:ascii="Calibri" w:eastAsia="MS Mincho" w:hAnsi="Calibri" w:cs="Calibri"/>
                <w:sz w:val="22"/>
                <w:szCs w:val="22"/>
              </w:rPr>
            </w:pPr>
            <w:r>
              <w:rPr>
                <w:rFonts w:ascii="Calibri" w:eastAsia="MS Mincho" w:hAnsi="Calibri" w:cs="Calibri"/>
                <w:sz w:val="22"/>
                <w:szCs w:val="22"/>
              </w:rPr>
              <w:t>537.4</w:t>
            </w:r>
          </w:p>
        </w:tc>
        <w:tc>
          <w:tcPr>
            <w:tcW w:w="1276" w:type="dxa"/>
            <w:gridSpan w:val="3"/>
            <w:tcBorders>
              <w:top w:val="single" w:sz="4" w:space="0" w:color="auto"/>
              <w:bottom w:val="single" w:sz="4" w:space="0" w:color="auto"/>
            </w:tcBorders>
            <w:vAlign w:val="bottom"/>
          </w:tcPr>
          <w:p w14:paraId="13D462A2" w14:textId="77777777" w:rsidR="00064ACE" w:rsidRPr="00DB22BA" w:rsidRDefault="00064ACE" w:rsidP="00064ACE">
            <w:pPr>
              <w:tabs>
                <w:tab w:val="decimal" w:pos="689"/>
              </w:tabs>
              <w:ind w:left="-116" w:right="34"/>
              <w:jc w:val="right"/>
              <w:rPr>
                <w:rFonts w:ascii="Calibri" w:eastAsia="MS Mincho" w:hAnsi="Calibri" w:cs="Calibri"/>
                <w:sz w:val="22"/>
                <w:szCs w:val="22"/>
              </w:rPr>
            </w:pPr>
            <w:r>
              <w:rPr>
                <w:rFonts w:ascii="Calibri" w:eastAsia="MS Mincho" w:hAnsi="Calibri" w:cs="Calibri"/>
                <w:sz w:val="22"/>
                <w:szCs w:val="22"/>
              </w:rPr>
              <w:t>3,791.4</w:t>
            </w:r>
          </w:p>
        </w:tc>
        <w:tc>
          <w:tcPr>
            <w:tcW w:w="1249" w:type="dxa"/>
            <w:gridSpan w:val="3"/>
            <w:tcBorders>
              <w:top w:val="single" w:sz="4" w:space="0" w:color="auto"/>
              <w:bottom w:val="single" w:sz="4" w:space="0" w:color="auto"/>
            </w:tcBorders>
            <w:vAlign w:val="bottom"/>
          </w:tcPr>
          <w:p w14:paraId="55D89E24" w14:textId="77777777" w:rsidR="00064ACE" w:rsidRPr="00DB22BA" w:rsidRDefault="00064ACE" w:rsidP="00064ACE">
            <w:pPr>
              <w:tabs>
                <w:tab w:val="decimal" w:pos="689"/>
              </w:tabs>
              <w:jc w:val="right"/>
              <w:rPr>
                <w:rFonts w:ascii="Calibri" w:eastAsia="MS Mincho" w:hAnsi="Calibri" w:cs="Calibri"/>
                <w:sz w:val="22"/>
                <w:szCs w:val="22"/>
              </w:rPr>
            </w:pPr>
            <w:r>
              <w:rPr>
                <w:rFonts w:ascii="Calibri" w:eastAsia="MS Mincho" w:hAnsi="Calibri" w:cs="Calibri"/>
                <w:sz w:val="22"/>
                <w:szCs w:val="22"/>
              </w:rPr>
              <w:t>536.2</w:t>
            </w:r>
          </w:p>
        </w:tc>
      </w:tr>
      <w:tr w:rsidR="005660A9" w:rsidRPr="00505482" w14:paraId="417FC139" w14:textId="77777777" w:rsidTr="00FF2F42">
        <w:trPr>
          <w:gridAfter w:val="4"/>
          <w:wAfter w:w="1652" w:type="dxa"/>
        </w:trPr>
        <w:tc>
          <w:tcPr>
            <w:tcW w:w="7223" w:type="dxa"/>
            <w:vAlign w:val="bottom"/>
          </w:tcPr>
          <w:p w14:paraId="5F173681" w14:textId="77777777" w:rsidR="005660A9" w:rsidRPr="00DB22BA" w:rsidRDefault="005660A9" w:rsidP="00483427">
            <w:pPr>
              <w:tabs>
                <w:tab w:val="left" w:leader="dot" w:pos="6804"/>
              </w:tabs>
              <w:ind w:right="-250"/>
              <w:rPr>
                <w:rFonts w:ascii="Calibri" w:hAnsi="Calibri" w:cs="Calibri"/>
                <w:b/>
                <w:bCs/>
                <w:sz w:val="22"/>
                <w:szCs w:val="22"/>
              </w:rPr>
            </w:pPr>
          </w:p>
        </w:tc>
        <w:tc>
          <w:tcPr>
            <w:tcW w:w="977" w:type="dxa"/>
            <w:gridSpan w:val="2"/>
            <w:shd w:val="clear" w:color="auto" w:fill="auto"/>
            <w:vAlign w:val="bottom"/>
          </w:tcPr>
          <w:p w14:paraId="1892CBCE" w14:textId="77777777" w:rsidR="005660A9" w:rsidRPr="00DB22BA" w:rsidRDefault="005660A9" w:rsidP="00483427">
            <w:pPr>
              <w:ind w:right="-115"/>
              <w:jc w:val="right"/>
              <w:rPr>
                <w:rFonts w:ascii="Calibri" w:eastAsia="MS Mincho" w:hAnsi="Calibri" w:cs="Calibri"/>
                <w:b/>
                <w:sz w:val="22"/>
                <w:szCs w:val="22"/>
                <w:lang w:val="en-US"/>
              </w:rPr>
            </w:pPr>
          </w:p>
        </w:tc>
        <w:tc>
          <w:tcPr>
            <w:tcW w:w="1318" w:type="dxa"/>
            <w:gridSpan w:val="3"/>
            <w:shd w:val="clear" w:color="auto" w:fill="auto"/>
            <w:vAlign w:val="bottom"/>
          </w:tcPr>
          <w:p w14:paraId="52A1689D" w14:textId="77777777" w:rsidR="005660A9" w:rsidRPr="00DB22BA" w:rsidRDefault="005660A9" w:rsidP="00483427">
            <w:pPr>
              <w:jc w:val="right"/>
              <w:rPr>
                <w:rFonts w:ascii="Calibri" w:eastAsia="MS Mincho" w:hAnsi="Calibri" w:cs="Calibri"/>
                <w:b/>
                <w:sz w:val="22"/>
                <w:szCs w:val="22"/>
                <w:lang w:val="en-US"/>
              </w:rPr>
            </w:pPr>
          </w:p>
        </w:tc>
        <w:tc>
          <w:tcPr>
            <w:tcW w:w="789" w:type="dxa"/>
            <w:gridSpan w:val="2"/>
            <w:shd w:val="clear" w:color="auto" w:fill="auto"/>
          </w:tcPr>
          <w:p w14:paraId="15373384" w14:textId="77777777" w:rsidR="005660A9" w:rsidRPr="00DB22BA" w:rsidRDefault="005660A9" w:rsidP="00483427">
            <w:pPr>
              <w:jc w:val="right"/>
              <w:rPr>
                <w:rFonts w:ascii="Calibri" w:eastAsia="MS Mincho" w:hAnsi="Calibri" w:cs="Calibri"/>
                <w:b/>
                <w:sz w:val="22"/>
                <w:szCs w:val="22"/>
                <w:lang w:val="en-US"/>
              </w:rPr>
            </w:pPr>
          </w:p>
        </w:tc>
        <w:tc>
          <w:tcPr>
            <w:tcW w:w="1025" w:type="dxa"/>
            <w:gridSpan w:val="3"/>
          </w:tcPr>
          <w:p w14:paraId="01C018B0" w14:textId="77777777" w:rsidR="005660A9" w:rsidRPr="00DB22BA" w:rsidRDefault="005660A9" w:rsidP="00483427">
            <w:pPr>
              <w:jc w:val="right"/>
              <w:rPr>
                <w:rFonts w:ascii="Calibri" w:eastAsia="MS Mincho" w:hAnsi="Calibri" w:cs="Calibri"/>
                <w:b/>
                <w:sz w:val="22"/>
                <w:szCs w:val="22"/>
                <w:lang w:val="en-US"/>
              </w:rPr>
            </w:pPr>
          </w:p>
        </w:tc>
      </w:tr>
      <w:tr w:rsidR="005660A9" w:rsidRPr="00505482" w14:paraId="1C8236E0" w14:textId="77777777" w:rsidTr="00FF2F42">
        <w:trPr>
          <w:gridAfter w:val="4"/>
          <w:wAfter w:w="1652" w:type="dxa"/>
        </w:trPr>
        <w:tc>
          <w:tcPr>
            <w:tcW w:w="7223" w:type="dxa"/>
            <w:vAlign w:val="bottom"/>
          </w:tcPr>
          <w:p w14:paraId="5D2484C5" w14:textId="77777777" w:rsidR="005660A9" w:rsidRPr="00DB22BA" w:rsidRDefault="005660A9" w:rsidP="00483427">
            <w:pPr>
              <w:tabs>
                <w:tab w:val="left" w:leader="dot" w:pos="6804"/>
              </w:tabs>
              <w:ind w:right="-250"/>
              <w:rPr>
                <w:rFonts w:ascii="Calibri" w:hAnsi="Calibri" w:cs="Calibri"/>
                <w:b/>
                <w:bCs/>
                <w:sz w:val="22"/>
                <w:szCs w:val="22"/>
              </w:rPr>
            </w:pPr>
          </w:p>
        </w:tc>
        <w:tc>
          <w:tcPr>
            <w:tcW w:w="977" w:type="dxa"/>
            <w:gridSpan w:val="2"/>
            <w:shd w:val="clear" w:color="auto" w:fill="auto"/>
            <w:vAlign w:val="bottom"/>
          </w:tcPr>
          <w:p w14:paraId="5D065AF9" w14:textId="77777777" w:rsidR="005660A9" w:rsidRPr="00DB22BA" w:rsidRDefault="005660A9" w:rsidP="00483427">
            <w:pPr>
              <w:ind w:right="-115"/>
              <w:jc w:val="right"/>
              <w:rPr>
                <w:rFonts w:ascii="Calibri" w:eastAsia="MS Mincho" w:hAnsi="Calibri" w:cs="Calibri"/>
                <w:b/>
                <w:sz w:val="22"/>
                <w:szCs w:val="22"/>
                <w:lang w:val="en-US"/>
              </w:rPr>
            </w:pPr>
          </w:p>
        </w:tc>
        <w:tc>
          <w:tcPr>
            <w:tcW w:w="1318" w:type="dxa"/>
            <w:gridSpan w:val="3"/>
            <w:shd w:val="clear" w:color="auto" w:fill="auto"/>
            <w:vAlign w:val="bottom"/>
          </w:tcPr>
          <w:p w14:paraId="57DCE164" w14:textId="77777777" w:rsidR="005660A9" w:rsidRPr="00DB22BA" w:rsidRDefault="005660A9" w:rsidP="00483427">
            <w:pPr>
              <w:jc w:val="right"/>
              <w:rPr>
                <w:rFonts w:ascii="Calibri" w:eastAsia="MS Mincho" w:hAnsi="Calibri" w:cs="Calibri"/>
                <w:b/>
                <w:sz w:val="22"/>
                <w:szCs w:val="22"/>
                <w:lang w:val="en-US"/>
              </w:rPr>
            </w:pPr>
          </w:p>
        </w:tc>
        <w:tc>
          <w:tcPr>
            <w:tcW w:w="789" w:type="dxa"/>
            <w:gridSpan w:val="2"/>
            <w:shd w:val="clear" w:color="auto" w:fill="auto"/>
          </w:tcPr>
          <w:p w14:paraId="4FBF987D" w14:textId="77777777" w:rsidR="005660A9" w:rsidRPr="00DB22BA" w:rsidRDefault="005660A9" w:rsidP="00483427">
            <w:pPr>
              <w:jc w:val="right"/>
              <w:rPr>
                <w:rFonts w:ascii="Calibri" w:eastAsia="MS Mincho" w:hAnsi="Calibri" w:cs="Calibri"/>
                <w:b/>
                <w:sz w:val="22"/>
                <w:szCs w:val="22"/>
                <w:lang w:val="en-US"/>
              </w:rPr>
            </w:pPr>
          </w:p>
        </w:tc>
        <w:tc>
          <w:tcPr>
            <w:tcW w:w="1025" w:type="dxa"/>
            <w:gridSpan w:val="3"/>
          </w:tcPr>
          <w:p w14:paraId="0449C11D" w14:textId="77777777" w:rsidR="005660A9" w:rsidRPr="00DB22BA" w:rsidRDefault="005660A9" w:rsidP="00483427">
            <w:pPr>
              <w:jc w:val="right"/>
              <w:rPr>
                <w:rFonts w:ascii="Calibri" w:eastAsia="MS Mincho" w:hAnsi="Calibri" w:cs="Calibri"/>
                <w:b/>
                <w:sz w:val="22"/>
                <w:szCs w:val="22"/>
                <w:lang w:val="en-US"/>
              </w:rPr>
            </w:pPr>
          </w:p>
        </w:tc>
      </w:tr>
      <w:tr w:rsidR="005660A9" w:rsidRPr="00505482" w14:paraId="56F491CD" w14:textId="77777777" w:rsidTr="00FF2F42">
        <w:trPr>
          <w:gridAfter w:val="1"/>
          <w:wAfter w:w="647" w:type="dxa"/>
        </w:trPr>
        <w:tc>
          <w:tcPr>
            <w:tcW w:w="7223" w:type="dxa"/>
            <w:vAlign w:val="bottom"/>
          </w:tcPr>
          <w:p w14:paraId="4A7FF1D6" w14:textId="77777777" w:rsidR="005660A9" w:rsidRPr="00DB22BA" w:rsidRDefault="005660A9" w:rsidP="00483427">
            <w:pPr>
              <w:tabs>
                <w:tab w:val="left" w:leader="dot" w:pos="6804"/>
              </w:tabs>
              <w:ind w:right="-250"/>
              <w:rPr>
                <w:rFonts w:ascii="Calibri" w:hAnsi="Calibri" w:cs="Calibri"/>
                <w:b/>
                <w:bCs/>
                <w:sz w:val="22"/>
                <w:szCs w:val="22"/>
              </w:rPr>
            </w:pPr>
          </w:p>
        </w:tc>
        <w:tc>
          <w:tcPr>
            <w:tcW w:w="1309" w:type="dxa"/>
            <w:gridSpan w:val="3"/>
            <w:shd w:val="clear" w:color="auto" w:fill="auto"/>
            <w:vAlign w:val="bottom"/>
          </w:tcPr>
          <w:p w14:paraId="296D7D01" w14:textId="1A48DA2A" w:rsidR="005660A9" w:rsidRPr="00DB22BA" w:rsidRDefault="005660A9" w:rsidP="001619FE">
            <w:pPr>
              <w:tabs>
                <w:tab w:val="left" w:pos="0"/>
              </w:tabs>
              <w:ind w:left="-116" w:right="27"/>
              <w:jc w:val="right"/>
              <w:rPr>
                <w:rFonts w:ascii="Calibri" w:eastAsia="MS Mincho" w:hAnsi="Calibri" w:cs="Calibri"/>
                <w:b/>
                <w:sz w:val="22"/>
                <w:szCs w:val="22"/>
                <w:lang w:val="en-US"/>
              </w:rPr>
            </w:pPr>
            <w:r w:rsidRPr="00DB22BA">
              <w:rPr>
                <w:rFonts w:ascii="Calibri" w:eastAsia="MS Mincho" w:hAnsi="Calibri" w:cs="Calibri"/>
                <w:b/>
                <w:sz w:val="22"/>
                <w:szCs w:val="22"/>
                <w:lang w:val="en-US"/>
              </w:rPr>
              <w:t xml:space="preserve">At </w:t>
            </w:r>
            <w:r w:rsidR="00F652F6">
              <w:rPr>
                <w:rFonts w:ascii="Calibri" w:eastAsia="MS Mincho" w:hAnsi="Calibri" w:cs="Calibri"/>
                <w:b/>
                <w:sz w:val="22"/>
                <w:szCs w:val="22"/>
                <w:lang w:val="en-US"/>
              </w:rPr>
              <w:t>Dec</w:t>
            </w:r>
            <w:r w:rsidR="001619FE">
              <w:rPr>
                <w:rFonts w:ascii="Calibri" w:eastAsia="MS Mincho" w:hAnsi="Calibri" w:cs="Calibri"/>
                <w:b/>
                <w:sz w:val="22"/>
                <w:szCs w:val="22"/>
                <w:lang w:val="en-US"/>
              </w:rPr>
              <w:t xml:space="preserve"> 3</w:t>
            </w:r>
            <w:r w:rsidR="00244D3C">
              <w:rPr>
                <w:rFonts w:ascii="Calibri" w:eastAsia="MS Mincho" w:hAnsi="Calibri" w:cs="Calibri"/>
                <w:b/>
                <w:sz w:val="22"/>
                <w:szCs w:val="22"/>
                <w:lang w:val="en-US"/>
              </w:rPr>
              <w:t>1</w:t>
            </w:r>
            <w:r w:rsidRPr="00DB22BA">
              <w:rPr>
                <w:rFonts w:ascii="Calibri" w:eastAsia="MS Mincho" w:hAnsi="Calibri" w:cs="Calibri"/>
                <w:b/>
                <w:sz w:val="22"/>
                <w:szCs w:val="22"/>
                <w:lang w:val="en-US"/>
              </w:rPr>
              <w:t xml:space="preserve">, </w:t>
            </w:r>
          </w:p>
        </w:tc>
        <w:tc>
          <w:tcPr>
            <w:tcW w:w="1134" w:type="dxa"/>
            <w:gridSpan w:val="3"/>
            <w:shd w:val="clear" w:color="auto" w:fill="auto"/>
            <w:vAlign w:val="bottom"/>
          </w:tcPr>
          <w:p w14:paraId="6861562B" w14:textId="03456AB0" w:rsidR="005660A9" w:rsidRPr="00DB22BA" w:rsidRDefault="005660A9" w:rsidP="001619FE">
            <w:pPr>
              <w:ind w:right="-108"/>
              <w:jc w:val="right"/>
              <w:rPr>
                <w:rFonts w:ascii="Calibri" w:eastAsia="MS Mincho" w:hAnsi="Calibri" w:cs="Calibri"/>
                <w:b/>
                <w:sz w:val="22"/>
                <w:szCs w:val="22"/>
                <w:lang w:val="en-US"/>
              </w:rPr>
            </w:pPr>
            <w:r w:rsidRPr="00DB22BA">
              <w:rPr>
                <w:rFonts w:ascii="Calibri" w:eastAsia="MS Mincho" w:hAnsi="Calibri" w:cs="Calibri"/>
                <w:b/>
                <w:sz w:val="22"/>
                <w:szCs w:val="22"/>
                <w:lang w:val="en-US"/>
              </w:rPr>
              <w:t xml:space="preserve">At </w:t>
            </w:r>
            <w:r w:rsidR="00244D3C">
              <w:rPr>
                <w:rFonts w:ascii="Calibri" w:eastAsia="MS Mincho" w:hAnsi="Calibri" w:cs="Calibri"/>
                <w:b/>
                <w:sz w:val="22"/>
                <w:szCs w:val="22"/>
                <w:lang w:val="en-US"/>
              </w:rPr>
              <w:t>Dec</w:t>
            </w:r>
            <w:r w:rsidR="00064ACE">
              <w:rPr>
                <w:rFonts w:ascii="Calibri" w:eastAsia="MS Mincho" w:hAnsi="Calibri" w:cs="Calibri"/>
                <w:b/>
                <w:sz w:val="22"/>
                <w:szCs w:val="22"/>
                <w:lang w:val="en-US"/>
              </w:rPr>
              <w:t xml:space="preserve"> 3</w:t>
            </w:r>
            <w:r w:rsidR="00244D3C">
              <w:rPr>
                <w:rFonts w:ascii="Calibri" w:eastAsia="MS Mincho" w:hAnsi="Calibri" w:cs="Calibri"/>
                <w:b/>
                <w:sz w:val="22"/>
                <w:szCs w:val="22"/>
                <w:lang w:val="en-US"/>
              </w:rPr>
              <w:t>1</w:t>
            </w:r>
            <w:r w:rsidRPr="00DB22BA">
              <w:rPr>
                <w:rFonts w:ascii="Calibri" w:eastAsia="MS Mincho" w:hAnsi="Calibri" w:cs="Calibri"/>
                <w:b/>
                <w:sz w:val="22"/>
                <w:szCs w:val="22"/>
                <w:lang w:val="en-US"/>
              </w:rPr>
              <w:t>,</w:t>
            </w:r>
          </w:p>
        </w:tc>
        <w:tc>
          <w:tcPr>
            <w:tcW w:w="1276" w:type="dxa"/>
            <w:gridSpan w:val="3"/>
          </w:tcPr>
          <w:p w14:paraId="7933A268" w14:textId="77777777" w:rsidR="00EF4CC6" w:rsidRPr="00FF2F42" w:rsidRDefault="00EF4CC6" w:rsidP="00483427">
            <w:pPr>
              <w:jc w:val="right"/>
              <w:rPr>
                <w:rFonts w:ascii="Calibri" w:eastAsia="MS Mincho" w:hAnsi="Calibri" w:cs="Calibri"/>
                <w:sz w:val="22"/>
                <w:szCs w:val="22"/>
                <w:lang w:val="en-US"/>
              </w:rPr>
            </w:pPr>
          </w:p>
          <w:p w14:paraId="4CEA7A79" w14:textId="77777777" w:rsidR="005660A9" w:rsidRPr="00FF2F42" w:rsidRDefault="005660A9" w:rsidP="00483427">
            <w:pPr>
              <w:jc w:val="right"/>
              <w:rPr>
                <w:rFonts w:ascii="Calibri" w:eastAsia="MS Mincho" w:hAnsi="Calibri" w:cs="Calibri"/>
                <w:sz w:val="22"/>
                <w:szCs w:val="22"/>
                <w:lang w:val="en-US"/>
              </w:rPr>
            </w:pPr>
            <w:r w:rsidRPr="00FF2F42">
              <w:rPr>
                <w:rFonts w:ascii="Calibri" w:eastAsia="MS Mincho" w:hAnsi="Calibri" w:cs="Calibri"/>
                <w:sz w:val="22"/>
                <w:szCs w:val="22"/>
                <w:lang w:val="en-US"/>
              </w:rPr>
              <w:t>At Mar 31,</w:t>
            </w:r>
          </w:p>
        </w:tc>
        <w:tc>
          <w:tcPr>
            <w:tcW w:w="1395" w:type="dxa"/>
            <w:gridSpan w:val="4"/>
          </w:tcPr>
          <w:p w14:paraId="5A695630" w14:textId="77777777" w:rsidR="00EF4CC6" w:rsidRPr="00FF2F42" w:rsidRDefault="00EF4CC6" w:rsidP="00483427">
            <w:pPr>
              <w:jc w:val="right"/>
              <w:rPr>
                <w:rFonts w:ascii="Calibri" w:eastAsia="MS Mincho" w:hAnsi="Calibri" w:cs="Calibri"/>
                <w:sz w:val="22"/>
                <w:szCs w:val="22"/>
                <w:lang w:val="en-US"/>
              </w:rPr>
            </w:pPr>
          </w:p>
          <w:p w14:paraId="161C4E4D" w14:textId="77777777" w:rsidR="005660A9" w:rsidRPr="00FF2F42" w:rsidRDefault="005660A9" w:rsidP="00483427">
            <w:pPr>
              <w:jc w:val="right"/>
              <w:rPr>
                <w:rFonts w:ascii="Calibri" w:eastAsia="MS Mincho" w:hAnsi="Calibri" w:cs="Calibri"/>
                <w:sz w:val="22"/>
                <w:szCs w:val="22"/>
                <w:lang w:val="en-US"/>
              </w:rPr>
            </w:pPr>
            <w:r w:rsidRPr="00FF2F42">
              <w:rPr>
                <w:rFonts w:ascii="Calibri" w:eastAsia="MS Mincho" w:hAnsi="Calibri" w:cs="Calibri"/>
                <w:sz w:val="22"/>
                <w:szCs w:val="22"/>
                <w:lang w:val="en-US"/>
              </w:rPr>
              <w:t>At Mar 31,</w:t>
            </w:r>
          </w:p>
        </w:tc>
      </w:tr>
      <w:tr w:rsidR="005660A9" w:rsidRPr="00505482" w14:paraId="7E0C152B" w14:textId="77777777" w:rsidTr="00FF2F42">
        <w:trPr>
          <w:gridAfter w:val="1"/>
          <w:wAfter w:w="647" w:type="dxa"/>
        </w:trPr>
        <w:tc>
          <w:tcPr>
            <w:tcW w:w="7223" w:type="dxa"/>
            <w:vAlign w:val="bottom"/>
          </w:tcPr>
          <w:p w14:paraId="7F8A374A" w14:textId="77777777" w:rsidR="005660A9" w:rsidRPr="00DB22BA" w:rsidRDefault="005660A9" w:rsidP="00483427">
            <w:pPr>
              <w:tabs>
                <w:tab w:val="left" w:leader="dot" w:pos="6804"/>
              </w:tabs>
              <w:ind w:right="-250"/>
              <w:rPr>
                <w:rFonts w:ascii="Calibri" w:hAnsi="Calibri" w:cs="Calibri"/>
                <w:b/>
                <w:bCs/>
                <w:sz w:val="22"/>
                <w:szCs w:val="22"/>
              </w:rPr>
            </w:pPr>
          </w:p>
        </w:tc>
        <w:tc>
          <w:tcPr>
            <w:tcW w:w="1309" w:type="dxa"/>
            <w:gridSpan w:val="3"/>
            <w:shd w:val="clear" w:color="auto" w:fill="auto"/>
            <w:vAlign w:val="bottom"/>
          </w:tcPr>
          <w:p w14:paraId="74781F92" w14:textId="77777777" w:rsidR="005660A9" w:rsidRPr="00DB22BA" w:rsidRDefault="005660A9" w:rsidP="00483427">
            <w:pPr>
              <w:ind w:left="-116" w:right="27"/>
              <w:jc w:val="right"/>
              <w:rPr>
                <w:rFonts w:ascii="Calibri" w:eastAsia="MS Mincho" w:hAnsi="Calibri" w:cs="Calibri"/>
                <w:b/>
                <w:sz w:val="22"/>
                <w:szCs w:val="22"/>
                <w:lang w:val="en-US"/>
              </w:rPr>
            </w:pPr>
            <w:r w:rsidRPr="00DB22BA">
              <w:rPr>
                <w:rFonts w:ascii="Calibri" w:eastAsia="MS Mincho" w:hAnsi="Calibri" w:cs="Calibri"/>
                <w:b/>
                <w:sz w:val="22"/>
                <w:szCs w:val="22"/>
                <w:lang w:val="en-US"/>
              </w:rPr>
              <w:t>201</w:t>
            </w:r>
            <w:r w:rsidR="007B32C7">
              <w:rPr>
                <w:rFonts w:ascii="Calibri" w:eastAsia="MS Mincho" w:hAnsi="Calibri" w:cs="Calibri"/>
                <w:b/>
                <w:sz w:val="22"/>
                <w:szCs w:val="22"/>
                <w:lang w:val="en-US"/>
              </w:rPr>
              <w:t>9</w:t>
            </w:r>
          </w:p>
        </w:tc>
        <w:tc>
          <w:tcPr>
            <w:tcW w:w="1134" w:type="dxa"/>
            <w:gridSpan w:val="3"/>
            <w:shd w:val="clear" w:color="auto" w:fill="auto"/>
            <w:vAlign w:val="bottom"/>
          </w:tcPr>
          <w:p w14:paraId="3F601076" w14:textId="77777777" w:rsidR="005660A9" w:rsidRPr="00DB22BA" w:rsidRDefault="005660A9" w:rsidP="00483427">
            <w:pPr>
              <w:jc w:val="right"/>
              <w:rPr>
                <w:rFonts w:ascii="Calibri" w:eastAsia="MS Mincho" w:hAnsi="Calibri" w:cs="Calibri"/>
                <w:b/>
                <w:sz w:val="22"/>
                <w:szCs w:val="22"/>
                <w:lang w:val="en-US"/>
              </w:rPr>
            </w:pPr>
            <w:r w:rsidRPr="00DB22BA">
              <w:rPr>
                <w:rFonts w:ascii="Calibri" w:eastAsia="MS Mincho" w:hAnsi="Calibri" w:cs="Calibri"/>
                <w:b/>
                <w:sz w:val="22"/>
                <w:szCs w:val="22"/>
                <w:lang w:val="en-US"/>
              </w:rPr>
              <w:t>201</w:t>
            </w:r>
            <w:r w:rsidR="007B32C7">
              <w:rPr>
                <w:rFonts w:ascii="Calibri" w:eastAsia="MS Mincho" w:hAnsi="Calibri" w:cs="Calibri"/>
                <w:b/>
                <w:sz w:val="22"/>
                <w:szCs w:val="22"/>
                <w:lang w:val="en-US"/>
              </w:rPr>
              <w:t>9</w:t>
            </w:r>
          </w:p>
        </w:tc>
        <w:tc>
          <w:tcPr>
            <w:tcW w:w="1276" w:type="dxa"/>
            <w:gridSpan w:val="3"/>
          </w:tcPr>
          <w:p w14:paraId="63645269" w14:textId="77777777" w:rsidR="005660A9" w:rsidRPr="00FF2F42" w:rsidRDefault="00064ACE" w:rsidP="00483427">
            <w:pPr>
              <w:jc w:val="right"/>
              <w:rPr>
                <w:rFonts w:ascii="Calibri" w:eastAsia="MS Mincho" w:hAnsi="Calibri" w:cs="Calibri"/>
                <w:sz w:val="22"/>
                <w:szCs w:val="22"/>
                <w:lang w:val="en-US"/>
              </w:rPr>
            </w:pPr>
            <w:r>
              <w:rPr>
                <w:rFonts w:ascii="Calibri" w:eastAsia="MS Mincho" w:hAnsi="Calibri" w:cs="Calibri"/>
                <w:sz w:val="22"/>
                <w:szCs w:val="22"/>
                <w:lang w:val="en-US"/>
              </w:rPr>
              <w:t>2019</w:t>
            </w:r>
          </w:p>
        </w:tc>
        <w:tc>
          <w:tcPr>
            <w:tcW w:w="1395" w:type="dxa"/>
            <w:gridSpan w:val="4"/>
          </w:tcPr>
          <w:p w14:paraId="1ABA744B" w14:textId="77777777" w:rsidR="005660A9" w:rsidRPr="00FF2F42" w:rsidRDefault="00064ACE" w:rsidP="00483427">
            <w:pPr>
              <w:jc w:val="right"/>
              <w:rPr>
                <w:rFonts w:ascii="Calibri" w:eastAsia="MS Mincho" w:hAnsi="Calibri" w:cs="Calibri"/>
                <w:sz w:val="22"/>
                <w:szCs w:val="22"/>
                <w:lang w:val="en-US"/>
              </w:rPr>
            </w:pPr>
            <w:r>
              <w:rPr>
                <w:rFonts w:ascii="Calibri" w:eastAsia="MS Mincho" w:hAnsi="Calibri" w:cs="Calibri"/>
                <w:sz w:val="22"/>
                <w:szCs w:val="22"/>
                <w:lang w:val="en-US"/>
              </w:rPr>
              <w:t>2019</w:t>
            </w:r>
          </w:p>
        </w:tc>
      </w:tr>
      <w:tr w:rsidR="005660A9" w:rsidRPr="00505482" w14:paraId="5E70DF3D" w14:textId="77777777" w:rsidTr="00FF2F42">
        <w:trPr>
          <w:gridAfter w:val="1"/>
          <w:wAfter w:w="647" w:type="dxa"/>
        </w:trPr>
        <w:tc>
          <w:tcPr>
            <w:tcW w:w="7223" w:type="dxa"/>
            <w:vAlign w:val="bottom"/>
          </w:tcPr>
          <w:p w14:paraId="30950E1B" w14:textId="77777777" w:rsidR="005660A9" w:rsidRPr="00DB22BA" w:rsidRDefault="005660A9" w:rsidP="00483427">
            <w:pPr>
              <w:tabs>
                <w:tab w:val="left" w:leader="dot" w:pos="6804"/>
              </w:tabs>
              <w:ind w:right="-250"/>
              <w:rPr>
                <w:rFonts w:ascii="Calibri" w:hAnsi="Calibri" w:cs="Calibri"/>
                <w:b/>
                <w:bCs/>
                <w:sz w:val="22"/>
                <w:szCs w:val="22"/>
              </w:rPr>
            </w:pPr>
          </w:p>
        </w:tc>
        <w:tc>
          <w:tcPr>
            <w:tcW w:w="1309" w:type="dxa"/>
            <w:gridSpan w:val="3"/>
            <w:shd w:val="clear" w:color="auto" w:fill="auto"/>
            <w:vAlign w:val="bottom"/>
          </w:tcPr>
          <w:p w14:paraId="614AE278" w14:textId="77777777" w:rsidR="005660A9" w:rsidRPr="00DB22BA" w:rsidRDefault="005660A9" w:rsidP="00483427">
            <w:pPr>
              <w:ind w:left="-116" w:right="27"/>
              <w:jc w:val="right"/>
              <w:rPr>
                <w:rFonts w:ascii="Calibri" w:eastAsia="MS Mincho" w:hAnsi="Calibri" w:cs="Calibri"/>
                <w:b/>
                <w:sz w:val="22"/>
                <w:szCs w:val="22"/>
                <w:lang w:val="en-US"/>
              </w:rPr>
            </w:pPr>
            <w:r w:rsidRPr="00DB22BA">
              <w:rPr>
                <w:rFonts w:ascii="Calibri" w:eastAsia="MS Mincho" w:hAnsi="Calibri" w:cs="Calibri"/>
                <w:b/>
                <w:sz w:val="22"/>
                <w:szCs w:val="22"/>
                <w:lang w:val="en-US"/>
              </w:rPr>
              <w:t>Carrying</w:t>
            </w:r>
          </w:p>
        </w:tc>
        <w:tc>
          <w:tcPr>
            <w:tcW w:w="1134" w:type="dxa"/>
            <w:gridSpan w:val="3"/>
            <w:shd w:val="clear" w:color="auto" w:fill="auto"/>
            <w:vAlign w:val="bottom"/>
          </w:tcPr>
          <w:p w14:paraId="10DF0C6F" w14:textId="77777777" w:rsidR="005660A9" w:rsidRPr="00DB22BA" w:rsidRDefault="005660A9" w:rsidP="00483427">
            <w:pPr>
              <w:jc w:val="right"/>
              <w:rPr>
                <w:rFonts w:ascii="Calibri" w:eastAsia="MS Mincho" w:hAnsi="Calibri" w:cs="Calibri"/>
                <w:b/>
                <w:sz w:val="22"/>
                <w:szCs w:val="22"/>
                <w:lang w:val="en-US"/>
              </w:rPr>
            </w:pPr>
            <w:r w:rsidRPr="00DB22BA">
              <w:rPr>
                <w:rFonts w:ascii="Calibri" w:eastAsia="MS Mincho" w:hAnsi="Calibri" w:cs="Calibri"/>
                <w:b/>
                <w:sz w:val="22"/>
                <w:szCs w:val="22"/>
                <w:lang w:val="en-US"/>
              </w:rPr>
              <w:t>Fair</w:t>
            </w:r>
          </w:p>
        </w:tc>
        <w:tc>
          <w:tcPr>
            <w:tcW w:w="1276" w:type="dxa"/>
            <w:gridSpan w:val="3"/>
          </w:tcPr>
          <w:p w14:paraId="57ECB4F2" w14:textId="77777777" w:rsidR="005660A9" w:rsidRPr="00FF2F42" w:rsidRDefault="005660A9" w:rsidP="00483427">
            <w:pPr>
              <w:jc w:val="right"/>
              <w:rPr>
                <w:rFonts w:ascii="Calibri" w:eastAsia="MS Mincho" w:hAnsi="Calibri" w:cs="Calibri"/>
                <w:sz w:val="22"/>
                <w:szCs w:val="22"/>
                <w:lang w:val="en-US"/>
              </w:rPr>
            </w:pPr>
            <w:r w:rsidRPr="00FF2F42">
              <w:rPr>
                <w:rFonts w:ascii="Calibri" w:eastAsia="MS Mincho" w:hAnsi="Calibri" w:cs="Calibri"/>
                <w:sz w:val="22"/>
                <w:szCs w:val="22"/>
                <w:lang w:val="en-US"/>
              </w:rPr>
              <w:t>Carrying</w:t>
            </w:r>
          </w:p>
        </w:tc>
        <w:tc>
          <w:tcPr>
            <w:tcW w:w="1395" w:type="dxa"/>
            <w:gridSpan w:val="4"/>
          </w:tcPr>
          <w:p w14:paraId="2EE691B7" w14:textId="77777777" w:rsidR="005660A9" w:rsidRPr="00FF2F42" w:rsidRDefault="005660A9" w:rsidP="00483427">
            <w:pPr>
              <w:jc w:val="right"/>
              <w:rPr>
                <w:rFonts w:ascii="Calibri" w:eastAsia="MS Mincho" w:hAnsi="Calibri" w:cs="Calibri"/>
                <w:sz w:val="22"/>
                <w:szCs w:val="22"/>
                <w:lang w:val="en-US"/>
              </w:rPr>
            </w:pPr>
            <w:r w:rsidRPr="00FF2F42">
              <w:rPr>
                <w:rFonts w:ascii="Calibri" w:eastAsia="MS Mincho" w:hAnsi="Calibri" w:cs="Calibri"/>
                <w:sz w:val="22"/>
                <w:szCs w:val="22"/>
                <w:lang w:val="en-US"/>
              </w:rPr>
              <w:t>Fair</w:t>
            </w:r>
          </w:p>
        </w:tc>
      </w:tr>
      <w:tr w:rsidR="005660A9" w:rsidRPr="00505482" w14:paraId="126E4203" w14:textId="77777777" w:rsidTr="00FF2F42">
        <w:trPr>
          <w:gridAfter w:val="1"/>
          <w:wAfter w:w="647" w:type="dxa"/>
        </w:trPr>
        <w:tc>
          <w:tcPr>
            <w:tcW w:w="7223" w:type="dxa"/>
            <w:vAlign w:val="bottom"/>
          </w:tcPr>
          <w:p w14:paraId="2B31051F" w14:textId="77777777" w:rsidR="005660A9" w:rsidRPr="00DB22BA" w:rsidRDefault="005660A9" w:rsidP="00483427">
            <w:pPr>
              <w:tabs>
                <w:tab w:val="left" w:leader="dot" w:pos="6804"/>
              </w:tabs>
              <w:ind w:right="-250"/>
              <w:rPr>
                <w:rFonts w:ascii="Calibri" w:hAnsi="Calibri" w:cs="Calibri"/>
                <w:b/>
                <w:bCs/>
                <w:sz w:val="22"/>
                <w:szCs w:val="22"/>
              </w:rPr>
            </w:pPr>
          </w:p>
        </w:tc>
        <w:tc>
          <w:tcPr>
            <w:tcW w:w="1309" w:type="dxa"/>
            <w:gridSpan w:val="3"/>
            <w:tcBorders>
              <w:bottom w:val="single" w:sz="4" w:space="0" w:color="auto"/>
            </w:tcBorders>
            <w:shd w:val="clear" w:color="auto" w:fill="auto"/>
            <w:vAlign w:val="bottom"/>
          </w:tcPr>
          <w:p w14:paraId="129E4790" w14:textId="77777777" w:rsidR="005660A9" w:rsidRPr="00DB22BA" w:rsidRDefault="005660A9" w:rsidP="00483427">
            <w:pPr>
              <w:ind w:left="-116" w:right="27"/>
              <w:jc w:val="right"/>
              <w:rPr>
                <w:rFonts w:ascii="Calibri" w:eastAsia="MS Mincho" w:hAnsi="Calibri" w:cs="Calibri"/>
                <w:b/>
                <w:sz w:val="22"/>
                <w:szCs w:val="22"/>
                <w:lang w:val="en-US"/>
              </w:rPr>
            </w:pPr>
            <w:r w:rsidRPr="00DB22BA">
              <w:rPr>
                <w:rFonts w:ascii="Calibri" w:eastAsia="MS Mincho" w:hAnsi="Calibri" w:cs="Calibri"/>
                <w:b/>
                <w:sz w:val="22"/>
                <w:szCs w:val="22"/>
                <w:lang w:val="en-US"/>
              </w:rPr>
              <w:t>Amount</w:t>
            </w:r>
          </w:p>
        </w:tc>
        <w:tc>
          <w:tcPr>
            <w:tcW w:w="1134" w:type="dxa"/>
            <w:gridSpan w:val="3"/>
            <w:tcBorders>
              <w:bottom w:val="single" w:sz="4" w:space="0" w:color="auto"/>
            </w:tcBorders>
            <w:shd w:val="clear" w:color="auto" w:fill="auto"/>
            <w:vAlign w:val="bottom"/>
          </w:tcPr>
          <w:p w14:paraId="5D2C15DC" w14:textId="77777777" w:rsidR="005660A9" w:rsidRPr="00DB22BA" w:rsidRDefault="005660A9" w:rsidP="00483427">
            <w:pPr>
              <w:jc w:val="right"/>
              <w:rPr>
                <w:rFonts w:ascii="Calibri" w:eastAsia="MS Mincho" w:hAnsi="Calibri" w:cs="Calibri"/>
                <w:b/>
                <w:sz w:val="22"/>
                <w:szCs w:val="22"/>
                <w:lang w:val="en-US"/>
              </w:rPr>
            </w:pPr>
            <w:r w:rsidRPr="00DB22BA">
              <w:rPr>
                <w:rFonts w:ascii="Calibri" w:eastAsia="MS Mincho" w:hAnsi="Calibri" w:cs="Calibri"/>
                <w:b/>
                <w:sz w:val="22"/>
                <w:szCs w:val="22"/>
                <w:lang w:val="en-US"/>
              </w:rPr>
              <w:t>Value</w:t>
            </w:r>
          </w:p>
        </w:tc>
        <w:tc>
          <w:tcPr>
            <w:tcW w:w="1276" w:type="dxa"/>
            <w:gridSpan w:val="3"/>
            <w:tcBorders>
              <w:bottom w:val="single" w:sz="4" w:space="0" w:color="auto"/>
            </w:tcBorders>
          </w:tcPr>
          <w:p w14:paraId="7F4F7BC0" w14:textId="77777777" w:rsidR="005660A9" w:rsidRPr="00FF2F42" w:rsidRDefault="005660A9" w:rsidP="00483427">
            <w:pPr>
              <w:jc w:val="right"/>
              <w:rPr>
                <w:rFonts w:ascii="Calibri" w:eastAsia="MS Mincho" w:hAnsi="Calibri" w:cs="Calibri"/>
                <w:sz w:val="22"/>
                <w:szCs w:val="22"/>
                <w:lang w:val="en-US"/>
              </w:rPr>
            </w:pPr>
            <w:r w:rsidRPr="00FF2F42">
              <w:rPr>
                <w:rFonts w:ascii="Calibri" w:eastAsia="MS Mincho" w:hAnsi="Calibri" w:cs="Calibri"/>
                <w:sz w:val="22"/>
                <w:szCs w:val="22"/>
                <w:lang w:val="en-US"/>
              </w:rPr>
              <w:t>Amount</w:t>
            </w:r>
          </w:p>
        </w:tc>
        <w:tc>
          <w:tcPr>
            <w:tcW w:w="1395" w:type="dxa"/>
            <w:gridSpan w:val="4"/>
            <w:tcBorders>
              <w:bottom w:val="single" w:sz="4" w:space="0" w:color="auto"/>
            </w:tcBorders>
          </w:tcPr>
          <w:p w14:paraId="274B64FF" w14:textId="77777777" w:rsidR="005660A9" w:rsidRPr="00FF2F42" w:rsidRDefault="005660A9" w:rsidP="00483427">
            <w:pPr>
              <w:jc w:val="right"/>
              <w:rPr>
                <w:rFonts w:ascii="Calibri" w:eastAsia="MS Mincho" w:hAnsi="Calibri" w:cs="Calibri"/>
                <w:sz w:val="22"/>
                <w:szCs w:val="22"/>
                <w:lang w:val="en-US"/>
              </w:rPr>
            </w:pPr>
            <w:r w:rsidRPr="00FF2F42">
              <w:rPr>
                <w:rFonts w:ascii="Calibri" w:eastAsia="MS Mincho" w:hAnsi="Calibri" w:cs="Calibri"/>
                <w:sz w:val="22"/>
                <w:szCs w:val="22"/>
                <w:lang w:val="en-US"/>
              </w:rPr>
              <w:t>Value</w:t>
            </w:r>
          </w:p>
        </w:tc>
      </w:tr>
      <w:tr w:rsidR="005660A9" w:rsidRPr="00505482" w14:paraId="6E0FED38" w14:textId="77777777" w:rsidTr="00FF2F42">
        <w:trPr>
          <w:gridAfter w:val="1"/>
          <w:wAfter w:w="647" w:type="dxa"/>
        </w:trPr>
        <w:tc>
          <w:tcPr>
            <w:tcW w:w="7223" w:type="dxa"/>
            <w:vAlign w:val="bottom"/>
            <w:hideMark/>
          </w:tcPr>
          <w:p w14:paraId="2AE7297C" w14:textId="77777777" w:rsidR="005660A9" w:rsidRPr="00DB22BA" w:rsidRDefault="005660A9" w:rsidP="00483427">
            <w:pPr>
              <w:tabs>
                <w:tab w:val="left" w:leader="dot" w:pos="6804"/>
              </w:tabs>
              <w:ind w:right="-250"/>
              <w:rPr>
                <w:rFonts w:ascii="Calibri" w:eastAsia="MS Mincho" w:hAnsi="Calibri" w:cs="Calibri"/>
                <w:bCs/>
                <w:sz w:val="22"/>
                <w:szCs w:val="22"/>
              </w:rPr>
            </w:pPr>
            <w:r w:rsidRPr="00DB22BA">
              <w:rPr>
                <w:rFonts w:ascii="Calibri" w:hAnsi="Calibri" w:cs="Calibri"/>
                <w:b/>
                <w:bCs/>
                <w:sz w:val="22"/>
                <w:szCs w:val="22"/>
              </w:rPr>
              <w:t>Non-current financial liabilities</w:t>
            </w:r>
          </w:p>
        </w:tc>
        <w:tc>
          <w:tcPr>
            <w:tcW w:w="1309" w:type="dxa"/>
            <w:gridSpan w:val="3"/>
            <w:tcBorders>
              <w:top w:val="single" w:sz="4" w:space="0" w:color="auto"/>
            </w:tcBorders>
            <w:shd w:val="clear" w:color="auto" w:fill="auto"/>
            <w:vAlign w:val="bottom"/>
          </w:tcPr>
          <w:p w14:paraId="012F3CF6" w14:textId="77777777" w:rsidR="005660A9" w:rsidRPr="00FF2F42" w:rsidRDefault="005660A9" w:rsidP="00483427">
            <w:pPr>
              <w:ind w:left="-116" w:right="27"/>
              <w:jc w:val="right"/>
              <w:rPr>
                <w:rFonts w:ascii="Calibri" w:eastAsia="MS Mincho" w:hAnsi="Calibri" w:cs="Calibri"/>
                <w:b/>
                <w:sz w:val="22"/>
                <w:szCs w:val="22"/>
                <w:u w:val="single"/>
                <w:lang w:val="en-US"/>
              </w:rPr>
            </w:pPr>
            <w:r w:rsidRPr="00FF2F42">
              <w:rPr>
                <w:rFonts w:ascii="Calibri" w:eastAsia="MS Mincho" w:hAnsi="Calibri" w:cs="Calibri"/>
                <w:b/>
                <w:sz w:val="22"/>
                <w:szCs w:val="22"/>
                <w:u w:val="single"/>
                <w:lang w:val="en-US"/>
              </w:rPr>
              <w:t>€M</w:t>
            </w:r>
          </w:p>
        </w:tc>
        <w:tc>
          <w:tcPr>
            <w:tcW w:w="1134" w:type="dxa"/>
            <w:gridSpan w:val="3"/>
            <w:tcBorders>
              <w:top w:val="single" w:sz="4" w:space="0" w:color="auto"/>
            </w:tcBorders>
            <w:shd w:val="clear" w:color="auto" w:fill="auto"/>
            <w:vAlign w:val="bottom"/>
          </w:tcPr>
          <w:p w14:paraId="0C4264B7" w14:textId="77777777" w:rsidR="005660A9" w:rsidRPr="00FF2F42" w:rsidRDefault="005660A9" w:rsidP="00483427">
            <w:pPr>
              <w:jc w:val="right"/>
              <w:rPr>
                <w:rFonts w:ascii="Calibri" w:eastAsia="MS Mincho" w:hAnsi="Calibri" w:cs="Calibri"/>
                <w:b/>
                <w:sz w:val="22"/>
                <w:szCs w:val="22"/>
                <w:u w:val="single"/>
                <w:lang w:val="en-US"/>
              </w:rPr>
            </w:pPr>
            <w:r w:rsidRPr="00FF2F42">
              <w:rPr>
                <w:rFonts w:ascii="Calibri" w:eastAsia="MS Mincho" w:hAnsi="Calibri" w:cs="Calibri"/>
                <w:b/>
                <w:sz w:val="22"/>
                <w:szCs w:val="22"/>
                <w:u w:val="single"/>
                <w:lang w:val="en-US"/>
              </w:rPr>
              <w:t>€M</w:t>
            </w:r>
          </w:p>
        </w:tc>
        <w:tc>
          <w:tcPr>
            <w:tcW w:w="1276" w:type="dxa"/>
            <w:gridSpan w:val="3"/>
            <w:tcBorders>
              <w:top w:val="single" w:sz="4" w:space="0" w:color="auto"/>
            </w:tcBorders>
          </w:tcPr>
          <w:p w14:paraId="6A1E6E8F" w14:textId="77777777" w:rsidR="005660A9" w:rsidRPr="00FF2F42" w:rsidRDefault="005660A9" w:rsidP="00483427">
            <w:pPr>
              <w:jc w:val="right"/>
              <w:rPr>
                <w:rFonts w:ascii="Calibri" w:eastAsia="MS Mincho" w:hAnsi="Calibri" w:cs="Calibri"/>
                <w:sz w:val="22"/>
                <w:szCs w:val="22"/>
                <w:u w:val="single"/>
                <w:lang w:val="en-US"/>
              </w:rPr>
            </w:pPr>
            <w:r w:rsidRPr="00FF2F42">
              <w:rPr>
                <w:rFonts w:ascii="Calibri" w:eastAsia="MS Mincho" w:hAnsi="Calibri" w:cs="Calibri"/>
                <w:sz w:val="22"/>
                <w:szCs w:val="22"/>
                <w:u w:val="single"/>
                <w:lang w:val="en-US"/>
              </w:rPr>
              <w:t>€M</w:t>
            </w:r>
          </w:p>
        </w:tc>
        <w:tc>
          <w:tcPr>
            <w:tcW w:w="1395" w:type="dxa"/>
            <w:gridSpan w:val="4"/>
            <w:tcBorders>
              <w:top w:val="single" w:sz="4" w:space="0" w:color="auto"/>
            </w:tcBorders>
          </w:tcPr>
          <w:p w14:paraId="2C84647D" w14:textId="77777777" w:rsidR="005660A9" w:rsidRPr="00FF2F42" w:rsidRDefault="005660A9" w:rsidP="00483427">
            <w:pPr>
              <w:jc w:val="right"/>
              <w:rPr>
                <w:rFonts w:ascii="Calibri" w:eastAsia="MS Mincho" w:hAnsi="Calibri" w:cs="Calibri"/>
                <w:sz w:val="22"/>
                <w:szCs w:val="22"/>
                <w:u w:val="single"/>
                <w:lang w:val="en-US"/>
              </w:rPr>
            </w:pPr>
            <w:r w:rsidRPr="00FF2F42">
              <w:rPr>
                <w:rFonts w:ascii="Calibri" w:eastAsia="MS Mincho" w:hAnsi="Calibri" w:cs="Calibri"/>
                <w:sz w:val="22"/>
                <w:szCs w:val="22"/>
                <w:u w:val="single"/>
                <w:lang w:val="en-US"/>
              </w:rPr>
              <w:t>€M</w:t>
            </w:r>
          </w:p>
        </w:tc>
      </w:tr>
      <w:tr w:rsidR="005660A9" w:rsidRPr="00505482" w14:paraId="0C5DBF55" w14:textId="77777777" w:rsidTr="00FF2F42">
        <w:trPr>
          <w:gridAfter w:val="1"/>
          <w:wAfter w:w="647" w:type="dxa"/>
        </w:trPr>
        <w:tc>
          <w:tcPr>
            <w:tcW w:w="7223" w:type="dxa"/>
            <w:vAlign w:val="bottom"/>
            <w:hideMark/>
          </w:tcPr>
          <w:p w14:paraId="740C6711" w14:textId="77777777" w:rsidR="005660A9" w:rsidRPr="00DB22BA" w:rsidRDefault="005660A9" w:rsidP="00483427">
            <w:pPr>
              <w:tabs>
                <w:tab w:val="left" w:leader="dot" w:pos="6804"/>
              </w:tabs>
              <w:rPr>
                <w:rFonts w:ascii="Calibri" w:eastAsia="MS Mincho" w:hAnsi="Calibri" w:cs="Calibri"/>
                <w:bCs/>
                <w:sz w:val="22"/>
                <w:szCs w:val="22"/>
              </w:rPr>
            </w:pPr>
            <w:r w:rsidRPr="00DB22BA">
              <w:rPr>
                <w:rFonts w:ascii="Calibri" w:hAnsi="Calibri" w:cs="Calibri"/>
                <w:bCs/>
                <w:sz w:val="22"/>
                <w:szCs w:val="22"/>
              </w:rPr>
              <w:t>Derivative financial instruments:-</w:t>
            </w:r>
          </w:p>
        </w:tc>
        <w:tc>
          <w:tcPr>
            <w:tcW w:w="1309" w:type="dxa"/>
            <w:gridSpan w:val="3"/>
            <w:shd w:val="clear" w:color="auto" w:fill="auto"/>
            <w:vAlign w:val="bottom"/>
          </w:tcPr>
          <w:p w14:paraId="1ADADC68" w14:textId="77777777" w:rsidR="005660A9" w:rsidRPr="00DB22BA" w:rsidRDefault="005660A9" w:rsidP="00483427">
            <w:pPr>
              <w:ind w:left="-116" w:right="27"/>
              <w:jc w:val="right"/>
              <w:rPr>
                <w:rFonts w:ascii="Calibri" w:eastAsia="MS Mincho" w:hAnsi="Calibri" w:cs="Calibri"/>
                <w:sz w:val="22"/>
                <w:szCs w:val="22"/>
              </w:rPr>
            </w:pPr>
          </w:p>
        </w:tc>
        <w:tc>
          <w:tcPr>
            <w:tcW w:w="1134" w:type="dxa"/>
            <w:gridSpan w:val="3"/>
            <w:shd w:val="clear" w:color="auto" w:fill="auto"/>
            <w:vAlign w:val="bottom"/>
          </w:tcPr>
          <w:p w14:paraId="5946448B" w14:textId="77777777" w:rsidR="005660A9" w:rsidRPr="00DB22BA" w:rsidRDefault="005660A9" w:rsidP="00483427">
            <w:pPr>
              <w:jc w:val="right"/>
              <w:rPr>
                <w:rFonts w:ascii="Calibri" w:eastAsia="MS Mincho" w:hAnsi="Calibri" w:cs="Calibri"/>
                <w:sz w:val="22"/>
                <w:szCs w:val="22"/>
              </w:rPr>
            </w:pPr>
          </w:p>
        </w:tc>
        <w:tc>
          <w:tcPr>
            <w:tcW w:w="1276" w:type="dxa"/>
            <w:gridSpan w:val="3"/>
          </w:tcPr>
          <w:p w14:paraId="77C05C43" w14:textId="77777777" w:rsidR="005660A9" w:rsidRPr="00DB22BA" w:rsidRDefault="005660A9" w:rsidP="00483427">
            <w:pPr>
              <w:jc w:val="right"/>
              <w:rPr>
                <w:rFonts w:ascii="Calibri" w:eastAsia="MS Mincho" w:hAnsi="Calibri" w:cs="Calibri"/>
                <w:sz w:val="22"/>
                <w:szCs w:val="22"/>
              </w:rPr>
            </w:pPr>
          </w:p>
        </w:tc>
        <w:tc>
          <w:tcPr>
            <w:tcW w:w="1395" w:type="dxa"/>
            <w:gridSpan w:val="4"/>
          </w:tcPr>
          <w:p w14:paraId="29A07964" w14:textId="77777777" w:rsidR="005660A9" w:rsidRPr="00DB22BA" w:rsidRDefault="005660A9" w:rsidP="00483427">
            <w:pPr>
              <w:jc w:val="right"/>
              <w:rPr>
                <w:rFonts w:ascii="Calibri" w:eastAsia="MS Mincho" w:hAnsi="Calibri" w:cs="Calibri"/>
                <w:sz w:val="22"/>
                <w:szCs w:val="22"/>
              </w:rPr>
            </w:pPr>
          </w:p>
        </w:tc>
      </w:tr>
      <w:tr w:rsidR="00FC0EF8" w:rsidRPr="00505482" w14:paraId="7097370A" w14:textId="77777777" w:rsidTr="00316162">
        <w:trPr>
          <w:gridAfter w:val="1"/>
          <w:wAfter w:w="647" w:type="dxa"/>
        </w:trPr>
        <w:tc>
          <w:tcPr>
            <w:tcW w:w="7223" w:type="dxa"/>
            <w:vAlign w:val="bottom"/>
          </w:tcPr>
          <w:p w14:paraId="0381D6BB" w14:textId="77777777" w:rsidR="00FC0EF8" w:rsidRPr="00DB22BA" w:rsidRDefault="00FC0EF8" w:rsidP="00FC0EF8">
            <w:pPr>
              <w:tabs>
                <w:tab w:val="left" w:leader="dot" w:pos="6804"/>
              </w:tabs>
              <w:ind w:right="-249"/>
              <w:rPr>
                <w:rFonts w:ascii="Calibri" w:hAnsi="Calibri" w:cs="Calibri"/>
                <w:bCs/>
                <w:sz w:val="22"/>
                <w:szCs w:val="22"/>
              </w:rPr>
            </w:pPr>
            <w:r w:rsidRPr="00DB22BA">
              <w:rPr>
                <w:rFonts w:ascii="Calibri" w:hAnsi="Calibri" w:cs="Calibri"/>
                <w:sz w:val="22"/>
                <w:szCs w:val="22"/>
              </w:rPr>
              <w:t>- U.S. dollar currency forward contracts</w:t>
            </w:r>
          </w:p>
        </w:tc>
        <w:tc>
          <w:tcPr>
            <w:tcW w:w="1309" w:type="dxa"/>
            <w:gridSpan w:val="3"/>
            <w:shd w:val="clear" w:color="auto" w:fill="auto"/>
            <w:vAlign w:val="bottom"/>
          </w:tcPr>
          <w:p w14:paraId="271775EA" w14:textId="0241F7D2" w:rsidR="00FC0EF8" w:rsidRPr="00B21862" w:rsidRDefault="00244D3C" w:rsidP="00FC0EF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5.7</w:t>
            </w:r>
          </w:p>
        </w:tc>
        <w:tc>
          <w:tcPr>
            <w:tcW w:w="1134" w:type="dxa"/>
            <w:gridSpan w:val="3"/>
            <w:shd w:val="clear" w:color="auto" w:fill="auto"/>
            <w:vAlign w:val="bottom"/>
          </w:tcPr>
          <w:p w14:paraId="4A134B67" w14:textId="40A3B17C" w:rsidR="00FC0EF8" w:rsidRPr="00B21862" w:rsidRDefault="00244D3C" w:rsidP="00FC0EF8">
            <w:pPr>
              <w:jc w:val="right"/>
              <w:rPr>
                <w:rFonts w:ascii="Calibri" w:eastAsia="MS Mincho" w:hAnsi="Calibri" w:cs="Calibri"/>
                <w:sz w:val="22"/>
                <w:szCs w:val="22"/>
                <w:lang w:val="en-US"/>
              </w:rPr>
            </w:pPr>
            <w:r>
              <w:rPr>
                <w:rFonts w:ascii="Calibri" w:eastAsia="MS Mincho" w:hAnsi="Calibri" w:cs="Calibri"/>
                <w:sz w:val="22"/>
                <w:szCs w:val="22"/>
                <w:lang w:val="en-US"/>
              </w:rPr>
              <w:t>5.7</w:t>
            </w:r>
          </w:p>
        </w:tc>
        <w:tc>
          <w:tcPr>
            <w:tcW w:w="1276" w:type="dxa"/>
            <w:gridSpan w:val="3"/>
            <w:vAlign w:val="bottom"/>
          </w:tcPr>
          <w:p w14:paraId="61408D80" w14:textId="77777777" w:rsidR="00FC0EF8" w:rsidRPr="00DB22BA" w:rsidRDefault="00FC0EF8" w:rsidP="00FC0EF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8.0</w:t>
            </w:r>
          </w:p>
        </w:tc>
        <w:tc>
          <w:tcPr>
            <w:tcW w:w="1395" w:type="dxa"/>
            <w:gridSpan w:val="4"/>
            <w:vAlign w:val="bottom"/>
          </w:tcPr>
          <w:p w14:paraId="04815499" w14:textId="77777777" w:rsidR="00FC0EF8" w:rsidRPr="00DB22BA" w:rsidRDefault="00FC0EF8" w:rsidP="00FC0EF8">
            <w:pPr>
              <w:jc w:val="right"/>
              <w:rPr>
                <w:rFonts w:ascii="Calibri" w:eastAsia="MS Mincho" w:hAnsi="Calibri" w:cs="Calibri"/>
                <w:sz w:val="22"/>
                <w:szCs w:val="22"/>
                <w:lang w:val="en-US"/>
              </w:rPr>
            </w:pPr>
            <w:r>
              <w:rPr>
                <w:rFonts w:ascii="Calibri" w:eastAsia="MS Mincho" w:hAnsi="Calibri" w:cs="Calibri"/>
                <w:sz w:val="22"/>
                <w:szCs w:val="22"/>
                <w:lang w:val="en-US"/>
              </w:rPr>
              <w:t>8.0</w:t>
            </w:r>
          </w:p>
        </w:tc>
      </w:tr>
      <w:tr w:rsidR="00445166" w:rsidRPr="00505482" w14:paraId="28D62D10" w14:textId="77777777" w:rsidTr="00316162">
        <w:trPr>
          <w:gridAfter w:val="1"/>
          <w:wAfter w:w="647" w:type="dxa"/>
        </w:trPr>
        <w:tc>
          <w:tcPr>
            <w:tcW w:w="7223" w:type="dxa"/>
            <w:vAlign w:val="bottom"/>
          </w:tcPr>
          <w:p w14:paraId="14B7086C" w14:textId="75523180" w:rsidR="00445166" w:rsidRPr="00DB22BA" w:rsidRDefault="00445166" w:rsidP="00FC0EF8">
            <w:pPr>
              <w:tabs>
                <w:tab w:val="left" w:leader="dot" w:pos="6804"/>
              </w:tabs>
              <w:ind w:right="-249"/>
              <w:rPr>
                <w:rFonts w:ascii="Calibri" w:hAnsi="Calibri" w:cs="Calibri"/>
                <w:sz w:val="22"/>
                <w:szCs w:val="22"/>
              </w:rPr>
            </w:pPr>
            <w:r>
              <w:rPr>
                <w:rFonts w:ascii="Calibri" w:hAnsi="Calibri" w:cs="Calibri"/>
                <w:bCs/>
                <w:sz w:val="22"/>
                <w:szCs w:val="22"/>
              </w:rPr>
              <w:t>- Jet fuel contracts</w:t>
            </w:r>
          </w:p>
        </w:tc>
        <w:tc>
          <w:tcPr>
            <w:tcW w:w="1309" w:type="dxa"/>
            <w:gridSpan w:val="3"/>
            <w:shd w:val="clear" w:color="auto" w:fill="auto"/>
            <w:vAlign w:val="bottom"/>
          </w:tcPr>
          <w:p w14:paraId="4CCADEF1" w14:textId="7119D684" w:rsidR="00445166" w:rsidRPr="00B21862" w:rsidRDefault="00244D3C" w:rsidP="00FC0EF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w:t>
            </w:r>
          </w:p>
        </w:tc>
        <w:tc>
          <w:tcPr>
            <w:tcW w:w="1134" w:type="dxa"/>
            <w:gridSpan w:val="3"/>
            <w:shd w:val="clear" w:color="auto" w:fill="auto"/>
            <w:vAlign w:val="bottom"/>
          </w:tcPr>
          <w:p w14:paraId="1DD796E0" w14:textId="0726FBD0" w:rsidR="00445166" w:rsidRPr="00B21862" w:rsidRDefault="00244D3C" w:rsidP="00FC0EF8">
            <w:pPr>
              <w:jc w:val="right"/>
              <w:rPr>
                <w:rFonts w:ascii="Calibri" w:eastAsia="MS Mincho" w:hAnsi="Calibri" w:cs="Calibri"/>
                <w:sz w:val="22"/>
                <w:szCs w:val="22"/>
                <w:lang w:val="en-US"/>
              </w:rPr>
            </w:pPr>
            <w:r>
              <w:rPr>
                <w:rFonts w:ascii="Calibri" w:eastAsia="MS Mincho" w:hAnsi="Calibri" w:cs="Calibri"/>
                <w:sz w:val="22"/>
                <w:szCs w:val="22"/>
                <w:lang w:val="en-US"/>
              </w:rPr>
              <w:t>-</w:t>
            </w:r>
          </w:p>
        </w:tc>
        <w:tc>
          <w:tcPr>
            <w:tcW w:w="1276" w:type="dxa"/>
            <w:gridSpan w:val="3"/>
            <w:vAlign w:val="bottom"/>
          </w:tcPr>
          <w:p w14:paraId="72C3C240" w14:textId="003F4A53" w:rsidR="00445166" w:rsidRDefault="00445166" w:rsidP="00FC0EF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w:t>
            </w:r>
          </w:p>
        </w:tc>
        <w:tc>
          <w:tcPr>
            <w:tcW w:w="1395" w:type="dxa"/>
            <w:gridSpan w:val="4"/>
            <w:vAlign w:val="bottom"/>
          </w:tcPr>
          <w:p w14:paraId="5AFFF7E7" w14:textId="17130E9F" w:rsidR="00445166" w:rsidRDefault="00445166" w:rsidP="00FC0EF8">
            <w:pPr>
              <w:jc w:val="right"/>
              <w:rPr>
                <w:rFonts w:ascii="Calibri" w:eastAsia="MS Mincho" w:hAnsi="Calibri" w:cs="Calibri"/>
                <w:sz w:val="22"/>
                <w:szCs w:val="22"/>
                <w:lang w:val="en-US"/>
              </w:rPr>
            </w:pPr>
            <w:r>
              <w:rPr>
                <w:rFonts w:ascii="Calibri" w:eastAsia="MS Mincho" w:hAnsi="Calibri" w:cs="Calibri"/>
                <w:sz w:val="22"/>
                <w:szCs w:val="22"/>
                <w:lang w:val="en-US"/>
              </w:rPr>
              <w:t>-</w:t>
            </w:r>
          </w:p>
        </w:tc>
      </w:tr>
      <w:tr w:rsidR="00FC0EF8" w:rsidRPr="00505482" w14:paraId="2184BA77" w14:textId="77777777" w:rsidTr="00316162">
        <w:trPr>
          <w:gridAfter w:val="1"/>
          <w:wAfter w:w="647" w:type="dxa"/>
        </w:trPr>
        <w:tc>
          <w:tcPr>
            <w:tcW w:w="7223" w:type="dxa"/>
            <w:vAlign w:val="bottom"/>
          </w:tcPr>
          <w:p w14:paraId="74276314" w14:textId="77777777" w:rsidR="00FC0EF8" w:rsidRPr="00DB22BA" w:rsidRDefault="00FC0EF8" w:rsidP="00FC0EF8">
            <w:pPr>
              <w:tabs>
                <w:tab w:val="left" w:leader="dot" w:pos="6804"/>
              </w:tabs>
              <w:rPr>
                <w:rFonts w:ascii="Calibri" w:eastAsia="MS Mincho" w:hAnsi="Calibri" w:cs="Calibri"/>
                <w:sz w:val="22"/>
                <w:szCs w:val="22"/>
              </w:rPr>
            </w:pPr>
          </w:p>
        </w:tc>
        <w:tc>
          <w:tcPr>
            <w:tcW w:w="1309" w:type="dxa"/>
            <w:gridSpan w:val="3"/>
            <w:tcBorders>
              <w:top w:val="single" w:sz="4" w:space="0" w:color="auto"/>
            </w:tcBorders>
            <w:shd w:val="clear" w:color="auto" w:fill="auto"/>
            <w:vAlign w:val="bottom"/>
          </w:tcPr>
          <w:p w14:paraId="2610FE90" w14:textId="174DA67C" w:rsidR="00A3268A" w:rsidRPr="00B21862" w:rsidRDefault="00A3268A" w:rsidP="00A3268A">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5.7</w:t>
            </w:r>
          </w:p>
        </w:tc>
        <w:tc>
          <w:tcPr>
            <w:tcW w:w="1134" w:type="dxa"/>
            <w:gridSpan w:val="3"/>
            <w:tcBorders>
              <w:top w:val="single" w:sz="4" w:space="0" w:color="auto"/>
            </w:tcBorders>
            <w:shd w:val="clear" w:color="auto" w:fill="auto"/>
            <w:vAlign w:val="bottom"/>
          </w:tcPr>
          <w:p w14:paraId="75029D5F" w14:textId="79DE73EB" w:rsidR="00FC0EF8" w:rsidRPr="00B21862" w:rsidRDefault="00A3268A" w:rsidP="00FC0EF8">
            <w:pPr>
              <w:jc w:val="right"/>
              <w:rPr>
                <w:rFonts w:ascii="Calibri" w:eastAsia="MS Mincho" w:hAnsi="Calibri" w:cs="Calibri"/>
                <w:sz w:val="22"/>
                <w:szCs w:val="22"/>
                <w:lang w:val="en-US"/>
              </w:rPr>
            </w:pPr>
            <w:r>
              <w:rPr>
                <w:rFonts w:ascii="Calibri" w:eastAsia="MS Mincho" w:hAnsi="Calibri" w:cs="Calibri"/>
                <w:sz w:val="22"/>
                <w:szCs w:val="22"/>
                <w:lang w:val="en-US"/>
              </w:rPr>
              <w:t>5.7</w:t>
            </w:r>
          </w:p>
        </w:tc>
        <w:tc>
          <w:tcPr>
            <w:tcW w:w="1276" w:type="dxa"/>
            <w:gridSpan w:val="3"/>
            <w:tcBorders>
              <w:top w:val="single" w:sz="4" w:space="0" w:color="auto"/>
            </w:tcBorders>
            <w:vAlign w:val="bottom"/>
          </w:tcPr>
          <w:p w14:paraId="005C3529" w14:textId="77777777" w:rsidR="00FC0EF8" w:rsidRPr="00DB22BA" w:rsidRDefault="00FC0EF8" w:rsidP="00FC0EF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8.0</w:t>
            </w:r>
          </w:p>
        </w:tc>
        <w:tc>
          <w:tcPr>
            <w:tcW w:w="1395" w:type="dxa"/>
            <w:gridSpan w:val="4"/>
            <w:tcBorders>
              <w:top w:val="single" w:sz="4" w:space="0" w:color="auto"/>
            </w:tcBorders>
            <w:vAlign w:val="bottom"/>
          </w:tcPr>
          <w:p w14:paraId="6C700BE1" w14:textId="77777777" w:rsidR="00FC0EF8" w:rsidRPr="00DB22BA" w:rsidRDefault="00FC0EF8" w:rsidP="00FC0EF8">
            <w:pPr>
              <w:jc w:val="right"/>
              <w:rPr>
                <w:rFonts w:ascii="Calibri" w:eastAsia="MS Mincho" w:hAnsi="Calibri" w:cs="Calibri"/>
                <w:sz w:val="22"/>
                <w:szCs w:val="22"/>
                <w:lang w:val="en-US"/>
              </w:rPr>
            </w:pPr>
            <w:r>
              <w:rPr>
                <w:rFonts w:ascii="Calibri" w:eastAsia="MS Mincho" w:hAnsi="Calibri" w:cs="Calibri"/>
                <w:sz w:val="22"/>
                <w:szCs w:val="22"/>
                <w:lang w:val="en-US"/>
              </w:rPr>
              <w:t>8.0</w:t>
            </w:r>
          </w:p>
        </w:tc>
      </w:tr>
      <w:tr w:rsidR="00244D3C" w:rsidRPr="00505482" w14:paraId="0BC6AB44" w14:textId="77777777" w:rsidTr="00316162">
        <w:trPr>
          <w:gridAfter w:val="1"/>
          <w:wAfter w:w="647" w:type="dxa"/>
        </w:trPr>
        <w:tc>
          <w:tcPr>
            <w:tcW w:w="7223" w:type="dxa"/>
            <w:vAlign w:val="bottom"/>
          </w:tcPr>
          <w:p w14:paraId="61D97CAB" w14:textId="77777777" w:rsidR="00244D3C" w:rsidRPr="00DB22BA" w:rsidRDefault="00244D3C" w:rsidP="00FC0EF8">
            <w:pPr>
              <w:tabs>
                <w:tab w:val="left" w:leader="dot" w:pos="6804"/>
              </w:tabs>
              <w:rPr>
                <w:rFonts w:ascii="Calibri" w:eastAsia="MS Mincho" w:hAnsi="Calibri" w:cs="Calibri"/>
                <w:sz w:val="22"/>
                <w:szCs w:val="22"/>
              </w:rPr>
            </w:pPr>
          </w:p>
        </w:tc>
        <w:tc>
          <w:tcPr>
            <w:tcW w:w="1309" w:type="dxa"/>
            <w:gridSpan w:val="3"/>
            <w:tcBorders>
              <w:top w:val="single" w:sz="4" w:space="0" w:color="auto"/>
            </w:tcBorders>
            <w:shd w:val="clear" w:color="auto" w:fill="auto"/>
            <w:vAlign w:val="bottom"/>
          </w:tcPr>
          <w:p w14:paraId="6F9092B2" w14:textId="77777777" w:rsidR="00244D3C" w:rsidRDefault="00244D3C" w:rsidP="00FC0EF8">
            <w:pPr>
              <w:ind w:left="-116" w:right="27"/>
              <w:jc w:val="right"/>
              <w:rPr>
                <w:rFonts w:ascii="Calibri" w:eastAsia="MS Mincho" w:hAnsi="Calibri" w:cs="Calibri"/>
                <w:sz w:val="22"/>
                <w:szCs w:val="22"/>
                <w:lang w:val="en-US"/>
              </w:rPr>
            </w:pPr>
          </w:p>
        </w:tc>
        <w:tc>
          <w:tcPr>
            <w:tcW w:w="1134" w:type="dxa"/>
            <w:gridSpan w:val="3"/>
            <w:tcBorders>
              <w:top w:val="single" w:sz="4" w:space="0" w:color="auto"/>
            </w:tcBorders>
            <w:shd w:val="clear" w:color="auto" w:fill="auto"/>
            <w:vAlign w:val="bottom"/>
          </w:tcPr>
          <w:p w14:paraId="1858AA0E" w14:textId="77777777" w:rsidR="00244D3C" w:rsidRDefault="00244D3C" w:rsidP="00FC0EF8">
            <w:pPr>
              <w:jc w:val="right"/>
              <w:rPr>
                <w:rFonts w:ascii="Calibri" w:eastAsia="MS Mincho" w:hAnsi="Calibri" w:cs="Calibri"/>
                <w:sz w:val="22"/>
                <w:szCs w:val="22"/>
                <w:lang w:val="en-US"/>
              </w:rPr>
            </w:pPr>
          </w:p>
        </w:tc>
        <w:tc>
          <w:tcPr>
            <w:tcW w:w="1276" w:type="dxa"/>
            <w:gridSpan w:val="3"/>
            <w:tcBorders>
              <w:top w:val="single" w:sz="4" w:space="0" w:color="auto"/>
            </w:tcBorders>
            <w:vAlign w:val="bottom"/>
          </w:tcPr>
          <w:p w14:paraId="1C80AA70" w14:textId="77777777" w:rsidR="00244D3C" w:rsidRDefault="00244D3C" w:rsidP="00FC0EF8">
            <w:pPr>
              <w:ind w:left="-116" w:right="27"/>
              <w:jc w:val="right"/>
              <w:rPr>
                <w:rFonts w:ascii="Calibri" w:eastAsia="MS Mincho" w:hAnsi="Calibri" w:cs="Calibri"/>
                <w:sz w:val="22"/>
                <w:szCs w:val="22"/>
                <w:lang w:val="en-US"/>
              </w:rPr>
            </w:pPr>
          </w:p>
        </w:tc>
        <w:tc>
          <w:tcPr>
            <w:tcW w:w="1395" w:type="dxa"/>
            <w:gridSpan w:val="4"/>
            <w:tcBorders>
              <w:top w:val="single" w:sz="4" w:space="0" w:color="auto"/>
            </w:tcBorders>
            <w:vAlign w:val="bottom"/>
          </w:tcPr>
          <w:p w14:paraId="0F174BE1" w14:textId="77777777" w:rsidR="00244D3C" w:rsidRDefault="00244D3C" w:rsidP="00FC0EF8">
            <w:pPr>
              <w:jc w:val="right"/>
              <w:rPr>
                <w:rFonts w:ascii="Calibri" w:eastAsia="MS Mincho" w:hAnsi="Calibri" w:cs="Calibri"/>
                <w:sz w:val="22"/>
                <w:szCs w:val="22"/>
                <w:lang w:val="en-US"/>
              </w:rPr>
            </w:pPr>
          </w:p>
        </w:tc>
      </w:tr>
      <w:tr w:rsidR="00FC0EF8" w:rsidRPr="00505482" w14:paraId="201E425F" w14:textId="77777777" w:rsidTr="00316162">
        <w:trPr>
          <w:gridAfter w:val="1"/>
          <w:wAfter w:w="647" w:type="dxa"/>
        </w:trPr>
        <w:tc>
          <w:tcPr>
            <w:tcW w:w="7223" w:type="dxa"/>
            <w:vAlign w:val="bottom"/>
          </w:tcPr>
          <w:p w14:paraId="37388239" w14:textId="77777777" w:rsidR="00FC0EF8" w:rsidRPr="00DB22BA" w:rsidRDefault="00FC0EF8" w:rsidP="00FC0EF8">
            <w:pPr>
              <w:tabs>
                <w:tab w:val="left" w:leader="dot" w:pos="6804"/>
              </w:tabs>
              <w:ind w:right="-250"/>
              <w:rPr>
                <w:rFonts w:ascii="Calibri" w:hAnsi="Calibri" w:cs="Calibri"/>
                <w:bCs/>
                <w:sz w:val="22"/>
                <w:szCs w:val="22"/>
              </w:rPr>
            </w:pPr>
            <w:r w:rsidRPr="00DB22BA">
              <w:rPr>
                <w:rFonts w:ascii="Calibri" w:hAnsi="Calibri" w:cs="Calibri"/>
                <w:bCs/>
                <w:sz w:val="22"/>
                <w:szCs w:val="22"/>
              </w:rPr>
              <w:t>Long-term debt</w:t>
            </w:r>
          </w:p>
        </w:tc>
        <w:tc>
          <w:tcPr>
            <w:tcW w:w="1309" w:type="dxa"/>
            <w:gridSpan w:val="3"/>
            <w:shd w:val="clear" w:color="auto" w:fill="auto"/>
            <w:vAlign w:val="bottom"/>
          </w:tcPr>
          <w:p w14:paraId="0DE88406" w14:textId="4B282E7B" w:rsidR="00FC0EF8" w:rsidRPr="00203C37" w:rsidRDefault="00FC0EF8" w:rsidP="00FC0EF8">
            <w:pPr>
              <w:tabs>
                <w:tab w:val="decimal" w:pos="689"/>
              </w:tabs>
              <w:ind w:left="-116" w:right="27"/>
              <w:jc w:val="right"/>
              <w:rPr>
                <w:rFonts w:ascii="Calibri" w:eastAsia="MS Mincho" w:hAnsi="Calibri" w:cs="Calibri"/>
                <w:sz w:val="22"/>
                <w:szCs w:val="22"/>
              </w:rPr>
            </w:pPr>
            <w:r>
              <w:rPr>
                <w:rFonts w:ascii="Calibri" w:eastAsia="MS Mincho" w:hAnsi="Calibri" w:cs="Calibri"/>
                <w:sz w:val="22"/>
                <w:szCs w:val="22"/>
              </w:rPr>
              <w:t>1,</w:t>
            </w:r>
            <w:r w:rsidR="00244D3C">
              <w:rPr>
                <w:rFonts w:ascii="Calibri" w:eastAsia="MS Mincho" w:hAnsi="Calibri" w:cs="Calibri"/>
                <w:sz w:val="22"/>
                <w:szCs w:val="22"/>
              </w:rPr>
              <w:t>393.5</w:t>
            </w:r>
          </w:p>
        </w:tc>
        <w:tc>
          <w:tcPr>
            <w:tcW w:w="1134" w:type="dxa"/>
            <w:gridSpan w:val="3"/>
            <w:shd w:val="clear" w:color="auto" w:fill="auto"/>
            <w:vAlign w:val="bottom"/>
          </w:tcPr>
          <w:p w14:paraId="2C1DA050" w14:textId="3A0BEB6F" w:rsidR="00FC0EF8" w:rsidRPr="00B5706E" w:rsidRDefault="00FC0EF8" w:rsidP="00FC0EF8">
            <w:pPr>
              <w:tabs>
                <w:tab w:val="decimal" w:pos="689"/>
              </w:tabs>
              <w:jc w:val="right"/>
              <w:rPr>
                <w:rFonts w:ascii="Calibri" w:eastAsia="MS Mincho" w:hAnsi="Calibri" w:cs="Calibri"/>
                <w:sz w:val="22"/>
                <w:szCs w:val="22"/>
              </w:rPr>
            </w:pPr>
            <w:r w:rsidRPr="00B5706E">
              <w:rPr>
                <w:rFonts w:ascii="Calibri" w:eastAsia="MS Mincho" w:hAnsi="Calibri" w:cs="Calibri"/>
                <w:sz w:val="22"/>
                <w:szCs w:val="22"/>
              </w:rPr>
              <w:t>1,</w:t>
            </w:r>
            <w:r w:rsidR="00244D3C">
              <w:rPr>
                <w:rFonts w:ascii="Calibri" w:eastAsia="MS Mincho" w:hAnsi="Calibri" w:cs="Calibri"/>
                <w:sz w:val="22"/>
                <w:szCs w:val="22"/>
              </w:rPr>
              <w:t>404.0</w:t>
            </w:r>
          </w:p>
        </w:tc>
        <w:tc>
          <w:tcPr>
            <w:tcW w:w="1276" w:type="dxa"/>
            <w:gridSpan w:val="3"/>
            <w:vAlign w:val="bottom"/>
          </w:tcPr>
          <w:p w14:paraId="079BF781" w14:textId="77777777" w:rsidR="00FC0EF8" w:rsidRPr="00DB22BA" w:rsidRDefault="00FC0EF8" w:rsidP="00FC0EF8">
            <w:pPr>
              <w:tabs>
                <w:tab w:val="decimal" w:pos="689"/>
              </w:tabs>
              <w:ind w:left="-116" w:right="27"/>
              <w:jc w:val="right"/>
              <w:rPr>
                <w:rFonts w:ascii="Calibri" w:eastAsia="MS Mincho" w:hAnsi="Calibri" w:cs="Calibri"/>
                <w:sz w:val="22"/>
                <w:szCs w:val="22"/>
              </w:rPr>
            </w:pPr>
            <w:r>
              <w:rPr>
                <w:rFonts w:ascii="Calibri" w:eastAsia="MS Mincho" w:hAnsi="Calibri" w:cs="Calibri"/>
                <w:sz w:val="22"/>
                <w:szCs w:val="22"/>
              </w:rPr>
              <w:t>892.8</w:t>
            </w:r>
          </w:p>
        </w:tc>
        <w:tc>
          <w:tcPr>
            <w:tcW w:w="1395" w:type="dxa"/>
            <w:gridSpan w:val="4"/>
            <w:vAlign w:val="bottom"/>
          </w:tcPr>
          <w:p w14:paraId="0572CC8F" w14:textId="77777777" w:rsidR="00FC0EF8" w:rsidRPr="00DB22BA" w:rsidRDefault="00FC0EF8" w:rsidP="00FC0EF8">
            <w:pPr>
              <w:tabs>
                <w:tab w:val="decimal" w:pos="689"/>
              </w:tabs>
              <w:jc w:val="right"/>
              <w:rPr>
                <w:rFonts w:ascii="Calibri" w:eastAsia="MS Mincho" w:hAnsi="Calibri" w:cs="Calibri"/>
                <w:sz w:val="22"/>
                <w:szCs w:val="22"/>
              </w:rPr>
            </w:pPr>
            <w:r>
              <w:rPr>
                <w:rFonts w:ascii="Calibri" w:eastAsia="MS Mincho" w:hAnsi="Calibri" w:cs="Calibri"/>
                <w:sz w:val="22"/>
                <w:szCs w:val="22"/>
              </w:rPr>
              <w:t>906.8</w:t>
            </w:r>
          </w:p>
        </w:tc>
      </w:tr>
      <w:tr w:rsidR="00FC0EF8" w:rsidRPr="00505482" w14:paraId="61AA2215" w14:textId="77777777" w:rsidTr="00316162">
        <w:trPr>
          <w:gridAfter w:val="1"/>
          <w:wAfter w:w="647" w:type="dxa"/>
        </w:trPr>
        <w:tc>
          <w:tcPr>
            <w:tcW w:w="7223" w:type="dxa"/>
            <w:vAlign w:val="bottom"/>
            <w:hideMark/>
          </w:tcPr>
          <w:p w14:paraId="43E507BC" w14:textId="77777777" w:rsidR="00FC0EF8" w:rsidRPr="00DB22BA" w:rsidRDefault="00FC0EF8" w:rsidP="00FC0EF8">
            <w:pPr>
              <w:tabs>
                <w:tab w:val="left" w:leader="dot" w:pos="6804"/>
              </w:tabs>
              <w:ind w:right="-250"/>
              <w:rPr>
                <w:rFonts w:ascii="Calibri" w:eastAsia="MS Mincho" w:hAnsi="Calibri" w:cs="Calibri"/>
                <w:bCs/>
                <w:sz w:val="22"/>
                <w:szCs w:val="22"/>
              </w:rPr>
            </w:pPr>
            <w:r w:rsidRPr="00DB22BA">
              <w:rPr>
                <w:rFonts w:ascii="Calibri" w:hAnsi="Calibri" w:cs="Calibri"/>
                <w:bCs/>
                <w:sz w:val="22"/>
                <w:szCs w:val="22"/>
              </w:rPr>
              <w:t>Bonds</w:t>
            </w:r>
          </w:p>
        </w:tc>
        <w:tc>
          <w:tcPr>
            <w:tcW w:w="1309" w:type="dxa"/>
            <w:gridSpan w:val="3"/>
            <w:tcBorders>
              <w:bottom w:val="single" w:sz="4" w:space="0" w:color="auto"/>
            </w:tcBorders>
            <w:shd w:val="clear" w:color="auto" w:fill="auto"/>
            <w:vAlign w:val="bottom"/>
          </w:tcPr>
          <w:p w14:paraId="44668D3D" w14:textId="0784BA8D" w:rsidR="00FC0EF8" w:rsidRPr="00203C37" w:rsidRDefault="00FC0EF8" w:rsidP="00FC0EF8">
            <w:pPr>
              <w:tabs>
                <w:tab w:val="decimal" w:pos="689"/>
              </w:tabs>
              <w:ind w:left="-116" w:right="27"/>
              <w:jc w:val="right"/>
              <w:rPr>
                <w:rFonts w:ascii="Calibri" w:eastAsia="MS Mincho" w:hAnsi="Calibri" w:cs="Calibri"/>
                <w:sz w:val="22"/>
                <w:szCs w:val="22"/>
              </w:rPr>
            </w:pPr>
            <w:r w:rsidRPr="00203C37">
              <w:rPr>
                <w:rFonts w:ascii="Calibri" w:eastAsia="MS Mincho" w:hAnsi="Calibri" w:cs="Calibri"/>
                <w:sz w:val="22"/>
                <w:szCs w:val="22"/>
              </w:rPr>
              <w:t>2,</w:t>
            </w:r>
            <w:r w:rsidR="00244D3C">
              <w:rPr>
                <w:rFonts w:ascii="Calibri" w:eastAsia="MS Mincho" w:hAnsi="Calibri" w:cs="Calibri"/>
                <w:sz w:val="22"/>
                <w:szCs w:val="22"/>
              </w:rPr>
              <w:t>443.4</w:t>
            </w:r>
          </w:p>
        </w:tc>
        <w:tc>
          <w:tcPr>
            <w:tcW w:w="1134" w:type="dxa"/>
            <w:gridSpan w:val="3"/>
            <w:tcBorders>
              <w:bottom w:val="single" w:sz="4" w:space="0" w:color="auto"/>
            </w:tcBorders>
            <w:shd w:val="clear" w:color="auto" w:fill="auto"/>
            <w:vAlign w:val="bottom"/>
          </w:tcPr>
          <w:p w14:paraId="2D45441D" w14:textId="7E79D54B" w:rsidR="00FC0EF8" w:rsidRPr="00B5706E" w:rsidRDefault="00244D3C" w:rsidP="00FC0EF8">
            <w:pPr>
              <w:tabs>
                <w:tab w:val="decimal" w:pos="689"/>
              </w:tabs>
              <w:jc w:val="right"/>
              <w:rPr>
                <w:rFonts w:ascii="Calibri" w:eastAsia="MS Mincho" w:hAnsi="Calibri" w:cs="Calibri"/>
                <w:sz w:val="22"/>
                <w:szCs w:val="22"/>
              </w:rPr>
            </w:pPr>
            <w:r>
              <w:rPr>
                <w:rFonts w:ascii="Calibri" w:eastAsia="MS Mincho" w:hAnsi="Calibri" w:cs="Calibri"/>
                <w:sz w:val="22"/>
                <w:szCs w:val="22"/>
              </w:rPr>
              <w:t>2,517.6</w:t>
            </w:r>
          </w:p>
        </w:tc>
        <w:tc>
          <w:tcPr>
            <w:tcW w:w="1276" w:type="dxa"/>
            <w:gridSpan w:val="3"/>
            <w:tcBorders>
              <w:bottom w:val="single" w:sz="4" w:space="0" w:color="auto"/>
            </w:tcBorders>
            <w:vAlign w:val="bottom"/>
          </w:tcPr>
          <w:p w14:paraId="5552D60A" w14:textId="77777777" w:rsidR="00FC0EF8" w:rsidRPr="00DB22BA" w:rsidRDefault="00FC0EF8" w:rsidP="00FC0EF8">
            <w:pPr>
              <w:tabs>
                <w:tab w:val="decimal" w:pos="689"/>
              </w:tabs>
              <w:ind w:left="-116" w:right="27"/>
              <w:jc w:val="right"/>
              <w:rPr>
                <w:rFonts w:ascii="Calibri" w:eastAsia="MS Mincho" w:hAnsi="Calibri" w:cs="Calibri"/>
                <w:sz w:val="22"/>
                <w:szCs w:val="22"/>
              </w:rPr>
            </w:pPr>
            <w:r>
              <w:rPr>
                <w:rFonts w:ascii="Calibri" w:eastAsia="MS Mincho" w:hAnsi="Calibri" w:cs="Calibri"/>
                <w:sz w:val="22"/>
                <w:szCs w:val="22"/>
              </w:rPr>
              <w:t>2,442.2</w:t>
            </w:r>
          </w:p>
        </w:tc>
        <w:tc>
          <w:tcPr>
            <w:tcW w:w="1395" w:type="dxa"/>
            <w:gridSpan w:val="4"/>
            <w:tcBorders>
              <w:bottom w:val="single" w:sz="4" w:space="0" w:color="auto"/>
            </w:tcBorders>
            <w:vAlign w:val="bottom"/>
          </w:tcPr>
          <w:p w14:paraId="65EA1EBD" w14:textId="77777777" w:rsidR="00FC0EF8" w:rsidRPr="00DB22BA" w:rsidRDefault="00FC0EF8" w:rsidP="00FC0EF8">
            <w:pPr>
              <w:tabs>
                <w:tab w:val="decimal" w:pos="689"/>
              </w:tabs>
              <w:jc w:val="right"/>
              <w:rPr>
                <w:rFonts w:ascii="Calibri" w:eastAsia="MS Mincho" w:hAnsi="Calibri" w:cs="Calibri"/>
                <w:sz w:val="22"/>
                <w:szCs w:val="22"/>
              </w:rPr>
            </w:pPr>
            <w:r>
              <w:rPr>
                <w:rFonts w:ascii="Calibri" w:eastAsia="MS Mincho" w:hAnsi="Calibri" w:cs="Calibri"/>
                <w:sz w:val="22"/>
                <w:szCs w:val="22"/>
              </w:rPr>
              <w:t>2,509.1</w:t>
            </w:r>
          </w:p>
        </w:tc>
      </w:tr>
      <w:tr w:rsidR="00FC0EF8" w:rsidRPr="00505482" w14:paraId="01D2F6E0" w14:textId="77777777" w:rsidTr="00316162">
        <w:trPr>
          <w:gridAfter w:val="1"/>
          <w:wAfter w:w="647" w:type="dxa"/>
        </w:trPr>
        <w:tc>
          <w:tcPr>
            <w:tcW w:w="7223" w:type="dxa"/>
            <w:vAlign w:val="bottom"/>
          </w:tcPr>
          <w:p w14:paraId="56EA6F45" w14:textId="77777777" w:rsidR="00FC0EF8" w:rsidRPr="00DB22BA" w:rsidRDefault="00FC0EF8" w:rsidP="00FC0EF8">
            <w:pPr>
              <w:tabs>
                <w:tab w:val="left" w:leader="dot" w:pos="6804"/>
              </w:tabs>
              <w:rPr>
                <w:rFonts w:ascii="Calibri" w:eastAsia="MS Mincho" w:hAnsi="Calibri" w:cs="Calibri"/>
                <w:sz w:val="22"/>
                <w:szCs w:val="22"/>
              </w:rPr>
            </w:pPr>
          </w:p>
        </w:tc>
        <w:tc>
          <w:tcPr>
            <w:tcW w:w="1309" w:type="dxa"/>
            <w:gridSpan w:val="3"/>
            <w:tcBorders>
              <w:top w:val="single" w:sz="4" w:space="0" w:color="auto"/>
              <w:bottom w:val="single" w:sz="4" w:space="0" w:color="auto"/>
            </w:tcBorders>
            <w:shd w:val="clear" w:color="auto" w:fill="auto"/>
            <w:vAlign w:val="bottom"/>
          </w:tcPr>
          <w:p w14:paraId="7ABB9CA1" w14:textId="088CCA87" w:rsidR="00FC0EF8" w:rsidRPr="00203C37" w:rsidRDefault="00F25418" w:rsidP="00FC0EF8">
            <w:pPr>
              <w:tabs>
                <w:tab w:val="decimal" w:pos="689"/>
              </w:tabs>
              <w:ind w:left="-116" w:right="27"/>
              <w:jc w:val="right"/>
              <w:rPr>
                <w:rFonts w:ascii="Calibri" w:eastAsia="MS Mincho" w:hAnsi="Calibri" w:cs="Calibri"/>
                <w:sz w:val="22"/>
                <w:szCs w:val="22"/>
              </w:rPr>
            </w:pPr>
            <w:r>
              <w:rPr>
                <w:rFonts w:ascii="Calibri" w:eastAsia="MS Mincho" w:hAnsi="Calibri" w:cs="Calibri"/>
                <w:sz w:val="22"/>
                <w:szCs w:val="22"/>
              </w:rPr>
              <w:t>3</w:t>
            </w:r>
            <w:r w:rsidR="00FC0EF8">
              <w:rPr>
                <w:rFonts w:ascii="Calibri" w:eastAsia="MS Mincho" w:hAnsi="Calibri" w:cs="Calibri"/>
                <w:sz w:val="22"/>
                <w:szCs w:val="22"/>
              </w:rPr>
              <w:t>,</w:t>
            </w:r>
            <w:r w:rsidR="00244D3C">
              <w:rPr>
                <w:rFonts w:ascii="Calibri" w:eastAsia="MS Mincho" w:hAnsi="Calibri" w:cs="Calibri"/>
                <w:sz w:val="22"/>
                <w:szCs w:val="22"/>
              </w:rPr>
              <w:t>842.6</w:t>
            </w:r>
          </w:p>
        </w:tc>
        <w:tc>
          <w:tcPr>
            <w:tcW w:w="1134" w:type="dxa"/>
            <w:gridSpan w:val="3"/>
            <w:tcBorders>
              <w:top w:val="single" w:sz="4" w:space="0" w:color="auto"/>
              <w:bottom w:val="single" w:sz="4" w:space="0" w:color="auto"/>
            </w:tcBorders>
            <w:shd w:val="clear" w:color="auto" w:fill="auto"/>
            <w:vAlign w:val="bottom"/>
          </w:tcPr>
          <w:p w14:paraId="0A74C247" w14:textId="6AE7E50E" w:rsidR="00FC0EF8" w:rsidRPr="00B5706E" w:rsidRDefault="00244D3C" w:rsidP="00FC0EF8">
            <w:pPr>
              <w:tabs>
                <w:tab w:val="decimal" w:pos="689"/>
              </w:tabs>
              <w:jc w:val="right"/>
              <w:rPr>
                <w:rFonts w:ascii="Calibri" w:eastAsia="MS Mincho" w:hAnsi="Calibri" w:cs="Calibri"/>
                <w:sz w:val="22"/>
                <w:szCs w:val="22"/>
              </w:rPr>
            </w:pPr>
            <w:r>
              <w:rPr>
                <w:rFonts w:ascii="Calibri" w:eastAsia="MS Mincho" w:hAnsi="Calibri" w:cs="Calibri"/>
                <w:sz w:val="22"/>
                <w:szCs w:val="22"/>
              </w:rPr>
              <w:t>3,927.3</w:t>
            </w:r>
          </w:p>
        </w:tc>
        <w:tc>
          <w:tcPr>
            <w:tcW w:w="1276" w:type="dxa"/>
            <w:gridSpan w:val="3"/>
            <w:tcBorders>
              <w:top w:val="single" w:sz="4" w:space="0" w:color="auto"/>
              <w:bottom w:val="single" w:sz="4" w:space="0" w:color="auto"/>
            </w:tcBorders>
            <w:vAlign w:val="bottom"/>
          </w:tcPr>
          <w:p w14:paraId="3C4DE5F3" w14:textId="77777777" w:rsidR="00FC0EF8" w:rsidRPr="00DB22BA" w:rsidRDefault="00FC0EF8" w:rsidP="00FC0EF8">
            <w:pPr>
              <w:tabs>
                <w:tab w:val="decimal" w:pos="689"/>
              </w:tabs>
              <w:ind w:left="-116" w:right="27"/>
              <w:jc w:val="right"/>
              <w:rPr>
                <w:rFonts w:ascii="Calibri" w:eastAsia="MS Mincho" w:hAnsi="Calibri" w:cs="Calibri"/>
                <w:sz w:val="22"/>
                <w:szCs w:val="22"/>
              </w:rPr>
            </w:pPr>
            <w:r>
              <w:rPr>
                <w:rFonts w:ascii="Calibri" w:eastAsia="MS Mincho" w:hAnsi="Calibri" w:cs="Calibri"/>
                <w:sz w:val="22"/>
                <w:szCs w:val="22"/>
              </w:rPr>
              <w:t>3,343.0</w:t>
            </w:r>
          </w:p>
        </w:tc>
        <w:tc>
          <w:tcPr>
            <w:tcW w:w="1395" w:type="dxa"/>
            <w:gridSpan w:val="4"/>
            <w:tcBorders>
              <w:top w:val="single" w:sz="4" w:space="0" w:color="auto"/>
              <w:bottom w:val="single" w:sz="4" w:space="0" w:color="auto"/>
            </w:tcBorders>
            <w:vAlign w:val="bottom"/>
          </w:tcPr>
          <w:p w14:paraId="137B720C" w14:textId="77777777" w:rsidR="00FC0EF8" w:rsidRPr="00DB22BA" w:rsidRDefault="00FC0EF8" w:rsidP="00FC0EF8">
            <w:pPr>
              <w:tabs>
                <w:tab w:val="decimal" w:pos="689"/>
              </w:tabs>
              <w:jc w:val="right"/>
              <w:rPr>
                <w:rFonts w:ascii="Calibri" w:eastAsia="MS Mincho" w:hAnsi="Calibri" w:cs="Calibri"/>
                <w:sz w:val="22"/>
                <w:szCs w:val="22"/>
              </w:rPr>
            </w:pPr>
            <w:r>
              <w:rPr>
                <w:rFonts w:ascii="Calibri" w:eastAsia="MS Mincho" w:hAnsi="Calibri" w:cs="Calibri"/>
                <w:sz w:val="22"/>
                <w:szCs w:val="22"/>
              </w:rPr>
              <w:t>3,423.9</w:t>
            </w:r>
          </w:p>
        </w:tc>
      </w:tr>
      <w:tr w:rsidR="005660A9" w:rsidRPr="00505482" w14:paraId="58368745" w14:textId="77777777" w:rsidTr="00FF2F42">
        <w:trPr>
          <w:gridAfter w:val="1"/>
          <w:wAfter w:w="647" w:type="dxa"/>
        </w:trPr>
        <w:tc>
          <w:tcPr>
            <w:tcW w:w="7223" w:type="dxa"/>
            <w:vAlign w:val="bottom"/>
            <w:hideMark/>
          </w:tcPr>
          <w:p w14:paraId="1555B1EA" w14:textId="77777777" w:rsidR="005660A9" w:rsidRPr="00DB22BA" w:rsidRDefault="005660A9" w:rsidP="00483427">
            <w:pPr>
              <w:tabs>
                <w:tab w:val="left" w:leader="dot" w:pos="6804"/>
              </w:tabs>
              <w:rPr>
                <w:rFonts w:ascii="Calibri" w:eastAsia="MS Mincho" w:hAnsi="Calibri" w:cs="Calibri"/>
                <w:bCs/>
                <w:sz w:val="22"/>
                <w:szCs w:val="22"/>
              </w:rPr>
            </w:pPr>
            <w:r w:rsidRPr="00DB22BA">
              <w:rPr>
                <w:rFonts w:ascii="Calibri" w:hAnsi="Calibri" w:cs="Calibri"/>
                <w:b/>
                <w:bCs/>
                <w:sz w:val="22"/>
                <w:szCs w:val="22"/>
              </w:rPr>
              <w:t>Current financial liabilities</w:t>
            </w:r>
          </w:p>
        </w:tc>
        <w:tc>
          <w:tcPr>
            <w:tcW w:w="1309" w:type="dxa"/>
            <w:gridSpan w:val="3"/>
            <w:tcBorders>
              <w:top w:val="single" w:sz="4" w:space="0" w:color="auto"/>
            </w:tcBorders>
            <w:shd w:val="clear" w:color="auto" w:fill="auto"/>
            <w:vAlign w:val="bottom"/>
          </w:tcPr>
          <w:p w14:paraId="13971CE1" w14:textId="77777777" w:rsidR="005660A9" w:rsidRPr="00DB22BA" w:rsidRDefault="005660A9" w:rsidP="00483427">
            <w:pPr>
              <w:ind w:left="-116" w:right="27"/>
              <w:jc w:val="right"/>
              <w:rPr>
                <w:rFonts w:ascii="Calibri" w:eastAsia="MS Mincho" w:hAnsi="Calibri" w:cs="Calibri"/>
                <w:sz w:val="22"/>
                <w:szCs w:val="22"/>
              </w:rPr>
            </w:pPr>
          </w:p>
        </w:tc>
        <w:tc>
          <w:tcPr>
            <w:tcW w:w="1134" w:type="dxa"/>
            <w:gridSpan w:val="3"/>
            <w:tcBorders>
              <w:top w:val="single" w:sz="4" w:space="0" w:color="auto"/>
            </w:tcBorders>
            <w:shd w:val="clear" w:color="auto" w:fill="auto"/>
            <w:vAlign w:val="bottom"/>
          </w:tcPr>
          <w:p w14:paraId="273B9711" w14:textId="77777777" w:rsidR="005660A9" w:rsidRPr="00DB22BA" w:rsidRDefault="005660A9" w:rsidP="00483427">
            <w:pPr>
              <w:jc w:val="right"/>
              <w:rPr>
                <w:rFonts w:ascii="Calibri" w:eastAsia="MS Mincho" w:hAnsi="Calibri" w:cs="Calibri"/>
                <w:sz w:val="22"/>
                <w:szCs w:val="22"/>
              </w:rPr>
            </w:pPr>
          </w:p>
        </w:tc>
        <w:tc>
          <w:tcPr>
            <w:tcW w:w="1276" w:type="dxa"/>
            <w:gridSpan w:val="3"/>
            <w:tcBorders>
              <w:top w:val="single" w:sz="4" w:space="0" w:color="auto"/>
            </w:tcBorders>
          </w:tcPr>
          <w:p w14:paraId="341F2AE9" w14:textId="77777777" w:rsidR="005660A9" w:rsidRPr="00DB22BA" w:rsidRDefault="005660A9" w:rsidP="00483427">
            <w:pPr>
              <w:jc w:val="right"/>
              <w:rPr>
                <w:rFonts w:ascii="Calibri" w:eastAsia="MS Mincho" w:hAnsi="Calibri" w:cs="Calibri"/>
                <w:sz w:val="22"/>
                <w:szCs w:val="22"/>
              </w:rPr>
            </w:pPr>
          </w:p>
        </w:tc>
        <w:tc>
          <w:tcPr>
            <w:tcW w:w="1395" w:type="dxa"/>
            <w:gridSpan w:val="4"/>
            <w:tcBorders>
              <w:top w:val="single" w:sz="4" w:space="0" w:color="auto"/>
            </w:tcBorders>
          </w:tcPr>
          <w:p w14:paraId="2ABE0E47" w14:textId="77777777" w:rsidR="005660A9" w:rsidRPr="00DB22BA" w:rsidRDefault="005660A9" w:rsidP="00483427">
            <w:pPr>
              <w:jc w:val="right"/>
              <w:rPr>
                <w:rFonts w:ascii="Calibri" w:eastAsia="MS Mincho" w:hAnsi="Calibri" w:cs="Calibri"/>
                <w:sz w:val="22"/>
                <w:szCs w:val="22"/>
              </w:rPr>
            </w:pPr>
          </w:p>
        </w:tc>
      </w:tr>
      <w:tr w:rsidR="005660A9" w:rsidRPr="00505482" w14:paraId="17E53995" w14:textId="77777777" w:rsidTr="00FF2F42">
        <w:trPr>
          <w:gridAfter w:val="1"/>
          <w:wAfter w:w="647" w:type="dxa"/>
        </w:trPr>
        <w:tc>
          <w:tcPr>
            <w:tcW w:w="7223" w:type="dxa"/>
            <w:vAlign w:val="bottom"/>
            <w:hideMark/>
          </w:tcPr>
          <w:p w14:paraId="3EF034DD" w14:textId="77777777" w:rsidR="005660A9" w:rsidRPr="00DB22BA" w:rsidRDefault="005660A9" w:rsidP="00483427">
            <w:pPr>
              <w:tabs>
                <w:tab w:val="left" w:leader="dot" w:pos="6804"/>
              </w:tabs>
              <w:rPr>
                <w:rFonts w:ascii="Calibri" w:eastAsia="MS Mincho" w:hAnsi="Calibri" w:cs="Calibri"/>
                <w:bCs/>
                <w:sz w:val="22"/>
                <w:szCs w:val="22"/>
              </w:rPr>
            </w:pPr>
            <w:r w:rsidRPr="00DB22BA">
              <w:rPr>
                <w:rFonts w:ascii="Calibri" w:hAnsi="Calibri" w:cs="Calibri"/>
                <w:bCs/>
                <w:sz w:val="22"/>
                <w:szCs w:val="22"/>
              </w:rPr>
              <w:t>Derivative financial instruments:-</w:t>
            </w:r>
          </w:p>
        </w:tc>
        <w:tc>
          <w:tcPr>
            <w:tcW w:w="1309" w:type="dxa"/>
            <w:gridSpan w:val="3"/>
            <w:shd w:val="clear" w:color="auto" w:fill="auto"/>
            <w:vAlign w:val="bottom"/>
          </w:tcPr>
          <w:p w14:paraId="2028D11D" w14:textId="77777777" w:rsidR="005660A9" w:rsidRPr="00DB22BA" w:rsidRDefault="005660A9" w:rsidP="00483427">
            <w:pPr>
              <w:ind w:left="-116" w:right="27"/>
              <w:jc w:val="right"/>
              <w:rPr>
                <w:rFonts w:ascii="Calibri" w:eastAsia="MS Mincho" w:hAnsi="Calibri" w:cs="Calibri"/>
                <w:sz w:val="22"/>
                <w:szCs w:val="22"/>
              </w:rPr>
            </w:pPr>
          </w:p>
        </w:tc>
        <w:tc>
          <w:tcPr>
            <w:tcW w:w="1134" w:type="dxa"/>
            <w:gridSpan w:val="3"/>
            <w:shd w:val="clear" w:color="auto" w:fill="auto"/>
            <w:vAlign w:val="bottom"/>
          </w:tcPr>
          <w:p w14:paraId="58EAFC4E" w14:textId="77777777" w:rsidR="005660A9" w:rsidRPr="00DB22BA" w:rsidRDefault="005660A9" w:rsidP="00483427">
            <w:pPr>
              <w:jc w:val="right"/>
              <w:rPr>
                <w:rFonts w:ascii="Calibri" w:eastAsia="MS Mincho" w:hAnsi="Calibri" w:cs="Calibri"/>
                <w:sz w:val="22"/>
                <w:szCs w:val="22"/>
              </w:rPr>
            </w:pPr>
          </w:p>
        </w:tc>
        <w:tc>
          <w:tcPr>
            <w:tcW w:w="1276" w:type="dxa"/>
            <w:gridSpan w:val="3"/>
          </w:tcPr>
          <w:p w14:paraId="49DE3412" w14:textId="77777777" w:rsidR="005660A9" w:rsidRPr="00DB22BA" w:rsidRDefault="005660A9" w:rsidP="00483427">
            <w:pPr>
              <w:jc w:val="right"/>
              <w:rPr>
                <w:rFonts w:ascii="Calibri" w:eastAsia="MS Mincho" w:hAnsi="Calibri" w:cs="Calibri"/>
                <w:sz w:val="22"/>
                <w:szCs w:val="22"/>
              </w:rPr>
            </w:pPr>
          </w:p>
        </w:tc>
        <w:tc>
          <w:tcPr>
            <w:tcW w:w="1395" w:type="dxa"/>
            <w:gridSpan w:val="4"/>
          </w:tcPr>
          <w:p w14:paraId="6C807A6B" w14:textId="77777777" w:rsidR="005660A9" w:rsidRPr="00DB22BA" w:rsidRDefault="005660A9" w:rsidP="00483427">
            <w:pPr>
              <w:jc w:val="right"/>
              <w:rPr>
                <w:rFonts w:ascii="Calibri" w:eastAsia="MS Mincho" w:hAnsi="Calibri" w:cs="Calibri"/>
                <w:sz w:val="22"/>
                <w:szCs w:val="22"/>
              </w:rPr>
            </w:pPr>
          </w:p>
        </w:tc>
      </w:tr>
      <w:tr w:rsidR="00FC0EF8" w:rsidRPr="00505482" w14:paraId="66DBD80F" w14:textId="77777777" w:rsidTr="00316162">
        <w:trPr>
          <w:gridAfter w:val="1"/>
          <w:wAfter w:w="647" w:type="dxa"/>
        </w:trPr>
        <w:tc>
          <w:tcPr>
            <w:tcW w:w="7223" w:type="dxa"/>
            <w:vAlign w:val="bottom"/>
          </w:tcPr>
          <w:p w14:paraId="4FDED362" w14:textId="3629C6CB" w:rsidR="00FC0EF8" w:rsidRPr="00616DA8" w:rsidRDefault="00FC0EF8" w:rsidP="00FC0EF8">
            <w:pPr>
              <w:tabs>
                <w:tab w:val="left" w:leader="dot" w:pos="6804"/>
              </w:tabs>
              <w:rPr>
                <w:rFonts w:ascii="Calibri" w:hAnsi="Calibri" w:cs="Calibri"/>
                <w:bCs/>
                <w:sz w:val="22"/>
                <w:szCs w:val="22"/>
              </w:rPr>
            </w:pPr>
            <w:r w:rsidRPr="00616DA8">
              <w:rPr>
                <w:rFonts w:ascii="Calibri" w:hAnsi="Calibri" w:cs="Calibri"/>
                <w:bCs/>
                <w:sz w:val="22"/>
                <w:szCs w:val="22"/>
              </w:rPr>
              <w:t>-</w:t>
            </w:r>
            <w:r>
              <w:rPr>
                <w:rFonts w:ascii="Calibri" w:hAnsi="Calibri" w:cs="Calibri"/>
                <w:bCs/>
                <w:sz w:val="22"/>
                <w:szCs w:val="22"/>
              </w:rPr>
              <w:t xml:space="preserve"> </w:t>
            </w:r>
            <w:r w:rsidR="00F25418">
              <w:rPr>
                <w:rFonts w:ascii="Calibri" w:hAnsi="Calibri" w:cs="Calibri"/>
                <w:bCs/>
                <w:sz w:val="22"/>
                <w:szCs w:val="22"/>
              </w:rPr>
              <w:t>Jet fuel &amp; carbon derivative contracts</w:t>
            </w:r>
          </w:p>
        </w:tc>
        <w:tc>
          <w:tcPr>
            <w:tcW w:w="1309" w:type="dxa"/>
            <w:gridSpan w:val="3"/>
            <w:shd w:val="clear" w:color="auto" w:fill="auto"/>
            <w:vAlign w:val="bottom"/>
          </w:tcPr>
          <w:p w14:paraId="326030AB" w14:textId="0A312892" w:rsidR="00FC0EF8" w:rsidRPr="00B21862" w:rsidRDefault="00244D3C" w:rsidP="00FC0EF8">
            <w:pPr>
              <w:ind w:left="-116" w:right="27"/>
              <w:jc w:val="right"/>
              <w:rPr>
                <w:rFonts w:ascii="Calibri" w:eastAsia="MS Mincho" w:hAnsi="Calibri" w:cs="Calibri"/>
                <w:sz w:val="22"/>
                <w:szCs w:val="22"/>
              </w:rPr>
            </w:pPr>
            <w:r>
              <w:rPr>
                <w:rFonts w:ascii="Calibri" w:eastAsia="MS Mincho" w:hAnsi="Calibri" w:cs="Calibri"/>
                <w:sz w:val="22"/>
                <w:szCs w:val="22"/>
              </w:rPr>
              <w:t>16.0</w:t>
            </w:r>
          </w:p>
        </w:tc>
        <w:tc>
          <w:tcPr>
            <w:tcW w:w="1134" w:type="dxa"/>
            <w:gridSpan w:val="3"/>
            <w:shd w:val="clear" w:color="auto" w:fill="auto"/>
            <w:vAlign w:val="bottom"/>
          </w:tcPr>
          <w:p w14:paraId="2F37D056" w14:textId="2A38776C" w:rsidR="00FC0EF8" w:rsidRPr="00B21862" w:rsidRDefault="00244D3C" w:rsidP="00FC0EF8">
            <w:pPr>
              <w:jc w:val="right"/>
              <w:rPr>
                <w:rFonts w:ascii="Calibri" w:eastAsia="MS Mincho" w:hAnsi="Calibri" w:cs="Calibri"/>
                <w:sz w:val="22"/>
                <w:szCs w:val="22"/>
              </w:rPr>
            </w:pPr>
            <w:r>
              <w:rPr>
                <w:rFonts w:ascii="Calibri" w:eastAsia="MS Mincho" w:hAnsi="Calibri" w:cs="Calibri"/>
                <w:sz w:val="22"/>
                <w:szCs w:val="22"/>
              </w:rPr>
              <w:t>16.0</w:t>
            </w:r>
          </w:p>
        </w:tc>
        <w:tc>
          <w:tcPr>
            <w:tcW w:w="1276" w:type="dxa"/>
            <w:gridSpan w:val="3"/>
            <w:vAlign w:val="bottom"/>
          </w:tcPr>
          <w:p w14:paraId="0B404046" w14:textId="77777777" w:rsidR="00FC0EF8" w:rsidRPr="00DB22BA" w:rsidRDefault="00FC0EF8" w:rsidP="00FC0EF8">
            <w:pPr>
              <w:ind w:left="-116" w:right="27"/>
              <w:jc w:val="right"/>
              <w:rPr>
                <w:rFonts w:ascii="Calibri" w:eastAsia="MS Mincho" w:hAnsi="Calibri" w:cs="Calibri"/>
                <w:sz w:val="22"/>
                <w:szCs w:val="22"/>
              </w:rPr>
            </w:pPr>
            <w:r>
              <w:rPr>
                <w:rFonts w:ascii="Calibri" w:eastAsia="MS Mincho" w:hAnsi="Calibri" w:cs="Calibri"/>
                <w:sz w:val="22"/>
                <w:szCs w:val="22"/>
              </w:rPr>
              <w:t>189.7</w:t>
            </w:r>
          </w:p>
        </w:tc>
        <w:tc>
          <w:tcPr>
            <w:tcW w:w="1395" w:type="dxa"/>
            <w:gridSpan w:val="4"/>
            <w:vAlign w:val="bottom"/>
          </w:tcPr>
          <w:p w14:paraId="3AEE666B" w14:textId="77777777" w:rsidR="00FC0EF8" w:rsidRPr="00DB22BA" w:rsidRDefault="00FC0EF8" w:rsidP="00FC0EF8">
            <w:pPr>
              <w:jc w:val="right"/>
              <w:rPr>
                <w:rFonts w:ascii="Calibri" w:eastAsia="MS Mincho" w:hAnsi="Calibri" w:cs="Calibri"/>
                <w:sz w:val="22"/>
                <w:szCs w:val="22"/>
              </w:rPr>
            </w:pPr>
            <w:r>
              <w:rPr>
                <w:rFonts w:ascii="Calibri" w:eastAsia="MS Mincho" w:hAnsi="Calibri" w:cs="Calibri"/>
                <w:sz w:val="22"/>
                <w:szCs w:val="22"/>
              </w:rPr>
              <w:t>189.7</w:t>
            </w:r>
          </w:p>
        </w:tc>
      </w:tr>
      <w:tr w:rsidR="00FC0EF8" w:rsidRPr="00505482" w14:paraId="53C47734" w14:textId="77777777" w:rsidTr="00316162">
        <w:trPr>
          <w:gridAfter w:val="1"/>
          <w:wAfter w:w="647" w:type="dxa"/>
        </w:trPr>
        <w:tc>
          <w:tcPr>
            <w:tcW w:w="7223" w:type="dxa"/>
            <w:vAlign w:val="bottom"/>
            <w:hideMark/>
          </w:tcPr>
          <w:p w14:paraId="1AFC9257" w14:textId="77777777" w:rsidR="00FC0EF8" w:rsidRPr="00DB22BA" w:rsidRDefault="00FC0EF8" w:rsidP="00FC0EF8">
            <w:pPr>
              <w:tabs>
                <w:tab w:val="left" w:leader="dot" w:pos="6804"/>
              </w:tabs>
              <w:ind w:right="-250"/>
              <w:rPr>
                <w:rFonts w:ascii="Calibri" w:eastAsia="MS Mincho" w:hAnsi="Calibri" w:cs="Calibri"/>
                <w:bCs/>
                <w:sz w:val="22"/>
                <w:szCs w:val="22"/>
              </w:rPr>
            </w:pPr>
            <w:r w:rsidRPr="00DB22BA">
              <w:rPr>
                <w:rFonts w:ascii="Calibri" w:hAnsi="Calibri" w:cs="Calibri"/>
                <w:bCs/>
                <w:sz w:val="22"/>
                <w:szCs w:val="22"/>
              </w:rPr>
              <w:t>- U.S. dollar currency forward contracts</w:t>
            </w:r>
          </w:p>
        </w:tc>
        <w:tc>
          <w:tcPr>
            <w:tcW w:w="1309" w:type="dxa"/>
            <w:gridSpan w:val="3"/>
            <w:shd w:val="clear" w:color="auto" w:fill="auto"/>
            <w:vAlign w:val="bottom"/>
          </w:tcPr>
          <w:p w14:paraId="6686D3BE" w14:textId="3B168DA5" w:rsidR="00FC0EF8" w:rsidRPr="00B21862" w:rsidRDefault="00FC0EF8" w:rsidP="00FC0EF8">
            <w:pPr>
              <w:ind w:left="-116" w:right="27"/>
              <w:jc w:val="right"/>
              <w:rPr>
                <w:rFonts w:ascii="Calibri" w:eastAsia="MS Mincho" w:hAnsi="Calibri" w:cs="Calibri"/>
                <w:sz w:val="22"/>
                <w:szCs w:val="22"/>
                <w:lang w:val="en-US"/>
              </w:rPr>
            </w:pPr>
            <w:r w:rsidRPr="00B21862">
              <w:rPr>
                <w:rFonts w:ascii="Calibri" w:eastAsia="MS Mincho" w:hAnsi="Calibri" w:cs="Calibri"/>
                <w:sz w:val="22"/>
                <w:szCs w:val="22"/>
                <w:lang w:val="en-US"/>
              </w:rPr>
              <w:t>0.</w:t>
            </w:r>
            <w:r w:rsidR="00244D3C">
              <w:rPr>
                <w:rFonts w:ascii="Calibri" w:eastAsia="MS Mincho" w:hAnsi="Calibri" w:cs="Calibri"/>
                <w:sz w:val="22"/>
                <w:szCs w:val="22"/>
                <w:lang w:val="en-US"/>
              </w:rPr>
              <w:t>4</w:t>
            </w:r>
          </w:p>
        </w:tc>
        <w:tc>
          <w:tcPr>
            <w:tcW w:w="1134" w:type="dxa"/>
            <w:gridSpan w:val="3"/>
            <w:shd w:val="clear" w:color="auto" w:fill="auto"/>
            <w:vAlign w:val="bottom"/>
          </w:tcPr>
          <w:p w14:paraId="5D760C71" w14:textId="60B57A82" w:rsidR="00FC0EF8" w:rsidRPr="00B21862" w:rsidRDefault="00FC0EF8" w:rsidP="00FC0EF8">
            <w:pPr>
              <w:jc w:val="right"/>
              <w:rPr>
                <w:rFonts w:ascii="Calibri" w:eastAsia="MS Mincho" w:hAnsi="Calibri" w:cs="Calibri"/>
                <w:sz w:val="22"/>
                <w:szCs w:val="22"/>
                <w:lang w:val="en-US"/>
              </w:rPr>
            </w:pPr>
            <w:r w:rsidRPr="00B21862">
              <w:rPr>
                <w:rFonts w:ascii="Calibri" w:eastAsia="MS Mincho" w:hAnsi="Calibri" w:cs="Calibri"/>
                <w:sz w:val="22"/>
                <w:szCs w:val="22"/>
                <w:lang w:val="en-US"/>
              </w:rPr>
              <w:t>0.</w:t>
            </w:r>
            <w:r w:rsidR="00244D3C">
              <w:rPr>
                <w:rFonts w:ascii="Calibri" w:eastAsia="MS Mincho" w:hAnsi="Calibri" w:cs="Calibri"/>
                <w:sz w:val="22"/>
                <w:szCs w:val="22"/>
                <w:lang w:val="en-US"/>
              </w:rPr>
              <w:t>4</w:t>
            </w:r>
          </w:p>
        </w:tc>
        <w:tc>
          <w:tcPr>
            <w:tcW w:w="1276" w:type="dxa"/>
            <w:gridSpan w:val="3"/>
            <w:vAlign w:val="bottom"/>
          </w:tcPr>
          <w:p w14:paraId="14C844E3" w14:textId="77777777" w:rsidR="00FC0EF8" w:rsidRPr="00DB22BA" w:rsidRDefault="00FC0EF8" w:rsidP="00FC0EF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w:t>
            </w:r>
          </w:p>
        </w:tc>
        <w:tc>
          <w:tcPr>
            <w:tcW w:w="1395" w:type="dxa"/>
            <w:gridSpan w:val="4"/>
            <w:vAlign w:val="bottom"/>
          </w:tcPr>
          <w:p w14:paraId="62077947" w14:textId="77777777" w:rsidR="00FC0EF8" w:rsidRPr="00DB22BA" w:rsidRDefault="00FC0EF8" w:rsidP="00FC0EF8">
            <w:pPr>
              <w:jc w:val="right"/>
              <w:rPr>
                <w:rFonts w:ascii="Calibri" w:eastAsia="MS Mincho" w:hAnsi="Calibri" w:cs="Calibri"/>
                <w:sz w:val="22"/>
                <w:szCs w:val="22"/>
                <w:lang w:val="en-US"/>
              </w:rPr>
            </w:pPr>
            <w:r>
              <w:rPr>
                <w:rFonts w:ascii="Calibri" w:eastAsia="MS Mincho" w:hAnsi="Calibri" w:cs="Calibri"/>
                <w:sz w:val="22"/>
                <w:szCs w:val="22"/>
                <w:lang w:val="en-US"/>
              </w:rPr>
              <w:t>-</w:t>
            </w:r>
          </w:p>
        </w:tc>
      </w:tr>
      <w:tr w:rsidR="00E93BC8" w:rsidRPr="00505482" w14:paraId="7141A38F" w14:textId="77777777" w:rsidTr="00316162">
        <w:trPr>
          <w:gridAfter w:val="1"/>
          <w:wAfter w:w="647" w:type="dxa"/>
        </w:trPr>
        <w:tc>
          <w:tcPr>
            <w:tcW w:w="7223" w:type="dxa"/>
            <w:vAlign w:val="bottom"/>
          </w:tcPr>
          <w:p w14:paraId="331DDAA3" w14:textId="77777777" w:rsidR="00E93BC8" w:rsidRPr="00DB22BA" w:rsidRDefault="00E93BC8" w:rsidP="00E93BC8">
            <w:pPr>
              <w:tabs>
                <w:tab w:val="left" w:leader="dot" w:pos="6804"/>
              </w:tabs>
              <w:rPr>
                <w:rFonts w:ascii="Calibri" w:eastAsia="MS Mincho" w:hAnsi="Calibri" w:cs="Calibri"/>
                <w:sz w:val="22"/>
                <w:szCs w:val="22"/>
              </w:rPr>
            </w:pPr>
          </w:p>
        </w:tc>
        <w:tc>
          <w:tcPr>
            <w:tcW w:w="1309" w:type="dxa"/>
            <w:gridSpan w:val="3"/>
            <w:tcBorders>
              <w:top w:val="single" w:sz="4" w:space="0" w:color="auto"/>
            </w:tcBorders>
            <w:shd w:val="clear" w:color="auto" w:fill="auto"/>
            <w:vAlign w:val="bottom"/>
          </w:tcPr>
          <w:p w14:paraId="1B596367" w14:textId="71AC264D" w:rsidR="00E93BC8" w:rsidRPr="00B21862" w:rsidRDefault="00244D3C" w:rsidP="00244D3C">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16.4</w:t>
            </w:r>
          </w:p>
        </w:tc>
        <w:tc>
          <w:tcPr>
            <w:tcW w:w="1134" w:type="dxa"/>
            <w:gridSpan w:val="3"/>
            <w:tcBorders>
              <w:top w:val="single" w:sz="4" w:space="0" w:color="auto"/>
            </w:tcBorders>
            <w:shd w:val="clear" w:color="auto" w:fill="auto"/>
            <w:vAlign w:val="bottom"/>
          </w:tcPr>
          <w:p w14:paraId="4F472522" w14:textId="67C60217" w:rsidR="00E93BC8" w:rsidRPr="00B21862" w:rsidRDefault="00F575E1" w:rsidP="00E93BC8">
            <w:pPr>
              <w:jc w:val="right"/>
              <w:rPr>
                <w:rFonts w:ascii="Calibri" w:eastAsia="MS Mincho" w:hAnsi="Calibri" w:cs="Calibri"/>
                <w:sz w:val="22"/>
                <w:szCs w:val="22"/>
                <w:lang w:val="en-US"/>
              </w:rPr>
            </w:pPr>
            <w:r>
              <w:rPr>
                <w:rFonts w:ascii="Calibri" w:eastAsia="MS Mincho" w:hAnsi="Calibri" w:cs="Calibri"/>
                <w:sz w:val="22"/>
                <w:szCs w:val="22"/>
                <w:lang w:val="en-US"/>
              </w:rPr>
              <w:t>16.4</w:t>
            </w:r>
          </w:p>
        </w:tc>
        <w:tc>
          <w:tcPr>
            <w:tcW w:w="1276" w:type="dxa"/>
            <w:gridSpan w:val="3"/>
            <w:tcBorders>
              <w:top w:val="single" w:sz="4" w:space="0" w:color="auto"/>
            </w:tcBorders>
            <w:vAlign w:val="bottom"/>
          </w:tcPr>
          <w:p w14:paraId="77686476" w14:textId="77777777" w:rsidR="00E93BC8" w:rsidRPr="00DB22BA" w:rsidRDefault="00E93BC8" w:rsidP="00E93BC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189.7</w:t>
            </w:r>
          </w:p>
        </w:tc>
        <w:tc>
          <w:tcPr>
            <w:tcW w:w="1395" w:type="dxa"/>
            <w:gridSpan w:val="4"/>
            <w:tcBorders>
              <w:top w:val="single" w:sz="4" w:space="0" w:color="auto"/>
            </w:tcBorders>
            <w:vAlign w:val="bottom"/>
          </w:tcPr>
          <w:p w14:paraId="7AE2FE45" w14:textId="77777777" w:rsidR="00E93BC8" w:rsidRPr="00DB22BA" w:rsidRDefault="00E93BC8" w:rsidP="00E93BC8">
            <w:pPr>
              <w:jc w:val="right"/>
              <w:rPr>
                <w:rFonts w:ascii="Calibri" w:eastAsia="MS Mincho" w:hAnsi="Calibri" w:cs="Calibri"/>
                <w:sz w:val="22"/>
                <w:szCs w:val="22"/>
                <w:lang w:val="en-US"/>
              </w:rPr>
            </w:pPr>
            <w:r>
              <w:rPr>
                <w:rFonts w:ascii="Calibri" w:eastAsia="MS Mincho" w:hAnsi="Calibri" w:cs="Calibri"/>
                <w:sz w:val="22"/>
                <w:szCs w:val="22"/>
                <w:lang w:val="en-US"/>
              </w:rPr>
              <w:t>189.7</w:t>
            </w:r>
          </w:p>
        </w:tc>
      </w:tr>
      <w:tr w:rsidR="00E93BC8" w:rsidRPr="00505482" w14:paraId="70FEEB6F" w14:textId="77777777" w:rsidTr="00316162">
        <w:trPr>
          <w:gridAfter w:val="1"/>
          <w:wAfter w:w="647" w:type="dxa"/>
        </w:trPr>
        <w:tc>
          <w:tcPr>
            <w:tcW w:w="7223" w:type="dxa"/>
            <w:vAlign w:val="bottom"/>
            <w:hideMark/>
          </w:tcPr>
          <w:p w14:paraId="7E2CA6F2" w14:textId="77777777" w:rsidR="00E93BC8" w:rsidRPr="00DB22BA" w:rsidRDefault="00E93BC8" w:rsidP="00E93BC8">
            <w:pPr>
              <w:tabs>
                <w:tab w:val="left" w:leader="dot" w:pos="6804"/>
              </w:tabs>
              <w:ind w:right="-250"/>
              <w:rPr>
                <w:rFonts w:ascii="Calibri" w:eastAsia="MS Mincho" w:hAnsi="Calibri" w:cs="Calibri"/>
                <w:bCs/>
                <w:sz w:val="22"/>
                <w:szCs w:val="22"/>
              </w:rPr>
            </w:pPr>
            <w:r>
              <w:rPr>
                <w:rFonts w:ascii="Calibri" w:hAnsi="Calibri" w:cs="Calibri"/>
                <w:bCs/>
                <w:sz w:val="22"/>
                <w:szCs w:val="22"/>
              </w:rPr>
              <w:t>Current maturities of debt</w:t>
            </w:r>
          </w:p>
        </w:tc>
        <w:tc>
          <w:tcPr>
            <w:tcW w:w="1309" w:type="dxa"/>
            <w:gridSpan w:val="3"/>
            <w:shd w:val="clear" w:color="auto" w:fill="auto"/>
            <w:vAlign w:val="bottom"/>
          </w:tcPr>
          <w:p w14:paraId="120D97D0" w14:textId="380259D1" w:rsidR="00E93BC8" w:rsidRPr="00D7386F" w:rsidRDefault="00E93BC8" w:rsidP="00E93BC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2</w:t>
            </w:r>
            <w:r w:rsidR="00F575E1">
              <w:rPr>
                <w:rFonts w:ascii="Calibri" w:eastAsia="MS Mincho" w:hAnsi="Calibri" w:cs="Calibri"/>
                <w:sz w:val="22"/>
                <w:szCs w:val="22"/>
                <w:lang w:val="en-US"/>
              </w:rPr>
              <w:t>55.3</w:t>
            </w:r>
          </w:p>
        </w:tc>
        <w:tc>
          <w:tcPr>
            <w:tcW w:w="1134" w:type="dxa"/>
            <w:gridSpan w:val="3"/>
            <w:shd w:val="clear" w:color="auto" w:fill="auto"/>
            <w:vAlign w:val="bottom"/>
          </w:tcPr>
          <w:p w14:paraId="2E85D0D1" w14:textId="007E7BF3" w:rsidR="00E93BC8" w:rsidRPr="00D7386F" w:rsidRDefault="00E93BC8" w:rsidP="00E93BC8">
            <w:pPr>
              <w:jc w:val="right"/>
              <w:rPr>
                <w:rFonts w:ascii="Calibri" w:eastAsia="MS Mincho" w:hAnsi="Calibri" w:cs="Calibri"/>
                <w:sz w:val="22"/>
                <w:szCs w:val="22"/>
                <w:lang w:val="en-US"/>
              </w:rPr>
            </w:pPr>
            <w:r>
              <w:rPr>
                <w:rFonts w:ascii="Calibri" w:eastAsia="MS Mincho" w:hAnsi="Calibri" w:cs="Calibri"/>
                <w:sz w:val="22"/>
                <w:szCs w:val="22"/>
                <w:lang w:val="en-US"/>
              </w:rPr>
              <w:t>2</w:t>
            </w:r>
            <w:r w:rsidR="00F575E1">
              <w:rPr>
                <w:rFonts w:ascii="Calibri" w:eastAsia="MS Mincho" w:hAnsi="Calibri" w:cs="Calibri"/>
                <w:sz w:val="22"/>
                <w:szCs w:val="22"/>
                <w:lang w:val="en-US"/>
              </w:rPr>
              <w:t>55.3</w:t>
            </w:r>
          </w:p>
        </w:tc>
        <w:tc>
          <w:tcPr>
            <w:tcW w:w="1276" w:type="dxa"/>
            <w:gridSpan w:val="3"/>
            <w:vAlign w:val="bottom"/>
          </w:tcPr>
          <w:p w14:paraId="5EA8BBFD" w14:textId="77777777" w:rsidR="00E93BC8" w:rsidRPr="00DB22BA" w:rsidRDefault="00E93BC8" w:rsidP="00E93BC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309.4</w:t>
            </w:r>
          </w:p>
        </w:tc>
        <w:tc>
          <w:tcPr>
            <w:tcW w:w="1395" w:type="dxa"/>
            <w:gridSpan w:val="4"/>
            <w:vAlign w:val="bottom"/>
          </w:tcPr>
          <w:p w14:paraId="0A40BF7E" w14:textId="77777777" w:rsidR="00E93BC8" w:rsidRPr="00DB22BA" w:rsidRDefault="00E93BC8" w:rsidP="00E93BC8">
            <w:pPr>
              <w:jc w:val="right"/>
              <w:rPr>
                <w:rFonts w:ascii="Calibri" w:eastAsia="MS Mincho" w:hAnsi="Calibri" w:cs="Calibri"/>
                <w:sz w:val="22"/>
                <w:szCs w:val="22"/>
                <w:lang w:val="en-US"/>
              </w:rPr>
            </w:pPr>
            <w:r>
              <w:rPr>
                <w:rFonts w:ascii="Calibri" w:eastAsia="MS Mincho" w:hAnsi="Calibri" w:cs="Calibri"/>
                <w:sz w:val="22"/>
                <w:szCs w:val="22"/>
                <w:lang w:val="en-US"/>
              </w:rPr>
              <w:t>309.4</w:t>
            </w:r>
          </w:p>
        </w:tc>
      </w:tr>
      <w:tr w:rsidR="00E93BC8" w:rsidRPr="00505482" w14:paraId="78A84DEC" w14:textId="77777777" w:rsidTr="00316162">
        <w:trPr>
          <w:gridAfter w:val="1"/>
          <w:wAfter w:w="647" w:type="dxa"/>
        </w:trPr>
        <w:tc>
          <w:tcPr>
            <w:tcW w:w="7223" w:type="dxa"/>
            <w:vAlign w:val="bottom"/>
            <w:hideMark/>
          </w:tcPr>
          <w:p w14:paraId="5904E314" w14:textId="77777777" w:rsidR="00E93BC8" w:rsidRPr="00DB22BA" w:rsidRDefault="00E93BC8" w:rsidP="00E93BC8">
            <w:pPr>
              <w:tabs>
                <w:tab w:val="left" w:leader="dot" w:pos="6804"/>
              </w:tabs>
              <w:ind w:right="-249"/>
              <w:rPr>
                <w:rFonts w:ascii="Calibri" w:eastAsia="MS Mincho" w:hAnsi="Calibri" w:cs="Calibri"/>
                <w:bCs/>
                <w:sz w:val="22"/>
                <w:szCs w:val="22"/>
              </w:rPr>
            </w:pPr>
            <w:r w:rsidRPr="00DB22BA">
              <w:rPr>
                <w:rFonts w:ascii="Calibri" w:hAnsi="Calibri" w:cs="Calibri"/>
                <w:bCs/>
                <w:sz w:val="22"/>
                <w:szCs w:val="22"/>
              </w:rPr>
              <w:t>Trade payables*</w:t>
            </w:r>
          </w:p>
        </w:tc>
        <w:tc>
          <w:tcPr>
            <w:tcW w:w="1309" w:type="dxa"/>
            <w:gridSpan w:val="3"/>
            <w:shd w:val="clear" w:color="auto" w:fill="auto"/>
            <w:vAlign w:val="bottom"/>
          </w:tcPr>
          <w:p w14:paraId="2B88684F" w14:textId="6FC76746" w:rsidR="00E93BC8" w:rsidRPr="00203C37" w:rsidRDefault="00F25418" w:rsidP="00E93BC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1,</w:t>
            </w:r>
            <w:r w:rsidR="00F575E1">
              <w:rPr>
                <w:rFonts w:ascii="Calibri" w:eastAsia="MS Mincho" w:hAnsi="Calibri" w:cs="Calibri"/>
                <w:sz w:val="22"/>
                <w:szCs w:val="22"/>
                <w:lang w:val="en-US"/>
              </w:rPr>
              <w:t>601.8</w:t>
            </w:r>
          </w:p>
        </w:tc>
        <w:tc>
          <w:tcPr>
            <w:tcW w:w="1134" w:type="dxa"/>
            <w:gridSpan w:val="3"/>
            <w:shd w:val="clear" w:color="auto" w:fill="auto"/>
            <w:vAlign w:val="bottom"/>
          </w:tcPr>
          <w:p w14:paraId="2B1663B6" w14:textId="77777777" w:rsidR="00E93BC8" w:rsidRPr="00203C37" w:rsidRDefault="00E93BC8" w:rsidP="00E93BC8">
            <w:pPr>
              <w:jc w:val="right"/>
              <w:rPr>
                <w:rFonts w:ascii="Calibri" w:eastAsia="MS Mincho" w:hAnsi="Calibri" w:cs="Calibri"/>
                <w:sz w:val="22"/>
                <w:szCs w:val="22"/>
                <w:lang w:val="en-US"/>
              </w:rPr>
            </w:pPr>
          </w:p>
        </w:tc>
        <w:tc>
          <w:tcPr>
            <w:tcW w:w="1276" w:type="dxa"/>
            <w:gridSpan w:val="3"/>
            <w:vAlign w:val="bottom"/>
          </w:tcPr>
          <w:p w14:paraId="14FBFBC3" w14:textId="77777777" w:rsidR="00E93BC8" w:rsidRPr="00DB22BA" w:rsidRDefault="00E93BC8" w:rsidP="00E93BC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573.8</w:t>
            </w:r>
          </w:p>
        </w:tc>
        <w:tc>
          <w:tcPr>
            <w:tcW w:w="1395" w:type="dxa"/>
            <w:gridSpan w:val="4"/>
            <w:vAlign w:val="bottom"/>
          </w:tcPr>
          <w:p w14:paraId="21F615A0" w14:textId="77777777" w:rsidR="00E93BC8" w:rsidRPr="00DB22BA" w:rsidRDefault="00E93BC8" w:rsidP="00E93BC8">
            <w:pPr>
              <w:jc w:val="right"/>
              <w:rPr>
                <w:rFonts w:ascii="Calibri" w:eastAsia="MS Mincho" w:hAnsi="Calibri" w:cs="Calibri"/>
                <w:sz w:val="22"/>
                <w:szCs w:val="22"/>
                <w:lang w:val="en-US"/>
              </w:rPr>
            </w:pPr>
          </w:p>
        </w:tc>
      </w:tr>
      <w:tr w:rsidR="00E93BC8" w:rsidRPr="00505482" w14:paraId="78543B77" w14:textId="77777777" w:rsidTr="00316162">
        <w:trPr>
          <w:gridAfter w:val="1"/>
          <w:wAfter w:w="647" w:type="dxa"/>
        </w:trPr>
        <w:tc>
          <w:tcPr>
            <w:tcW w:w="7223" w:type="dxa"/>
            <w:vAlign w:val="bottom"/>
            <w:hideMark/>
          </w:tcPr>
          <w:p w14:paraId="6BC25CC7" w14:textId="77777777" w:rsidR="00E93BC8" w:rsidRPr="00DB22BA" w:rsidRDefault="00E93BC8" w:rsidP="00E93BC8">
            <w:pPr>
              <w:tabs>
                <w:tab w:val="left" w:leader="dot" w:pos="6804"/>
              </w:tabs>
              <w:ind w:right="-249"/>
              <w:rPr>
                <w:rFonts w:ascii="Calibri" w:eastAsia="MS Mincho" w:hAnsi="Calibri" w:cs="Calibri"/>
                <w:bCs/>
                <w:sz w:val="22"/>
                <w:szCs w:val="22"/>
              </w:rPr>
            </w:pPr>
            <w:r w:rsidRPr="00DB22BA">
              <w:rPr>
                <w:rFonts w:ascii="Calibri" w:hAnsi="Calibri" w:cs="Calibri"/>
                <w:bCs/>
                <w:sz w:val="22"/>
                <w:szCs w:val="22"/>
              </w:rPr>
              <w:t>Accrued expenses*</w:t>
            </w:r>
          </w:p>
        </w:tc>
        <w:tc>
          <w:tcPr>
            <w:tcW w:w="1309" w:type="dxa"/>
            <w:gridSpan w:val="3"/>
            <w:tcBorders>
              <w:bottom w:val="single" w:sz="4" w:space="0" w:color="auto"/>
            </w:tcBorders>
            <w:shd w:val="clear" w:color="auto" w:fill="auto"/>
            <w:vAlign w:val="bottom"/>
          </w:tcPr>
          <w:p w14:paraId="1A6E3CD9" w14:textId="19A376B3" w:rsidR="00E93BC8" w:rsidRPr="002C7CD6" w:rsidRDefault="00F575E1" w:rsidP="00E93BC8">
            <w:pPr>
              <w:ind w:left="-116" w:right="27"/>
              <w:jc w:val="right"/>
              <w:rPr>
                <w:rFonts w:ascii="Calibri" w:eastAsia="MS Mincho" w:hAnsi="Calibri" w:cs="Calibri"/>
                <w:sz w:val="22"/>
                <w:szCs w:val="22"/>
                <w:lang w:val="en-US"/>
              </w:rPr>
            </w:pPr>
            <w:r>
              <w:rPr>
                <w:rFonts w:ascii="Calibri" w:eastAsia="MS Mincho" w:hAnsi="Calibri" w:cs="Calibri"/>
                <w:sz w:val="22"/>
                <w:szCs w:val="22"/>
                <w:lang w:val="en-US"/>
              </w:rPr>
              <w:t>415.4</w:t>
            </w:r>
          </w:p>
        </w:tc>
        <w:tc>
          <w:tcPr>
            <w:tcW w:w="1134" w:type="dxa"/>
            <w:gridSpan w:val="3"/>
            <w:tcBorders>
              <w:bottom w:val="single" w:sz="4" w:space="0" w:color="auto"/>
            </w:tcBorders>
            <w:shd w:val="clear" w:color="auto" w:fill="auto"/>
            <w:vAlign w:val="bottom"/>
          </w:tcPr>
          <w:p w14:paraId="122122BB" w14:textId="77777777" w:rsidR="00E93BC8" w:rsidRPr="002C7CD6" w:rsidRDefault="00E93BC8" w:rsidP="00E93BC8">
            <w:pPr>
              <w:jc w:val="right"/>
              <w:rPr>
                <w:rFonts w:ascii="Calibri" w:eastAsia="MS Mincho" w:hAnsi="Calibri" w:cs="Calibri"/>
                <w:sz w:val="22"/>
                <w:szCs w:val="22"/>
                <w:lang w:val="en-US"/>
              </w:rPr>
            </w:pPr>
          </w:p>
        </w:tc>
        <w:tc>
          <w:tcPr>
            <w:tcW w:w="1276" w:type="dxa"/>
            <w:gridSpan w:val="3"/>
            <w:tcBorders>
              <w:bottom w:val="single" w:sz="4" w:space="0" w:color="auto"/>
            </w:tcBorders>
            <w:shd w:val="clear" w:color="auto" w:fill="auto"/>
            <w:vAlign w:val="bottom"/>
          </w:tcPr>
          <w:p w14:paraId="1C3E27DE" w14:textId="77777777" w:rsidR="00E93BC8" w:rsidRPr="00DB22BA" w:rsidRDefault="00E93BC8" w:rsidP="00E93BC8">
            <w:pPr>
              <w:ind w:left="-116" w:right="27"/>
              <w:jc w:val="right"/>
              <w:rPr>
                <w:rFonts w:ascii="Calibri" w:eastAsia="MS Mincho" w:hAnsi="Calibri" w:cs="Calibri"/>
                <w:sz w:val="22"/>
                <w:szCs w:val="22"/>
              </w:rPr>
            </w:pPr>
            <w:r>
              <w:rPr>
                <w:rFonts w:ascii="Calibri" w:eastAsia="MS Mincho" w:hAnsi="Calibri" w:cs="Calibri"/>
                <w:sz w:val="22"/>
                <w:szCs w:val="22"/>
              </w:rPr>
              <w:t>320.8</w:t>
            </w:r>
          </w:p>
        </w:tc>
        <w:tc>
          <w:tcPr>
            <w:tcW w:w="1395" w:type="dxa"/>
            <w:gridSpan w:val="4"/>
            <w:tcBorders>
              <w:bottom w:val="single" w:sz="4" w:space="0" w:color="auto"/>
            </w:tcBorders>
            <w:vAlign w:val="bottom"/>
          </w:tcPr>
          <w:p w14:paraId="178C3183" w14:textId="77777777" w:rsidR="00E93BC8" w:rsidRPr="00DB22BA" w:rsidRDefault="00E93BC8" w:rsidP="00E93BC8">
            <w:pPr>
              <w:jc w:val="right"/>
              <w:rPr>
                <w:rFonts w:ascii="Calibri" w:eastAsia="MS Mincho" w:hAnsi="Calibri" w:cs="Calibri"/>
                <w:sz w:val="22"/>
                <w:szCs w:val="22"/>
              </w:rPr>
            </w:pPr>
          </w:p>
        </w:tc>
      </w:tr>
      <w:tr w:rsidR="00FC0EF8" w:rsidRPr="00505482" w14:paraId="09A877A4" w14:textId="77777777" w:rsidTr="00316162">
        <w:trPr>
          <w:gridAfter w:val="1"/>
          <w:wAfter w:w="647" w:type="dxa"/>
        </w:trPr>
        <w:tc>
          <w:tcPr>
            <w:tcW w:w="7223" w:type="dxa"/>
            <w:vAlign w:val="center"/>
          </w:tcPr>
          <w:p w14:paraId="527A2C01" w14:textId="77777777" w:rsidR="00FC0EF8" w:rsidRPr="00DB22BA" w:rsidRDefault="00FC0EF8" w:rsidP="00FC0EF8">
            <w:pPr>
              <w:tabs>
                <w:tab w:val="left" w:leader="dot" w:pos="6804"/>
              </w:tabs>
              <w:ind w:right="-249"/>
              <w:rPr>
                <w:rFonts w:ascii="Calibri" w:eastAsia="MS Mincho" w:hAnsi="Calibri" w:cs="Calibri"/>
                <w:bCs/>
                <w:sz w:val="22"/>
                <w:szCs w:val="22"/>
              </w:rPr>
            </w:pPr>
          </w:p>
        </w:tc>
        <w:tc>
          <w:tcPr>
            <w:tcW w:w="1309" w:type="dxa"/>
            <w:gridSpan w:val="3"/>
            <w:tcBorders>
              <w:top w:val="single" w:sz="4" w:space="0" w:color="auto"/>
              <w:bottom w:val="single" w:sz="4" w:space="0" w:color="auto"/>
            </w:tcBorders>
            <w:shd w:val="clear" w:color="auto" w:fill="auto"/>
            <w:vAlign w:val="bottom"/>
          </w:tcPr>
          <w:p w14:paraId="33F7123B" w14:textId="4A2DC206" w:rsidR="00FC0EF8" w:rsidRPr="008876EE" w:rsidRDefault="00F575E1" w:rsidP="00FC0EF8">
            <w:pPr>
              <w:ind w:left="-116" w:right="27"/>
              <w:jc w:val="right"/>
              <w:rPr>
                <w:rFonts w:ascii="Calibri" w:eastAsia="MS Mincho" w:hAnsi="Calibri" w:cs="Calibri"/>
                <w:sz w:val="22"/>
                <w:szCs w:val="22"/>
              </w:rPr>
            </w:pPr>
            <w:r>
              <w:rPr>
                <w:rFonts w:ascii="Calibri" w:eastAsia="MS Mincho" w:hAnsi="Calibri" w:cs="Calibri"/>
                <w:sz w:val="22"/>
                <w:szCs w:val="22"/>
              </w:rPr>
              <w:t>2,288.9</w:t>
            </w:r>
          </w:p>
        </w:tc>
        <w:tc>
          <w:tcPr>
            <w:tcW w:w="1134" w:type="dxa"/>
            <w:gridSpan w:val="3"/>
            <w:tcBorders>
              <w:top w:val="single" w:sz="4" w:space="0" w:color="auto"/>
              <w:bottom w:val="single" w:sz="4" w:space="0" w:color="auto"/>
            </w:tcBorders>
            <w:shd w:val="clear" w:color="auto" w:fill="auto"/>
            <w:vAlign w:val="bottom"/>
          </w:tcPr>
          <w:p w14:paraId="2883428B" w14:textId="45F34384" w:rsidR="00FC0EF8" w:rsidRPr="008876EE" w:rsidRDefault="00F575E1" w:rsidP="00FC0EF8">
            <w:pPr>
              <w:jc w:val="right"/>
              <w:rPr>
                <w:rFonts w:ascii="Calibri" w:eastAsia="MS Mincho" w:hAnsi="Calibri" w:cs="Calibri"/>
                <w:sz w:val="22"/>
                <w:szCs w:val="22"/>
              </w:rPr>
            </w:pPr>
            <w:r>
              <w:rPr>
                <w:rFonts w:ascii="Calibri" w:eastAsia="MS Mincho" w:hAnsi="Calibri" w:cs="Calibri"/>
                <w:sz w:val="22"/>
                <w:szCs w:val="22"/>
              </w:rPr>
              <w:t>271.7</w:t>
            </w:r>
          </w:p>
        </w:tc>
        <w:tc>
          <w:tcPr>
            <w:tcW w:w="1276" w:type="dxa"/>
            <w:gridSpan w:val="3"/>
            <w:tcBorders>
              <w:top w:val="single" w:sz="4" w:space="0" w:color="auto"/>
              <w:bottom w:val="single" w:sz="4" w:space="0" w:color="auto"/>
            </w:tcBorders>
            <w:vAlign w:val="bottom"/>
          </w:tcPr>
          <w:p w14:paraId="4E9C918E" w14:textId="77777777" w:rsidR="00FC0EF8" w:rsidRPr="008876EE" w:rsidRDefault="00FC0EF8" w:rsidP="00FC0EF8">
            <w:pPr>
              <w:ind w:left="-116" w:right="27"/>
              <w:jc w:val="right"/>
              <w:rPr>
                <w:rFonts w:ascii="Calibri" w:eastAsia="MS Mincho" w:hAnsi="Calibri" w:cs="Calibri"/>
                <w:sz w:val="22"/>
                <w:szCs w:val="22"/>
              </w:rPr>
            </w:pPr>
            <w:r w:rsidRPr="008876EE">
              <w:rPr>
                <w:rFonts w:ascii="Calibri" w:eastAsia="MS Mincho" w:hAnsi="Calibri" w:cs="Calibri"/>
                <w:sz w:val="22"/>
                <w:szCs w:val="22"/>
              </w:rPr>
              <w:t>1,393.7</w:t>
            </w:r>
          </w:p>
        </w:tc>
        <w:tc>
          <w:tcPr>
            <w:tcW w:w="1395" w:type="dxa"/>
            <w:gridSpan w:val="4"/>
            <w:tcBorders>
              <w:top w:val="single" w:sz="4" w:space="0" w:color="auto"/>
              <w:bottom w:val="single" w:sz="4" w:space="0" w:color="auto"/>
            </w:tcBorders>
            <w:vAlign w:val="bottom"/>
          </w:tcPr>
          <w:p w14:paraId="6788E43A" w14:textId="77777777" w:rsidR="00FC0EF8" w:rsidRPr="00DB22BA" w:rsidRDefault="00FC0EF8" w:rsidP="00FC0EF8">
            <w:pPr>
              <w:jc w:val="right"/>
              <w:rPr>
                <w:rFonts w:ascii="Calibri" w:eastAsia="MS Mincho" w:hAnsi="Calibri" w:cs="Calibri"/>
                <w:sz w:val="22"/>
                <w:szCs w:val="22"/>
              </w:rPr>
            </w:pPr>
            <w:r>
              <w:rPr>
                <w:rFonts w:ascii="Calibri" w:eastAsia="MS Mincho" w:hAnsi="Calibri" w:cs="Calibri"/>
                <w:sz w:val="22"/>
                <w:szCs w:val="22"/>
              </w:rPr>
              <w:t>499.1</w:t>
            </w:r>
          </w:p>
        </w:tc>
      </w:tr>
      <w:tr w:rsidR="00FC0EF8" w:rsidRPr="00505482" w14:paraId="0E312FEB" w14:textId="77777777" w:rsidTr="00316162">
        <w:trPr>
          <w:gridAfter w:val="1"/>
          <w:wAfter w:w="647" w:type="dxa"/>
          <w:trHeight w:val="198"/>
        </w:trPr>
        <w:tc>
          <w:tcPr>
            <w:tcW w:w="7223" w:type="dxa"/>
            <w:vAlign w:val="bottom"/>
            <w:hideMark/>
          </w:tcPr>
          <w:p w14:paraId="1F0277A4" w14:textId="77777777" w:rsidR="00FC0EF8" w:rsidRPr="00DB22BA" w:rsidRDefault="00FC0EF8" w:rsidP="00FC0EF8">
            <w:pPr>
              <w:tabs>
                <w:tab w:val="left" w:leader="dot" w:pos="6804"/>
              </w:tabs>
              <w:ind w:right="-90"/>
              <w:rPr>
                <w:rFonts w:ascii="Calibri" w:eastAsia="MS Mincho" w:hAnsi="Calibri" w:cs="Calibri"/>
                <w:bCs/>
                <w:sz w:val="22"/>
                <w:szCs w:val="22"/>
              </w:rPr>
            </w:pPr>
            <w:r w:rsidRPr="00DB22BA">
              <w:rPr>
                <w:rFonts w:ascii="Calibri" w:hAnsi="Calibri" w:cs="Calibri"/>
                <w:sz w:val="22"/>
                <w:szCs w:val="22"/>
              </w:rPr>
              <w:t>Total financial liabilities</w:t>
            </w:r>
          </w:p>
        </w:tc>
        <w:tc>
          <w:tcPr>
            <w:tcW w:w="1309" w:type="dxa"/>
            <w:gridSpan w:val="3"/>
            <w:tcBorders>
              <w:top w:val="single" w:sz="4" w:space="0" w:color="auto"/>
              <w:bottom w:val="double" w:sz="4" w:space="0" w:color="auto"/>
            </w:tcBorders>
            <w:shd w:val="clear" w:color="auto" w:fill="auto"/>
            <w:vAlign w:val="bottom"/>
          </w:tcPr>
          <w:p w14:paraId="3CB496BC" w14:textId="7B9586B2" w:rsidR="00FC0EF8" w:rsidRPr="008876EE" w:rsidRDefault="00F575E1" w:rsidP="00FC0EF8">
            <w:pPr>
              <w:tabs>
                <w:tab w:val="decimal" w:pos="689"/>
              </w:tabs>
              <w:ind w:left="-116" w:right="27"/>
              <w:jc w:val="right"/>
              <w:rPr>
                <w:rFonts w:ascii="Calibri" w:eastAsia="MS Mincho" w:hAnsi="Calibri" w:cs="Calibri"/>
                <w:sz w:val="22"/>
                <w:szCs w:val="22"/>
              </w:rPr>
            </w:pPr>
            <w:r>
              <w:rPr>
                <w:rFonts w:ascii="Calibri" w:eastAsia="MS Mincho" w:hAnsi="Calibri" w:cs="Calibri"/>
                <w:sz w:val="22"/>
                <w:szCs w:val="22"/>
              </w:rPr>
              <w:t>6,131.5</w:t>
            </w:r>
          </w:p>
        </w:tc>
        <w:tc>
          <w:tcPr>
            <w:tcW w:w="1134" w:type="dxa"/>
            <w:gridSpan w:val="3"/>
            <w:tcBorders>
              <w:top w:val="single" w:sz="4" w:space="0" w:color="auto"/>
              <w:bottom w:val="double" w:sz="4" w:space="0" w:color="auto"/>
            </w:tcBorders>
            <w:shd w:val="clear" w:color="auto" w:fill="auto"/>
            <w:vAlign w:val="bottom"/>
          </w:tcPr>
          <w:p w14:paraId="77078110" w14:textId="45C995B8" w:rsidR="00FC0EF8" w:rsidRPr="007C754D" w:rsidRDefault="00F575E1" w:rsidP="00FC0EF8">
            <w:pPr>
              <w:tabs>
                <w:tab w:val="decimal" w:pos="689"/>
              </w:tabs>
              <w:jc w:val="right"/>
              <w:rPr>
                <w:rFonts w:ascii="Calibri" w:eastAsia="MS Mincho" w:hAnsi="Calibri" w:cs="Calibri"/>
                <w:sz w:val="22"/>
                <w:szCs w:val="22"/>
              </w:rPr>
            </w:pPr>
            <w:r>
              <w:rPr>
                <w:rFonts w:ascii="Calibri" w:eastAsia="MS Mincho" w:hAnsi="Calibri" w:cs="Calibri"/>
                <w:sz w:val="22"/>
                <w:szCs w:val="22"/>
              </w:rPr>
              <w:t>4,199.0</w:t>
            </w:r>
          </w:p>
        </w:tc>
        <w:tc>
          <w:tcPr>
            <w:tcW w:w="1276" w:type="dxa"/>
            <w:gridSpan w:val="3"/>
            <w:tcBorders>
              <w:top w:val="single" w:sz="4" w:space="0" w:color="auto"/>
              <w:bottom w:val="double" w:sz="4" w:space="0" w:color="auto"/>
            </w:tcBorders>
            <w:vAlign w:val="bottom"/>
          </w:tcPr>
          <w:p w14:paraId="75EF29B0" w14:textId="77777777" w:rsidR="00FC0EF8" w:rsidRPr="00DB22BA" w:rsidRDefault="00FC0EF8" w:rsidP="00FC0EF8">
            <w:pPr>
              <w:tabs>
                <w:tab w:val="decimal" w:pos="689"/>
              </w:tabs>
              <w:ind w:left="-116" w:right="27"/>
              <w:jc w:val="right"/>
              <w:rPr>
                <w:rFonts w:ascii="Calibri" w:eastAsia="MS Mincho" w:hAnsi="Calibri" w:cs="Calibri"/>
                <w:sz w:val="22"/>
                <w:szCs w:val="22"/>
              </w:rPr>
            </w:pPr>
            <w:r>
              <w:rPr>
                <w:rFonts w:ascii="Calibri" w:eastAsia="MS Mincho" w:hAnsi="Calibri" w:cs="Calibri"/>
                <w:sz w:val="22"/>
                <w:szCs w:val="22"/>
              </w:rPr>
              <w:t>4,736.7</w:t>
            </w:r>
          </w:p>
        </w:tc>
        <w:tc>
          <w:tcPr>
            <w:tcW w:w="1395" w:type="dxa"/>
            <w:gridSpan w:val="4"/>
            <w:tcBorders>
              <w:top w:val="single" w:sz="4" w:space="0" w:color="auto"/>
              <w:bottom w:val="double" w:sz="4" w:space="0" w:color="auto"/>
            </w:tcBorders>
            <w:vAlign w:val="bottom"/>
          </w:tcPr>
          <w:p w14:paraId="731F2DE9" w14:textId="77777777" w:rsidR="00FC0EF8" w:rsidRPr="00DB22BA" w:rsidRDefault="00FC0EF8" w:rsidP="00FC0EF8">
            <w:pPr>
              <w:tabs>
                <w:tab w:val="decimal" w:pos="689"/>
              </w:tabs>
              <w:jc w:val="right"/>
              <w:rPr>
                <w:rFonts w:ascii="Calibri" w:eastAsia="MS Mincho" w:hAnsi="Calibri" w:cs="Calibri"/>
                <w:sz w:val="22"/>
                <w:szCs w:val="22"/>
              </w:rPr>
            </w:pPr>
            <w:r>
              <w:rPr>
                <w:rFonts w:ascii="Calibri" w:eastAsia="MS Mincho" w:hAnsi="Calibri" w:cs="Calibri"/>
                <w:sz w:val="22"/>
                <w:szCs w:val="22"/>
              </w:rPr>
              <w:t>3,923.0</w:t>
            </w:r>
          </w:p>
        </w:tc>
      </w:tr>
    </w:tbl>
    <w:p w14:paraId="10080FFC" w14:textId="77777777" w:rsidR="005660A9" w:rsidRPr="00DB22BA" w:rsidRDefault="005660A9" w:rsidP="005660A9">
      <w:pPr>
        <w:widowControl w:val="0"/>
        <w:spacing w:line="300" w:lineRule="exact"/>
        <w:ind w:right="-352"/>
        <w:jc w:val="both"/>
        <w:rPr>
          <w:rFonts w:ascii="Calibri" w:hAnsi="Calibri" w:cs="Calibri"/>
          <w:i/>
          <w:sz w:val="19"/>
          <w:szCs w:val="19"/>
        </w:rPr>
      </w:pPr>
      <w:r w:rsidRPr="00DB22BA">
        <w:rPr>
          <w:rFonts w:ascii="Calibri" w:hAnsi="Calibri" w:cs="Calibri"/>
          <w:i/>
          <w:sz w:val="19"/>
          <w:szCs w:val="19"/>
        </w:rPr>
        <w:t xml:space="preserve">*The fair value of these financial instruments </w:t>
      </w:r>
      <w:proofErr w:type="gramStart"/>
      <w:r w:rsidRPr="00DB22BA">
        <w:rPr>
          <w:rFonts w:ascii="Calibri" w:hAnsi="Calibri" w:cs="Calibri"/>
          <w:i/>
          <w:sz w:val="19"/>
          <w:szCs w:val="19"/>
        </w:rPr>
        <w:t>approximate</w:t>
      </w:r>
      <w:proofErr w:type="gramEnd"/>
      <w:r w:rsidRPr="00DB22BA">
        <w:rPr>
          <w:rFonts w:ascii="Calibri" w:hAnsi="Calibri" w:cs="Calibri"/>
          <w:i/>
          <w:sz w:val="19"/>
          <w:szCs w:val="19"/>
        </w:rPr>
        <w:t xml:space="preserve"> their carrying values due to the short-term nature of the instruments.</w:t>
      </w:r>
    </w:p>
    <w:p w14:paraId="2059E036" w14:textId="77777777" w:rsidR="007B32C7" w:rsidRDefault="007B32C7" w:rsidP="007B32C7">
      <w:pPr>
        <w:spacing w:after="240" w:line="300" w:lineRule="exact"/>
        <w:ind w:right="-23"/>
        <w:jc w:val="both"/>
        <w:rPr>
          <w:rFonts w:ascii="Calibri" w:hAnsi="Calibri" w:cs="Calibri"/>
          <w:b/>
          <w:sz w:val="22"/>
          <w:szCs w:val="22"/>
        </w:rPr>
      </w:pPr>
      <w:bookmarkStart w:id="24" w:name="_Hlk496863659"/>
    </w:p>
    <w:bookmarkEnd w:id="24"/>
    <w:p w14:paraId="3A1C8ACA" w14:textId="77777777" w:rsidR="00F575E1" w:rsidRPr="00390D05" w:rsidRDefault="00F575E1" w:rsidP="00F575E1">
      <w:pPr>
        <w:spacing w:after="240" w:line="300" w:lineRule="exact"/>
        <w:ind w:right="-23"/>
        <w:jc w:val="both"/>
        <w:rPr>
          <w:rFonts w:ascii="Calibri" w:hAnsi="Calibri" w:cs="Calibri"/>
          <w:b/>
          <w:sz w:val="22"/>
          <w:szCs w:val="22"/>
        </w:rPr>
      </w:pPr>
      <w:r w:rsidRPr="00390D05">
        <w:rPr>
          <w:rFonts w:ascii="Calibri" w:hAnsi="Calibri" w:cs="Calibri"/>
          <w:b/>
          <w:sz w:val="22"/>
          <w:szCs w:val="22"/>
        </w:rPr>
        <w:t xml:space="preserve">13. </w:t>
      </w:r>
      <w:r w:rsidRPr="00390D05">
        <w:rPr>
          <w:rFonts w:ascii="Calibri" w:hAnsi="Calibri" w:cs="Calibri"/>
          <w:b/>
          <w:sz w:val="22"/>
          <w:szCs w:val="22"/>
        </w:rPr>
        <w:tab/>
        <w:t xml:space="preserve">Shareholder returns </w:t>
      </w:r>
    </w:p>
    <w:p w14:paraId="740528DE" w14:textId="77777777" w:rsidR="00F575E1" w:rsidRPr="00390D05" w:rsidRDefault="00F575E1" w:rsidP="00F575E1">
      <w:pPr>
        <w:spacing w:after="240" w:line="300" w:lineRule="exact"/>
        <w:jc w:val="both"/>
        <w:rPr>
          <w:rFonts w:ascii="Calibri" w:hAnsi="Calibri" w:cs="Calibri"/>
          <w:sz w:val="22"/>
          <w:szCs w:val="22"/>
        </w:rPr>
      </w:pPr>
      <w:r w:rsidRPr="00390D05">
        <w:rPr>
          <w:rFonts w:ascii="Calibri" w:hAnsi="Calibri" w:cs="Calibri"/>
          <w:sz w:val="22"/>
          <w:szCs w:val="22"/>
        </w:rPr>
        <w:t>In the nine months end</w:t>
      </w:r>
      <w:r>
        <w:rPr>
          <w:rFonts w:ascii="Calibri" w:hAnsi="Calibri" w:cs="Calibri"/>
          <w:sz w:val="22"/>
          <w:szCs w:val="22"/>
        </w:rPr>
        <w:t>ed</w:t>
      </w:r>
      <w:r w:rsidRPr="00390D05">
        <w:rPr>
          <w:rFonts w:ascii="Calibri" w:hAnsi="Calibri" w:cs="Calibri"/>
          <w:sz w:val="22"/>
          <w:szCs w:val="22"/>
        </w:rPr>
        <w:t xml:space="preserve"> December 31, 2019 the Company bought back 32.</w:t>
      </w:r>
      <w:r>
        <w:rPr>
          <w:rFonts w:ascii="Calibri" w:hAnsi="Calibri" w:cs="Calibri"/>
          <w:sz w:val="22"/>
          <w:szCs w:val="22"/>
        </w:rPr>
        <w:t>3</w:t>
      </w:r>
      <w:r w:rsidRPr="00390D05">
        <w:rPr>
          <w:rFonts w:ascii="Calibri" w:hAnsi="Calibri" w:cs="Calibri"/>
          <w:sz w:val="22"/>
          <w:szCs w:val="22"/>
        </w:rPr>
        <w:t xml:space="preserve">M ordinary shares at a total cost of €371.5M. This buy-back was equivalent to approximately 2.9% of the Company’s issued share capital at March 31, 2019.  All ordinary shares repurchased </w:t>
      </w:r>
      <w:r>
        <w:rPr>
          <w:rFonts w:ascii="Calibri" w:hAnsi="Calibri" w:cs="Calibri"/>
          <w:sz w:val="22"/>
          <w:szCs w:val="22"/>
        </w:rPr>
        <w:t>are</w:t>
      </w:r>
      <w:r w:rsidRPr="00390D05">
        <w:rPr>
          <w:rFonts w:ascii="Calibri" w:hAnsi="Calibri" w:cs="Calibri"/>
          <w:sz w:val="22"/>
          <w:szCs w:val="22"/>
        </w:rPr>
        <w:t xml:space="preserve"> cancelled.    </w:t>
      </w:r>
    </w:p>
    <w:p w14:paraId="04FDC36A" w14:textId="77777777" w:rsidR="00F575E1" w:rsidRPr="00390D05" w:rsidRDefault="00F575E1" w:rsidP="00F575E1">
      <w:pPr>
        <w:spacing w:after="240" w:line="300" w:lineRule="exact"/>
        <w:jc w:val="both"/>
        <w:rPr>
          <w:rFonts w:ascii="Calibri" w:hAnsi="Calibri" w:cs="Calibri"/>
          <w:sz w:val="22"/>
          <w:szCs w:val="22"/>
        </w:rPr>
      </w:pPr>
      <w:r w:rsidRPr="00390D05">
        <w:rPr>
          <w:rFonts w:ascii="Calibri" w:hAnsi="Calibri" w:cs="Calibri"/>
          <w:sz w:val="22"/>
          <w:szCs w:val="22"/>
        </w:rPr>
        <w:t>In FY19 the Company bought back 37.8M shares at a total cost of €56</w:t>
      </w:r>
      <w:r>
        <w:rPr>
          <w:rFonts w:ascii="Calibri" w:hAnsi="Calibri" w:cs="Calibri"/>
          <w:sz w:val="22"/>
          <w:szCs w:val="22"/>
        </w:rPr>
        <w:t>0</w:t>
      </w:r>
      <w:r w:rsidRPr="00390D05">
        <w:rPr>
          <w:rFonts w:ascii="Calibri" w:hAnsi="Calibri" w:cs="Calibri"/>
          <w:sz w:val="22"/>
          <w:szCs w:val="22"/>
        </w:rPr>
        <w:t>.</w:t>
      </w:r>
      <w:r>
        <w:rPr>
          <w:rFonts w:ascii="Calibri" w:hAnsi="Calibri" w:cs="Calibri"/>
          <w:sz w:val="22"/>
          <w:szCs w:val="22"/>
        </w:rPr>
        <w:t>5</w:t>
      </w:r>
      <w:r w:rsidRPr="00390D05">
        <w:rPr>
          <w:rFonts w:ascii="Calibri" w:hAnsi="Calibri" w:cs="Calibri"/>
          <w:sz w:val="22"/>
          <w:szCs w:val="22"/>
        </w:rPr>
        <w:t xml:space="preserve">M. This buy-back was equivalent to approximately 3.2% of the Company’s issued share capital at March 31, 2018.  All of these repurchased ordinary shares were cancelled at March 31, 2019.  </w:t>
      </w:r>
    </w:p>
    <w:p w14:paraId="163E693D" w14:textId="77777777" w:rsidR="00F575E1" w:rsidRPr="00390D05" w:rsidRDefault="00F575E1" w:rsidP="00F575E1">
      <w:pPr>
        <w:spacing w:line="300" w:lineRule="exact"/>
        <w:jc w:val="both"/>
        <w:rPr>
          <w:rFonts w:ascii="Calibri" w:hAnsi="Calibri" w:cs="Calibri"/>
          <w:sz w:val="22"/>
          <w:szCs w:val="22"/>
        </w:rPr>
      </w:pPr>
      <w:bookmarkStart w:id="25" w:name="_Hlk483400536"/>
      <w:r w:rsidRPr="00390D05">
        <w:rPr>
          <w:rFonts w:ascii="Calibri" w:hAnsi="Calibri" w:cs="Calibri"/>
          <w:sz w:val="22"/>
          <w:szCs w:val="22"/>
        </w:rPr>
        <w:lastRenderedPageBreak/>
        <w:t>As a result of the share buybacks in the nine months ended December 31, 2019, share capital decreased by 32.</w:t>
      </w:r>
      <w:r>
        <w:rPr>
          <w:rFonts w:ascii="Calibri" w:hAnsi="Calibri" w:cs="Calibri"/>
          <w:sz w:val="22"/>
          <w:szCs w:val="22"/>
        </w:rPr>
        <w:t>3</w:t>
      </w:r>
      <w:r w:rsidRPr="00390D05">
        <w:rPr>
          <w:rFonts w:ascii="Calibri" w:hAnsi="Calibri" w:cs="Calibri"/>
          <w:sz w:val="22"/>
          <w:szCs w:val="22"/>
        </w:rPr>
        <w:t xml:space="preserve">M ordinary shares (37.8M ordinary shares in the year ended March 31, 2019) with a nominal value of €0.2M (€0.2M in the year ended March 31, 2019) and the other </w:t>
      </w:r>
      <w:proofErr w:type="spellStart"/>
      <w:r w:rsidRPr="00390D05">
        <w:rPr>
          <w:rFonts w:ascii="Calibri" w:hAnsi="Calibri" w:cs="Calibri"/>
          <w:sz w:val="22"/>
          <w:szCs w:val="22"/>
        </w:rPr>
        <w:t>undenominated</w:t>
      </w:r>
      <w:proofErr w:type="spellEnd"/>
      <w:r w:rsidRPr="00390D05">
        <w:rPr>
          <w:rFonts w:ascii="Calibri" w:hAnsi="Calibri" w:cs="Calibri"/>
          <w:sz w:val="22"/>
          <w:szCs w:val="22"/>
        </w:rPr>
        <w:t xml:space="preserve"> capital reserve increased by a corresponding €0.2M (€0.2M in the year ended March 31, 2019). The other </w:t>
      </w:r>
      <w:proofErr w:type="spellStart"/>
      <w:r w:rsidRPr="00390D05">
        <w:rPr>
          <w:rFonts w:ascii="Calibri" w:hAnsi="Calibri" w:cs="Calibri"/>
          <w:sz w:val="22"/>
          <w:szCs w:val="22"/>
        </w:rPr>
        <w:t>undenominated</w:t>
      </w:r>
      <w:proofErr w:type="spellEnd"/>
      <w:r w:rsidRPr="00390D05">
        <w:rPr>
          <w:rFonts w:ascii="Calibri" w:hAnsi="Calibri" w:cs="Calibri"/>
          <w:sz w:val="22"/>
          <w:szCs w:val="22"/>
        </w:rPr>
        <w:t xml:space="preserve"> capital reserve is required to be created under Irish law to preserve permanent capital in the Parent Company. </w:t>
      </w:r>
      <w:bookmarkEnd w:id="25"/>
    </w:p>
    <w:p w14:paraId="735817AF" w14:textId="77777777" w:rsidR="00F575E1" w:rsidRPr="00390D05" w:rsidRDefault="00F575E1" w:rsidP="00F575E1">
      <w:pPr>
        <w:spacing w:line="300" w:lineRule="exact"/>
        <w:ind w:right="-24"/>
        <w:jc w:val="both"/>
        <w:rPr>
          <w:rFonts w:ascii="Calibri" w:hAnsi="Calibri" w:cs="Calibri"/>
          <w:b/>
          <w:sz w:val="22"/>
          <w:szCs w:val="22"/>
        </w:rPr>
      </w:pPr>
    </w:p>
    <w:p w14:paraId="15917C34" w14:textId="77777777" w:rsidR="00F575E1" w:rsidRPr="000B51D5" w:rsidRDefault="00F575E1" w:rsidP="00F575E1">
      <w:pPr>
        <w:spacing w:line="300" w:lineRule="exact"/>
        <w:ind w:right="-24"/>
        <w:jc w:val="both"/>
        <w:rPr>
          <w:rFonts w:ascii="Calibri" w:hAnsi="Calibri" w:cs="Calibri"/>
          <w:b/>
          <w:sz w:val="22"/>
          <w:szCs w:val="22"/>
        </w:rPr>
      </w:pPr>
      <w:r w:rsidRPr="000B51D5">
        <w:rPr>
          <w:rFonts w:ascii="Calibri" w:hAnsi="Calibri" w:cs="Calibri"/>
          <w:b/>
          <w:sz w:val="22"/>
          <w:szCs w:val="22"/>
        </w:rPr>
        <w:t>14.</w:t>
      </w:r>
      <w:r w:rsidRPr="000B51D5">
        <w:rPr>
          <w:rFonts w:ascii="Calibri" w:hAnsi="Calibri" w:cs="Calibri"/>
          <w:b/>
          <w:sz w:val="22"/>
          <w:szCs w:val="22"/>
        </w:rPr>
        <w:tab/>
        <w:t>Related party transactions</w:t>
      </w:r>
    </w:p>
    <w:p w14:paraId="09569276" w14:textId="77777777" w:rsidR="00F575E1" w:rsidRPr="000B51D5" w:rsidRDefault="00F575E1" w:rsidP="00F575E1">
      <w:pPr>
        <w:spacing w:line="300" w:lineRule="exact"/>
        <w:ind w:right="-24"/>
        <w:jc w:val="both"/>
        <w:rPr>
          <w:rFonts w:ascii="Calibri" w:hAnsi="Calibri" w:cs="Calibri"/>
          <w:b/>
          <w:sz w:val="22"/>
          <w:szCs w:val="22"/>
        </w:rPr>
      </w:pPr>
    </w:p>
    <w:p w14:paraId="593D7BDA" w14:textId="77777777" w:rsidR="00F575E1" w:rsidRPr="000B51D5" w:rsidRDefault="00F575E1" w:rsidP="00F575E1">
      <w:pPr>
        <w:pStyle w:val="NormalWeb"/>
        <w:spacing w:before="0" w:beforeAutospacing="0" w:after="120" w:afterAutospacing="0" w:line="300" w:lineRule="exact"/>
        <w:ind w:right="-23"/>
        <w:jc w:val="both"/>
        <w:rPr>
          <w:rFonts w:ascii="Calibri" w:hAnsi="Calibri" w:cs="Calibri"/>
          <w:color w:val="000000"/>
          <w:sz w:val="22"/>
          <w:szCs w:val="22"/>
        </w:rPr>
      </w:pPr>
      <w:r w:rsidRPr="000B51D5">
        <w:rPr>
          <w:rFonts w:ascii="Calibri" w:hAnsi="Calibri" w:cs="Calibri"/>
          <w:color w:val="000000"/>
          <w:sz w:val="22"/>
          <w:szCs w:val="22"/>
        </w:rPr>
        <w:t>The Company’s related parties comprise its subsidiaries, Directors and senior key management personnel. All transactions with subsidiaries eliminate on consolidation and are not disclosed.</w:t>
      </w:r>
    </w:p>
    <w:p w14:paraId="26C542DF" w14:textId="77777777" w:rsidR="00F575E1" w:rsidRPr="000B51D5" w:rsidRDefault="00F575E1" w:rsidP="00F575E1">
      <w:pPr>
        <w:pStyle w:val="NormalWeb"/>
        <w:spacing w:before="0" w:beforeAutospacing="0" w:after="0" w:afterAutospacing="0" w:line="300" w:lineRule="exact"/>
        <w:ind w:right="-24"/>
        <w:jc w:val="both"/>
        <w:rPr>
          <w:rFonts w:ascii="Calibri" w:hAnsi="Calibri" w:cs="Calibri"/>
          <w:color w:val="000000"/>
          <w:sz w:val="22"/>
          <w:szCs w:val="22"/>
        </w:rPr>
      </w:pPr>
      <w:r w:rsidRPr="000B51D5">
        <w:rPr>
          <w:rFonts w:ascii="Calibri" w:hAnsi="Calibri" w:cs="Calibri"/>
          <w:color w:val="000000"/>
          <w:sz w:val="22"/>
          <w:szCs w:val="22"/>
        </w:rPr>
        <w:t xml:space="preserve">There were no related party transactions in the nine months ended December 31, 2019 that materially affected the financial position or the performance of the Group during that period and there were no changes in the related party transactions described in the Ryanair 2019 Annual Report that could have a material effect on the financial position or performance of the Group in the same period. </w:t>
      </w:r>
    </w:p>
    <w:p w14:paraId="78A33555" w14:textId="77777777" w:rsidR="00F575E1" w:rsidRPr="00961368" w:rsidRDefault="00F575E1" w:rsidP="00F575E1">
      <w:pPr>
        <w:pStyle w:val="NormalWeb"/>
        <w:spacing w:before="0" w:beforeAutospacing="0" w:after="0" w:afterAutospacing="0" w:line="300" w:lineRule="exact"/>
        <w:ind w:right="-24"/>
        <w:jc w:val="both"/>
        <w:rPr>
          <w:rFonts w:ascii="Calibri" w:hAnsi="Calibri" w:cs="Calibri"/>
          <w:color w:val="000000"/>
          <w:sz w:val="22"/>
          <w:szCs w:val="22"/>
          <w:highlight w:val="yellow"/>
        </w:rPr>
      </w:pPr>
    </w:p>
    <w:p w14:paraId="2841F34B" w14:textId="77777777" w:rsidR="00F575E1" w:rsidRPr="000B51D5" w:rsidRDefault="00F575E1" w:rsidP="00F575E1">
      <w:pPr>
        <w:spacing w:after="240" w:line="300" w:lineRule="exact"/>
        <w:ind w:right="-24"/>
        <w:jc w:val="both"/>
        <w:rPr>
          <w:rFonts w:ascii="Calibri" w:hAnsi="Calibri" w:cs="Calibri"/>
          <w:b/>
          <w:sz w:val="22"/>
          <w:szCs w:val="22"/>
        </w:rPr>
      </w:pPr>
      <w:bookmarkStart w:id="26" w:name="_Hlk20754521"/>
      <w:r w:rsidRPr="000B51D5">
        <w:rPr>
          <w:rFonts w:ascii="Calibri" w:hAnsi="Calibri" w:cs="Calibri"/>
          <w:b/>
          <w:sz w:val="22"/>
          <w:szCs w:val="22"/>
        </w:rPr>
        <w:t>15.</w:t>
      </w:r>
      <w:r w:rsidRPr="000B51D5">
        <w:rPr>
          <w:rFonts w:ascii="Calibri" w:hAnsi="Calibri" w:cs="Calibri"/>
          <w:b/>
          <w:sz w:val="22"/>
          <w:szCs w:val="22"/>
        </w:rPr>
        <w:tab/>
        <w:t>Post balance sheet events</w:t>
      </w:r>
    </w:p>
    <w:bookmarkEnd w:id="26"/>
    <w:p w14:paraId="051F5001" w14:textId="67CD5F4B" w:rsidR="00F575E1" w:rsidRPr="000B51D5" w:rsidRDefault="00F575E1" w:rsidP="00F575E1">
      <w:pPr>
        <w:spacing w:line="300" w:lineRule="exact"/>
        <w:ind w:right="-24"/>
        <w:jc w:val="both"/>
        <w:rPr>
          <w:rFonts w:ascii="Calibri" w:hAnsi="Calibri" w:cs="Calibri"/>
          <w:sz w:val="22"/>
          <w:szCs w:val="22"/>
        </w:rPr>
      </w:pPr>
      <w:r w:rsidRPr="005274ED">
        <w:rPr>
          <w:rFonts w:ascii="Calibri" w:hAnsi="Calibri" w:cs="Calibri"/>
          <w:sz w:val="22"/>
          <w:szCs w:val="22"/>
        </w:rPr>
        <w:t xml:space="preserve">Between January 1, 2019 and </w:t>
      </w:r>
      <w:proofErr w:type="gramStart"/>
      <w:r w:rsidRPr="005274ED">
        <w:rPr>
          <w:rFonts w:ascii="Calibri" w:hAnsi="Calibri" w:cs="Calibri"/>
          <w:sz w:val="22"/>
          <w:szCs w:val="22"/>
        </w:rPr>
        <w:t xml:space="preserve">January </w:t>
      </w:r>
      <w:r w:rsidR="008822CF">
        <w:rPr>
          <w:rFonts w:ascii="Calibri" w:hAnsi="Calibri" w:cs="Calibri"/>
          <w:sz w:val="22"/>
          <w:szCs w:val="22"/>
        </w:rPr>
        <w:t>29</w:t>
      </w:r>
      <w:r w:rsidRPr="005274ED">
        <w:rPr>
          <w:rFonts w:ascii="Calibri" w:hAnsi="Calibri" w:cs="Calibri"/>
          <w:sz w:val="22"/>
          <w:szCs w:val="22"/>
        </w:rPr>
        <w:t>, 2020</w:t>
      </w:r>
      <w:proofErr w:type="gramEnd"/>
      <w:r w:rsidRPr="005274ED">
        <w:rPr>
          <w:rFonts w:ascii="Calibri" w:hAnsi="Calibri" w:cs="Calibri"/>
          <w:sz w:val="22"/>
          <w:szCs w:val="22"/>
        </w:rPr>
        <w:t xml:space="preserve"> the Company bought back 4.</w:t>
      </w:r>
      <w:r w:rsidR="008822CF">
        <w:rPr>
          <w:rFonts w:ascii="Calibri" w:hAnsi="Calibri" w:cs="Calibri"/>
          <w:sz w:val="22"/>
          <w:szCs w:val="22"/>
        </w:rPr>
        <w:t>7</w:t>
      </w:r>
      <w:r w:rsidRPr="005274ED">
        <w:rPr>
          <w:rFonts w:ascii="Calibri" w:hAnsi="Calibri" w:cs="Calibri"/>
          <w:sz w:val="22"/>
          <w:szCs w:val="22"/>
        </w:rPr>
        <w:t>M ordinary shares at a total cost of €</w:t>
      </w:r>
      <w:r w:rsidR="008822CF">
        <w:rPr>
          <w:rFonts w:ascii="Calibri" w:hAnsi="Calibri" w:cs="Calibri"/>
          <w:sz w:val="22"/>
          <w:szCs w:val="22"/>
        </w:rPr>
        <w:t>71.2</w:t>
      </w:r>
      <w:r w:rsidRPr="005274ED">
        <w:rPr>
          <w:rFonts w:ascii="Calibri" w:hAnsi="Calibri" w:cs="Calibri"/>
          <w:sz w:val="22"/>
          <w:szCs w:val="22"/>
        </w:rPr>
        <w:t>M under its €700M share buy-back which commenced in May 2019. This was equivalent to 0.4% of the Company’s issued share capital at December 31, 2019. All ordinary shares re-purchased are cancelled.</w:t>
      </w:r>
    </w:p>
    <w:p w14:paraId="1D4CDBFB" w14:textId="77777777" w:rsidR="00F575E1" w:rsidRPr="000B51D5" w:rsidRDefault="00F575E1" w:rsidP="00F575E1">
      <w:pPr>
        <w:spacing w:line="300" w:lineRule="exact"/>
        <w:ind w:right="-24"/>
        <w:jc w:val="both"/>
        <w:rPr>
          <w:rFonts w:ascii="Calibri" w:hAnsi="Calibri" w:cs="Calibri"/>
          <w:sz w:val="22"/>
          <w:szCs w:val="22"/>
        </w:rPr>
      </w:pPr>
    </w:p>
    <w:p w14:paraId="294BD300" w14:textId="77777777" w:rsidR="00F25418" w:rsidRDefault="00F25418" w:rsidP="00F25418">
      <w:pPr>
        <w:spacing w:line="300" w:lineRule="exact"/>
        <w:ind w:right="-24"/>
        <w:jc w:val="both"/>
        <w:rPr>
          <w:rFonts w:ascii="Calibri" w:hAnsi="Calibri" w:cs="Calibri"/>
          <w:sz w:val="22"/>
          <w:szCs w:val="22"/>
        </w:rPr>
      </w:pPr>
    </w:p>
    <w:p w14:paraId="5CEA6C28" w14:textId="77777777" w:rsidR="00F25418" w:rsidRDefault="00F25418" w:rsidP="00F25418">
      <w:pPr>
        <w:spacing w:line="300" w:lineRule="exact"/>
        <w:ind w:right="-24"/>
        <w:jc w:val="both"/>
        <w:rPr>
          <w:rFonts w:ascii="Calibri" w:hAnsi="Calibri" w:cs="Calibri"/>
          <w:sz w:val="22"/>
          <w:szCs w:val="22"/>
        </w:rPr>
      </w:pPr>
    </w:p>
    <w:p w14:paraId="28442D79" w14:textId="77777777" w:rsidR="00F25418" w:rsidRDefault="00F25418" w:rsidP="00F25418">
      <w:pPr>
        <w:spacing w:line="300" w:lineRule="exact"/>
        <w:ind w:right="-24"/>
        <w:jc w:val="both"/>
        <w:rPr>
          <w:rFonts w:ascii="Calibri" w:hAnsi="Calibri" w:cs="Calibri"/>
          <w:sz w:val="22"/>
          <w:szCs w:val="22"/>
        </w:rPr>
      </w:pPr>
    </w:p>
    <w:p w14:paraId="13589E23" w14:textId="77777777" w:rsidR="00FF2F42" w:rsidRDefault="00FF2F42" w:rsidP="00FF2F42">
      <w:pPr>
        <w:spacing w:line="300" w:lineRule="exact"/>
        <w:ind w:right="-24"/>
        <w:jc w:val="both"/>
        <w:rPr>
          <w:rFonts w:ascii="Calibri" w:hAnsi="Calibri" w:cs="Calibri"/>
          <w:sz w:val="22"/>
          <w:szCs w:val="22"/>
        </w:rPr>
      </w:pPr>
    </w:p>
    <w:sectPr w:rsidR="00FF2F42" w:rsidSect="00D9388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8FDD7" w14:textId="77777777" w:rsidR="00C017B8" w:rsidRDefault="00C017B8" w:rsidP="00AA167C">
      <w:r>
        <w:separator/>
      </w:r>
    </w:p>
  </w:endnote>
  <w:endnote w:type="continuationSeparator" w:id="0">
    <w:p w14:paraId="6F33DD3D" w14:textId="77777777" w:rsidR="00C017B8" w:rsidRDefault="00C017B8" w:rsidP="00AA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535BC" w14:textId="77777777" w:rsidR="00CA5064" w:rsidRDefault="00CA5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025E" w14:textId="77777777" w:rsidR="00C017B8" w:rsidRDefault="00C017B8">
    <w:pPr>
      <w:pStyle w:val="Footer"/>
      <w:jc w:val="center"/>
    </w:pPr>
    <w:r>
      <w:fldChar w:fldCharType="begin"/>
    </w:r>
    <w:r>
      <w:instrText xml:space="preserve"> PAGE   \* MERGEFORMAT </w:instrText>
    </w:r>
    <w:r>
      <w:fldChar w:fldCharType="separate"/>
    </w:r>
    <w:r>
      <w:rPr>
        <w:noProof/>
      </w:rPr>
      <w:t>22</w:t>
    </w:r>
    <w:r>
      <w:rPr>
        <w:noProof/>
      </w:rPr>
      <w:fldChar w:fldCharType="end"/>
    </w:r>
  </w:p>
  <w:p w14:paraId="10698D71" w14:textId="77777777" w:rsidR="00C017B8" w:rsidRDefault="00C01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E1393" w14:textId="77777777" w:rsidR="00CA5064" w:rsidRDefault="00CA5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19FC1" w14:textId="77777777" w:rsidR="00C017B8" w:rsidRDefault="00C017B8" w:rsidP="00AA167C">
      <w:r>
        <w:separator/>
      </w:r>
    </w:p>
  </w:footnote>
  <w:footnote w:type="continuationSeparator" w:id="0">
    <w:p w14:paraId="786266D1" w14:textId="77777777" w:rsidR="00C017B8" w:rsidRDefault="00C017B8" w:rsidP="00AA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9DA0" w14:textId="77777777" w:rsidR="00CA5064" w:rsidRDefault="00CA5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5DCD" w14:textId="77777777" w:rsidR="00CA5064" w:rsidRDefault="00CA5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7DC5E" w14:textId="77777777" w:rsidR="00CA5064" w:rsidRDefault="00CA5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028"/>
    <w:multiLevelType w:val="hybridMultilevel"/>
    <w:tmpl w:val="6AF23356"/>
    <w:lvl w:ilvl="0" w:tplc="98A6C54C">
      <w:start w:val="307"/>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F731EC"/>
    <w:multiLevelType w:val="singleLevel"/>
    <w:tmpl w:val="18090001"/>
    <w:lvl w:ilvl="0">
      <w:start w:val="1"/>
      <w:numFmt w:val="bullet"/>
      <w:lvlText w:val=""/>
      <w:lvlJc w:val="left"/>
      <w:pPr>
        <w:ind w:left="360" w:hanging="360"/>
      </w:pPr>
      <w:rPr>
        <w:rFonts w:ascii="Symbol" w:hAnsi="Symbol" w:hint="default"/>
        <w:color w:val="auto"/>
        <w:sz w:val="24"/>
      </w:rPr>
    </w:lvl>
  </w:abstractNum>
  <w:abstractNum w:abstractNumId="2" w15:restartNumberingAfterBreak="0">
    <w:nsid w:val="1AA864C6"/>
    <w:multiLevelType w:val="singleLevel"/>
    <w:tmpl w:val="5A944884"/>
    <w:lvl w:ilvl="0">
      <w:start w:val="1"/>
      <w:numFmt w:val="bullet"/>
      <w:pStyle w:val="CG-Bullet"/>
      <w:lvlText w:val=""/>
      <w:lvlJc w:val="left"/>
      <w:pPr>
        <w:tabs>
          <w:tab w:val="num" w:pos="1353"/>
        </w:tabs>
        <w:ind w:left="1353" w:hanging="360"/>
      </w:pPr>
      <w:rPr>
        <w:rFonts w:ascii="Symbol" w:hAnsi="Symbol" w:cs="Times New Roman" w:hint="default"/>
      </w:rPr>
    </w:lvl>
  </w:abstractNum>
  <w:abstractNum w:abstractNumId="3" w15:restartNumberingAfterBreak="0">
    <w:nsid w:val="1EB07586"/>
    <w:multiLevelType w:val="hybridMultilevel"/>
    <w:tmpl w:val="CDAA7EE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4" w15:restartNumberingAfterBreak="0">
    <w:nsid w:val="20D0752B"/>
    <w:multiLevelType w:val="hybridMultilevel"/>
    <w:tmpl w:val="26F6F48E"/>
    <w:lvl w:ilvl="0" w:tplc="FE6E48A4">
      <w:start w:val="307"/>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FD6EC6"/>
    <w:multiLevelType w:val="hybridMultilevel"/>
    <w:tmpl w:val="D166F206"/>
    <w:lvl w:ilvl="0" w:tplc="C4A453F8">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830248"/>
    <w:multiLevelType w:val="singleLevel"/>
    <w:tmpl w:val="E736B5E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30131090"/>
    <w:multiLevelType w:val="hybridMultilevel"/>
    <w:tmpl w:val="325E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A4EB0"/>
    <w:multiLevelType w:val="hybridMultilevel"/>
    <w:tmpl w:val="DD8E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72D6F"/>
    <w:multiLevelType w:val="hybridMultilevel"/>
    <w:tmpl w:val="93DE51B4"/>
    <w:lvl w:ilvl="0" w:tplc="AE1E3E3A">
      <w:start w:val="1"/>
      <w:numFmt w:val="bullet"/>
      <w:lvlText w:val=""/>
      <w:lvlJc w:val="left"/>
      <w:pPr>
        <w:tabs>
          <w:tab w:val="num" w:pos="567"/>
        </w:tabs>
        <w:ind w:left="567" w:hanging="22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735A9"/>
    <w:multiLevelType w:val="hybridMultilevel"/>
    <w:tmpl w:val="69124078"/>
    <w:lvl w:ilvl="0" w:tplc="8740491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2215C72"/>
    <w:multiLevelType w:val="hybridMultilevel"/>
    <w:tmpl w:val="86CCDFE6"/>
    <w:lvl w:ilvl="0" w:tplc="09FEA828">
      <w:start w:val="9"/>
      <w:numFmt w:val="bullet"/>
      <w:lvlText w:val="-"/>
      <w:lvlJc w:val="left"/>
      <w:pPr>
        <w:ind w:left="405" w:hanging="360"/>
      </w:pPr>
      <w:rPr>
        <w:rFonts w:ascii="Calibri" w:eastAsia="Times New Roman" w:hAnsi="Calibri" w:cs="Times New Roman"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2" w15:restartNumberingAfterBreak="0">
    <w:nsid w:val="38375BC9"/>
    <w:multiLevelType w:val="hybridMultilevel"/>
    <w:tmpl w:val="F84ADB18"/>
    <w:lvl w:ilvl="0" w:tplc="AA760C9C">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A5C2CFB"/>
    <w:multiLevelType w:val="hybridMultilevel"/>
    <w:tmpl w:val="19A08980"/>
    <w:lvl w:ilvl="0" w:tplc="E4845506">
      <w:start w:val="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B026A5A"/>
    <w:multiLevelType w:val="hybridMultilevel"/>
    <w:tmpl w:val="360247E8"/>
    <w:lvl w:ilvl="0" w:tplc="D52A54B6">
      <w:start w:val="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18551E"/>
    <w:multiLevelType w:val="multilevel"/>
    <w:tmpl w:val="0409001D"/>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D6D4273"/>
    <w:multiLevelType w:val="multilevel"/>
    <w:tmpl w:val="E3C6E9F6"/>
    <w:lvl w:ilvl="0">
      <w:start w:val="1"/>
      <w:numFmt w:val="decimal"/>
      <w:pStyle w:val="Outline3L1"/>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pStyle w:val="Outline3L2"/>
      <w:lvlText w:val="(%2)"/>
      <w:lvlJc w:val="left"/>
      <w:pPr>
        <w:tabs>
          <w:tab w:val="num" w:pos="720"/>
        </w:tabs>
        <w:ind w:left="720" w:hanging="720"/>
      </w:pPr>
      <w:rPr>
        <w:b/>
        <w:i w:val="0"/>
        <w:caps w:val="0"/>
        <w:strike w:val="0"/>
        <w:dstrike w:val="0"/>
        <w:vanish w:val="0"/>
        <w:color w:val="auto"/>
        <w:u w:val="none"/>
        <w:effect w:val="none"/>
        <w:vertAlign w:val="baseline"/>
      </w:rPr>
    </w:lvl>
    <w:lvl w:ilvl="2">
      <w:start w:val="1"/>
      <w:numFmt w:val="lowerRoman"/>
      <w:pStyle w:val="Outline3L3"/>
      <w:lvlText w:val="(%3)"/>
      <w:lvlJc w:val="left"/>
      <w:pPr>
        <w:tabs>
          <w:tab w:val="num" w:pos="2160"/>
        </w:tabs>
        <w:ind w:left="2160" w:hanging="720"/>
      </w:pPr>
      <w:rPr>
        <w:b w:val="0"/>
        <w:i/>
        <w:caps w:val="0"/>
        <w:strike w:val="0"/>
        <w:dstrike w:val="0"/>
        <w:vanish w:val="0"/>
        <w:color w:val="auto"/>
        <w:u w:val="none"/>
        <w:effect w:val="none"/>
        <w:vertAlign w:val="baseline"/>
      </w:rPr>
    </w:lvl>
    <w:lvl w:ilvl="3">
      <w:start w:val="1"/>
      <w:numFmt w:val="lowerRoman"/>
      <w:pStyle w:val="Outline3L4"/>
      <w:lvlText w:val="(%4)"/>
      <w:lvlJc w:val="left"/>
      <w:pPr>
        <w:tabs>
          <w:tab w:val="num" w:pos="1440"/>
        </w:tabs>
        <w:ind w:left="1440" w:hanging="720"/>
      </w:pPr>
      <w:rPr>
        <w:b w:val="0"/>
        <w:i w:val="0"/>
        <w:caps w:val="0"/>
        <w:strike w:val="0"/>
        <w:dstrike w:val="0"/>
        <w:vanish w:val="0"/>
        <w:color w:val="auto"/>
        <w:u w:val="none"/>
        <w:effect w:val="none"/>
        <w:vertAlign w:val="baseline"/>
      </w:rPr>
    </w:lvl>
    <w:lvl w:ilvl="4">
      <w:start w:val="1"/>
      <w:numFmt w:val="lowerLetter"/>
      <w:pStyle w:val="Outline3L5"/>
      <w:lvlText w:val="(%5)"/>
      <w:lvlJc w:val="left"/>
      <w:pPr>
        <w:tabs>
          <w:tab w:val="num" w:pos="1440"/>
        </w:tabs>
        <w:ind w:left="1440" w:hanging="720"/>
      </w:pPr>
      <w:rPr>
        <w:b w:val="0"/>
        <w:i w:val="0"/>
        <w:caps w:val="0"/>
        <w:color w:val="auto"/>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6C6EB8"/>
    <w:multiLevelType w:val="hybridMultilevel"/>
    <w:tmpl w:val="6E2021E0"/>
    <w:lvl w:ilvl="0" w:tplc="9958645E">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BC286D"/>
    <w:multiLevelType w:val="multilevel"/>
    <w:tmpl w:val="15D869B6"/>
    <w:lvl w:ilvl="0">
      <w:numFmt w:val="bullet"/>
      <w:lvlText w:val="-"/>
      <w:lvlJc w:val="left"/>
      <w:pPr>
        <w:ind w:left="780" w:hanging="360"/>
      </w:pPr>
      <w:rPr>
        <w:rFonts w:ascii="Times New Roman" w:eastAsia="Calibri" w:hAnsi="Times New Roman" w:cs="Times New Roman"/>
      </w:rPr>
    </w:lvl>
    <w:lvl w:ilvl="1">
      <w:numFmt w:val="bullet"/>
      <w:lvlText w:val="–"/>
      <w:lvlJc w:val="left"/>
      <w:pPr>
        <w:ind w:left="1500" w:hanging="360"/>
      </w:pPr>
      <w:rPr>
        <w:rFonts w:ascii="Times New Roman" w:eastAsia="Calibri" w:hAnsi="Times New Roman" w:cs="Times New Roman"/>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9" w15:restartNumberingAfterBreak="0">
    <w:nsid w:val="464D2F82"/>
    <w:multiLevelType w:val="hybridMultilevel"/>
    <w:tmpl w:val="99386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8203452"/>
    <w:multiLevelType w:val="hybridMultilevel"/>
    <w:tmpl w:val="82D83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2F8296D"/>
    <w:multiLevelType w:val="hybridMultilevel"/>
    <w:tmpl w:val="37BEC818"/>
    <w:lvl w:ilvl="0" w:tplc="56E27CEE">
      <w:start w:val="7"/>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3DD07B4"/>
    <w:multiLevelType w:val="hybridMultilevel"/>
    <w:tmpl w:val="8FA2B070"/>
    <w:lvl w:ilvl="0" w:tplc="E654DDC6">
      <w:start w:val="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C00727"/>
    <w:multiLevelType w:val="hybridMultilevel"/>
    <w:tmpl w:val="98822880"/>
    <w:lvl w:ilvl="0" w:tplc="3AD2F850">
      <w:start w:val="575"/>
      <w:numFmt w:val="bullet"/>
      <w:lvlText w:val="-"/>
      <w:lvlJc w:val="left"/>
      <w:pPr>
        <w:ind w:left="410" w:hanging="360"/>
      </w:pPr>
      <w:rPr>
        <w:rFonts w:ascii="Calibri" w:eastAsia="Times New Roman" w:hAnsi="Calibri"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24" w15:restartNumberingAfterBreak="0">
    <w:nsid w:val="5F1D15AB"/>
    <w:multiLevelType w:val="hybridMultilevel"/>
    <w:tmpl w:val="CD98D75C"/>
    <w:lvl w:ilvl="0" w:tplc="9976E7BC">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491486D"/>
    <w:multiLevelType w:val="hybridMultilevel"/>
    <w:tmpl w:val="81286F2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6" w15:restartNumberingAfterBreak="0">
    <w:nsid w:val="714D762E"/>
    <w:multiLevelType w:val="hybridMultilevel"/>
    <w:tmpl w:val="19CAA394"/>
    <w:lvl w:ilvl="0" w:tplc="B5007376">
      <w:start w:val="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48E4719"/>
    <w:multiLevelType w:val="singleLevel"/>
    <w:tmpl w:val="D20215D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8" w15:restartNumberingAfterBreak="0">
    <w:nsid w:val="7E2D54EB"/>
    <w:multiLevelType w:val="hybridMultilevel"/>
    <w:tmpl w:val="04268EC8"/>
    <w:lvl w:ilvl="0" w:tplc="38C8B9C4">
      <w:start w:val="9"/>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F08277F"/>
    <w:multiLevelType w:val="hybridMultilevel"/>
    <w:tmpl w:val="BB36A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9"/>
  </w:num>
  <w:num w:numId="3">
    <w:abstractNumId w:val="15"/>
  </w:num>
  <w:num w:numId="4">
    <w:abstractNumId w:val="2"/>
  </w:num>
  <w:num w:numId="5">
    <w:abstractNumId w:val="9"/>
  </w:num>
  <w:num w:numId="6">
    <w:abstractNumId w:val="6"/>
  </w:num>
  <w:num w:numId="7">
    <w:abstractNumId w:val="1"/>
  </w:num>
  <w:num w:numId="8">
    <w:abstractNumId w:val="18"/>
  </w:num>
  <w:num w:numId="9">
    <w:abstractNumId w:val="1"/>
  </w:num>
  <w:num w:numId="10">
    <w:abstractNumId w:val="1"/>
  </w:num>
  <w:num w:numId="11">
    <w:abstractNumId w:val="1"/>
  </w:num>
  <w:num w:numId="12">
    <w:abstractNumId w:val="24"/>
  </w:num>
  <w:num w:numId="13">
    <w:abstractNumId w:val="1"/>
  </w:num>
  <w:num w:numId="14">
    <w:abstractNumId w:val="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5"/>
  </w:num>
  <w:num w:numId="18">
    <w:abstractNumId w:val="12"/>
  </w:num>
  <w:num w:numId="19">
    <w:abstractNumId w:val="1"/>
  </w:num>
  <w:num w:numId="20">
    <w:abstractNumId w:val="1"/>
  </w:num>
  <w:num w:numId="21">
    <w:abstractNumId w:val="22"/>
  </w:num>
  <w:num w:numId="22">
    <w:abstractNumId w:val="20"/>
  </w:num>
  <w:num w:numId="23">
    <w:abstractNumId w:val="1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8"/>
  </w:num>
  <w:num w:numId="27">
    <w:abstractNumId w:val="19"/>
  </w:num>
  <w:num w:numId="28">
    <w:abstractNumId w:val="1"/>
  </w:num>
  <w:num w:numId="29">
    <w:abstractNumId w:val="3"/>
  </w:num>
  <w:num w:numId="30">
    <w:abstractNumId w:val="16"/>
    <w:lvlOverride w:ilvl="0">
      <w:startOverride w:val="8"/>
    </w:lvlOverride>
  </w:num>
  <w:num w:numId="31">
    <w:abstractNumId w:val="11"/>
  </w:num>
  <w:num w:numId="32">
    <w:abstractNumId w:val="28"/>
  </w:num>
  <w:num w:numId="33">
    <w:abstractNumId w:val="10"/>
  </w:num>
  <w:num w:numId="34">
    <w:abstractNumId w:val="27"/>
  </w:num>
  <w:num w:numId="35">
    <w:abstractNumId w:val="14"/>
  </w:num>
  <w:num w:numId="36">
    <w:abstractNumId w:val="26"/>
  </w:num>
  <w:num w:numId="37">
    <w:abstractNumId w:val="21"/>
  </w:num>
  <w:num w:numId="38">
    <w:abstractNumId w:val="3"/>
  </w:num>
  <w:num w:numId="39">
    <w:abstractNumId w:val="13"/>
  </w:num>
  <w:num w:numId="40">
    <w:abstractNumId w:val="27"/>
  </w:num>
  <w:num w:numId="41">
    <w:abstractNumId w:val="23"/>
  </w:num>
  <w:num w:numId="42">
    <w:abstractNumId w:val="0"/>
  </w:num>
  <w:num w:numId="4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7C"/>
    <w:rsid w:val="00002B73"/>
    <w:rsid w:val="00003198"/>
    <w:rsid w:val="00005CC8"/>
    <w:rsid w:val="0000621F"/>
    <w:rsid w:val="000066F8"/>
    <w:rsid w:val="00007070"/>
    <w:rsid w:val="00007F65"/>
    <w:rsid w:val="00010595"/>
    <w:rsid w:val="00010C77"/>
    <w:rsid w:val="00010D54"/>
    <w:rsid w:val="0001159C"/>
    <w:rsid w:val="00012906"/>
    <w:rsid w:val="000135BC"/>
    <w:rsid w:val="00013D2C"/>
    <w:rsid w:val="00014394"/>
    <w:rsid w:val="0001669D"/>
    <w:rsid w:val="000166EB"/>
    <w:rsid w:val="00016C8A"/>
    <w:rsid w:val="00016FBD"/>
    <w:rsid w:val="00020331"/>
    <w:rsid w:val="000239FA"/>
    <w:rsid w:val="00025E87"/>
    <w:rsid w:val="00026AF0"/>
    <w:rsid w:val="00032964"/>
    <w:rsid w:val="00035F53"/>
    <w:rsid w:val="00036007"/>
    <w:rsid w:val="00040CED"/>
    <w:rsid w:val="00040D17"/>
    <w:rsid w:val="00042424"/>
    <w:rsid w:val="00043F7D"/>
    <w:rsid w:val="000445DB"/>
    <w:rsid w:val="0004532C"/>
    <w:rsid w:val="000464AF"/>
    <w:rsid w:val="00047A95"/>
    <w:rsid w:val="00047B4E"/>
    <w:rsid w:val="000509D3"/>
    <w:rsid w:val="00053FF5"/>
    <w:rsid w:val="00054ABC"/>
    <w:rsid w:val="000556FE"/>
    <w:rsid w:val="00056B2A"/>
    <w:rsid w:val="0006006C"/>
    <w:rsid w:val="000609B9"/>
    <w:rsid w:val="000612DD"/>
    <w:rsid w:val="000622BA"/>
    <w:rsid w:val="00063735"/>
    <w:rsid w:val="000642A8"/>
    <w:rsid w:val="00064ACE"/>
    <w:rsid w:val="00065346"/>
    <w:rsid w:val="0006578F"/>
    <w:rsid w:val="00066082"/>
    <w:rsid w:val="00070427"/>
    <w:rsid w:val="00072726"/>
    <w:rsid w:val="0007282E"/>
    <w:rsid w:val="00072C2D"/>
    <w:rsid w:val="00074DE3"/>
    <w:rsid w:val="00076125"/>
    <w:rsid w:val="00076395"/>
    <w:rsid w:val="0007714B"/>
    <w:rsid w:val="00077EB8"/>
    <w:rsid w:val="00077EC6"/>
    <w:rsid w:val="00080150"/>
    <w:rsid w:val="000811A1"/>
    <w:rsid w:val="00081505"/>
    <w:rsid w:val="0008346D"/>
    <w:rsid w:val="00083AA4"/>
    <w:rsid w:val="00084C96"/>
    <w:rsid w:val="000856DC"/>
    <w:rsid w:val="00085C11"/>
    <w:rsid w:val="00086609"/>
    <w:rsid w:val="00086C0B"/>
    <w:rsid w:val="0008777B"/>
    <w:rsid w:val="00090104"/>
    <w:rsid w:val="00092191"/>
    <w:rsid w:val="00092F37"/>
    <w:rsid w:val="0009498C"/>
    <w:rsid w:val="000955F5"/>
    <w:rsid w:val="000974A1"/>
    <w:rsid w:val="000A0936"/>
    <w:rsid w:val="000A1C0D"/>
    <w:rsid w:val="000A5A8F"/>
    <w:rsid w:val="000A6403"/>
    <w:rsid w:val="000A6725"/>
    <w:rsid w:val="000A7A13"/>
    <w:rsid w:val="000B057E"/>
    <w:rsid w:val="000B12E6"/>
    <w:rsid w:val="000B3616"/>
    <w:rsid w:val="000B5370"/>
    <w:rsid w:val="000B57F7"/>
    <w:rsid w:val="000B5C28"/>
    <w:rsid w:val="000B63B0"/>
    <w:rsid w:val="000B66EB"/>
    <w:rsid w:val="000B7B85"/>
    <w:rsid w:val="000C0F4D"/>
    <w:rsid w:val="000C1E7B"/>
    <w:rsid w:val="000C375A"/>
    <w:rsid w:val="000C3978"/>
    <w:rsid w:val="000C52EE"/>
    <w:rsid w:val="000C7581"/>
    <w:rsid w:val="000D2586"/>
    <w:rsid w:val="000D3BA7"/>
    <w:rsid w:val="000D602D"/>
    <w:rsid w:val="000E0979"/>
    <w:rsid w:val="000E1472"/>
    <w:rsid w:val="000E4C4D"/>
    <w:rsid w:val="000E5149"/>
    <w:rsid w:val="000E553A"/>
    <w:rsid w:val="000E65B9"/>
    <w:rsid w:val="000E70E8"/>
    <w:rsid w:val="000E73B3"/>
    <w:rsid w:val="000F0DDF"/>
    <w:rsid w:val="000F0F54"/>
    <w:rsid w:val="000F2372"/>
    <w:rsid w:val="000F463A"/>
    <w:rsid w:val="000F482C"/>
    <w:rsid w:val="000F560A"/>
    <w:rsid w:val="000F5CA8"/>
    <w:rsid w:val="000F5FA0"/>
    <w:rsid w:val="000F72E9"/>
    <w:rsid w:val="001009AD"/>
    <w:rsid w:val="00100EF5"/>
    <w:rsid w:val="00104B07"/>
    <w:rsid w:val="001053BD"/>
    <w:rsid w:val="00107449"/>
    <w:rsid w:val="00112C2B"/>
    <w:rsid w:val="001134A6"/>
    <w:rsid w:val="001134D8"/>
    <w:rsid w:val="001148A7"/>
    <w:rsid w:val="001148AA"/>
    <w:rsid w:val="001151AE"/>
    <w:rsid w:val="0011528D"/>
    <w:rsid w:val="00115E0F"/>
    <w:rsid w:val="00116176"/>
    <w:rsid w:val="00116E39"/>
    <w:rsid w:val="001201ED"/>
    <w:rsid w:val="00121244"/>
    <w:rsid w:val="001216ED"/>
    <w:rsid w:val="0012210C"/>
    <w:rsid w:val="00122B53"/>
    <w:rsid w:val="00123936"/>
    <w:rsid w:val="0012398D"/>
    <w:rsid w:val="00125303"/>
    <w:rsid w:val="00125412"/>
    <w:rsid w:val="001276CC"/>
    <w:rsid w:val="001302E6"/>
    <w:rsid w:val="00131514"/>
    <w:rsid w:val="0013269B"/>
    <w:rsid w:val="0013306E"/>
    <w:rsid w:val="00141512"/>
    <w:rsid w:val="00141D91"/>
    <w:rsid w:val="00142B43"/>
    <w:rsid w:val="001430B6"/>
    <w:rsid w:val="00145183"/>
    <w:rsid w:val="0014535E"/>
    <w:rsid w:val="00146123"/>
    <w:rsid w:val="001462B4"/>
    <w:rsid w:val="001468DB"/>
    <w:rsid w:val="00150489"/>
    <w:rsid w:val="0015097D"/>
    <w:rsid w:val="001509AE"/>
    <w:rsid w:val="0015134B"/>
    <w:rsid w:val="001531D9"/>
    <w:rsid w:val="00153EAF"/>
    <w:rsid w:val="00154EC5"/>
    <w:rsid w:val="00154F4C"/>
    <w:rsid w:val="001557F6"/>
    <w:rsid w:val="00156159"/>
    <w:rsid w:val="00157389"/>
    <w:rsid w:val="00157582"/>
    <w:rsid w:val="0016005B"/>
    <w:rsid w:val="00160E27"/>
    <w:rsid w:val="00161450"/>
    <w:rsid w:val="001619FE"/>
    <w:rsid w:val="001633C6"/>
    <w:rsid w:val="00163A44"/>
    <w:rsid w:val="0016629F"/>
    <w:rsid w:val="001667D6"/>
    <w:rsid w:val="00167524"/>
    <w:rsid w:val="001676E2"/>
    <w:rsid w:val="00170EA4"/>
    <w:rsid w:val="0017122F"/>
    <w:rsid w:val="0017127D"/>
    <w:rsid w:val="00171719"/>
    <w:rsid w:val="00173963"/>
    <w:rsid w:val="0017469F"/>
    <w:rsid w:val="00174A37"/>
    <w:rsid w:val="00174BF6"/>
    <w:rsid w:val="00177246"/>
    <w:rsid w:val="00180879"/>
    <w:rsid w:val="00183DC5"/>
    <w:rsid w:val="00184DAE"/>
    <w:rsid w:val="00185884"/>
    <w:rsid w:val="00185E74"/>
    <w:rsid w:val="00191C25"/>
    <w:rsid w:val="00194256"/>
    <w:rsid w:val="001959A2"/>
    <w:rsid w:val="001975CA"/>
    <w:rsid w:val="0019799F"/>
    <w:rsid w:val="001A0417"/>
    <w:rsid w:val="001A04B7"/>
    <w:rsid w:val="001A071E"/>
    <w:rsid w:val="001A19EA"/>
    <w:rsid w:val="001A1E94"/>
    <w:rsid w:val="001A23CC"/>
    <w:rsid w:val="001A445A"/>
    <w:rsid w:val="001A52FE"/>
    <w:rsid w:val="001A587A"/>
    <w:rsid w:val="001A6AEE"/>
    <w:rsid w:val="001A6ECC"/>
    <w:rsid w:val="001A71B6"/>
    <w:rsid w:val="001A728A"/>
    <w:rsid w:val="001B0DE2"/>
    <w:rsid w:val="001B1D29"/>
    <w:rsid w:val="001B423E"/>
    <w:rsid w:val="001B44AF"/>
    <w:rsid w:val="001B62F8"/>
    <w:rsid w:val="001B6321"/>
    <w:rsid w:val="001B645A"/>
    <w:rsid w:val="001B6772"/>
    <w:rsid w:val="001B6945"/>
    <w:rsid w:val="001B6E34"/>
    <w:rsid w:val="001C3B4B"/>
    <w:rsid w:val="001C5D99"/>
    <w:rsid w:val="001C72C9"/>
    <w:rsid w:val="001C7DE1"/>
    <w:rsid w:val="001D17BE"/>
    <w:rsid w:val="001D2236"/>
    <w:rsid w:val="001D2CA7"/>
    <w:rsid w:val="001D402A"/>
    <w:rsid w:val="001D434E"/>
    <w:rsid w:val="001D6310"/>
    <w:rsid w:val="001D662E"/>
    <w:rsid w:val="001E1268"/>
    <w:rsid w:val="001E17CB"/>
    <w:rsid w:val="001E37A0"/>
    <w:rsid w:val="001E383F"/>
    <w:rsid w:val="001E6315"/>
    <w:rsid w:val="001E6515"/>
    <w:rsid w:val="001F1532"/>
    <w:rsid w:val="001F37AF"/>
    <w:rsid w:val="001F678A"/>
    <w:rsid w:val="001F7499"/>
    <w:rsid w:val="001F7832"/>
    <w:rsid w:val="00200313"/>
    <w:rsid w:val="0020051A"/>
    <w:rsid w:val="00200DCF"/>
    <w:rsid w:val="002010B0"/>
    <w:rsid w:val="00201ABE"/>
    <w:rsid w:val="002026DD"/>
    <w:rsid w:val="00204448"/>
    <w:rsid w:val="00206FFA"/>
    <w:rsid w:val="0020732D"/>
    <w:rsid w:val="002077FC"/>
    <w:rsid w:val="00210205"/>
    <w:rsid w:val="00213C02"/>
    <w:rsid w:val="00215563"/>
    <w:rsid w:val="00215603"/>
    <w:rsid w:val="002162AA"/>
    <w:rsid w:val="002170FF"/>
    <w:rsid w:val="00217435"/>
    <w:rsid w:val="002202B2"/>
    <w:rsid w:val="002215F2"/>
    <w:rsid w:val="00221A6C"/>
    <w:rsid w:val="00222B92"/>
    <w:rsid w:val="002234C6"/>
    <w:rsid w:val="00225DF6"/>
    <w:rsid w:val="00225E44"/>
    <w:rsid w:val="00226255"/>
    <w:rsid w:val="00227218"/>
    <w:rsid w:val="002304A7"/>
    <w:rsid w:val="00230F82"/>
    <w:rsid w:val="0023191C"/>
    <w:rsid w:val="00231A99"/>
    <w:rsid w:val="0023352B"/>
    <w:rsid w:val="00234656"/>
    <w:rsid w:val="002364B9"/>
    <w:rsid w:val="00236AB5"/>
    <w:rsid w:val="00237FCE"/>
    <w:rsid w:val="0024030F"/>
    <w:rsid w:val="002409DC"/>
    <w:rsid w:val="00240A68"/>
    <w:rsid w:val="00240EC0"/>
    <w:rsid w:val="00241501"/>
    <w:rsid w:val="00242E1F"/>
    <w:rsid w:val="0024343B"/>
    <w:rsid w:val="0024411C"/>
    <w:rsid w:val="00244D3C"/>
    <w:rsid w:val="00246D57"/>
    <w:rsid w:val="00246E11"/>
    <w:rsid w:val="002477BB"/>
    <w:rsid w:val="00251789"/>
    <w:rsid w:val="00251AAB"/>
    <w:rsid w:val="0025273E"/>
    <w:rsid w:val="00252FEE"/>
    <w:rsid w:val="00253D5C"/>
    <w:rsid w:val="00253F42"/>
    <w:rsid w:val="002555ED"/>
    <w:rsid w:val="00256AFF"/>
    <w:rsid w:val="00257340"/>
    <w:rsid w:val="002607FC"/>
    <w:rsid w:val="00261B5E"/>
    <w:rsid w:val="002640BD"/>
    <w:rsid w:val="0026426D"/>
    <w:rsid w:val="00265562"/>
    <w:rsid w:val="002665A0"/>
    <w:rsid w:val="00267281"/>
    <w:rsid w:val="0026785C"/>
    <w:rsid w:val="00270C8C"/>
    <w:rsid w:val="002715B9"/>
    <w:rsid w:val="00271B3D"/>
    <w:rsid w:val="002754ED"/>
    <w:rsid w:val="002769CA"/>
    <w:rsid w:val="00276AF3"/>
    <w:rsid w:val="00276EF1"/>
    <w:rsid w:val="00282291"/>
    <w:rsid w:val="002825BB"/>
    <w:rsid w:val="002833EE"/>
    <w:rsid w:val="002841DD"/>
    <w:rsid w:val="00284843"/>
    <w:rsid w:val="00285AA7"/>
    <w:rsid w:val="00285DEC"/>
    <w:rsid w:val="00285F2E"/>
    <w:rsid w:val="002874C2"/>
    <w:rsid w:val="00290218"/>
    <w:rsid w:val="00290357"/>
    <w:rsid w:val="0029063E"/>
    <w:rsid w:val="00290AE5"/>
    <w:rsid w:val="00291D34"/>
    <w:rsid w:val="00292A77"/>
    <w:rsid w:val="002938CE"/>
    <w:rsid w:val="00294874"/>
    <w:rsid w:val="0029530A"/>
    <w:rsid w:val="00297E7F"/>
    <w:rsid w:val="002A03FF"/>
    <w:rsid w:val="002A0DAD"/>
    <w:rsid w:val="002A4AAD"/>
    <w:rsid w:val="002A4D5B"/>
    <w:rsid w:val="002A6191"/>
    <w:rsid w:val="002B0064"/>
    <w:rsid w:val="002B0E29"/>
    <w:rsid w:val="002B37AE"/>
    <w:rsid w:val="002B41C8"/>
    <w:rsid w:val="002B5EDD"/>
    <w:rsid w:val="002B68A4"/>
    <w:rsid w:val="002B79DC"/>
    <w:rsid w:val="002C121A"/>
    <w:rsid w:val="002C13D9"/>
    <w:rsid w:val="002C1D70"/>
    <w:rsid w:val="002C24A7"/>
    <w:rsid w:val="002C7B96"/>
    <w:rsid w:val="002D14CE"/>
    <w:rsid w:val="002D7495"/>
    <w:rsid w:val="002D76E6"/>
    <w:rsid w:val="002D7832"/>
    <w:rsid w:val="002D7B3D"/>
    <w:rsid w:val="002E017E"/>
    <w:rsid w:val="002E211B"/>
    <w:rsid w:val="002E32AD"/>
    <w:rsid w:val="002E337B"/>
    <w:rsid w:val="002E4C30"/>
    <w:rsid w:val="002E6411"/>
    <w:rsid w:val="002F15EB"/>
    <w:rsid w:val="002F1D86"/>
    <w:rsid w:val="002F3369"/>
    <w:rsid w:val="002F3470"/>
    <w:rsid w:val="002F4734"/>
    <w:rsid w:val="002F5111"/>
    <w:rsid w:val="002F5E25"/>
    <w:rsid w:val="002F68FF"/>
    <w:rsid w:val="00300BF1"/>
    <w:rsid w:val="00301584"/>
    <w:rsid w:val="00302D58"/>
    <w:rsid w:val="00302E48"/>
    <w:rsid w:val="00304E78"/>
    <w:rsid w:val="00307323"/>
    <w:rsid w:val="0030795D"/>
    <w:rsid w:val="00307A4D"/>
    <w:rsid w:val="00311B12"/>
    <w:rsid w:val="00312800"/>
    <w:rsid w:val="00314FC0"/>
    <w:rsid w:val="0031509D"/>
    <w:rsid w:val="0031595F"/>
    <w:rsid w:val="00315BF0"/>
    <w:rsid w:val="00316162"/>
    <w:rsid w:val="00316E2B"/>
    <w:rsid w:val="00317234"/>
    <w:rsid w:val="00317F0C"/>
    <w:rsid w:val="00322A10"/>
    <w:rsid w:val="00322BC9"/>
    <w:rsid w:val="00323A35"/>
    <w:rsid w:val="00323BDA"/>
    <w:rsid w:val="00326178"/>
    <w:rsid w:val="00327201"/>
    <w:rsid w:val="0033022B"/>
    <w:rsid w:val="003309E1"/>
    <w:rsid w:val="00332F48"/>
    <w:rsid w:val="00333393"/>
    <w:rsid w:val="00333681"/>
    <w:rsid w:val="003352B3"/>
    <w:rsid w:val="00337897"/>
    <w:rsid w:val="00340D20"/>
    <w:rsid w:val="003418F1"/>
    <w:rsid w:val="00341F66"/>
    <w:rsid w:val="00342321"/>
    <w:rsid w:val="00342772"/>
    <w:rsid w:val="00343166"/>
    <w:rsid w:val="00343341"/>
    <w:rsid w:val="00343E70"/>
    <w:rsid w:val="0034408B"/>
    <w:rsid w:val="003448E2"/>
    <w:rsid w:val="00344AC6"/>
    <w:rsid w:val="0034603D"/>
    <w:rsid w:val="003478A0"/>
    <w:rsid w:val="00350AE0"/>
    <w:rsid w:val="0035558E"/>
    <w:rsid w:val="00355C90"/>
    <w:rsid w:val="00357765"/>
    <w:rsid w:val="00361CC2"/>
    <w:rsid w:val="00361FA6"/>
    <w:rsid w:val="00363AD2"/>
    <w:rsid w:val="00363FF3"/>
    <w:rsid w:val="0036404F"/>
    <w:rsid w:val="00364F44"/>
    <w:rsid w:val="00365DAA"/>
    <w:rsid w:val="0036737F"/>
    <w:rsid w:val="00370AA1"/>
    <w:rsid w:val="00370D77"/>
    <w:rsid w:val="00371F05"/>
    <w:rsid w:val="00373A08"/>
    <w:rsid w:val="00376651"/>
    <w:rsid w:val="00380D85"/>
    <w:rsid w:val="00382096"/>
    <w:rsid w:val="0038612F"/>
    <w:rsid w:val="00386274"/>
    <w:rsid w:val="0038694B"/>
    <w:rsid w:val="00386B7C"/>
    <w:rsid w:val="003924FD"/>
    <w:rsid w:val="003930AA"/>
    <w:rsid w:val="0039322D"/>
    <w:rsid w:val="00393896"/>
    <w:rsid w:val="00395906"/>
    <w:rsid w:val="0039644E"/>
    <w:rsid w:val="003A17DF"/>
    <w:rsid w:val="003A17FB"/>
    <w:rsid w:val="003A1B6E"/>
    <w:rsid w:val="003A1C91"/>
    <w:rsid w:val="003A1E07"/>
    <w:rsid w:val="003A2442"/>
    <w:rsid w:val="003A35CB"/>
    <w:rsid w:val="003A4567"/>
    <w:rsid w:val="003A5060"/>
    <w:rsid w:val="003A5A8E"/>
    <w:rsid w:val="003A60F6"/>
    <w:rsid w:val="003B0543"/>
    <w:rsid w:val="003B228B"/>
    <w:rsid w:val="003B52D2"/>
    <w:rsid w:val="003B7833"/>
    <w:rsid w:val="003B7849"/>
    <w:rsid w:val="003C05F6"/>
    <w:rsid w:val="003C0E2F"/>
    <w:rsid w:val="003C0E9A"/>
    <w:rsid w:val="003C1CD1"/>
    <w:rsid w:val="003C3DFF"/>
    <w:rsid w:val="003C515A"/>
    <w:rsid w:val="003C5CA3"/>
    <w:rsid w:val="003D05FE"/>
    <w:rsid w:val="003D07C2"/>
    <w:rsid w:val="003D161D"/>
    <w:rsid w:val="003D2594"/>
    <w:rsid w:val="003D40F4"/>
    <w:rsid w:val="003D6B7B"/>
    <w:rsid w:val="003D787C"/>
    <w:rsid w:val="003E16A4"/>
    <w:rsid w:val="003E22AB"/>
    <w:rsid w:val="003E48A8"/>
    <w:rsid w:val="003E505D"/>
    <w:rsid w:val="003E5093"/>
    <w:rsid w:val="003E69D7"/>
    <w:rsid w:val="003E6A6E"/>
    <w:rsid w:val="003E7497"/>
    <w:rsid w:val="003E7DBE"/>
    <w:rsid w:val="003F092D"/>
    <w:rsid w:val="003F3852"/>
    <w:rsid w:val="003F3D26"/>
    <w:rsid w:val="003F4908"/>
    <w:rsid w:val="003F5A70"/>
    <w:rsid w:val="003F5B39"/>
    <w:rsid w:val="003F6244"/>
    <w:rsid w:val="003F700F"/>
    <w:rsid w:val="003F7A8E"/>
    <w:rsid w:val="004001E7"/>
    <w:rsid w:val="004002C1"/>
    <w:rsid w:val="00403CA4"/>
    <w:rsid w:val="004043D3"/>
    <w:rsid w:val="00404DFD"/>
    <w:rsid w:val="00410479"/>
    <w:rsid w:val="00411A3F"/>
    <w:rsid w:val="00411B8B"/>
    <w:rsid w:val="00411FB7"/>
    <w:rsid w:val="00414ADB"/>
    <w:rsid w:val="00414CAE"/>
    <w:rsid w:val="00416542"/>
    <w:rsid w:val="00417B0D"/>
    <w:rsid w:val="004206A6"/>
    <w:rsid w:val="0042160C"/>
    <w:rsid w:val="00421B1A"/>
    <w:rsid w:val="0042284C"/>
    <w:rsid w:val="00425269"/>
    <w:rsid w:val="0042712B"/>
    <w:rsid w:val="00430E4A"/>
    <w:rsid w:val="0043257B"/>
    <w:rsid w:val="00436A7D"/>
    <w:rsid w:val="004374F7"/>
    <w:rsid w:val="00437773"/>
    <w:rsid w:val="00437C86"/>
    <w:rsid w:val="00440CD1"/>
    <w:rsid w:val="004411E1"/>
    <w:rsid w:val="00442786"/>
    <w:rsid w:val="00445166"/>
    <w:rsid w:val="00445EF1"/>
    <w:rsid w:val="00445FFA"/>
    <w:rsid w:val="00447632"/>
    <w:rsid w:val="00447E9B"/>
    <w:rsid w:val="004528CD"/>
    <w:rsid w:val="00452D29"/>
    <w:rsid w:val="00452D9B"/>
    <w:rsid w:val="004530E1"/>
    <w:rsid w:val="00453352"/>
    <w:rsid w:val="00454307"/>
    <w:rsid w:val="00454430"/>
    <w:rsid w:val="0045708C"/>
    <w:rsid w:val="00460E69"/>
    <w:rsid w:val="00461452"/>
    <w:rsid w:val="00461C8C"/>
    <w:rsid w:val="0046249D"/>
    <w:rsid w:val="004655CC"/>
    <w:rsid w:val="00465A7E"/>
    <w:rsid w:val="00465CA2"/>
    <w:rsid w:val="0046637E"/>
    <w:rsid w:val="00470A9A"/>
    <w:rsid w:val="004714E8"/>
    <w:rsid w:val="004722A1"/>
    <w:rsid w:val="00472322"/>
    <w:rsid w:val="00475018"/>
    <w:rsid w:val="0047643B"/>
    <w:rsid w:val="00476B1E"/>
    <w:rsid w:val="00476CC6"/>
    <w:rsid w:val="00477932"/>
    <w:rsid w:val="00483427"/>
    <w:rsid w:val="00483804"/>
    <w:rsid w:val="00486048"/>
    <w:rsid w:val="004943B8"/>
    <w:rsid w:val="00494B01"/>
    <w:rsid w:val="0049509B"/>
    <w:rsid w:val="004952C9"/>
    <w:rsid w:val="00495825"/>
    <w:rsid w:val="00496492"/>
    <w:rsid w:val="00497C17"/>
    <w:rsid w:val="004A0038"/>
    <w:rsid w:val="004A2EF9"/>
    <w:rsid w:val="004A357A"/>
    <w:rsid w:val="004A39F5"/>
    <w:rsid w:val="004A56EC"/>
    <w:rsid w:val="004A6FAA"/>
    <w:rsid w:val="004B1B5C"/>
    <w:rsid w:val="004B2E20"/>
    <w:rsid w:val="004B3833"/>
    <w:rsid w:val="004B405F"/>
    <w:rsid w:val="004B46A4"/>
    <w:rsid w:val="004B4B15"/>
    <w:rsid w:val="004B4DF6"/>
    <w:rsid w:val="004B535E"/>
    <w:rsid w:val="004B691A"/>
    <w:rsid w:val="004B71D3"/>
    <w:rsid w:val="004C1B72"/>
    <w:rsid w:val="004C2240"/>
    <w:rsid w:val="004C4AAE"/>
    <w:rsid w:val="004C5A0D"/>
    <w:rsid w:val="004C5C09"/>
    <w:rsid w:val="004C68E6"/>
    <w:rsid w:val="004C755B"/>
    <w:rsid w:val="004D0003"/>
    <w:rsid w:val="004D2BD1"/>
    <w:rsid w:val="004D434E"/>
    <w:rsid w:val="004D4C3D"/>
    <w:rsid w:val="004D7012"/>
    <w:rsid w:val="004D7A07"/>
    <w:rsid w:val="004D7B49"/>
    <w:rsid w:val="004E045B"/>
    <w:rsid w:val="004E0EBF"/>
    <w:rsid w:val="004E1A23"/>
    <w:rsid w:val="004E3273"/>
    <w:rsid w:val="004E38A2"/>
    <w:rsid w:val="004E4001"/>
    <w:rsid w:val="004E5B06"/>
    <w:rsid w:val="004E6BE4"/>
    <w:rsid w:val="004F1B64"/>
    <w:rsid w:val="004F2329"/>
    <w:rsid w:val="004F26D3"/>
    <w:rsid w:val="004F2AC6"/>
    <w:rsid w:val="004F6A8B"/>
    <w:rsid w:val="004F7450"/>
    <w:rsid w:val="004F7C8A"/>
    <w:rsid w:val="005015AD"/>
    <w:rsid w:val="00502966"/>
    <w:rsid w:val="00503302"/>
    <w:rsid w:val="005035A4"/>
    <w:rsid w:val="005039B9"/>
    <w:rsid w:val="00503B1E"/>
    <w:rsid w:val="00504597"/>
    <w:rsid w:val="00505482"/>
    <w:rsid w:val="0050581A"/>
    <w:rsid w:val="0050628E"/>
    <w:rsid w:val="00506AF6"/>
    <w:rsid w:val="005102A9"/>
    <w:rsid w:val="005110F2"/>
    <w:rsid w:val="005111E9"/>
    <w:rsid w:val="005112EA"/>
    <w:rsid w:val="00511CE6"/>
    <w:rsid w:val="005124A4"/>
    <w:rsid w:val="0051309E"/>
    <w:rsid w:val="00516C17"/>
    <w:rsid w:val="005178C7"/>
    <w:rsid w:val="005207D4"/>
    <w:rsid w:val="00522544"/>
    <w:rsid w:val="00522598"/>
    <w:rsid w:val="00522EDF"/>
    <w:rsid w:val="005246A1"/>
    <w:rsid w:val="005255A3"/>
    <w:rsid w:val="00526BDF"/>
    <w:rsid w:val="005314A5"/>
    <w:rsid w:val="00531716"/>
    <w:rsid w:val="00532253"/>
    <w:rsid w:val="005327D8"/>
    <w:rsid w:val="0053295A"/>
    <w:rsid w:val="00532F71"/>
    <w:rsid w:val="00533393"/>
    <w:rsid w:val="00533F58"/>
    <w:rsid w:val="00534D0F"/>
    <w:rsid w:val="00536D6D"/>
    <w:rsid w:val="00544C7B"/>
    <w:rsid w:val="00545DB5"/>
    <w:rsid w:val="00546B78"/>
    <w:rsid w:val="00547B43"/>
    <w:rsid w:val="005522FD"/>
    <w:rsid w:val="0055344D"/>
    <w:rsid w:val="005537E3"/>
    <w:rsid w:val="0055491C"/>
    <w:rsid w:val="00555666"/>
    <w:rsid w:val="00555BFB"/>
    <w:rsid w:val="00555D43"/>
    <w:rsid w:val="00556A4C"/>
    <w:rsid w:val="00556E6A"/>
    <w:rsid w:val="0056476B"/>
    <w:rsid w:val="00564BEF"/>
    <w:rsid w:val="005656C6"/>
    <w:rsid w:val="0056605E"/>
    <w:rsid w:val="005660A9"/>
    <w:rsid w:val="0056791D"/>
    <w:rsid w:val="005744E1"/>
    <w:rsid w:val="00575DA2"/>
    <w:rsid w:val="00575EB7"/>
    <w:rsid w:val="00576A34"/>
    <w:rsid w:val="005800A7"/>
    <w:rsid w:val="005818A4"/>
    <w:rsid w:val="005819F0"/>
    <w:rsid w:val="00584824"/>
    <w:rsid w:val="00586462"/>
    <w:rsid w:val="00587A7D"/>
    <w:rsid w:val="005958F6"/>
    <w:rsid w:val="00595AA2"/>
    <w:rsid w:val="00595CDB"/>
    <w:rsid w:val="005A2567"/>
    <w:rsid w:val="005A2B7E"/>
    <w:rsid w:val="005A4309"/>
    <w:rsid w:val="005A5328"/>
    <w:rsid w:val="005A6E2D"/>
    <w:rsid w:val="005A739C"/>
    <w:rsid w:val="005B0415"/>
    <w:rsid w:val="005B098E"/>
    <w:rsid w:val="005B1002"/>
    <w:rsid w:val="005B3561"/>
    <w:rsid w:val="005B4039"/>
    <w:rsid w:val="005B449C"/>
    <w:rsid w:val="005B4C2E"/>
    <w:rsid w:val="005B7495"/>
    <w:rsid w:val="005C1610"/>
    <w:rsid w:val="005C22DA"/>
    <w:rsid w:val="005C302E"/>
    <w:rsid w:val="005C4064"/>
    <w:rsid w:val="005C5357"/>
    <w:rsid w:val="005C5DF3"/>
    <w:rsid w:val="005C6039"/>
    <w:rsid w:val="005C65E6"/>
    <w:rsid w:val="005C70F9"/>
    <w:rsid w:val="005C7212"/>
    <w:rsid w:val="005D0427"/>
    <w:rsid w:val="005D04A6"/>
    <w:rsid w:val="005D1052"/>
    <w:rsid w:val="005D212E"/>
    <w:rsid w:val="005D2396"/>
    <w:rsid w:val="005D2618"/>
    <w:rsid w:val="005D2670"/>
    <w:rsid w:val="005D48F5"/>
    <w:rsid w:val="005D5FD6"/>
    <w:rsid w:val="005E0114"/>
    <w:rsid w:val="005E053B"/>
    <w:rsid w:val="005E0BDB"/>
    <w:rsid w:val="005E1E70"/>
    <w:rsid w:val="005E2108"/>
    <w:rsid w:val="005E443C"/>
    <w:rsid w:val="005E52E0"/>
    <w:rsid w:val="005E652B"/>
    <w:rsid w:val="005F045F"/>
    <w:rsid w:val="005F0CAC"/>
    <w:rsid w:val="005F175D"/>
    <w:rsid w:val="005F2C44"/>
    <w:rsid w:val="005F35D0"/>
    <w:rsid w:val="005F385C"/>
    <w:rsid w:val="005F4347"/>
    <w:rsid w:val="005F47CE"/>
    <w:rsid w:val="005F4B91"/>
    <w:rsid w:val="00600F83"/>
    <w:rsid w:val="00601415"/>
    <w:rsid w:val="006066EF"/>
    <w:rsid w:val="0060731F"/>
    <w:rsid w:val="00612CFF"/>
    <w:rsid w:val="00613B47"/>
    <w:rsid w:val="00613FDE"/>
    <w:rsid w:val="006147CB"/>
    <w:rsid w:val="006152D3"/>
    <w:rsid w:val="0061609C"/>
    <w:rsid w:val="00616DA8"/>
    <w:rsid w:val="00620319"/>
    <w:rsid w:val="00622236"/>
    <w:rsid w:val="00622327"/>
    <w:rsid w:val="006249E7"/>
    <w:rsid w:val="00625C9B"/>
    <w:rsid w:val="00625FC1"/>
    <w:rsid w:val="00626089"/>
    <w:rsid w:val="006264D4"/>
    <w:rsid w:val="00626B77"/>
    <w:rsid w:val="00626DC9"/>
    <w:rsid w:val="00630790"/>
    <w:rsid w:val="00632581"/>
    <w:rsid w:val="00632691"/>
    <w:rsid w:val="00635FBA"/>
    <w:rsid w:val="006362D9"/>
    <w:rsid w:val="00636459"/>
    <w:rsid w:val="00637139"/>
    <w:rsid w:val="006400B4"/>
    <w:rsid w:val="0064092B"/>
    <w:rsid w:val="00641E8D"/>
    <w:rsid w:val="00642A01"/>
    <w:rsid w:val="00643D21"/>
    <w:rsid w:val="006448F6"/>
    <w:rsid w:val="00645654"/>
    <w:rsid w:val="00645B4B"/>
    <w:rsid w:val="006502B1"/>
    <w:rsid w:val="00650BA3"/>
    <w:rsid w:val="00653D26"/>
    <w:rsid w:val="0065537F"/>
    <w:rsid w:val="006616DB"/>
    <w:rsid w:val="00665525"/>
    <w:rsid w:val="00665857"/>
    <w:rsid w:val="006664B1"/>
    <w:rsid w:val="00666CDA"/>
    <w:rsid w:val="00666E88"/>
    <w:rsid w:val="006670C3"/>
    <w:rsid w:val="006673D8"/>
    <w:rsid w:val="00667787"/>
    <w:rsid w:val="00667B06"/>
    <w:rsid w:val="006701FE"/>
    <w:rsid w:val="00670432"/>
    <w:rsid w:val="00672F49"/>
    <w:rsid w:val="00673E41"/>
    <w:rsid w:val="00674447"/>
    <w:rsid w:val="006760A9"/>
    <w:rsid w:val="0067660B"/>
    <w:rsid w:val="00677316"/>
    <w:rsid w:val="00681EE4"/>
    <w:rsid w:val="00684C64"/>
    <w:rsid w:val="006904D7"/>
    <w:rsid w:val="00690A1F"/>
    <w:rsid w:val="00691A81"/>
    <w:rsid w:val="00692F2F"/>
    <w:rsid w:val="006937C9"/>
    <w:rsid w:val="00694770"/>
    <w:rsid w:val="006952B2"/>
    <w:rsid w:val="00695CD7"/>
    <w:rsid w:val="006972B9"/>
    <w:rsid w:val="00697CD3"/>
    <w:rsid w:val="006A068A"/>
    <w:rsid w:val="006A155E"/>
    <w:rsid w:val="006A2237"/>
    <w:rsid w:val="006A31F3"/>
    <w:rsid w:val="006A4090"/>
    <w:rsid w:val="006A4585"/>
    <w:rsid w:val="006A461B"/>
    <w:rsid w:val="006A46B6"/>
    <w:rsid w:val="006A612A"/>
    <w:rsid w:val="006A6D0A"/>
    <w:rsid w:val="006A784E"/>
    <w:rsid w:val="006A7D16"/>
    <w:rsid w:val="006B00B7"/>
    <w:rsid w:val="006B0A4C"/>
    <w:rsid w:val="006B0E13"/>
    <w:rsid w:val="006B1F3A"/>
    <w:rsid w:val="006B2A44"/>
    <w:rsid w:val="006B31F7"/>
    <w:rsid w:val="006B3E78"/>
    <w:rsid w:val="006B65F7"/>
    <w:rsid w:val="006B6730"/>
    <w:rsid w:val="006C07DC"/>
    <w:rsid w:val="006C17C3"/>
    <w:rsid w:val="006C1BB3"/>
    <w:rsid w:val="006C1C82"/>
    <w:rsid w:val="006C4165"/>
    <w:rsid w:val="006C46ED"/>
    <w:rsid w:val="006C4BFE"/>
    <w:rsid w:val="006C5193"/>
    <w:rsid w:val="006C5381"/>
    <w:rsid w:val="006C6DBC"/>
    <w:rsid w:val="006C7170"/>
    <w:rsid w:val="006C78FE"/>
    <w:rsid w:val="006C7BC9"/>
    <w:rsid w:val="006D0437"/>
    <w:rsid w:val="006D0816"/>
    <w:rsid w:val="006D3A30"/>
    <w:rsid w:val="006D444F"/>
    <w:rsid w:val="006D49D5"/>
    <w:rsid w:val="006D74A8"/>
    <w:rsid w:val="006E0742"/>
    <w:rsid w:val="006E13ED"/>
    <w:rsid w:val="006E1B11"/>
    <w:rsid w:val="006E21A9"/>
    <w:rsid w:val="006E4BE2"/>
    <w:rsid w:val="006E5EA6"/>
    <w:rsid w:val="006E62DC"/>
    <w:rsid w:val="006E679D"/>
    <w:rsid w:val="006E70B4"/>
    <w:rsid w:val="006E7780"/>
    <w:rsid w:val="006E78FC"/>
    <w:rsid w:val="006F03F6"/>
    <w:rsid w:val="006F0C77"/>
    <w:rsid w:val="006F273A"/>
    <w:rsid w:val="006F3D7E"/>
    <w:rsid w:val="006F3D82"/>
    <w:rsid w:val="006F69D2"/>
    <w:rsid w:val="006F7B6D"/>
    <w:rsid w:val="006F7BE5"/>
    <w:rsid w:val="00700B31"/>
    <w:rsid w:val="00701E08"/>
    <w:rsid w:val="00702926"/>
    <w:rsid w:val="00702985"/>
    <w:rsid w:val="00702A83"/>
    <w:rsid w:val="007052EE"/>
    <w:rsid w:val="0071076B"/>
    <w:rsid w:val="00711239"/>
    <w:rsid w:val="00712332"/>
    <w:rsid w:val="00712681"/>
    <w:rsid w:val="007127E2"/>
    <w:rsid w:val="00712922"/>
    <w:rsid w:val="00715613"/>
    <w:rsid w:val="00715A65"/>
    <w:rsid w:val="00715D1C"/>
    <w:rsid w:val="00716B7F"/>
    <w:rsid w:val="00716BBD"/>
    <w:rsid w:val="00717F64"/>
    <w:rsid w:val="007208BE"/>
    <w:rsid w:val="00721492"/>
    <w:rsid w:val="00722370"/>
    <w:rsid w:val="00722C14"/>
    <w:rsid w:val="00722C80"/>
    <w:rsid w:val="0072330F"/>
    <w:rsid w:val="00723523"/>
    <w:rsid w:val="007241AA"/>
    <w:rsid w:val="007243DA"/>
    <w:rsid w:val="00724F46"/>
    <w:rsid w:val="00725904"/>
    <w:rsid w:val="00725CC6"/>
    <w:rsid w:val="00727E57"/>
    <w:rsid w:val="007302A0"/>
    <w:rsid w:val="00733BAC"/>
    <w:rsid w:val="007341D7"/>
    <w:rsid w:val="00734D85"/>
    <w:rsid w:val="007354CF"/>
    <w:rsid w:val="007357F8"/>
    <w:rsid w:val="00735E8E"/>
    <w:rsid w:val="0073652C"/>
    <w:rsid w:val="00740F63"/>
    <w:rsid w:val="0074177A"/>
    <w:rsid w:val="00741C0A"/>
    <w:rsid w:val="0074284E"/>
    <w:rsid w:val="00742D53"/>
    <w:rsid w:val="00743207"/>
    <w:rsid w:val="00744E83"/>
    <w:rsid w:val="007475CB"/>
    <w:rsid w:val="00747A07"/>
    <w:rsid w:val="00750BF5"/>
    <w:rsid w:val="007515DE"/>
    <w:rsid w:val="00751CA3"/>
    <w:rsid w:val="00754AB9"/>
    <w:rsid w:val="00755157"/>
    <w:rsid w:val="00755DEC"/>
    <w:rsid w:val="0075655A"/>
    <w:rsid w:val="007571BE"/>
    <w:rsid w:val="007603CB"/>
    <w:rsid w:val="00760DB3"/>
    <w:rsid w:val="00761AF8"/>
    <w:rsid w:val="00763555"/>
    <w:rsid w:val="00763A8C"/>
    <w:rsid w:val="00765408"/>
    <w:rsid w:val="00765DAA"/>
    <w:rsid w:val="00765DC9"/>
    <w:rsid w:val="0076667E"/>
    <w:rsid w:val="00766F5B"/>
    <w:rsid w:val="00767F69"/>
    <w:rsid w:val="007711AB"/>
    <w:rsid w:val="00771E0C"/>
    <w:rsid w:val="0077604B"/>
    <w:rsid w:val="00776F99"/>
    <w:rsid w:val="007777A2"/>
    <w:rsid w:val="00777D35"/>
    <w:rsid w:val="00780129"/>
    <w:rsid w:val="007825C2"/>
    <w:rsid w:val="007831AE"/>
    <w:rsid w:val="007832A4"/>
    <w:rsid w:val="00784374"/>
    <w:rsid w:val="00784F6A"/>
    <w:rsid w:val="0078588C"/>
    <w:rsid w:val="00785B35"/>
    <w:rsid w:val="007870D6"/>
    <w:rsid w:val="00790883"/>
    <w:rsid w:val="007916D7"/>
    <w:rsid w:val="00791D39"/>
    <w:rsid w:val="007925D4"/>
    <w:rsid w:val="0079401D"/>
    <w:rsid w:val="00795BB6"/>
    <w:rsid w:val="007A071D"/>
    <w:rsid w:val="007A1871"/>
    <w:rsid w:val="007A22EB"/>
    <w:rsid w:val="007A258C"/>
    <w:rsid w:val="007A329B"/>
    <w:rsid w:val="007A3C9B"/>
    <w:rsid w:val="007A70EC"/>
    <w:rsid w:val="007B0097"/>
    <w:rsid w:val="007B1442"/>
    <w:rsid w:val="007B1537"/>
    <w:rsid w:val="007B2405"/>
    <w:rsid w:val="007B32C7"/>
    <w:rsid w:val="007B37F2"/>
    <w:rsid w:val="007B6B45"/>
    <w:rsid w:val="007B7788"/>
    <w:rsid w:val="007B796B"/>
    <w:rsid w:val="007B7A52"/>
    <w:rsid w:val="007B7C5F"/>
    <w:rsid w:val="007B7FEF"/>
    <w:rsid w:val="007C092D"/>
    <w:rsid w:val="007C64C2"/>
    <w:rsid w:val="007D1C01"/>
    <w:rsid w:val="007D3574"/>
    <w:rsid w:val="007D3C8F"/>
    <w:rsid w:val="007D4C00"/>
    <w:rsid w:val="007D5B9B"/>
    <w:rsid w:val="007D7079"/>
    <w:rsid w:val="007E0C62"/>
    <w:rsid w:val="007E1759"/>
    <w:rsid w:val="007E212A"/>
    <w:rsid w:val="007E30C9"/>
    <w:rsid w:val="007E38C8"/>
    <w:rsid w:val="007E3D11"/>
    <w:rsid w:val="007E47EF"/>
    <w:rsid w:val="007E6A49"/>
    <w:rsid w:val="007E6ECA"/>
    <w:rsid w:val="007E7C99"/>
    <w:rsid w:val="007F1FA8"/>
    <w:rsid w:val="007F223B"/>
    <w:rsid w:val="007F2D48"/>
    <w:rsid w:val="007F32A9"/>
    <w:rsid w:val="007F5807"/>
    <w:rsid w:val="008001E1"/>
    <w:rsid w:val="00803153"/>
    <w:rsid w:val="008036B5"/>
    <w:rsid w:val="00804B56"/>
    <w:rsid w:val="00804DCB"/>
    <w:rsid w:val="00813823"/>
    <w:rsid w:val="00813A47"/>
    <w:rsid w:val="0081475C"/>
    <w:rsid w:val="008154CD"/>
    <w:rsid w:val="008169DF"/>
    <w:rsid w:val="00816FFD"/>
    <w:rsid w:val="00820B44"/>
    <w:rsid w:val="008217BD"/>
    <w:rsid w:val="00821D81"/>
    <w:rsid w:val="00822E1C"/>
    <w:rsid w:val="00822E99"/>
    <w:rsid w:val="00823716"/>
    <w:rsid w:val="008253D1"/>
    <w:rsid w:val="0083047C"/>
    <w:rsid w:val="008304E8"/>
    <w:rsid w:val="00830723"/>
    <w:rsid w:val="00830B9E"/>
    <w:rsid w:val="00830FAE"/>
    <w:rsid w:val="00831908"/>
    <w:rsid w:val="008323AE"/>
    <w:rsid w:val="00832D00"/>
    <w:rsid w:val="00834CC1"/>
    <w:rsid w:val="00836CA6"/>
    <w:rsid w:val="00840128"/>
    <w:rsid w:val="008402BE"/>
    <w:rsid w:val="0084063C"/>
    <w:rsid w:val="00840D8F"/>
    <w:rsid w:val="0084126B"/>
    <w:rsid w:val="0084184E"/>
    <w:rsid w:val="0084234D"/>
    <w:rsid w:val="00843764"/>
    <w:rsid w:val="00844140"/>
    <w:rsid w:val="00845A9A"/>
    <w:rsid w:val="00845F00"/>
    <w:rsid w:val="0084617D"/>
    <w:rsid w:val="00846588"/>
    <w:rsid w:val="00847819"/>
    <w:rsid w:val="00850870"/>
    <w:rsid w:val="00851299"/>
    <w:rsid w:val="00853226"/>
    <w:rsid w:val="00853594"/>
    <w:rsid w:val="00853DC5"/>
    <w:rsid w:val="00856713"/>
    <w:rsid w:val="008627E7"/>
    <w:rsid w:val="008643A4"/>
    <w:rsid w:val="0086484B"/>
    <w:rsid w:val="00865C63"/>
    <w:rsid w:val="008663AD"/>
    <w:rsid w:val="00866A24"/>
    <w:rsid w:val="00866CC9"/>
    <w:rsid w:val="00867728"/>
    <w:rsid w:val="008703E4"/>
    <w:rsid w:val="00872624"/>
    <w:rsid w:val="00872BE4"/>
    <w:rsid w:val="00874986"/>
    <w:rsid w:val="00875AD0"/>
    <w:rsid w:val="00877A5A"/>
    <w:rsid w:val="0088220E"/>
    <w:rsid w:val="008822CF"/>
    <w:rsid w:val="00882D40"/>
    <w:rsid w:val="008852FE"/>
    <w:rsid w:val="0088595E"/>
    <w:rsid w:val="00885BB9"/>
    <w:rsid w:val="008874F7"/>
    <w:rsid w:val="0088760E"/>
    <w:rsid w:val="00893CBE"/>
    <w:rsid w:val="00895469"/>
    <w:rsid w:val="008973D0"/>
    <w:rsid w:val="008A0B1B"/>
    <w:rsid w:val="008A3B08"/>
    <w:rsid w:val="008A5986"/>
    <w:rsid w:val="008A65AE"/>
    <w:rsid w:val="008B058C"/>
    <w:rsid w:val="008B18EC"/>
    <w:rsid w:val="008B19AB"/>
    <w:rsid w:val="008B1F65"/>
    <w:rsid w:val="008B2174"/>
    <w:rsid w:val="008B33B6"/>
    <w:rsid w:val="008B72D9"/>
    <w:rsid w:val="008B7C43"/>
    <w:rsid w:val="008C3513"/>
    <w:rsid w:val="008C3DF5"/>
    <w:rsid w:val="008C5BCD"/>
    <w:rsid w:val="008C6884"/>
    <w:rsid w:val="008C6D34"/>
    <w:rsid w:val="008C73DC"/>
    <w:rsid w:val="008C7639"/>
    <w:rsid w:val="008D311A"/>
    <w:rsid w:val="008D5705"/>
    <w:rsid w:val="008E3644"/>
    <w:rsid w:val="008E377F"/>
    <w:rsid w:val="008E549D"/>
    <w:rsid w:val="008E6168"/>
    <w:rsid w:val="008E6300"/>
    <w:rsid w:val="008F0032"/>
    <w:rsid w:val="008F18E4"/>
    <w:rsid w:val="008F191A"/>
    <w:rsid w:val="008F2F57"/>
    <w:rsid w:val="008F35C3"/>
    <w:rsid w:val="008F3C81"/>
    <w:rsid w:val="008F4615"/>
    <w:rsid w:val="008F5CCC"/>
    <w:rsid w:val="008F76CC"/>
    <w:rsid w:val="008F7A3C"/>
    <w:rsid w:val="0090114E"/>
    <w:rsid w:val="00901195"/>
    <w:rsid w:val="0090374D"/>
    <w:rsid w:val="009049A5"/>
    <w:rsid w:val="00906189"/>
    <w:rsid w:val="009062E7"/>
    <w:rsid w:val="0090791C"/>
    <w:rsid w:val="0091243A"/>
    <w:rsid w:val="00912A76"/>
    <w:rsid w:val="00914A53"/>
    <w:rsid w:val="00914BF5"/>
    <w:rsid w:val="00914DAD"/>
    <w:rsid w:val="009177C7"/>
    <w:rsid w:val="00920642"/>
    <w:rsid w:val="009212D5"/>
    <w:rsid w:val="0092151B"/>
    <w:rsid w:val="009220A7"/>
    <w:rsid w:val="00922ABC"/>
    <w:rsid w:val="009232A2"/>
    <w:rsid w:val="00923356"/>
    <w:rsid w:val="0092379C"/>
    <w:rsid w:val="00924F8D"/>
    <w:rsid w:val="0092587E"/>
    <w:rsid w:val="009259C9"/>
    <w:rsid w:val="00927141"/>
    <w:rsid w:val="009274F0"/>
    <w:rsid w:val="00927CEB"/>
    <w:rsid w:val="00927E1C"/>
    <w:rsid w:val="009303B8"/>
    <w:rsid w:val="00930728"/>
    <w:rsid w:val="00930B72"/>
    <w:rsid w:val="00931841"/>
    <w:rsid w:val="00932F9C"/>
    <w:rsid w:val="00933346"/>
    <w:rsid w:val="00934161"/>
    <w:rsid w:val="0093459E"/>
    <w:rsid w:val="009348A7"/>
    <w:rsid w:val="009375F6"/>
    <w:rsid w:val="009418E5"/>
    <w:rsid w:val="00942078"/>
    <w:rsid w:val="0094218E"/>
    <w:rsid w:val="00943274"/>
    <w:rsid w:val="00943D34"/>
    <w:rsid w:val="0094457F"/>
    <w:rsid w:val="009451F4"/>
    <w:rsid w:val="00945D28"/>
    <w:rsid w:val="009464B4"/>
    <w:rsid w:val="00950186"/>
    <w:rsid w:val="0095079E"/>
    <w:rsid w:val="009508B2"/>
    <w:rsid w:val="009516E1"/>
    <w:rsid w:val="00952140"/>
    <w:rsid w:val="00952A7D"/>
    <w:rsid w:val="00954E15"/>
    <w:rsid w:val="00955AF5"/>
    <w:rsid w:val="00960AAB"/>
    <w:rsid w:val="00960B1E"/>
    <w:rsid w:val="00961112"/>
    <w:rsid w:val="00961F94"/>
    <w:rsid w:val="00962060"/>
    <w:rsid w:val="00964EFB"/>
    <w:rsid w:val="009658B1"/>
    <w:rsid w:val="00966640"/>
    <w:rsid w:val="00966792"/>
    <w:rsid w:val="009668D6"/>
    <w:rsid w:val="00970778"/>
    <w:rsid w:val="00974677"/>
    <w:rsid w:val="00975178"/>
    <w:rsid w:val="00977605"/>
    <w:rsid w:val="00977FE2"/>
    <w:rsid w:val="00980D93"/>
    <w:rsid w:val="00981D92"/>
    <w:rsid w:val="009822FF"/>
    <w:rsid w:val="00984508"/>
    <w:rsid w:val="00986038"/>
    <w:rsid w:val="009862D5"/>
    <w:rsid w:val="00987E9C"/>
    <w:rsid w:val="009911B9"/>
    <w:rsid w:val="00991F11"/>
    <w:rsid w:val="00992C3A"/>
    <w:rsid w:val="0099335D"/>
    <w:rsid w:val="00993494"/>
    <w:rsid w:val="00996DA8"/>
    <w:rsid w:val="009A1612"/>
    <w:rsid w:val="009A2D58"/>
    <w:rsid w:val="009A2EDD"/>
    <w:rsid w:val="009A448F"/>
    <w:rsid w:val="009A5911"/>
    <w:rsid w:val="009A5AD0"/>
    <w:rsid w:val="009A7633"/>
    <w:rsid w:val="009A786A"/>
    <w:rsid w:val="009B26CB"/>
    <w:rsid w:val="009B3A6E"/>
    <w:rsid w:val="009B3C4C"/>
    <w:rsid w:val="009B7D75"/>
    <w:rsid w:val="009C011D"/>
    <w:rsid w:val="009C0C34"/>
    <w:rsid w:val="009C27DD"/>
    <w:rsid w:val="009C399A"/>
    <w:rsid w:val="009C39B9"/>
    <w:rsid w:val="009C3AC9"/>
    <w:rsid w:val="009C4B8C"/>
    <w:rsid w:val="009C4D7B"/>
    <w:rsid w:val="009C7680"/>
    <w:rsid w:val="009D29B9"/>
    <w:rsid w:val="009D3119"/>
    <w:rsid w:val="009D3A99"/>
    <w:rsid w:val="009D3ED7"/>
    <w:rsid w:val="009D420D"/>
    <w:rsid w:val="009D4C79"/>
    <w:rsid w:val="009D5EA3"/>
    <w:rsid w:val="009D5FE9"/>
    <w:rsid w:val="009D7698"/>
    <w:rsid w:val="009D7A21"/>
    <w:rsid w:val="009D7B29"/>
    <w:rsid w:val="009E15A9"/>
    <w:rsid w:val="009E474A"/>
    <w:rsid w:val="009E4B5D"/>
    <w:rsid w:val="009E5482"/>
    <w:rsid w:val="009E563C"/>
    <w:rsid w:val="009E5732"/>
    <w:rsid w:val="009E5D67"/>
    <w:rsid w:val="009E5EA3"/>
    <w:rsid w:val="009E5F35"/>
    <w:rsid w:val="009F2CE6"/>
    <w:rsid w:val="009F40B7"/>
    <w:rsid w:val="00A00828"/>
    <w:rsid w:val="00A0394C"/>
    <w:rsid w:val="00A03A98"/>
    <w:rsid w:val="00A03B96"/>
    <w:rsid w:val="00A03D71"/>
    <w:rsid w:val="00A046E2"/>
    <w:rsid w:val="00A077F4"/>
    <w:rsid w:val="00A1044C"/>
    <w:rsid w:val="00A12CD2"/>
    <w:rsid w:val="00A14175"/>
    <w:rsid w:val="00A15818"/>
    <w:rsid w:val="00A169F6"/>
    <w:rsid w:val="00A17E31"/>
    <w:rsid w:val="00A20E67"/>
    <w:rsid w:val="00A215CF"/>
    <w:rsid w:val="00A2160E"/>
    <w:rsid w:val="00A21919"/>
    <w:rsid w:val="00A22ADE"/>
    <w:rsid w:val="00A2405A"/>
    <w:rsid w:val="00A25998"/>
    <w:rsid w:val="00A30E9B"/>
    <w:rsid w:val="00A32372"/>
    <w:rsid w:val="00A3268A"/>
    <w:rsid w:val="00A33C54"/>
    <w:rsid w:val="00A347C4"/>
    <w:rsid w:val="00A35220"/>
    <w:rsid w:val="00A35D2D"/>
    <w:rsid w:val="00A405DF"/>
    <w:rsid w:val="00A4102E"/>
    <w:rsid w:val="00A41348"/>
    <w:rsid w:val="00A41BA7"/>
    <w:rsid w:val="00A43DAF"/>
    <w:rsid w:val="00A45FC3"/>
    <w:rsid w:val="00A47EAD"/>
    <w:rsid w:val="00A50901"/>
    <w:rsid w:val="00A54487"/>
    <w:rsid w:val="00A54F1E"/>
    <w:rsid w:val="00A54FC4"/>
    <w:rsid w:val="00A550E5"/>
    <w:rsid w:val="00A556DF"/>
    <w:rsid w:val="00A55DB6"/>
    <w:rsid w:val="00A56400"/>
    <w:rsid w:val="00A57A20"/>
    <w:rsid w:val="00A57F57"/>
    <w:rsid w:val="00A6113D"/>
    <w:rsid w:val="00A61BB0"/>
    <w:rsid w:val="00A61FFD"/>
    <w:rsid w:val="00A62B01"/>
    <w:rsid w:val="00A64A49"/>
    <w:rsid w:val="00A6729C"/>
    <w:rsid w:val="00A72792"/>
    <w:rsid w:val="00A72CB3"/>
    <w:rsid w:val="00A74A22"/>
    <w:rsid w:val="00A76F6B"/>
    <w:rsid w:val="00A80134"/>
    <w:rsid w:val="00A82CD2"/>
    <w:rsid w:val="00A858D3"/>
    <w:rsid w:val="00A85FBB"/>
    <w:rsid w:val="00A86E13"/>
    <w:rsid w:val="00A871EC"/>
    <w:rsid w:val="00A8781B"/>
    <w:rsid w:val="00A87CA6"/>
    <w:rsid w:val="00A91F51"/>
    <w:rsid w:val="00A929F4"/>
    <w:rsid w:val="00A9397D"/>
    <w:rsid w:val="00A94803"/>
    <w:rsid w:val="00A9493E"/>
    <w:rsid w:val="00A968A5"/>
    <w:rsid w:val="00A97406"/>
    <w:rsid w:val="00A97A92"/>
    <w:rsid w:val="00AA0662"/>
    <w:rsid w:val="00AA120C"/>
    <w:rsid w:val="00AA167C"/>
    <w:rsid w:val="00AA186A"/>
    <w:rsid w:val="00AA1BA0"/>
    <w:rsid w:val="00AA341A"/>
    <w:rsid w:val="00AA3C51"/>
    <w:rsid w:val="00AA5D3E"/>
    <w:rsid w:val="00AA65DC"/>
    <w:rsid w:val="00AA6714"/>
    <w:rsid w:val="00AA6E52"/>
    <w:rsid w:val="00AB043B"/>
    <w:rsid w:val="00AB1701"/>
    <w:rsid w:val="00AB1BF0"/>
    <w:rsid w:val="00AB2177"/>
    <w:rsid w:val="00AB2C4B"/>
    <w:rsid w:val="00AB36C4"/>
    <w:rsid w:val="00AB4151"/>
    <w:rsid w:val="00AB4CD8"/>
    <w:rsid w:val="00AB4DC3"/>
    <w:rsid w:val="00AB632E"/>
    <w:rsid w:val="00AB6372"/>
    <w:rsid w:val="00AB6CA4"/>
    <w:rsid w:val="00AB7161"/>
    <w:rsid w:val="00AB77DF"/>
    <w:rsid w:val="00AB7968"/>
    <w:rsid w:val="00AB7A10"/>
    <w:rsid w:val="00AC0416"/>
    <w:rsid w:val="00AC1EE8"/>
    <w:rsid w:val="00AC2F5F"/>
    <w:rsid w:val="00AC4924"/>
    <w:rsid w:val="00AC5644"/>
    <w:rsid w:val="00AC7DD8"/>
    <w:rsid w:val="00AD0858"/>
    <w:rsid w:val="00AD0B37"/>
    <w:rsid w:val="00AD1DC0"/>
    <w:rsid w:val="00AD246A"/>
    <w:rsid w:val="00AD29BF"/>
    <w:rsid w:val="00AD4EE8"/>
    <w:rsid w:val="00AD5170"/>
    <w:rsid w:val="00AD5DEC"/>
    <w:rsid w:val="00AD6B3D"/>
    <w:rsid w:val="00AD7963"/>
    <w:rsid w:val="00AE04C8"/>
    <w:rsid w:val="00AE3606"/>
    <w:rsid w:val="00AE4A73"/>
    <w:rsid w:val="00AE4EF1"/>
    <w:rsid w:val="00AE5A94"/>
    <w:rsid w:val="00AE6152"/>
    <w:rsid w:val="00AE64B3"/>
    <w:rsid w:val="00AE6D2D"/>
    <w:rsid w:val="00AF0700"/>
    <w:rsid w:val="00AF1FE7"/>
    <w:rsid w:val="00AF4CA3"/>
    <w:rsid w:val="00AF5CD8"/>
    <w:rsid w:val="00AF7C4F"/>
    <w:rsid w:val="00B00F90"/>
    <w:rsid w:val="00B03C54"/>
    <w:rsid w:val="00B056C9"/>
    <w:rsid w:val="00B06C36"/>
    <w:rsid w:val="00B06D81"/>
    <w:rsid w:val="00B06EE8"/>
    <w:rsid w:val="00B124EF"/>
    <w:rsid w:val="00B12AD1"/>
    <w:rsid w:val="00B13339"/>
    <w:rsid w:val="00B13DFD"/>
    <w:rsid w:val="00B14D56"/>
    <w:rsid w:val="00B15C05"/>
    <w:rsid w:val="00B16B66"/>
    <w:rsid w:val="00B1777B"/>
    <w:rsid w:val="00B178FD"/>
    <w:rsid w:val="00B17AD0"/>
    <w:rsid w:val="00B17AD3"/>
    <w:rsid w:val="00B22A32"/>
    <w:rsid w:val="00B23FD0"/>
    <w:rsid w:val="00B2464A"/>
    <w:rsid w:val="00B25329"/>
    <w:rsid w:val="00B26264"/>
    <w:rsid w:val="00B278A6"/>
    <w:rsid w:val="00B2796B"/>
    <w:rsid w:val="00B30DBB"/>
    <w:rsid w:val="00B3141C"/>
    <w:rsid w:val="00B31421"/>
    <w:rsid w:val="00B33668"/>
    <w:rsid w:val="00B33E58"/>
    <w:rsid w:val="00B34117"/>
    <w:rsid w:val="00B37A10"/>
    <w:rsid w:val="00B4061A"/>
    <w:rsid w:val="00B40CF4"/>
    <w:rsid w:val="00B40DBF"/>
    <w:rsid w:val="00B425A8"/>
    <w:rsid w:val="00B435D3"/>
    <w:rsid w:val="00B45143"/>
    <w:rsid w:val="00B459EE"/>
    <w:rsid w:val="00B47246"/>
    <w:rsid w:val="00B50E3D"/>
    <w:rsid w:val="00B50F68"/>
    <w:rsid w:val="00B51F5F"/>
    <w:rsid w:val="00B5473A"/>
    <w:rsid w:val="00B5644E"/>
    <w:rsid w:val="00B573AA"/>
    <w:rsid w:val="00B573C5"/>
    <w:rsid w:val="00B57683"/>
    <w:rsid w:val="00B61328"/>
    <w:rsid w:val="00B61498"/>
    <w:rsid w:val="00B615C0"/>
    <w:rsid w:val="00B6197F"/>
    <w:rsid w:val="00B6201D"/>
    <w:rsid w:val="00B64E1E"/>
    <w:rsid w:val="00B65370"/>
    <w:rsid w:val="00B65C40"/>
    <w:rsid w:val="00B708A4"/>
    <w:rsid w:val="00B71B9A"/>
    <w:rsid w:val="00B724DB"/>
    <w:rsid w:val="00B7470E"/>
    <w:rsid w:val="00B75015"/>
    <w:rsid w:val="00B75827"/>
    <w:rsid w:val="00B75A6A"/>
    <w:rsid w:val="00B80221"/>
    <w:rsid w:val="00B802AC"/>
    <w:rsid w:val="00B81A44"/>
    <w:rsid w:val="00B84301"/>
    <w:rsid w:val="00B85391"/>
    <w:rsid w:val="00B86918"/>
    <w:rsid w:val="00B90D1B"/>
    <w:rsid w:val="00B92C55"/>
    <w:rsid w:val="00B9307D"/>
    <w:rsid w:val="00B9546C"/>
    <w:rsid w:val="00B97392"/>
    <w:rsid w:val="00BA18B2"/>
    <w:rsid w:val="00BA515B"/>
    <w:rsid w:val="00BA7B51"/>
    <w:rsid w:val="00BB26A9"/>
    <w:rsid w:val="00BB5523"/>
    <w:rsid w:val="00BB574E"/>
    <w:rsid w:val="00BB703D"/>
    <w:rsid w:val="00BC0FD3"/>
    <w:rsid w:val="00BC11CA"/>
    <w:rsid w:val="00BC1A25"/>
    <w:rsid w:val="00BC319D"/>
    <w:rsid w:val="00BC3692"/>
    <w:rsid w:val="00BC449C"/>
    <w:rsid w:val="00BC45A8"/>
    <w:rsid w:val="00BC5352"/>
    <w:rsid w:val="00BC6790"/>
    <w:rsid w:val="00BD11DD"/>
    <w:rsid w:val="00BD363A"/>
    <w:rsid w:val="00BD3E3F"/>
    <w:rsid w:val="00BD5737"/>
    <w:rsid w:val="00BD5978"/>
    <w:rsid w:val="00BD75BE"/>
    <w:rsid w:val="00BE100C"/>
    <w:rsid w:val="00BE3D82"/>
    <w:rsid w:val="00BE45A0"/>
    <w:rsid w:val="00BE7749"/>
    <w:rsid w:val="00BF0A82"/>
    <w:rsid w:val="00BF1E7F"/>
    <w:rsid w:val="00BF433F"/>
    <w:rsid w:val="00BF6B23"/>
    <w:rsid w:val="00BF7873"/>
    <w:rsid w:val="00C00387"/>
    <w:rsid w:val="00C01697"/>
    <w:rsid w:val="00C017B8"/>
    <w:rsid w:val="00C01834"/>
    <w:rsid w:val="00C04A95"/>
    <w:rsid w:val="00C0553D"/>
    <w:rsid w:val="00C0560C"/>
    <w:rsid w:val="00C07169"/>
    <w:rsid w:val="00C12196"/>
    <w:rsid w:val="00C13D52"/>
    <w:rsid w:val="00C1625B"/>
    <w:rsid w:val="00C17F55"/>
    <w:rsid w:val="00C2000B"/>
    <w:rsid w:val="00C2095E"/>
    <w:rsid w:val="00C21338"/>
    <w:rsid w:val="00C21511"/>
    <w:rsid w:val="00C22B2D"/>
    <w:rsid w:val="00C22EBF"/>
    <w:rsid w:val="00C23165"/>
    <w:rsid w:val="00C2470D"/>
    <w:rsid w:val="00C25195"/>
    <w:rsid w:val="00C25EF0"/>
    <w:rsid w:val="00C27709"/>
    <w:rsid w:val="00C3086E"/>
    <w:rsid w:val="00C30D00"/>
    <w:rsid w:val="00C31B9E"/>
    <w:rsid w:val="00C32CB8"/>
    <w:rsid w:val="00C3415E"/>
    <w:rsid w:val="00C34A9D"/>
    <w:rsid w:val="00C35CAB"/>
    <w:rsid w:val="00C3652A"/>
    <w:rsid w:val="00C41093"/>
    <w:rsid w:val="00C456D8"/>
    <w:rsid w:val="00C473AC"/>
    <w:rsid w:val="00C516DD"/>
    <w:rsid w:val="00C53790"/>
    <w:rsid w:val="00C544FA"/>
    <w:rsid w:val="00C55197"/>
    <w:rsid w:val="00C55ADF"/>
    <w:rsid w:val="00C6006E"/>
    <w:rsid w:val="00C620FF"/>
    <w:rsid w:val="00C64583"/>
    <w:rsid w:val="00C6668E"/>
    <w:rsid w:val="00C67450"/>
    <w:rsid w:val="00C67482"/>
    <w:rsid w:val="00C67601"/>
    <w:rsid w:val="00C67A01"/>
    <w:rsid w:val="00C7139D"/>
    <w:rsid w:val="00C72A83"/>
    <w:rsid w:val="00C73E1B"/>
    <w:rsid w:val="00C74194"/>
    <w:rsid w:val="00C746D5"/>
    <w:rsid w:val="00C74D11"/>
    <w:rsid w:val="00C74D29"/>
    <w:rsid w:val="00C75E13"/>
    <w:rsid w:val="00C7730F"/>
    <w:rsid w:val="00C805B5"/>
    <w:rsid w:val="00C81900"/>
    <w:rsid w:val="00C83F1D"/>
    <w:rsid w:val="00C908D9"/>
    <w:rsid w:val="00C91245"/>
    <w:rsid w:val="00C9427F"/>
    <w:rsid w:val="00C94DA3"/>
    <w:rsid w:val="00C94FD5"/>
    <w:rsid w:val="00C952D5"/>
    <w:rsid w:val="00C953F3"/>
    <w:rsid w:val="00C956E6"/>
    <w:rsid w:val="00C95D54"/>
    <w:rsid w:val="00C95FC7"/>
    <w:rsid w:val="00C963B7"/>
    <w:rsid w:val="00C963EE"/>
    <w:rsid w:val="00C96B16"/>
    <w:rsid w:val="00CA18D8"/>
    <w:rsid w:val="00CA2DA6"/>
    <w:rsid w:val="00CA354B"/>
    <w:rsid w:val="00CA4052"/>
    <w:rsid w:val="00CA40F7"/>
    <w:rsid w:val="00CA4EE1"/>
    <w:rsid w:val="00CA5064"/>
    <w:rsid w:val="00CA5D1D"/>
    <w:rsid w:val="00CA73CE"/>
    <w:rsid w:val="00CA764A"/>
    <w:rsid w:val="00CB0380"/>
    <w:rsid w:val="00CB0842"/>
    <w:rsid w:val="00CB1D38"/>
    <w:rsid w:val="00CB2A1E"/>
    <w:rsid w:val="00CB2D50"/>
    <w:rsid w:val="00CB534B"/>
    <w:rsid w:val="00CB5813"/>
    <w:rsid w:val="00CB5EE1"/>
    <w:rsid w:val="00CB6CC2"/>
    <w:rsid w:val="00CB6F17"/>
    <w:rsid w:val="00CC0079"/>
    <w:rsid w:val="00CC14AB"/>
    <w:rsid w:val="00CC1E97"/>
    <w:rsid w:val="00CC4207"/>
    <w:rsid w:val="00CC6285"/>
    <w:rsid w:val="00CC70AE"/>
    <w:rsid w:val="00CC7546"/>
    <w:rsid w:val="00CC7963"/>
    <w:rsid w:val="00CD0A10"/>
    <w:rsid w:val="00CD687B"/>
    <w:rsid w:val="00CD6AF4"/>
    <w:rsid w:val="00CD72F4"/>
    <w:rsid w:val="00CD73B1"/>
    <w:rsid w:val="00CE0558"/>
    <w:rsid w:val="00CE0EFB"/>
    <w:rsid w:val="00CE2E27"/>
    <w:rsid w:val="00CE3939"/>
    <w:rsid w:val="00CE39BE"/>
    <w:rsid w:val="00CE5E91"/>
    <w:rsid w:val="00CE7212"/>
    <w:rsid w:val="00CE79DA"/>
    <w:rsid w:val="00CF06D2"/>
    <w:rsid w:val="00CF1B25"/>
    <w:rsid w:val="00CF38E4"/>
    <w:rsid w:val="00CF621A"/>
    <w:rsid w:val="00CF640A"/>
    <w:rsid w:val="00CF6FFB"/>
    <w:rsid w:val="00CF7B8D"/>
    <w:rsid w:val="00D00154"/>
    <w:rsid w:val="00D00D84"/>
    <w:rsid w:val="00D02E9C"/>
    <w:rsid w:val="00D04898"/>
    <w:rsid w:val="00D05142"/>
    <w:rsid w:val="00D0540C"/>
    <w:rsid w:val="00D06932"/>
    <w:rsid w:val="00D075F0"/>
    <w:rsid w:val="00D10CEA"/>
    <w:rsid w:val="00D12CD5"/>
    <w:rsid w:val="00D14000"/>
    <w:rsid w:val="00D20961"/>
    <w:rsid w:val="00D2114B"/>
    <w:rsid w:val="00D2159F"/>
    <w:rsid w:val="00D21E01"/>
    <w:rsid w:val="00D22096"/>
    <w:rsid w:val="00D22674"/>
    <w:rsid w:val="00D24EA2"/>
    <w:rsid w:val="00D2507C"/>
    <w:rsid w:val="00D2628D"/>
    <w:rsid w:val="00D311FB"/>
    <w:rsid w:val="00D312DC"/>
    <w:rsid w:val="00D31C73"/>
    <w:rsid w:val="00D31EB0"/>
    <w:rsid w:val="00D32BE0"/>
    <w:rsid w:val="00D33391"/>
    <w:rsid w:val="00D342D4"/>
    <w:rsid w:val="00D35D1B"/>
    <w:rsid w:val="00D3692D"/>
    <w:rsid w:val="00D3716B"/>
    <w:rsid w:val="00D37E4D"/>
    <w:rsid w:val="00D40E6E"/>
    <w:rsid w:val="00D41619"/>
    <w:rsid w:val="00D41A75"/>
    <w:rsid w:val="00D44F95"/>
    <w:rsid w:val="00D46699"/>
    <w:rsid w:val="00D46799"/>
    <w:rsid w:val="00D4690C"/>
    <w:rsid w:val="00D46E1A"/>
    <w:rsid w:val="00D4755A"/>
    <w:rsid w:val="00D47E3F"/>
    <w:rsid w:val="00D5249D"/>
    <w:rsid w:val="00D56D23"/>
    <w:rsid w:val="00D572AD"/>
    <w:rsid w:val="00D62691"/>
    <w:rsid w:val="00D63C04"/>
    <w:rsid w:val="00D64781"/>
    <w:rsid w:val="00D6486E"/>
    <w:rsid w:val="00D661F4"/>
    <w:rsid w:val="00D67B44"/>
    <w:rsid w:val="00D702C5"/>
    <w:rsid w:val="00D70502"/>
    <w:rsid w:val="00D71EC1"/>
    <w:rsid w:val="00D724D1"/>
    <w:rsid w:val="00D7268B"/>
    <w:rsid w:val="00D72D0A"/>
    <w:rsid w:val="00D735E7"/>
    <w:rsid w:val="00D755F6"/>
    <w:rsid w:val="00D76471"/>
    <w:rsid w:val="00D76E6E"/>
    <w:rsid w:val="00D778F3"/>
    <w:rsid w:val="00D83348"/>
    <w:rsid w:val="00D847D4"/>
    <w:rsid w:val="00D84948"/>
    <w:rsid w:val="00D857AB"/>
    <w:rsid w:val="00D8744E"/>
    <w:rsid w:val="00D9096E"/>
    <w:rsid w:val="00D909F6"/>
    <w:rsid w:val="00D91BFB"/>
    <w:rsid w:val="00D92114"/>
    <w:rsid w:val="00D935C1"/>
    <w:rsid w:val="00D93889"/>
    <w:rsid w:val="00D93927"/>
    <w:rsid w:val="00D944E4"/>
    <w:rsid w:val="00D953C9"/>
    <w:rsid w:val="00D96E53"/>
    <w:rsid w:val="00D97EF0"/>
    <w:rsid w:val="00DA25CC"/>
    <w:rsid w:val="00DA3618"/>
    <w:rsid w:val="00DA61B4"/>
    <w:rsid w:val="00DA769D"/>
    <w:rsid w:val="00DB27E1"/>
    <w:rsid w:val="00DB3212"/>
    <w:rsid w:val="00DB396D"/>
    <w:rsid w:val="00DB454C"/>
    <w:rsid w:val="00DC072E"/>
    <w:rsid w:val="00DC1DAC"/>
    <w:rsid w:val="00DC2513"/>
    <w:rsid w:val="00DC2FE2"/>
    <w:rsid w:val="00DC3635"/>
    <w:rsid w:val="00DC39B7"/>
    <w:rsid w:val="00DC40D6"/>
    <w:rsid w:val="00DC4284"/>
    <w:rsid w:val="00DC4CFC"/>
    <w:rsid w:val="00DD043C"/>
    <w:rsid w:val="00DD0E02"/>
    <w:rsid w:val="00DD10AC"/>
    <w:rsid w:val="00DD11DD"/>
    <w:rsid w:val="00DD13A0"/>
    <w:rsid w:val="00DD14C5"/>
    <w:rsid w:val="00DD2904"/>
    <w:rsid w:val="00DD299A"/>
    <w:rsid w:val="00DD3F83"/>
    <w:rsid w:val="00DD7769"/>
    <w:rsid w:val="00DE0095"/>
    <w:rsid w:val="00DE0AD1"/>
    <w:rsid w:val="00DE1388"/>
    <w:rsid w:val="00DE3A70"/>
    <w:rsid w:val="00DE40D4"/>
    <w:rsid w:val="00DE6A8A"/>
    <w:rsid w:val="00DE6D11"/>
    <w:rsid w:val="00DE7410"/>
    <w:rsid w:val="00DE7B3C"/>
    <w:rsid w:val="00DF0D83"/>
    <w:rsid w:val="00DF15AB"/>
    <w:rsid w:val="00DF15C5"/>
    <w:rsid w:val="00DF45D0"/>
    <w:rsid w:val="00DF491A"/>
    <w:rsid w:val="00DF52D9"/>
    <w:rsid w:val="00DF5B94"/>
    <w:rsid w:val="00DF603E"/>
    <w:rsid w:val="00DF6921"/>
    <w:rsid w:val="00DF749C"/>
    <w:rsid w:val="00DF76A5"/>
    <w:rsid w:val="00E00DDE"/>
    <w:rsid w:val="00E0113A"/>
    <w:rsid w:val="00E015DA"/>
    <w:rsid w:val="00E045BA"/>
    <w:rsid w:val="00E047E9"/>
    <w:rsid w:val="00E05148"/>
    <w:rsid w:val="00E06E60"/>
    <w:rsid w:val="00E07132"/>
    <w:rsid w:val="00E1036F"/>
    <w:rsid w:val="00E11989"/>
    <w:rsid w:val="00E149BE"/>
    <w:rsid w:val="00E14F01"/>
    <w:rsid w:val="00E1613F"/>
    <w:rsid w:val="00E1621A"/>
    <w:rsid w:val="00E1661C"/>
    <w:rsid w:val="00E20463"/>
    <w:rsid w:val="00E20D8F"/>
    <w:rsid w:val="00E23374"/>
    <w:rsid w:val="00E25F44"/>
    <w:rsid w:val="00E2686A"/>
    <w:rsid w:val="00E26FA2"/>
    <w:rsid w:val="00E301C1"/>
    <w:rsid w:val="00E31958"/>
    <w:rsid w:val="00E3384C"/>
    <w:rsid w:val="00E3533E"/>
    <w:rsid w:val="00E36478"/>
    <w:rsid w:val="00E40333"/>
    <w:rsid w:val="00E40AD5"/>
    <w:rsid w:val="00E41644"/>
    <w:rsid w:val="00E41C6D"/>
    <w:rsid w:val="00E42411"/>
    <w:rsid w:val="00E42511"/>
    <w:rsid w:val="00E42C77"/>
    <w:rsid w:val="00E44004"/>
    <w:rsid w:val="00E44269"/>
    <w:rsid w:val="00E46712"/>
    <w:rsid w:val="00E46F7A"/>
    <w:rsid w:val="00E470CC"/>
    <w:rsid w:val="00E50C15"/>
    <w:rsid w:val="00E50E60"/>
    <w:rsid w:val="00E5199E"/>
    <w:rsid w:val="00E51A47"/>
    <w:rsid w:val="00E52CE8"/>
    <w:rsid w:val="00E53803"/>
    <w:rsid w:val="00E54086"/>
    <w:rsid w:val="00E54C50"/>
    <w:rsid w:val="00E57381"/>
    <w:rsid w:val="00E6263B"/>
    <w:rsid w:val="00E65941"/>
    <w:rsid w:val="00E65E84"/>
    <w:rsid w:val="00E6691E"/>
    <w:rsid w:val="00E70DD7"/>
    <w:rsid w:val="00E70F09"/>
    <w:rsid w:val="00E72E24"/>
    <w:rsid w:val="00E73415"/>
    <w:rsid w:val="00E77032"/>
    <w:rsid w:val="00E77302"/>
    <w:rsid w:val="00E77B33"/>
    <w:rsid w:val="00E802A9"/>
    <w:rsid w:val="00E80E06"/>
    <w:rsid w:val="00E8279B"/>
    <w:rsid w:val="00E832D8"/>
    <w:rsid w:val="00E83710"/>
    <w:rsid w:val="00E8534D"/>
    <w:rsid w:val="00E8594C"/>
    <w:rsid w:val="00E859FC"/>
    <w:rsid w:val="00E903B2"/>
    <w:rsid w:val="00E905C1"/>
    <w:rsid w:val="00E91F7C"/>
    <w:rsid w:val="00E930A0"/>
    <w:rsid w:val="00E93BC8"/>
    <w:rsid w:val="00E93E5C"/>
    <w:rsid w:val="00E946EE"/>
    <w:rsid w:val="00E94764"/>
    <w:rsid w:val="00E95E2B"/>
    <w:rsid w:val="00E96FDD"/>
    <w:rsid w:val="00E9752F"/>
    <w:rsid w:val="00EA019E"/>
    <w:rsid w:val="00EA06B4"/>
    <w:rsid w:val="00EA118E"/>
    <w:rsid w:val="00EA1228"/>
    <w:rsid w:val="00EA1564"/>
    <w:rsid w:val="00EA1974"/>
    <w:rsid w:val="00EA2338"/>
    <w:rsid w:val="00EA2A17"/>
    <w:rsid w:val="00EA337D"/>
    <w:rsid w:val="00EA44C1"/>
    <w:rsid w:val="00EA6606"/>
    <w:rsid w:val="00EA7BE2"/>
    <w:rsid w:val="00EB17D8"/>
    <w:rsid w:val="00EB1FA8"/>
    <w:rsid w:val="00EB1FF7"/>
    <w:rsid w:val="00EB28F6"/>
    <w:rsid w:val="00EB40BF"/>
    <w:rsid w:val="00EB40F4"/>
    <w:rsid w:val="00EB5120"/>
    <w:rsid w:val="00EB56A6"/>
    <w:rsid w:val="00EB6B49"/>
    <w:rsid w:val="00EB7BDD"/>
    <w:rsid w:val="00EC1798"/>
    <w:rsid w:val="00EC2B75"/>
    <w:rsid w:val="00EC35B6"/>
    <w:rsid w:val="00EC3E4F"/>
    <w:rsid w:val="00EC4FBB"/>
    <w:rsid w:val="00EC5BBC"/>
    <w:rsid w:val="00EC5E69"/>
    <w:rsid w:val="00EC7DFF"/>
    <w:rsid w:val="00ED041A"/>
    <w:rsid w:val="00ED04B5"/>
    <w:rsid w:val="00ED065E"/>
    <w:rsid w:val="00ED1A01"/>
    <w:rsid w:val="00ED2D63"/>
    <w:rsid w:val="00ED2DCD"/>
    <w:rsid w:val="00ED37B1"/>
    <w:rsid w:val="00ED6741"/>
    <w:rsid w:val="00EE0FAD"/>
    <w:rsid w:val="00EE2AB8"/>
    <w:rsid w:val="00EE2B64"/>
    <w:rsid w:val="00EE2BDD"/>
    <w:rsid w:val="00EE2FEA"/>
    <w:rsid w:val="00EE48C5"/>
    <w:rsid w:val="00EE5523"/>
    <w:rsid w:val="00EE553C"/>
    <w:rsid w:val="00EE6213"/>
    <w:rsid w:val="00EF4CC6"/>
    <w:rsid w:val="00F00043"/>
    <w:rsid w:val="00F05708"/>
    <w:rsid w:val="00F05DD7"/>
    <w:rsid w:val="00F06057"/>
    <w:rsid w:val="00F06E40"/>
    <w:rsid w:val="00F10697"/>
    <w:rsid w:val="00F10800"/>
    <w:rsid w:val="00F1122D"/>
    <w:rsid w:val="00F1169E"/>
    <w:rsid w:val="00F11F62"/>
    <w:rsid w:val="00F1269A"/>
    <w:rsid w:val="00F13363"/>
    <w:rsid w:val="00F133C0"/>
    <w:rsid w:val="00F14C62"/>
    <w:rsid w:val="00F157B4"/>
    <w:rsid w:val="00F16B58"/>
    <w:rsid w:val="00F2093F"/>
    <w:rsid w:val="00F22CC1"/>
    <w:rsid w:val="00F22F3A"/>
    <w:rsid w:val="00F24BBD"/>
    <w:rsid w:val="00F25418"/>
    <w:rsid w:val="00F26B6E"/>
    <w:rsid w:val="00F278E4"/>
    <w:rsid w:val="00F27E0B"/>
    <w:rsid w:val="00F30D45"/>
    <w:rsid w:val="00F33F6A"/>
    <w:rsid w:val="00F34006"/>
    <w:rsid w:val="00F360E1"/>
    <w:rsid w:val="00F36D62"/>
    <w:rsid w:val="00F3771B"/>
    <w:rsid w:val="00F40078"/>
    <w:rsid w:val="00F40373"/>
    <w:rsid w:val="00F4093B"/>
    <w:rsid w:val="00F4097A"/>
    <w:rsid w:val="00F43698"/>
    <w:rsid w:val="00F4415A"/>
    <w:rsid w:val="00F4461F"/>
    <w:rsid w:val="00F47590"/>
    <w:rsid w:val="00F47653"/>
    <w:rsid w:val="00F50468"/>
    <w:rsid w:val="00F50747"/>
    <w:rsid w:val="00F54A8C"/>
    <w:rsid w:val="00F574C8"/>
    <w:rsid w:val="00F575E1"/>
    <w:rsid w:val="00F57668"/>
    <w:rsid w:val="00F62062"/>
    <w:rsid w:val="00F6283E"/>
    <w:rsid w:val="00F63454"/>
    <w:rsid w:val="00F6378D"/>
    <w:rsid w:val="00F64B3F"/>
    <w:rsid w:val="00F652F6"/>
    <w:rsid w:val="00F67435"/>
    <w:rsid w:val="00F704A1"/>
    <w:rsid w:val="00F7058D"/>
    <w:rsid w:val="00F70FB1"/>
    <w:rsid w:val="00F72093"/>
    <w:rsid w:val="00F7392E"/>
    <w:rsid w:val="00F74EF4"/>
    <w:rsid w:val="00F7638B"/>
    <w:rsid w:val="00F76B40"/>
    <w:rsid w:val="00F82BEB"/>
    <w:rsid w:val="00F82CC7"/>
    <w:rsid w:val="00F82D0C"/>
    <w:rsid w:val="00F8462B"/>
    <w:rsid w:val="00F85E81"/>
    <w:rsid w:val="00F8617D"/>
    <w:rsid w:val="00F86682"/>
    <w:rsid w:val="00F86FF9"/>
    <w:rsid w:val="00F87095"/>
    <w:rsid w:val="00F87695"/>
    <w:rsid w:val="00F87C6E"/>
    <w:rsid w:val="00F90425"/>
    <w:rsid w:val="00F90992"/>
    <w:rsid w:val="00F90F25"/>
    <w:rsid w:val="00F92652"/>
    <w:rsid w:val="00F92D38"/>
    <w:rsid w:val="00F93913"/>
    <w:rsid w:val="00F95E9C"/>
    <w:rsid w:val="00F96EF9"/>
    <w:rsid w:val="00FA00E1"/>
    <w:rsid w:val="00FA015F"/>
    <w:rsid w:val="00FA13E2"/>
    <w:rsid w:val="00FA193D"/>
    <w:rsid w:val="00FA39AD"/>
    <w:rsid w:val="00FA44C2"/>
    <w:rsid w:val="00FA4DCB"/>
    <w:rsid w:val="00FA52B6"/>
    <w:rsid w:val="00FA53C9"/>
    <w:rsid w:val="00FA6972"/>
    <w:rsid w:val="00FA6F7F"/>
    <w:rsid w:val="00FB0D9B"/>
    <w:rsid w:val="00FB3BA1"/>
    <w:rsid w:val="00FB4CB0"/>
    <w:rsid w:val="00FB4EBF"/>
    <w:rsid w:val="00FB778D"/>
    <w:rsid w:val="00FB7942"/>
    <w:rsid w:val="00FC034C"/>
    <w:rsid w:val="00FC08F3"/>
    <w:rsid w:val="00FC0CE8"/>
    <w:rsid w:val="00FC0EF8"/>
    <w:rsid w:val="00FC2075"/>
    <w:rsid w:val="00FC2FE0"/>
    <w:rsid w:val="00FC3705"/>
    <w:rsid w:val="00FC710E"/>
    <w:rsid w:val="00FC7B4A"/>
    <w:rsid w:val="00FD3167"/>
    <w:rsid w:val="00FD52BB"/>
    <w:rsid w:val="00FD535F"/>
    <w:rsid w:val="00FE2087"/>
    <w:rsid w:val="00FE212E"/>
    <w:rsid w:val="00FE2CE4"/>
    <w:rsid w:val="00FE3580"/>
    <w:rsid w:val="00FE391A"/>
    <w:rsid w:val="00FE640B"/>
    <w:rsid w:val="00FE66F5"/>
    <w:rsid w:val="00FE7CA2"/>
    <w:rsid w:val="00FE7DF6"/>
    <w:rsid w:val="00FF2ED7"/>
    <w:rsid w:val="00FF2F42"/>
    <w:rsid w:val="00FF566F"/>
    <w:rsid w:val="00FF5BB4"/>
    <w:rsid w:val="00FF7990"/>
    <w:rsid w:val="00FF7BC2"/>
  </w:rsids>
  <m:mathPr>
    <m:mathFont m:val="Cambria Math"/>
    <m:brkBin m:val="before"/>
    <m:brkBinSub m:val="--"/>
    <m:smallFrac/>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1243C15"/>
  <w15:docId w15:val="{3BC261A9-64F2-4726-BB92-CF8B7E6C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0BF"/>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32D0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AA167C"/>
    <w:pPr>
      <w:keepNext/>
      <w:spacing w:line="300" w:lineRule="exact"/>
      <w:jc w:val="both"/>
      <w:outlineLvl w:val="1"/>
    </w:pPr>
    <w:rPr>
      <w:rFonts w:ascii="Trebuchet MS" w:hAnsi="Trebuchet MS"/>
      <w:b/>
      <w:bCs/>
      <w:i/>
      <w:iCs/>
      <w:sz w:val="22"/>
      <w:u w:val="single"/>
      <w:lang w:val="en-GB"/>
    </w:rPr>
  </w:style>
  <w:style w:type="paragraph" w:styleId="Heading3">
    <w:name w:val="heading 3"/>
    <w:basedOn w:val="Normal"/>
    <w:next w:val="Normal"/>
    <w:link w:val="Heading3Char"/>
    <w:unhideWhenUsed/>
    <w:qFormat/>
    <w:rsid w:val="008461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AA167C"/>
    <w:pPr>
      <w:keepNext/>
      <w:outlineLvl w:val="3"/>
    </w:pPr>
    <w:rPr>
      <w:b/>
      <w:bCs/>
      <w:lang w:val="en-GB"/>
    </w:rPr>
  </w:style>
  <w:style w:type="paragraph" w:styleId="Heading9">
    <w:name w:val="heading 9"/>
    <w:basedOn w:val="Normal"/>
    <w:next w:val="Normal"/>
    <w:link w:val="Heading9Char"/>
    <w:qFormat/>
    <w:rsid w:val="00DE7410"/>
    <w:pPr>
      <w:keepNext/>
      <w:tabs>
        <w:tab w:val="left" w:pos="216"/>
        <w:tab w:val="left" w:pos="432"/>
        <w:tab w:val="left" w:pos="648"/>
        <w:tab w:val="left" w:pos="864"/>
        <w:tab w:val="left" w:pos="1080"/>
        <w:tab w:val="left" w:pos="1296"/>
        <w:tab w:val="left" w:pos="1512"/>
        <w:tab w:val="left" w:pos="1728"/>
        <w:tab w:val="left" w:pos="1944"/>
      </w:tabs>
      <w:suppressAutoHyphens/>
      <w:spacing w:line="220" w:lineRule="exact"/>
      <w:ind w:left="144" w:hanging="144"/>
      <w:outlineLvl w:val="8"/>
    </w:pPr>
    <w:rPr>
      <w:bCs/>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A167C"/>
    <w:rPr>
      <w:rFonts w:ascii="Trebuchet MS" w:eastAsia="Times New Roman" w:hAnsi="Trebuchet MS" w:cs="Times New Roman"/>
      <w:b/>
      <w:bCs/>
      <w:i/>
      <w:iCs/>
      <w:szCs w:val="24"/>
      <w:u w:val="single"/>
      <w:lang w:val="en-GB"/>
    </w:rPr>
  </w:style>
  <w:style w:type="character" w:customStyle="1" w:styleId="Heading4Char">
    <w:name w:val="Heading 4 Char"/>
    <w:link w:val="Heading4"/>
    <w:rsid w:val="00AA167C"/>
    <w:rPr>
      <w:rFonts w:ascii="Times New Roman" w:eastAsia="Times New Roman" w:hAnsi="Times New Roman" w:cs="Times New Roman"/>
      <w:b/>
      <w:bCs/>
      <w:sz w:val="24"/>
      <w:szCs w:val="24"/>
      <w:lang w:val="en-GB"/>
    </w:rPr>
  </w:style>
  <w:style w:type="character" w:styleId="Hyperlink">
    <w:name w:val="Hyperlink"/>
    <w:uiPriority w:val="99"/>
    <w:rsid w:val="00AA167C"/>
    <w:rPr>
      <w:color w:val="0000FF"/>
      <w:u w:val="single"/>
    </w:rPr>
  </w:style>
  <w:style w:type="paragraph" w:styleId="Header">
    <w:name w:val="header"/>
    <w:basedOn w:val="Normal"/>
    <w:link w:val="HeaderChar"/>
    <w:rsid w:val="00AA167C"/>
    <w:pPr>
      <w:tabs>
        <w:tab w:val="center" w:pos="4153"/>
        <w:tab w:val="right" w:pos="8306"/>
      </w:tabs>
    </w:pPr>
  </w:style>
  <w:style w:type="character" w:customStyle="1" w:styleId="HeaderChar">
    <w:name w:val="Header Char"/>
    <w:link w:val="Header"/>
    <w:rsid w:val="00AA16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167C"/>
    <w:pPr>
      <w:tabs>
        <w:tab w:val="center" w:pos="4513"/>
        <w:tab w:val="right" w:pos="9026"/>
      </w:tabs>
    </w:pPr>
  </w:style>
  <w:style w:type="character" w:customStyle="1" w:styleId="FooterChar">
    <w:name w:val="Footer Char"/>
    <w:link w:val="Footer"/>
    <w:uiPriority w:val="99"/>
    <w:rsid w:val="00AA167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F1169E"/>
    <w:rPr>
      <w:rFonts w:ascii="Tahoma" w:hAnsi="Tahoma" w:cs="Tahoma"/>
      <w:sz w:val="16"/>
      <w:szCs w:val="16"/>
    </w:rPr>
  </w:style>
  <w:style w:type="character" w:customStyle="1" w:styleId="BalloonTextChar">
    <w:name w:val="Balloon Text Char"/>
    <w:link w:val="BalloonText"/>
    <w:uiPriority w:val="99"/>
    <w:semiHidden/>
    <w:rsid w:val="00F1169E"/>
    <w:rPr>
      <w:rFonts w:ascii="Tahoma" w:eastAsia="Times New Roman" w:hAnsi="Tahoma" w:cs="Tahoma"/>
      <w:sz w:val="16"/>
      <w:szCs w:val="16"/>
      <w:lang w:eastAsia="en-US"/>
    </w:rPr>
  </w:style>
  <w:style w:type="character" w:customStyle="1" w:styleId="Heading3Char">
    <w:name w:val="Heading 3 Char"/>
    <w:link w:val="Heading3"/>
    <w:uiPriority w:val="9"/>
    <w:rsid w:val="0084617D"/>
    <w:rPr>
      <w:rFonts w:ascii="Cambria" w:eastAsia="Times New Roman" w:hAnsi="Cambria" w:cs="Times New Roman"/>
      <w:b/>
      <w:bCs/>
      <w:sz w:val="26"/>
      <w:szCs w:val="26"/>
      <w:lang w:eastAsia="en-US"/>
    </w:rPr>
  </w:style>
  <w:style w:type="character" w:styleId="Emphasis">
    <w:name w:val="Emphasis"/>
    <w:uiPriority w:val="20"/>
    <w:qFormat/>
    <w:rsid w:val="00942078"/>
    <w:rPr>
      <w:i/>
      <w:iCs/>
    </w:rPr>
  </w:style>
  <w:style w:type="character" w:customStyle="1" w:styleId="Heading9Char">
    <w:name w:val="Heading 9 Char"/>
    <w:basedOn w:val="DefaultParagraphFont"/>
    <w:link w:val="Heading9"/>
    <w:rsid w:val="00DE7410"/>
    <w:rPr>
      <w:rFonts w:ascii="Times New Roman" w:eastAsia="Times New Roman" w:hAnsi="Times New Roman"/>
      <w:bCs/>
      <w:iCs/>
      <w:lang w:val="en-US" w:eastAsia="en-US"/>
    </w:rPr>
  </w:style>
  <w:style w:type="paragraph" w:styleId="EnvelopeAddress">
    <w:name w:val="envelope address"/>
    <w:basedOn w:val="Normal"/>
    <w:rsid w:val="00DE7410"/>
    <w:pPr>
      <w:framePr w:w="7920" w:h="1980" w:hRule="exact" w:hSpace="180" w:wrap="auto" w:hAnchor="page" w:xAlign="center" w:yAlign="bottom"/>
      <w:ind w:left="2880"/>
    </w:pPr>
    <w:rPr>
      <w:rFonts w:cs="Arial"/>
    </w:rPr>
  </w:style>
  <w:style w:type="paragraph" w:styleId="EnvelopeReturn">
    <w:name w:val="envelope return"/>
    <w:basedOn w:val="Normal"/>
    <w:rsid w:val="00DE7410"/>
    <w:rPr>
      <w:rFonts w:cs="Arial"/>
      <w:sz w:val="20"/>
      <w:szCs w:val="20"/>
    </w:rPr>
  </w:style>
  <w:style w:type="paragraph" w:customStyle="1" w:styleId="CG-Title-Center-Bold">
    <w:name w:val="CG-Title-Center-Bold"/>
    <w:aliases w:val="t1"/>
    <w:basedOn w:val="Normal"/>
    <w:next w:val="Normal"/>
    <w:rsid w:val="00DE7410"/>
    <w:pPr>
      <w:keepNext/>
      <w:spacing w:after="240"/>
      <w:jc w:val="center"/>
    </w:pPr>
    <w:rPr>
      <w:b/>
      <w:sz w:val="32"/>
      <w:szCs w:val="20"/>
      <w:lang w:val="en-US"/>
    </w:rPr>
  </w:style>
  <w:style w:type="paragraph" w:customStyle="1" w:styleId="CG-Title-Center">
    <w:name w:val="CG-Title-Center"/>
    <w:aliases w:val="t5"/>
    <w:basedOn w:val="Normal"/>
    <w:next w:val="Normal"/>
    <w:rsid w:val="00DE7410"/>
    <w:pPr>
      <w:keepNext/>
      <w:spacing w:after="240"/>
      <w:jc w:val="center"/>
    </w:pPr>
    <w:rPr>
      <w:szCs w:val="20"/>
      <w:lang w:val="en-US"/>
    </w:rPr>
  </w:style>
  <w:style w:type="paragraph" w:customStyle="1" w:styleId="Outline3L1">
    <w:name w:val="Outline3_L1"/>
    <w:basedOn w:val="Normal"/>
    <w:next w:val="Normal"/>
    <w:rsid w:val="00DE7410"/>
    <w:pPr>
      <w:keepNext/>
      <w:numPr>
        <w:numId w:val="1"/>
      </w:numPr>
      <w:spacing w:after="240"/>
      <w:outlineLvl w:val="0"/>
    </w:pPr>
    <w:rPr>
      <w:szCs w:val="20"/>
      <w:lang w:val="en-US"/>
    </w:rPr>
  </w:style>
  <w:style w:type="paragraph" w:customStyle="1" w:styleId="Outline3L2">
    <w:name w:val="Outline3_L2"/>
    <w:basedOn w:val="Outline3L1"/>
    <w:next w:val="Normal"/>
    <w:rsid w:val="00DE7410"/>
    <w:pPr>
      <w:numPr>
        <w:ilvl w:val="1"/>
      </w:numPr>
      <w:outlineLvl w:val="1"/>
    </w:pPr>
  </w:style>
  <w:style w:type="paragraph" w:customStyle="1" w:styleId="Outline3L3">
    <w:name w:val="Outline3_L3"/>
    <w:basedOn w:val="Outline3L2"/>
    <w:next w:val="Normal"/>
    <w:rsid w:val="00DE7410"/>
    <w:pPr>
      <w:numPr>
        <w:ilvl w:val="2"/>
      </w:numPr>
      <w:outlineLvl w:val="2"/>
    </w:pPr>
  </w:style>
  <w:style w:type="paragraph" w:customStyle="1" w:styleId="Outline3L4">
    <w:name w:val="Outline3_L4"/>
    <w:basedOn w:val="Outline3L3"/>
    <w:next w:val="Normal"/>
    <w:rsid w:val="00DE7410"/>
    <w:pPr>
      <w:keepNext w:val="0"/>
      <w:numPr>
        <w:ilvl w:val="3"/>
      </w:numPr>
      <w:outlineLvl w:val="3"/>
    </w:pPr>
  </w:style>
  <w:style w:type="paragraph" w:customStyle="1" w:styleId="Outline3L5">
    <w:name w:val="Outline3_L5"/>
    <w:basedOn w:val="Outline3L4"/>
    <w:next w:val="Normal"/>
    <w:rsid w:val="00DE7410"/>
    <w:pPr>
      <w:numPr>
        <w:ilvl w:val="4"/>
      </w:numPr>
      <w:outlineLvl w:val="4"/>
    </w:pPr>
  </w:style>
  <w:style w:type="paragraph" w:customStyle="1" w:styleId="TableFN">
    <w:name w:val="TableFN"/>
    <w:aliases w:val="tfn"/>
    <w:basedOn w:val="Normal"/>
    <w:rsid w:val="00DE7410"/>
    <w:pPr>
      <w:spacing w:after="240"/>
    </w:pPr>
    <w:rPr>
      <w:sz w:val="18"/>
      <w:szCs w:val="20"/>
      <w:lang w:val="en-US"/>
    </w:rPr>
  </w:style>
  <w:style w:type="paragraph" w:styleId="Title">
    <w:name w:val="Title"/>
    <w:basedOn w:val="Normal"/>
    <w:link w:val="TitleChar"/>
    <w:qFormat/>
    <w:rsid w:val="00DE7410"/>
    <w:pPr>
      <w:ind w:right="983"/>
      <w:jc w:val="center"/>
    </w:pPr>
    <w:rPr>
      <w:b/>
      <w:szCs w:val="20"/>
      <w:lang w:val="en-GB"/>
    </w:rPr>
  </w:style>
  <w:style w:type="character" w:customStyle="1" w:styleId="TitleChar">
    <w:name w:val="Title Char"/>
    <w:basedOn w:val="DefaultParagraphFont"/>
    <w:link w:val="Title"/>
    <w:rsid w:val="00DE7410"/>
    <w:rPr>
      <w:rFonts w:ascii="Times New Roman" w:eastAsia="Times New Roman" w:hAnsi="Times New Roman"/>
      <w:b/>
      <w:sz w:val="24"/>
      <w:lang w:val="en-GB" w:eastAsia="en-US"/>
    </w:rPr>
  </w:style>
  <w:style w:type="paragraph" w:styleId="BodyText3">
    <w:name w:val="Body Text 3"/>
    <w:basedOn w:val="Normal"/>
    <w:link w:val="BodyText3Char"/>
    <w:rsid w:val="00DE7410"/>
    <w:rPr>
      <w:b/>
      <w:szCs w:val="20"/>
      <w:lang w:val="en-GB"/>
    </w:rPr>
  </w:style>
  <w:style w:type="character" w:customStyle="1" w:styleId="BodyText3Char">
    <w:name w:val="Body Text 3 Char"/>
    <w:basedOn w:val="DefaultParagraphFont"/>
    <w:link w:val="BodyText3"/>
    <w:rsid w:val="00DE7410"/>
    <w:rPr>
      <w:rFonts w:ascii="Times New Roman" w:eastAsia="Times New Roman" w:hAnsi="Times New Roman"/>
      <w:b/>
      <w:sz w:val="24"/>
      <w:lang w:val="en-GB" w:eastAsia="en-US"/>
    </w:rPr>
  </w:style>
  <w:style w:type="paragraph" w:customStyle="1" w:styleId="CG-SingleSp05">
    <w:name w:val="CG-Single Sp 0.5"/>
    <w:aliases w:val="s2,!Body Text .5(J),!Body Text .5s2(J),Normal + Interstate-RegularCondensed,9 pt"/>
    <w:basedOn w:val="Normal"/>
    <w:rsid w:val="00DE7410"/>
    <w:pPr>
      <w:spacing w:after="240"/>
      <w:ind w:firstLine="720"/>
      <w:jc w:val="both"/>
    </w:pPr>
    <w:rPr>
      <w:rFonts w:eastAsia="MS Mincho"/>
      <w:sz w:val="22"/>
      <w:szCs w:val="20"/>
      <w:lang w:val="en-US"/>
    </w:rPr>
  </w:style>
  <w:style w:type="character" w:styleId="PageNumber">
    <w:name w:val="page number"/>
    <w:basedOn w:val="DefaultParagraphFont"/>
    <w:rsid w:val="00DE7410"/>
  </w:style>
  <w:style w:type="table" w:styleId="TableGrid">
    <w:name w:val="Table Grid"/>
    <w:basedOn w:val="TableNormal"/>
    <w:uiPriority w:val="39"/>
    <w:rsid w:val="00DE74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G-SingleSp05s2">
    <w:name w:val="CG-Single Sp 0.5.s2"/>
    <w:basedOn w:val="Normal"/>
    <w:rsid w:val="00DE7410"/>
    <w:pPr>
      <w:spacing w:after="240"/>
      <w:ind w:firstLine="720"/>
      <w:jc w:val="both"/>
    </w:pPr>
    <w:rPr>
      <w:snapToGrid w:val="0"/>
      <w:sz w:val="22"/>
      <w:szCs w:val="20"/>
    </w:rPr>
  </w:style>
  <w:style w:type="character" w:styleId="CommentReference">
    <w:name w:val="annotation reference"/>
    <w:semiHidden/>
    <w:rsid w:val="00DE7410"/>
    <w:rPr>
      <w:sz w:val="16"/>
      <w:szCs w:val="16"/>
    </w:rPr>
  </w:style>
  <w:style w:type="paragraph" w:styleId="CommentText">
    <w:name w:val="annotation text"/>
    <w:basedOn w:val="Normal"/>
    <w:link w:val="CommentTextChar"/>
    <w:semiHidden/>
    <w:rsid w:val="00DE7410"/>
    <w:rPr>
      <w:sz w:val="20"/>
      <w:szCs w:val="20"/>
    </w:rPr>
  </w:style>
  <w:style w:type="character" w:customStyle="1" w:styleId="CommentTextChar">
    <w:name w:val="Comment Text Char"/>
    <w:basedOn w:val="DefaultParagraphFont"/>
    <w:link w:val="CommentText"/>
    <w:semiHidden/>
    <w:rsid w:val="00DE7410"/>
    <w:rPr>
      <w:rFonts w:ascii="Times New Roman" w:eastAsia="Times New Roman" w:hAnsi="Times New Roman"/>
      <w:lang w:eastAsia="en-US"/>
    </w:rPr>
  </w:style>
  <w:style w:type="paragraph" w:styleId="CommentSubject">
    <w:name w:val="annotation subject"/>
    <w:basedOn w:val="CommentText"/>
    <w:next w:val="CommentText"/>
    <w:link w:val="CommentSubjectChar"/>
    <w:semiHidden/>
    <w:rsid w:val="00DE7410"/>
    <w:rPr>
      <w:b/>
      <w:bCs/>
    </w:rPr>
  </w:style>
  <w:style w:type="character" w:customStyle="1" w:styleId="CommentSubjectChar">
    <w:name w:val="Comment Subject Char"/>
    <w:basedOn w:val="CommentTextChar"/>
    <w:link w:val="CommentSubject"/>
    <w:semiHidden/>
    <w:rsid w:val="00DE7410"/>
    <w:rPr>
      <w:rFonts w:ascii="Times New Roman" w:eastAsia="Times New Roman" w:hAnsi="Times New Roman"/>
      <w:b/>
      <w:bCs/>
      <w:lang w:eastAsia="en-US"/>
    </w:rPr>
  </w:style>
  <w:style w:type="paragraph" w:customStyle="1" w:styleId="S2">
    <w:name w:val="S2"/>
    <w:basedOn w:val="CG-SingleSp05"/>
    <w:link w:val="S2Char"/>
    <w:rsid w:val="00DE7410"/>
    <w:pPr>
      <w:spacing w:after="120"/>
      <w:ind w:right="144" w:firstLine="432"/>
    </w:pPr>
    <w:rPr>
      <w:rFonts w:eastAsia="Times New Roman"/>
    </w:rPr>
  </w:style>
  <w:style w:type="character" w:customStyle="1" w:styleId="S2Char">
    <w:name w:val="S2 Char"/>
    <w:link w:val="S2"/>
    <w:rsid w:val="00DE7410"/>
    <w:rPr>
      <w:rFonts w:ascii="Times New Roman" w:eastAsia="Times New Roman" w:hAnsi="Times New Roman"/>
      <w:sz w:val="22"/>
      <w:lang w:val="en-US" w:eastAsia="en-US"/>
    </w:rPr>
  </w:style>
  <w:style w:type="paragraph" w:customStyle="1" w:styleId="Text1bullet">
    <w:name w:val="Text 1 bullet"/>
    <w:basedOn w:val="Normal"/>
    <w:rsid w:val="00DE7410"/>
    <w:pPr>
      <w:overflowPunct w:val="0"/>
      <w:autoSpaceDE w:val="0"/>
      <w:autoSpaceDN w:val="0"/>
      <w:adjustRightInd w:val="0"/>
      <w:spacing w:before="100"/>
      <w:ind w:left="440" w:right="300" w:hanging="440"/>
      <w:jc w:val="both"/>
      <w:textAlignment w:val="baseline"/>
    </w:pPr>
    <w:rPr>
      <w:rFonts w:ascii="Times" w:hAnsi="Times"/>
      <w:sz w:val="20"/>
      <w:szCs w:val="20"/>
      <w:lang w:val="en-GB"/>
    </w:rPr>
  </w:style>
  <w:style w:type="paragraph" w:styleId="NormalWeb">
    <w:name w:val="Normal (Web)"/>
    <w:basedOn w:val="Normal"/>
    <w:uiPriority w:val="99"/>
    <w:rsid w:val="00DE7410"/>
    <w:pPr>
      <w:spacing w:before="100" w:beforeAutospacing="1" w:after="100" w:afterAutospacing="1"/>
    </w:pPr>
    <w:rPr>
      <w:lang w:val="en-US"/>
    </w:rPr>
  </w:style>
  <w:style w:type="paragraph" w:styleId="ListParagraph">
    <w:name w:val="List Paragraph"/>
    <w:basedOn w:val="Normal"/>
    <w:uiPriority w:val="34"/>
    <w:qFormat/>
    <w:rsid w:val="00DE7410"/>
    <w:pPr>
      <w:ind w:left="720"/>
    </w:pPr>
  </w:style>
  <w:style w:type="paragraph" w:customStyle="1" w:styleId="CG-Bullet">
    <w:name w:val="CG-Bullet"/>
    <w:aliases w:val="b1"/>
    <w:basedOn w:val="Normal"/>
    <w:rsid w:val="00DE7410"/>
    <w:pPr>
      <w:numPr>
        <w:numId w:val="4"/>
      </w:numPr>
      <w:spacing w:after="240"/>
      <w:jc w:val="both"/>
    </w:pPr>
    <w:rPr>
      <w:rFonts w:eastAsia="MS Mincho"/>
      <w:sz w:val="22"/>
      <w:szCs w:val="22"/>
      <w:lang w:val="en-US"/>
    </w:rPr>
  </w:style>
  <w:style w:type="paragraph" w:customStyle="1" w:styleId="Default">
    <w:name w:val="Default"/>
    <w:uiPriority w:val="99"/>
    <w:rsid w:val="00DE7410"/>
    <w:pPr>
      <w:autoSpaceDE w:val="0"/>
      <w:autoSpaceDN w:val="0"/>
      <w:adjustRightInd w:val="0"/>
    </w:pPr>
    <w:rPr>
      <w:rFonts w:ascii="Trebuchet MS" w:eastAsia="Times New Roman" w:hAnsi="Trebuchet MS" w:cs="Trebuchet MS"/>
      <w:color w:val="000000"/>
      <w:sz w:val="24"/>
      <w:szCs w:val="24"/>
    </w:rPr>
  </w:style>
  <w:style w:type="paragraph" w:customStyle="1" w:styleId="Pa2">
    <w:name w:val="Pa2"/>
    <w:basedOn w:val="Default"/>
    <w:next w:val="Default"/>
    <w:uiPriority w:val="99"/>
    <w:rsid w:val="00DE7410"/>
    <w:pPr>
      <w:spacing w:line="191" w:lineRule="atLeast"/>
    </w:pPr>
    <w:rPr>
      <w:rFonts w:ascii="Univers LT Std 45 Light" w:hAnsi="Univers LT Std 45 Light" w:cs="Times New Roman"/>
      <w:color w:val="auto"/>
    </w:rPr>
  </w:style>
  <w:style w:type="paragraph" w:styleId="Revision">
    <w:name w:val="Revision"/>
    <w:hidden/>
    <w:uiPriority w:val="99"/>
    <w:semiHidden/>
    <w:rsid w:val="00DE7410"/>
    <w:rPr>
      <w:rFonts w:ascii="Times New Roman" w:eastAsia="Times New Roman" w:hAnsi="Times New Roman"/>
      <w:sz w:val="24"/>
      <w:szCs w:val="24"/>
      <w:lang w:eastAsia="en-US"/>
    </w:rPr>
  </w:style>
  <w:style w:type="paragraph" w:styleId="NoSpacing">
    <w:name w:val="No Spacing"/>
    <w:uiPriority w:val="1"/>
    <w:qFormat/>
    <w:rsid w:val="00D7268B"/>
    <w:pPr>
      <w:suppressAutoHyphens/>
      <w:autoSpaceDN w:val="0"/>
    </w:pPr>
    <w:rPr>
      <w:sz w:val="22"/>
      <w:szCs w:val="22"/>
      <w:lang w:eastAsia="en-US"/>
    </w:rPr>
  </w:style>
  <w:style w:type="paragraph" w:customStyle="1" w:styleId="CG-SingleSp1">
    <w:name w:val="CG-Single Sp 1"/>
    <w:aliases w:val="s3"/>
    <w:basedOn w:val="Normal"/>
    <w:rsid w:val="009C3AC9"/>
    <w:pPr>
      <w:spacing w:after="240"/>
      <w:ind w:firstLine="1440"/>
    </w:pPr>
    <w:rPr>
      <w:rFonts w:eastAsia="MS Mincho"/>
      <w:lang w:val="en-US"/>
    </w:rPr>
  </w:style>
  <w:style w:type="paragraph" w:customStyle="1" w:styleId="CG-SingleSp">
    <w:name w:val="CG-Single Sp"/>
    <w:aliases w:val="s1"/>
    <w:basedOn w:val="Normal"/>
    <w:rsid w:val="009C3AC9"/>
    <w:pPr>
      <w:spacing w:after="240"/>
    </w:pPr>
    <w:rPr>
      <w:rFonts w:eastAsia="MS Mincho"/>
      <w:sz w:val="22"/>
      <w:szCs w:val="22"/>
      <w:lang w:val="en-US"/>
    </w:rPr>
  </w:style>
  <w:style w:type="paragraph" w:customStyle="1" w:styleId="CG-Title-Left-Bold">
    <w:name w:val="CG-Title-Left-Bold"/>
    <w:aliases w:val="t3"/>
    <w:basedOn w:val="Normal"/>
    <w:next w:val="CG-SingleSp1"/>
    <w:rsid w:val="009C3AC9"/>
    <w:pPr>
      <w:keepNext/>
      <w:spacing w:after="240"/>
    </w:pPr>
    <w:rPr>
      <w:rFonts w:eastAsia="MS Mincho"/>
      <w:b/>
      <w:bCs/>
      <w:sz w:val="22"/>
      <w:szCs w:val="22"/>
      <w:lang w:val="en-US"/>
    </w:rPr>
  </w:style>
  <w:style w:type="character" w:customStyle="1" w:styleId="r">
    <w:name w:val="r"/>
    <w:basedOn w:val="DefaultParagraphFont"/>
    <w:rsid w:val="0035558E"/>
  </w:style>
  <w:style w:type="character" w:customStyle="1" w:styleId="cf">
    <w:name w:val="cf"/>
    <w:basedOn w:val="DefaultParagraphFont"/>
    <w:rsid w:val="000A5A8F"/>
  </w:style>
  <w:style w:type="paragraph" w:customStyle="1" w:styleId="-Body-text">
    <w:name w:val="- Body - text"/>
    <w:basedOn w:val="Normal"/>
    <w:link w:val="-Body-textChar1"/>
    <w:uiPriority w:val="99"/>
    <w:rsid w:val="00D735E7"/>
    <w:pPr>
      <w:widowControl w:val="0"/>
      <w:tabs>
        <w:tab w:val="left" w:pos="340"/>
      </w:tabs>
      <w:suppressAutoHyphens/>
      <w:autoSpaceDE w:val="0"/>
      <w:autoSpaceDN w:val="0"/>
      <w:adjustRightInd w:val="0"/>
      <w:spacing w:after="120" w:line="288" w:lineRule="auto"/>
      <w:textAlignment w:val="center"/>
    </w:pPr>
    <w:rPr>
      <w:rFonts w:ascii="Arial" w:hAnsi="Arial" w:cs="Arial"/>
      <w:color w:val="000000"/>
      <w:sz w:val="17"/>
      <w:szCs w:val="17"/>
      <w:lang w:val="en-GB" w:eastAsia="en-GB"/>
    </w:rPr>
  </w:style>
  <w:style w:type="paragraph" w:customStyle="1" w:styleId="FSHeadingStyle2">
    <w:name w:val="FS Heading Style 2"/>
    <w:basedOn w:val="Normal"/>
    <w:link w:val="FSHeadingStyle2Char"/>
    <w:qFormat/>
    <w:rsid w:val="00D735E7"/>
    <w:pPr>
      <w:keepLines/>
      <w:widowControl w:val="0"/>
      <w:suppressAutoHyphens/>
      <w:autoSpaceDE w:val="0"/>
      <w:autoSpaceDN w:val="0"/>
      <w:adjustRightInd w:val="0"/>
      <w:spacing w:after="120" w:line="280" w:lineRule="atLeast"/>
      <w:textAlignment w:val="center"/>
    </w:pPr>
    <w:rPr>
      <w:rFonts w:ascii="Arial" w:hAnsi="Arial" w:cs="Arial"/>
      <w:bCs/>
      <w:color w:val="000000" w:themeColor="text1"/>
      <w:sz w:val="28"/>
      <w:szCs w:val="28"/>
      <w:lang w:val="en-GB" w:eastAsia="en-GB"/>
    </w:rPr>
  </w:style>
  <w:style w:type="paragraph" w:customStyle="1" w:styleId="FSHeadingStyle1">
    <w:name w:val="FS Heading Style 1"/>
    <w:basedOn w:val="Normal"/>
    <w:link w:val="FSHeadingStyle1Char"/>
    <w:qFormat/>
    <w:rsid w:val="00D735E7"/>
    <w:pPr>
      <w:keepLines/>
      <w:pageBreakBefore/>
      <w:widowControl w:val="0"/>
      <w:suppressAutoHyphens/>
      <w:autoSpaceDE w:val="0"/>
      <w:autoSpaceDN w:val="0"/>
      <w:adjustRightInd w:val="0"/>
      <w:spacing w:before="360" w:after="120" w:line="280" w:lineRule="atLeast"/>
      <w:textAlignment w:val="center"/>
    </w:pPr>
    <w:rPr>
      <w:rFonts w:ascii="Arial" w:hAnsi="Arial" w:cs="Arial"/>
      <w:b/>
      <w:bCs/>
      <w:color w:val="002060"/>
      <w:sz w:val="36"/>
      <w:szCs w:val="36"/>
      <w:lang w:val="en-GB" w:eastAsia="en-GB"/>
    </w:rPr>
  </w:style>
  <w:style w:type="character" w:customStyle="1" w:styleId="FSHeadingStyle2Char">
    <w:name w:val="FS Heading Style 2 Char"/>
    <w:basedOn w:val="DefaultParagraphFont"/>
    <w:link w:val="FSHeadingStyle2"/>
    <w:rsid w:val="00D735E7"/>
    <w:rPr>
      <w:rFonts w:ascii="Arial" w:eastAsia="Times New Roman" w:hAnsi="Arial" w:cs="Arial"/>
      <w:bCs/>
      <w:color w:val="000000" w:themeColor="text1"/>
      <w:sz w:val="28"/>
      <w:szCs w:val="28"/>
      <w:lang w:val="en-GB" w:eastAsia="en-GB"/>
    </w:rPr>
  </w:style>
  <w:style w:type="character" w:customStyle="1" w:styleId="FSHeadingStyle1Char">
    <w:name w:val="FS Heading Style 1 Char"/>
    <w:basedOn w:val="DefaultParagraphFont"/>
    <w:link w:val="FSHeadingStyle1"/>
    <w:rsid w:val="00D735E7"/>
    <w:rPr>
      <w:rFonts w:ascii="Arial" w:eastAsia="Times New Roman" w:hAnsi="Arial" w:cs="Arial"/>
      <w:b/>
      <w:bCs/>
      <w:color w:val="002060"/>
      <w:sz w:val="36"/>
      <w:szCs w:val="36"/>
      <w:lang w:val="en-GB" w:eastAsia="en-GB"/>
    </w:rPr>
  </w:style>
  <w:style w:type="paragraph" w:customStyle="1" w:styleId="FSBodyStyle1">
    <w:name w:val="FS Body Style 1"/>
    <w:basedOn w:val="-Body-text"/>
    <w:link w:val="FSBodyStyle1Char"/>
    <w:qFormat/>
    <w:rsid w:val="00D735E7"/>
    <w:pPr>
      <w:spacing w:before="120"/>
    </w:pPr>
  </w:style>
  <w:style w:type="character" w:customStyle="1" w:styleId="-Body-textChar1">
    <w:name w:val="- Body - text Char1"/>
    <w:basedOn w:val="DefaultParagraphFont"/>
    <w:link w:val="-Body-text"/>
    <w:uiPriority w:val="99"/>
    <w:rsid w:val="00D735E7"/>
    <w:rPr>
      <w:rFonts w:ascii="Arial" w:eastAsia="Times New Roman" w:hAnsi="Arial" w:cs="Arial"/>
      <w:color w:val="000000"/>
      <w:sz w:val="17"/>
      <w:szCs w:val="17"/>
      <w:lang w:val="en-GB" w:eastAsia="en-GB"/>
    </w:rPr>
  </w:style>
  <w:style w:type="character" w:customStyle="1" w:styleId="FSBodyStyle1Char">
    <w:name w:val="FS Body Style 1 Char"/>
    <w:basedOn w:val="-Body-textChar1"/>
    <w:link w:val="FSBodyStyle1"/>
    <w:rsid w:val="00D735E7"/>
    <w:rPr>
      <w:rFonts w:ascii="Arial" w:eastAsia="Times New Roman" w:hAnsi="Arial" w:cs="Arial"/>
      <w:color w:val="000000"/>
      <w:sz w:val="17"/>
      <w:szCs w:val="17"/>
      <w:lang w:val="en-GB" w:eastAsia="en-GB"/>
    </w:rPr>
  </w:style>
  <w:style w:type="paragraph" w:customStyle="1" w:styleId="Pa20">
    <w:name w:val="Pa20"/>
    <w:basedOn w:val="Normal"/>
    <w:uiPriority w:val="99"/>
    <w:rsid w:val="006F69D2"/>
    <w:pPr>
      <w:autoSpaceDE w:val="0"/>
      <w:autoSpaceDN w:val="0"/>
      <w:spacing w:line="191" w:lineRule="atLeast"/>
    </w:pPr>
    <w:rPr>
      <w:rFonts w:ascii="Univers LT Std 45 Light" w:eastAsia="Calibri" w:hAnsi="Univers LT Std 45 Light"/>
    </w:rPr>
  </w:style>
  <w:style w:type="character" w:customStyle="1" w:styleId="Heading1Char">
    <w:name w:val="Heading 1 Char"/>
    <w:basedOn w:val="DefaultParagraphFont"/>
    <w:link w:val="Heading1"/>
    <w:uiPriority w:val="9"/>
    <w:rsid w:val="00832D00"/>
    <w:rPr>
      <w:rFonts w:ascii="Calibri Light" w:eastAsia="Times New Roman" w:hAnsi="Calibri Light"/>
      <w:b/>
      <w:bCs/>
      <w:kern w:val="32"/>
      <w:sz w:val="32"/>
      <w:szCs w:val="32"/>
      <w:lang w:eastAsia="en-US"/>
    </w:rPr>
  </w:style>
  <w:style w:type="paragraph" w:customStyle="1" w:styleId="Sub-header">
    <w:name w:val="Sub-header"/>
    <w:basedOn w:val="Normal"/>
    <w:next w:val="Normal"/>
    <w:uiPriority w:val="3"/>
    <w:qFormat/>
    <w:rsid w:val="00832D00"/>
    <w:rPr>
      <w:rFonts w:ascii="Arial" w:eastAsia="Calibri" w:hAnsi="Arial"/>
      <w:i/>
      <w:sz w:val="20"/>
      <w:szCs w:val="22"/>
    </w:rPr>
  </w:style>
  <w:style w:type="character" w:styleId="FollowedHyperlink">
    <w:name w:val="FollowedHyperlink"/>
    <w:uiPriority w:val="99"/>
    <w:semiHidden/>
    <w:unhideWhenUsed/>
    <w:rsid w:val="00832D0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603">
      <w:bodyDiv w:val="1"/>
      <w:marLeft w:val="0"/>
      <w:marRight w:val="0"/>
      <w:marTop w:val="0"/>
      <w:marBottom w:val="0"/>
      <w:divBdr>
        <w:top w:val="none" w:sz="0" w:space="0" w:color="auto"/>
        <w:left w:val="none" w:sz="0" w:space="0" w:color="auto"/>
        <w:bottom w:val="none" w:sz="0" w:space="0" w:color="auto"/>
        <w:right w:val="none" w:sz="0" w:space="0" w:color="auto"/>
      </w:divBdr>
    </w:div>
    <w:div w:id="127938800">
      <w:bodyDiv w:val="1"/>
      <w:marLeft w:val="0"/>
      <w:marRight w:val="0"/>
      <w:marTop w:val="0"/>
      <w:marBottom w:val="0"/>
      <w:divBdr>
        <w:top w:val="none" w:sz="0" w:space="0" w:color="auto"/>
        <w:left w:val="none" w:sz="0" w:space="0" w:color="auto"/>
        <w:bottom w:val="none" w:sz="0" w:space="0" w:color="auto"/>
        <w:right w:val="none" w:sz="0" w:space="0" w:color="auto"/>
      </w:divBdr>
    </w:div>
    <w:div w:id="255941001">
      <w:bodyDiv w:val="1"/>
      <w:marLeft w:val="0"/>
      <w:marRight w:val="0"/>
      <w:marTop w:val="0"/>
      <w:marBottom w:val="0"/>
      <w:divBdr>
        <w:top w:val="none" w:sz="0" w:space="0" w:color="auto"/>
        <w:left w:val="none" w:sz="0" w:space="0" w:color="auto"/>
        <w:bottom w:val="none" w:sz="0" w:space="0" w:color="auto"/>
        <w:right w:val="none" w:sz="0" w:space="0" w:color="auto"/>
      </w:divBdr>
    </w:div>
    <w:div w:id="333609419">
      <w:bodyDiv w:val="1"/>
      <w:marLeft w:val="0"/>
      <w:marRight w:val="0"/>
      <w:marTop w:val="0"/>
      <w:marBottom w:val="0"/>
      <w:divBdr>
        <w:top w:val="none" w:sz="0" w:space="0" w:color="auto"/>
        <w:left w:val="none" w:sz="0" w:space="0" w:color="auto"/>
        <w:bottom w:val="none" w:sz="0" w:space="0" w:color="auto"/>
        <w:right w:val="none" w:sz="0" w:space="0" w:color="auto"/>
      </w:divBdr>
    </w:div>
    <w:div w:id="436603275">
      <w:bodyDiv w:val="1"/>
      <w:marLeft w:val="0"/>
      <w:marRight w:val="0"/>
      <w:marTop w:val="0"/>
      <w:marBottom w:val="0"/>
      <w:divBdr>
        <w:top w:val="none" w:sz="0" w:space="0" w:color="auto"/>
        <w:left w:val="none" w:sz="0" w:space="0" w:color="auto"/>
        <w:bottom w:val="none" w:sz="0" w:space="0" w:color="auto"/>
        <w:right w:val="none" w:sz="0" w:space="0" w:color="auto"/>
      </w:divBdr>
    </w:div>
    <w:div w:id="1258126827">
      <w:bodyDiv w:val="1"/>
      <w:marLeft w:val="0"/>
      <w:marRight w:val="0"/>
      <w:marTop w:val="0"/>
      <w:marBottom w:val="0"/>
      <w:divBdr>
        <w:top w:val="none" w:sz="0" w:space="0" w:color="auto"/>
        <w:left w:val="none" w:sz="0" w:space="0" w:color="auto"/>
        <w:bottom w:val="none" w:sz="0" w:space="0" w:color="auto"/>
        <w:right w:val="none" w:sz="0" w:space="0" w:color="auto"/>
      </w:divBdr>
    </w:div>
    <w:div w:id="1750929270">
      <w:bodyDiv w:val="1"/>
      <w:marLeft w:val="0"/>
      <w:marRight w:val="0"/>
      <w:marTop w:val="0"/>
      <w:marBottom w:val="0"/>
      <w:divBdr>
        <w:top w:val="none" w:sz="0" w:space="0" w:color="auto"/>
        <w:left w:val="none" w:sz="0" w:space="0" w:color="auto"/>
        <w:bottom w:val="none" w:sz="0" w:space="0" w:color="auto"/>
        <w:right w:val="none" w:sz="0" w:space="0" w:color="auto"/>
      </w:divBdr>
    </w:div>
    <w:div w:id="1883442980">
      <w:bodyDiv w:val="1"/>
      <w:marLeft w:val="0"/>
      <w:marRight w:val="0"/>
      <w:marTop w:val="0"/>
      <w:marBottom w:val="0"/>
      <w:divBdr>
        <w:top w:val="none" w:sz="0" w:space="0" w:color="auto"/>
        <w:left w:val="none" w:sz="0" w:space="0" w:color="auto"/>
        <w:bottom w:val="none" w:sz="0" w:space="0" w:color="auto"/>
        <w:right w:val="none" w:sz="0" w:space="0" w:color="auto"/>
      </w:divBdr>
    </w:div>
    <w:div w:id="2083403291">
      <w:bodyDiv w:val="1"/>
      <w:marLeft w:val="0"/>
      <w:marRight w:val="0"/>
      <w:marTop w:val="0"/>
      <w:marBottom w:val="0"/>
      <w:divBdr>
        <w:top w:val="none" w:sz="0" w:space="0" w:color="auto"/>
        <w:left w:val="none" w:sz="0" w:space="0" w:color="auto"/>
        <w:bottom w:val="none" w:sz="0" w:space="0" w:color="auto"/>
        <w:right w:val="none" w:sz="0" w:space="0" w:color="auto"/>
      </w:divBdr>
    </w:div>
    <w:div w:id="208525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yanair.com/environme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investor.ryanair.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ryanai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2020-02-03T07:05:19+00:00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2603372C-1297-45C2-982E-975CB9234A71}"/>
</file>

<file path=customXml/itemProps2.xml><?xml version="1.0" encoding="utf-8"?>
<ds:datastoreItem xmlns:ds="http://schemas.openxmlformats.org/officeDocument/2006/customXml" ds:itemID="{D4EBD2B0-6B2C-4839-AD16-B0FE716EA02E}"/>
</file>

<file path=customXml/itemProps3.xml><?xml version="1.0" encoding="utf-8"?>
<ds:datastoreItem xmlns:ds="http://schemas.openxmlformats.org/officeDocument/2006/customXml" ds:itemID="{78D0B03D-9611-46E6-8660-13583754CDC5}"/>
</file>

<file path=customXml/itemProps4.xml><?xml version="1.0" encoding="utf-8"?>
<ds:datastoreItem xmlns:ds="http://schemas.openxmlformats.org/officeDocument/2006/customXml" ds:itemID="{9E7D8F8D-B9ED-40C9-83F3-BCC219655F79}"/>
</file>

<file path=docProps/app.xml><?xml version="1.0" encoding="utf-8"?>
<Properties xmlns="http://schemas.openxmlformats.org/officeDocument/2006/extended-properties" xmlns:vt="http://schemas.openxmlformats.org/officeDocument/2006/docPropsVTypes">
  <Template>Normal</Template>
  <TotalTime>18</TotalTime>
  <Pages>31</Pages>
  <Words>7557</Words>
  <Characters>43077</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Ryanair Limited</Company>
  <LinksUpToDate>false</LinksUpToDate>
  <CharactersWithSpaces>50533</CharactersWithSpaces>
  <SharedDoc>false</SharedDoc>
  <HLinks>
    <vt:vector size="6" baseType="variant">
      <vt:variant>
        <vt:i4>2424943</vt:i4>
      </vt:variant>
      <vt:variant>
        <vt:i4>0</vt:i4>
      </vt:variant>
      <vt:variant>
        <vt:i4>0</vt:i4>
      </vt:variant>
      <vt:variant>
        <vt:i4>5</vt:i4>
      </vt:variant>
      <vt:variant>
        <vt:lpwstr>http://www.ryanair.com/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obriens</dc:creator>
  <cp:lastModifiedBy>Edwards, Jessica</cp:lastModifiedBy>
  <cp:revision>4</cp:revision>
  <cp:lastPrinted>2020-01-29T11:32:00Z</cp:lastPrinted>
  <dcterms:created xsi:type="dcterms:W3CDTF">2020-01-31T18:37:00Z</dcterms:created>
  <dcterms:modified xsi:type="dcterms:W3CDTF">2020-01-31T18:45:00Z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0x010100BE156B1CF39149A8843C57AB06C49AFE0011B886BEF4CCD94F85F46E94360FD412</vt:lpwstr>
  </property>
  <property fmtid="{D5CDD505-2E9C-101B-9397-08002B2CF9AE}" pid="4" name="IssuerName">
    <vt:lpwstr/>
  </property>
  <property fmtid="{D5CDD505-2E9C-101B-9397-08002B2CF9AE}" pid="5" name="MigrateFolderIssueDetected">
    <vt:bool>false</vt:bool>
  </property>
  <property fmtid="{D5CDD505-2E9C-101B-9397-08002B2CF9AE}" pid="6" name="Order">
    <vt:r8>37162200</vt:r8>
  </property>
  <property fmtid="{D5CDD505-2E9C-101B-9397-08002B2CF9AE}" pid="7" name="JobType">
    <vt:lpwstr/>
  </property>
  <property fmtid="{D5CDD505-2E9C-101B-9397-08002B2CF9AE}" pid="8" name="IssuerID">
    <vt:lpwstr/>
  </property>
  <property fmtid="{D5CDD505-2E9C-101B-9397-08002B2CF9AE}" pid="9" name="SendToWeb">
    <vt:bool>false</vt:bool>
  </property>
  <property fmtid="{D5CDD505-2E9C-101B-9397-08002B2CF9AE}" pid="10" name="JobContentType">
    <vt:lpwstr/>
  </property>
  <property fmtid="{D5CDD505-2E9C-101B-9397-08002B2CF9AE}" pid="11" name="Organisation">
    <vt:lpwstr/>
  </property>
  <property fmtid="{D5CDD505-2E9C-101B-9397-08002B2CF9AE}" pid="12" name="Contact">
    <vt:lpwstr/>
  </property>
  <property fmtid="{D5CDD505-2E9C-101B-9397-08002B2CF9AE}" pid="13" name="MigrateFolderIssueDetected0">
    <vt:bool>false</vt:bool>
  </property>
</Properties>
</file>