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C3B02" w14:textId="77777777" w:rsidR="00A84CE2" w:rsidRDefault="00A84CE2" w:rsidP="00A84CE2">
      <w:r>
        <w:t>RNS Number: [</w:t>
      </w:r>
      <w:r>
        <w:sym w:font="Wingdings" w:char="F06C"/>
      </w:r>
      <w:r>
        <w:t>]</w:t>
      </w:r>
    </w:p>
    <w:p w14:paraId="4CA08E86" w14:textId="77777777" w:rsidR="00A84CE2" w:rsidRDefault="00A84CE2" w:rsidP="00A84CE2">
      <w:r>
        <w:t>Ryanair Holdings plc</w:t>
      </w:r>
    </w:p>
    <w:p w14:paraId="46887981" w14:textId="77777777" w:rsidR="00A84CE2" w:rsidRPr="00E04320" w:rsidRDefault="00A84CE2" w:rsidP="00A84CE2">
      <w:r>
        <w:t xml:space="preserve">November 24, 2020 </w:t>
      </w:r>
    </w:p>
    <w:p w14:paraId="6F2CAC8A" w14:textId="77777777" w:rsidR="00A84CE2" w:rsidRDefault="00A84CE2" w:rsidP="00D03DDC">
      <w:pPr>
        <w:pStyle w:val="k"/>
        <w:spacing w:before="0" w:beforeAutospacing="0" w:after="0" w:afterAutospacing="0"/>
        <w:jc w:val="both"/>
        <w:rPr>
          <w:sz w:val="22"/>
          <w:szCs w:val="22"/>
          <w:lang w:val="en-IE" w:eastAsia="en-US"/>
        </w:rPr>
      </w:pPr>
    </w:p>
    <w:p w14:paraId="1FE416C8" w14:textId="77777777" w:rsidR="00A84CE2" w:rsidRPr="006430DC" w:rsidRDefault="00D03DDC" w:rsidP="00A84CE2">
      <w:pPr>
        <w:pStyle w:val="k"/>
        <w:spacing w:before="0" w:beforeAutospacing="0" w:after="0" w:afterAutospacing="0"/>
        <w:jc w:val="center"/>
        <w:rPr>
          <w:b/>
          <w:bCs/>
          <w:sz w:val="22"/>
          <w:szCs w:val="22"/>
          <w:lang w:val="en-IE" w:eastAsia="en-US"/>
        </w:rPr>
      </w:pPr>
      <w:r w:rsidRPr="006430DC">
        <w:rPr>
          <w:b/>
          <w:bCs/>
          <w:sz w:val="22"/>
          <w:szCs w:val="22"/>
          <w:lang w:val="en-IE" w:eastAsia="en-US"/>
        </w:rPr>
        <w:t xml:space="preserve">Ryanair Holdings plc </w:t>
      </w:r>
    </w:p>
    <w:p w14:paraId="0C4AB8D2" w14:textId="77777777" w:rsidR="00D03DDC" w:rsidRPr="006430DC" w:rsidRDefault="00D03DDC" w:rsidP="006430DC">
      <w:pPr>
        <w:pStyle w:val="k"/>
        <w:spacing w:before="0" w:beforeAutospacing="0" w:after="0" w:afterAutospacing="0"/>
        <w:jc w:val="center"/>
        <w:rPr>
          <w:b/>
          <w:bCs/>
          <w:sz w:val="22"/>
          <w:szCs w:val="22"/>
          <w:lang w:val="en-IE" w:eastAsia="en-US"/>
        </w:rPr>
      </w:pPr>
      <w:r w:rsidRPr="006430DC">
        <w:rPr>
          <w:b/>
          <w:bCs/>
          <w:sz w:val="22"/>
          <w:szCs w:val="22"/>
          <w:lang w:val="en-IE" w:eastAsia="en-US"/>
        </w:rPr>
        <w:t>(the “</w:t>
      </w:r>
      <w:r w:rsidRPr="00A84CE2">
        <w:rPr>
          <w:b/>
          <w:bCs/>
          <w:sz w:val="22"/>
          <w:szCs w:val="22"/>
          <w:lang w:val="en-IE" w:eastAsia="en-US"/>
        </w:rPr>
        <w:t>Company</w:t>
      </w:r>
      <w:r w:rsidRPr="006430DC">
        <w:rPr>
          <w:b/>
          <w:bCs/>
          <w:sz w:val="22"/>
          <w:szCs w:val="22"/>
          <w:lang w:val="en-IE" w:eastAsia="en-US"/>
        </w:rPr>
        <w:t>”)</w:t>
      </w:r>
    </w:p>
    <w:p w14:paraId="46D3A825" w14:textId="77777777" w:rsidR="00065AD3" w:rsidRDefault="00065AD3" w:rsidP="00D03DDC">
      <w:pPr>
        <w:pStyle w:val="k"/>
        <w:spacing w:before="0" w:beforeAutospacing="0" w:after="0" w:afterAutospacing="0"/>
        <w:jc w:val="both"/>
        <w:rPr>
          <w:sz w:val="22"/>
          <w:szCs w:val="22"/>
          <w:lang w:val="en-IE" w:eastAsia="en-US"/>
        </w:rPr>
      </w:pPr>
    </w:p>
    <w:p w14:paraId="40E663D7" w14:textId="77777777" w:rsidR="00D03DDC" w:rsidRPr="00D03DDC" w:rsidRDefault="00A84CE2" w:rsidP="006430DC">
      <w:pPr>
        <w:pStyle w:val="k"/>
        <w:spacing w:before="0" w:beforeAutospacing="0" w:after="0" w:afterAutospacing="0"/>
        <w:jc w:val="center"/>
        <w:rPr>
          <w:sz w:val="22"/>
          <w:szCs w:val="22"/>
          <w:lang w:val="en-IE" w:eastAsia="en-US"/>
        </w:rPr>
      </w:pPr>
      <w:r w:rsidRPr="00065AD3">
        <w:rPr>
          <w:b/>
          <w:sz w:val="22"/>
          <w:szCs w:val="22"/>
          <w:lang w:val="en-IE" w:eastAsia="en-US"/>
        </w:rPr>
        <w:t>NOTICE OF EXTRAORDINARY GENERAL MEETING</w:t>
      </w:r>
    </w:p>
    <w:p w14:paraId="6191051F" w14:textId="77777777" w:rsidR="00D03DDC" w:rsidRPr="00D03DDC" w:rsidRDefault="00D03DDC" w:rsidP="00D03DDC">
      <w:pPr>
        <w:pStyle w:val="k"/>
        <w:spacing w:before="0" w:beforeAutospacing="0" w:after="0" w:afterAutospacing="0"/>
        <w:jc w:val="both"/>
        <w:rPr>
          <w:sz w:val="22"/>
          <w:szCs w:val="22"/>
          <w:lang w:val="en-IE" w:eastAsia="en-US"/>
        </w:rPr>
      </w:pPr>
    </w:p>
    <w:p w14:paraId="137E642F" w14:textId="77777777" w:rsidR="00065AD3" w:rsidRDefault="00065AD3" w:rsidP="00D03DDC">
      <w:pPr>
        <w:pStyle w:val="Body"/>
        <w:rPr>
          <w:shd w:val="clear" w:color="auto" w:fill="FFFFFF"/>
        </w:rPr>
      </w:pPr>
      <w:r>
        <w:t xml:space="preserve">An Extraordinary General Meeting of the Company will be held </w:t>
      </w:r>
      <w:r w:rsidRPr="00065AD3">
        <w:t>at Ryanair Dublin Office, Airside Business Park, Swords, Co. Dublin, K67 NY94, Ireland on Thursday 17 December 2020 at 9.00 a.m.</w:t>
      </w:r>
      <w:r>
        <w:t xml:space="preserve"> (“</w:t>
      </w:r>
      <w:r w:rsidRPr="00065AD3">
        <w:rPr>
          <w:b/>
        </w:rPr>
        <w:t>EGM</w:t>
      </w:r>
      <w:r>
        <w:t>”)</w:t>
      </w:r>
      <w:r w:rsidR="009E1A45">
        <w:t xml:space="preserve">. </w:t>
      </w:r>
    </w:p>
    <w:p w14:paraId="72D62474" w14:textId="3BE51485" w:rsidR="00D03DDC" w:rsidRPr="00D03DDC" w:rsidRDefault="00D03DDC" w:rsidP="00D03DDC">
      <w:pPr>
        <w:pStyle w:val="Body"/>
        <w:rPr>
          <w:shd w:val="clear" w:color="auto" w:fill="FFFFFF"/>
        </w:rPr>
      </w:pPr>
      <w:r>
        <w:rPr>
          <w:shd w:val="clear" w:color="auto" w:fill="FFFFFF"/>
        </w:rPr>
        <w:t xml:space="preserve">The business of the EGM will be to consider and, if thought fit, </w:t>
      </w:r>
      <w:r w:rsidRPr="00AB73BD">
        <w:rPr>
          <w:shd w:val="clear" w:color="auto" w:fill="FFFFFF"/>
        </w:rPr>
        <w:t xml:space="preserve">approve certain resolutions </w:t>
      </w:r>
      <w:r w:rsidR="00065AD3">
        <w:rPr>
          <w:shd w:val="clear" w:color="auto" w:fill="FFFFFF"/>
        </w:rPr>
        <w:t xml:space="preserve">relating to the replacement of CREST with a system operated by Euroclear Bank SA/NV for the electronic settlement of </w:t>
      </w:r>
      <w:r w:rsidR="006F04E9">
        <w:rPr>
          <w:shd w:val="clear" w:color="auto" w:fill="FFFFFF"/>
        </w:rPr>
        <w:t xml:space="preserve">trading in </w:t>
      </w:r>
      <w:r w:rsidR="00065AD3">
        <w:rPr>
          <w:shd w:val="clear" w:color="auto" w:fill="FFFFFF"/>
        </w:rPr>
        <w:t xml:space="preserve">the Company’s </w:t>
      </w:r>
      <w:r w:rsidR="006F04E9">
        <w:rPr>
          <w:shd w:val="clear" w:color="auto" w:fill="FFFFFF"/>
        </w:rPr>
        <w:t>ordinary</w:t>
      </w:r>
      <w:r w:rsidR="00065AD3">
        <w:rPr>
          <w:shd w:val="clear" w:color="auto" w:fill="FFFFFF"/>
        </w:rPr>
        <w:t xml:space="preserve"> shares</w:t>
      </w:r>
      <w:r w:rsidR="002E4599">
        <w:rPr>
          <w:shd w:val="clear" w:color="auto" w:fill="FFFFFF"/>
        </w:rPr>
        <w:t xml:space="preserve"> (“</w:t>
      </w:r>
      <w:r w:rsidR="002E4599" w:rsidRPr="006F04E9">
        <w:rPr>
          <w:b/>
          <w:shd w:val="clear" w:color="auto" w:fill="FFFFFF"/>
        </w:rPr>
        <w:t>Resolutions</w:t>
      </w:r>
      <w:r w:rsidR="002E4599">
        <w:rPr>
          <w:shd w:val="clear" w:color="auto" w:fill="FFFFFF"/>
        </w:rPr>
        <w:t>”)</w:t>
      </w:r>
      <w:r w:rsidR="009E1A45">
        <w:rPr>
          <w:shd w:val="clear" w:color="auto" w:fill="FFFFFF"/>
        </w:rPr>
        <w:t xml:space="preserve">.  </w:t>
      </w:r>
      <w:r w:rsidR="00065AD3">
        <w:rPr>
          <w:shd w:val="clear" w:color="auto" w:fill="FFFFFF"/>
        </w:rPr>
        <w:t>Approval of t</w:t>
      </w:r>
      <w:r w:rsidR="002E4599">
        <w:rPr>
          <w:shd w:val="clear" w:color="auto" w:fill="FFFFFF"/>
        </w:rPr>
        <w:t>he R</w:t>
      </w:r>
      <w:r w:rsidR="00065AD3">
        <w:rPr>
          <w:shd w:val="clear" w:color="auto" w:fill="FFFFFF"/>
        </w:rPr>
        <w:t>esolutions</w:t>
      </w:r>
      <w:r w:rsidRPr="00AB73BD">
        <w:rPr>
          <w:shd w:val="clear" w:color="auto" w:fill="FFFFFF"/>
        </w:rPr>
        <w:t xml:space="preserve"> </w:t>
      </w:r>
      <w:r w:rsidR="006F04E9">
        <w:rPr>
          <w:shd w:val="clear" w:color="auto" w:fill="FFFFFF"/>
        </w:rPr>
        <w:t>is</w:t>
      </w:r>
      <w:r w:rsidR="006F04E9" w:rsidRPr="00AB73BD">
        <w:rPr>
          <w:shd w:val="clear" w:color="auto" w:fill="FFFFFF"/>
        </w:rPr>
        <w:t xml:space="preserve"> </w:t>
      </w:r>
      <w:r w:rsidRPr="00AB73BD">
        <w:rPr>
          <w:shd w:val="clear" w:color="auto" w:fill="FFFFFF"/>
        </w:rPr>
        <w:t xml:space="preserve">necessary to ensure </w:t>
      </w:r>
      <w:r>
        <w:rPr>
          <w:shd w:val="clear" w:color="auto" w:fill="FFFFFF"/>
        </w:rPr>
        <w:t>the Company’s s</w:t>
      </w:r>
      <w:r w:rsidRPr="00AB73BD">
        <w:rPr>
          <w:shd w:val="clear" w:color="auto" w:fill="FFFFFF"/>
        </w:rPr>
        <w:t xml:space="preserve">hares </w:t>
      </w:r>
      <w:bookmarkStart w:id="0" w:name="_cp_text_1_14"/>
      <w:r w:rsidRPr="00AB73BD">
        <w:rPr>
          <w:shd w:val="clear" w:color="auto" w:fill="FFFFFF"/>
        </w:rPr>
        <w:t>can</w:t>
      </w:r>
      <w:r w:rsidR="00155C5D">
        <w:rPr>
          <w:shd w:val="clear" w:color="auto" w:fill="FFFFFF"/>
        </w:rPr>
        <w:t xml:space="preserve"> </w:t>
      </w:r>
      <w:r w:rsidRPr="00AB73BD">
        <w:rPr>
          <w:shd w:val="clear" w:color="auto" w:fill="FFFFFF"/>
        </w:rPr>
        <w:t>continue to be settled electronically when they are traded on Euronext Dublin</w:t>
      </w:r>
      <w:bookmarkStart w:id="1" w:name="_cp_text_4_15"/>
      <w:bookmarkEnd w:id="0"/>
      <w:r w:rsidRPr="00AB73BD">
        <w:rPr>
          <w:shd w:val="clear" w:color="auto" w:fill="FFFFFF"/>
        </w:rPr>
        <w:t xml:space="preserve"> and the </w:t>
      </w:r>
      <w:bookmarkStart w:id="2" w:name="_cp_text_1_16"/>
      <w:bookmarkEnd w:id="1"/>
      <w:bookmarkEnd w:id="2"/>
      <w:r w:rsidRPr="00AB73BD">
        <w:rPr>
          <w:shd w:val="clear" w:color="auto" w:fill="FFFFFF"/>
        </w:rPr>
        <w:t xml:space="preserve">London Stock </w:t>
      </w:r>
      <w:r w:rsidRPr="00AB73BD">
        <w:t>Exchange and</w:t>
      </w:r>
      <w:r w:rsidRPr="00AB73BD">
        <w:rPr>
          <w:shd w:val="clear" w:color="auto" w:fill="FFFFFF"/>
        </w:rPr>
        <w:t xml:space="preserve"> remain eligible for continued admission to trading a</w:t>
      </w:r>
      <w:r>
        <w:rPr>
          <w:shd w:val="clear" w:color="auto" w:fill="FFFFFF"/>
        </w:rPr>
        <w:t>nd listing on those exchanges</w:t>
      </w:r>
      <w:r w:rsidR="00C14A53">
        <w:rPr>
          <w:shd w:val="clear" w:color="auto" w:fill="FFFFFF"/>
        </w:rPr>
        <w:t>,</w:t>
      </w:r>
      <w:r w:rsidR="00283705" w:rsidRPr="00AB73BD">
        <w:rPr>
          <w:shd w:val="clear" w:color="auto" w:fill="FFFFFF"/>
        </w:rPr>
        <w:t xml:space="preserve"> </w:t>
      </w:r>
      <w:r w:rsidR="00283705">
        <w:rPr>
          <w:shd w:val="clear" w:color="auto" w:fill="FFFFFF"/>
        </w:rPr>
        <w:t xml:space="preserve">which </w:t>
      </w:r>
      <w:r w:rsidR="001D7EB0">
        <w:rPr>
          <w:shd w:val="clear" w:color="auto" w:fill="FFFFFF"/>
        </w:rPr>
        <w:t>is</w:t>
      </w:r>
      <w:r w:rsidR="00283705" w:rsidRPr="00AB73BD">
        <w:rPr>
          <w:shd w:val="clear" w:color="auto" w:fill="FFFFFF"/>
        </w:rPr>
        <w:t xml:space="preserve"> crucial to the interests of the Company and its </w:t>
      </w:r>
      <w:r w:rsidR="00283705">
        <w:rPr>
          <w:shd w:val="clear" w:color="auto" w:fill="FFFFFF"/>
        </w:rPr>
        <w:t>s</w:t>
      </w:r>
      <w:r w:rsidR="00283705" w:rsidRPr="00AB73BD">
        <w:rPr>
          <w:shd w:val="clear" w:color="auto" w:fill="FFFFFF"/>
        </w:rPr>
        <w:t>hareholders as a whole</w:t>
      </w:r>
      <w:r w:rsidR="00155C5D">
        <w:rPr>
          <w:shd w:val="clear" w:color="auto" w:fill="FFFFFF"/>
        </w:rPr>
        <w:t>.</w:t>
      </w:r>
      <w:r>
        <w:t xml:space="preserve"> </w:t>
      </w:r>
    </w:p>
    <w:p w14:paraId="1C417DFD" w14:textId="473BC224" w:rsidR="00557A75"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 xml:space="preserve">The </w:t>
      </w:r>
      <w:r w:rsidR="006430DC">
        <w:rPr>
          <w:sz w:val="22"/>
          <w:szCs w:val="22"/>
          <w:lang w:val="en-IE" w:eastAsia="en-US"/>
        </w:rPr>
        <w:t>c</w:t>
      </w:r>
      <w:r w:rsidR="00065AD3">
        <w:rPr>
          <w:sz w:val="22"/>
          <w:szCs w:val="22"/>
          <w:lang w:val="en-IE" w:eastAsia="en-US"/>
        </w:rPr>
        <w:t xml:space="preserve">ircular </w:t>
      </w:r>
      <w:r w:rsidR="00557A75">
        <w:rPr>
          <w:sz w:val="22"/>
          <w:szCs w:val="22"/>
          <w:lang w:val="en-IE" w:eastAsia="en-US"/>
        </w:rPr>
        <w:t xml:space="preserve">which includes the notice of </w:t>
      </w:r>
      <w:r w:rsidR="00065AD3">
        <w:rPr>
          <w:sz w:val="22"/>
          <w:szCs w:val="22"/>
          <w:lang w:val="en-IE" w:eastAsia="en-US"/>
        </w:rPr>
        <w:t>the EGM (the “</w:t>
      </w:r>
      <w:r w:rsidR="00065AD3" w:rsidRPr="00065AD3">
        <w:rPr>
          <w:b/>
          <w:sz w:val="22"/>
          <w:szCs w:val="22"/>
          <w:lang w:val="en-IE" w:eastAsia="en-US"/>
        </w:rPr>
        <w:t>Circular</w:t>
      </w:r>
      <w:r w:rsidR="00065AD3">
        <w:rPr>
          <w:sz w:val="22"/>
          <w:szCs w:val="22"/>
          <w:lang w:val="en-IE" w:eastAsia="en-US"/>
        </w:rPr>
        <w:t>”)</w:t>
      </w:r>
      <w:r>
        <w:rPr>
          <w:sz w:val="22"/>
          <w:szCs w:val="22"/>
          <w:lang w:val="en-IE" w:eastAsia="en-US"/>
        </w:rPr>
        <w:t xml:space="preserve"> </w:t>
      </w:r>
      <w:r w:rsidR="002E4599">
        <w:rPr>
          <w:sz w:val="22"/>
          <w:szCs w:val="22"/>
          <w:lang w:val="en-IE" w:eastAsia="en-US"/>
        </w:rPr>
        <w:t xml:space="preserve">and a </w:t>
      </w:r>
      <w:r w:rsidRPr="00D03DDC">
        <w:rPr>
          <w:sz w:val="22"/>
          <w:szCs w:val="22"/>
          <w:lang w:val="en-IE" w:eastAsia="en-US"/>
        </w:rPr>
        <w:t xml:space="preserve">Form of Proxy have been </w:t>
      </w:r>
      <w:r w:rsidR="002E4599">
        <w:rPr>
          <w:sz w:val="22"/>
          <w:szCs w:val="22"/>
          <w:lang w:val="en-IE" w:eastAsia="en-US"/>
        </w:rPr>
        <w:t>posted to shareh</w:t>
      </w:r>
      <w:r w:rsidR="009E1A45">
        <w:rPr>
          <w:sz w:val="22"/>
          <w:szCs w:val="22"/>
          <w:lang w:val="en-IE" w:eastAsia="en-US"/>
        </w:rPr>
        <w:t xml:space="preserve">olders today.  </w:t>
      </w:r>
      <w:r w:rsidR="00155C5D" w:rsidRPr="00155C5D">
        <w:rPr>
          <w:sz w:val="22"/>
          <w:szCs w:val="22"/>
          <w:lang w:val="en-IE" w:eastAsia="en-US"/>
        </w:rPr>
        <w:t>The Board strongly urges shareholders to review the contents of the Circular in their entirety</w:t>
      </w:r>
      <w:r w:rsidR="00155C5D">
        <w:rPr>
          <w:sz w:val="22"/>
          <w:szCs w:val="22"/>
          <w:lang w:val="en-IE" w:eastAsia="en-US"/>
        </w:rPr>
        <w:t>, including the documents referred to therein, and</w:t>
      </w:r>
      <w:r w:rsidR="00155C5D" w:rsidRPr="00155C5D">
        <w:rPr>
          <w:sz w:val="22"/>
          <w:szCs w:val="22"/>
          <w:lang w:val="en-IE" w:eastAsia="en-US"/>
        </w:rPr>
        <w:t xml:space="preserve"> consider the Board’s recommendation to vote in favour of the </w:t>
      </w:r>
      <w:r w:rsidR="006F04E9">
        <w:rPr>
          <w:sz w:val="22"/>
          <w:szCs w:val="22"/>
          <w:lang w:val="en-IE" w:eastAsia="en-US"/>
        </w:rPr>
        <w:t>R</w:t>
      </w:r>
      <w:r w:rsidR="00155C5D" w:rsidRPr="00155C5D">
        <w:rPr>
          <w:sz w:val="22"/>
          <w:szCs w:val="22"/>
          <w:lang w:val="en-IE" w:eastAsia="en-US"/>
        </w:rPr>
        <w:t>esolutions.</w:t>
      </w:r>
    </w:p>
    <w:p w14:paraId="178B1287" w14:textId="77777777" w:rsidR="00F20436" w:rsidRDefault="00F20436" w:rsidP="00D03DDC">
      <w:pPr>
        <w:pStyle w:val="k"/>
        <w:spacing w:before="0" w:beforeAutospacing="0" w:after="0" w:afterAutospacing="0"/>
        <w:jc w:val="both"/>
        <w:rPr>
          <w:sz w:val="22"/>
          <w:szCs w:val="22"/>
          <w:lang w:val="en-IE" w:eastAsia="en-US"/>
        </w:rPr>
      </w:pPr>
    </w:p>
    <w:p w14:paraId="0CC7A93F" w14:textId="2DF4ECC7" w:rsidR="00155C5D" w:rsidRDefault="00C81B40" w:rsidP="00974176">
      <w:pPr>
        <w:pStyle w:val="k"/>
        <w:spacing w:before="0" w:beforeAutospacing="0" w:after="240" w:afterAutospacing="0"/>
        <w:jc w:val="both"/>
        <w:rPr>
          <w:sz w:val="22"/>
          <w:szCs w:val="22"/>
          <w:lang w:val="en-IE" w:eastAsia="en-US"/>
        </w:rPr>
      </w:pPr>
      <w:r>
        <w:rPr>
          <w:sz w:val="22"/>
          <w:szCs w:val="22"/>
          <w:lang w:val="en-IE" w:eastAsia="en-US"/>
        </w:rPr>
        <w:t>The Circular, the Form of Proxy and c</w:t>
      </w:r>
      <w:r w:rsidR="00F20436">
        <w:rPr>
          <w:sz w:val="22"/>
          <w:szCs w:val="22"/>
          <w:lang w:val="en-IE" w:eastAsia="en-US"/>
        </w:rPr>
        <w:t>opies of t</w:t>
      </w:r>
      <w:r w:rsidR="00F20436" w:rsidRPr="00D03DDC">
        <w:rPr>
          <w:sz w:val="22"/>
          <w:szCs w:val="22"/>
          <w:lang w:val="en-IE" w:eastAsia="en-US"/>
        </w:rPr>
        <w:t xml:space="preserve">he </w:t>
      </w:r>
      <w:r w:rsidR="001D7EB0">
        <w:rPr>
          <w:sz w:val="22"/>
          <w:szCs w:val="22"/>
          <w:lang w:val="en-IE" w:eastAsia="en-US"/>
        </w:rPr>
        <w:t>d</w:t>
      </w:r>
      <w:r w:rsidR="00F20436" w:rsidRPr="00D03DDC">
        <w:rPr>
          <w:sz w:val="22"/>
          <w:szCs w:val="22"/>
          <w:lang w:val="en-IE" w:eastAsia="en-US"/>
        </w:rPr>
        <w:t>ocuments</w:t>
      </w:r>
      <w:r w:rsidR="001D7EB0">
        <w:rPr>
          <w:sz w:val="22"/>
          <w:szCs w:val="22"/>
          <w:lang w:val="en-IE" w:eastAsia="en-US"/>
        </w:rPr>
        <w:t xml:space="preserve"> </w:t>
      </w:r>
      <w:r w:rsidR="00F20436" w:rsidRPr="00974176">
        <w:rPr>
          <w:sz w:val="22"/>
          <w:szCs w:val="22"/>
          <w:lang w:val="en-IE" w:eastAsia="en-US"/>
        </w:rPr>
        <w:t>referred to in the Circular</w:t>
      </w:r>
      <w:r w:rsidR="00F20436" w:rsidRPr="00D03DDC">
        <w:rPr>
          <w:sz w:val="22"/>
          <w:szCs w:val="22"/>
          <w:lang w:val="en-IE" w:eastAsia="en-US"/>
        </w:rPr>
        <w:t xml:space="preserve"> are available to view on the Company's website,</w:t>
      </w:r>
      <w:r w:rsidR="00F20436">
        <w:rPr>
          <w:sz w:val="22"/>
          <w:szCs w:val="22"/>
          <w:lang w:val="en-IE" w:eastAsia="en-US"/>
        </w:rPr>
        <w:t xml:space="preserve"> </w:t>
      </w:r>
      <w:hyperlink r:id="rId8" w:history="1">
        <w:r w:rsidR="001D7EB0" w:rsidRPr="00DB3FA0">
          <w:rPr>
            <w:rStyle w:val="Hyperlink"/>
            <w:sz w:val="22"/>
            <w:szCs w:val="22"/>
          </w:rPr>
          <w:t>https://investor.ryanair.com/</w:t>
        </w:r>
      </w:hyperlink>
      <w:r w:rsidR="00F20436" w:rsidRPr="00C14A53">
        <w:rPr>
          <w:sz w:val="22"/>
          <w:szCs w:val="22"/>
          <w:lang w:val="en-IE" w:eastAsia="en-US"/>
        </w:rPr>
        <w:t>,</w:t>
      </w:r>
      <w:r w:rsidR="00F20436" w:rsidRPr="00974176">
        <w:rPr>
          <w:sz w:val="22"/>
          <w:szCs w:val="22"/>
          <w:lang w:val="en-IE" w:eastAsia="en-US"/>
        </w:rPr>
        <w:t xml:space="preserve"> </w:t>
      </w:r>
      <w:r w:rsidR="00F20436">
        <w:rPr>
          <w:sz w:val="22"/>
          <w:szCs w:val="22"/>
          <w:lang w:val="en-IE" w:eastAsia="en-US"/>
        </w:rPr>
        <w:t xml:space="preserve">and will be </w:t>
      </w:r>
      <w:r w:rsidR="00F20436" w:rsidRPr="00974176">
        <w:rPr>
          <w:sz w:val="22"/>
          <w:szCs w:val="22"/>
          <w:lang w:val="en-IE" w:eastAsia="en-US"/>
        </w:rPr>
        <w:t xml:space="preserve">available for inspection during normal business hours on any business day from the date of this letter until the EGM at the registered office of the Company. </w:t>
      </w:r>
    </w:p>
    <w:p w14:paraId="62B484B7" w14:textId="77777777" w:rsidR="002E4599" w:rsidRPr="00974176" w:rsidRDefault="002E4599" w:rsidP="00D03DDC">
      <w:pPr>
        <w:pStyle w:val="k"/>
        <w:spacing w:before="0" w:beforeAutospacing="0" w:after="0" w:afterAutospacing="0"/>
        <w:jc w:val="both"/>
        <w:rPr>
          <w:b/>
          <w:sz w:val="22"/>
          <w:szCs w:val="22"/>
          <w:lang w:val="en-IE" w:eastAsia="en-US"/>
        </w:rPr>
      </w:pPr>
      <w:r w:rsidRPr="00974176">
        <w:rPr>
          <w:b/>
          <w:sz w:val="22"/>
          <w:szCs w:val="22"/>
          <w:lang w:val="en-IE" w:eastAsia="en-US"/>
        </w:rPr>
        <w:t>Public Health Guidelines and the EGM</w:t>
      </w:r>
    </w:p>
    <w:p w14:paraId="42544E7A" w14:textId="77777777" w:rsidR="002E4599" w:rsidRDefault="002E4599" w:rsidP="00D03DDC">
      <w:pPr>
        <w:pStyle w:val="k"/>
        <w:spacing w:before="0" w:beforeAutospacing="0" w:after="0" w:afterAutospacing="0"/>
        <w:jc w:val="both"/>
        <w:rPr>
          <w:sz w:val="22"/>
          <w:szCs w:val="22"/>
          <w:lang w:val="en-IE" w:eastAsia="en-US"/>
        </w:rPr>
      </w:pPr>
    </w:p>
    <w:p w14:paraId="5028B5BF" w14:textId="2BDC6AF4" w:rsidR="00557A75" w:rsidRDefault="002E4599" w:rsidP="00D62458">
      <w:pPr>
        <w:spacing w:after="220"/>
      </w:pPr>
      <w:r w:rsidRPr="00C345FD">
        <w:t xml:space="preserve">The well-being of </w:t>
      </w:r>
      <w:r w:rsidR="006F04E9">
        <w:t>s</w:t>
      </w:r>
      <w:r w:rsidRPr="00C345FD">
        <w:t xml:space="preserve">hareholders and </w:t>
      </w:r>
      <w:r w:rsidR="00F20436">
        <w:t>employees</w:t>
      </w:r>
      <w:r w:rsidR="00557A75">
        <w:t xml:space="preserve"> </w:t>
      </w:r>
      <w:r w:rsidRPr="00C345FD">
        <w:t xml:space="preserve">is a primary concern for the </w:t>
      </w:r>
      <w:r w:rsidR="00557A75">
        <w:t>D</w:t>
      </w:r>
      <w:r w:rsidRPr="00C345FD">
        <w:t>irectors. We are closely monitoring the COVID-19 situation and will take all recommendations</w:t>
      </w:r>
      <w:r>
        <w:t xml:space="preserve"> and applicable law</w:t>
      </w:r>
      <w:r w:rsidRPr="00C345FD">
        <w:t xml:space="preserve"> into account in</w:t>
      </w:r>
      <w:r w:rsidR="009E1A45">
        <w:t xml:space="preserve"> the conduct of the EGM.  </w:t>
      </w:r>
      <w:r w:rsidRPr="00C345FD">
        <w:t>There will likely be very limited ability to attend the EGM in person an</w:t>
      </w:r>
      <w:r>
        <w:t xml:space="preserve">d </w:t>
      </w:r>
      <w:r w:rsidR="00557A75">
        <w:t xml:space="preserve">the Board </w:t>
      </w:r>
      <w:r>
        <w:t xml:space="preserve">therefore </w:t>
      </w:r>
      <w:r w:rsidR="00557A75">
        <w:t xml:space="preserve">strongly </w:t>
      </w:r>
      <w:r>
        <w:t>encourage</w:t>
      </w:r>
      <w:r w:rsidR="00F3278E">
        <w:t>s</w:t>
      </w:r>
      <w:r>
        <w:t xml:space="preserve"> </w:t>
      </w:r>
      <w:r w:rsidR="00557A75">
        <w:t>s</w:t>
      </w:r>
      <w:r w:rsidRPr="00C345FD">
        <w:t>hareholders to</w:t>
      </w:r>
      <w:r w:rsidR="00C81B40">
        <w:t xml:space="preserve"> appoint the chairman of the EGM as a proxy by </w:t>
      </w:r>
      <w:r w:rsidR="00557A75">
        <w:t>submit</w:t>
      </w:r>
      <w:r w:rsidR="00C81B40">
        <w:t>ting</w:t>
      </w:r>
      <w:r w:rsidR="00557A75">
        <w:t xml:space="preserve"> a proxy form not less than 48 hours before the time appointed for the EGM or any adjournment thereof</w:t>
      </w:r>
      <w:r w:rsidR="00C81B40">
        <w:t>,</w:t>
      </w:r>
      <w:r w:rsidR="00557A75">
        <w:t xml:space="preserve"> in order to ensure they can exercise their vote and be represented at the EGM without attending in person</w:t>
      </w:r>
      <w:r w:rsidR="00C81B40">
        <w:t xml:space="preserve">. </w:t>
      </w:r>
    </w:p>
    <w:p w14:paraId="44D137E7" w14:textId="77777777" w:rsidR="00557A75" w:rsidRDefault="00557A75" w:rsidP="00557A75">
      <w:pPr>
        <w:spacing w:after="220"/>
      </w:pPr>
      <w:r>
        <w:t>Proxy forms can be submitted in advance of the EGM by availing of one of the options set out in the notice of the EGM:</w:t>
      </w:r>
    </w:p>
    <w:p w14:paraId="295A78C1" w14:textId="07E9C17E" w:rsidR="00557A75" w:rsidRDefault="00557A75" w:rsidP="006430DC">
      <w:pPr>
        <w:spacing w:after="220"/>
        <w:ind w:left="720" w:hanging="720"/>
      </w:pPr>
      <w:r>
        <w:t>•</w:t>
      </w:r>
      <w:r>
        <w:tab/>
      </w:r>
      <w:r w:rsidR="00CB5BC3">
        <w:t xml:space="preserve">by </w:t>
      </w:r>
      <w:r>
        <w:t xml:space="preserve">post to the Company’s </w:t>
      </w:r>
      <w:r w:rsidR="00CB5BC3">
        <w:t>registrar</w:t>
      </w:r>
      <w:r>
        <w:t>, Link Registrars Limited, PO Box 1110, Maynooth, Co. Kildare, Ireland or by hand to Link Registrars Limited, Level 2, Block C, Maynooth Business Campus, Maynooth,</w:t>
      </w:r>
      <w:r w:rsidR="004F7723">
        <w:t xml:space="preserve"> Co. Kildare, W23 F854, Ireland</w:t>
      </w:r>
      <w:r w:rsidR="007D1C94">
        <w:t>;</w:t>
      </w:r>
    </w:p>
    <w:p w14:paraId="0ED743CE" w14:textId="2DB0A450" w:rsidR="00557A75" w:rsidRDefault="00557A75" w:rsidP="00557A75">
      <w:pPr>
        <w:spacing w:after="220"/>
      </w:pPr>
      <w:r>
        <w:t>•</w:t>
      </w:r>
      <w:r>
        <w:tab/>
      </w:r>
      <w:r w:rsidR="00CB5BC3">
        <w:t xml:space="preserve">by </w:t>
      </w:r>
      <w:r>
        <w:t xml:space="preserve">fax to +353 (1) 2240700, provided it is received in </w:t>
      </w:r>
      <w:r w:rsidR="004F7723">
        <w:t>legible form</w:t>
      </w:r>
      <w:r w:rsidR="007D1C94">
        <w:t>;</w:t>
      </w:r>
    </w:p>
    <w:p w14:paraId="7350F872" w14:textId="7DADC053" w:rsidR="00557A75" w:rsidRDefault="00557A75" w:rsidP="00557A75">
      <w:pPr>
        <w:spacing w:after="220"/>
      </w:pPr>
      <w:r>
        <w:t>•</w:t>
      </w:r>
      <w:r>
        <w:tab/>
      </w:r>
      <w:r w:rsidR="00CB5BC3">
        <w:t xml:space="preserve">electronically </w:t>
      </w:r>
      <w:r>
        <w:t>by</w:t>
      </w:r>
      <w:r w:rsidR="007D1C94">
        <w:t xml:space="preserve"> accessing www.signalshares.com;</w:t>
      </w:r>
    </w:p>
    <w:p w14:paraId="0458199D" w14:textId="46E86C67" w:rsidR="00557A75" w:rsidRDefault="00557A75" w:rsidP="00557A75">
      <w:pPr>
        <w:spacing w:after="220"/>
      </w:pPr>
      <w:r>
        <w:t>•</w:t>
      </w:r>
      <w:r>
        <w:tab/>
      </w:r>
      <w:r w:rsidR="00CB5BC3">
        <w:t xml:space="preserve">via </w:t>
      </w:r>
      <w:r>
        <w:t xml:space="preserve">the CREST System, where shares are held in CREST. </w:t>
      </w:r>
    </w:p>
    <w:p w14:paraId="602BE98C" w14:textId="19CEF3DF" w:rsidR="002E4599" w:rsidRPr="00C345FD" w:rsidRDefault="001D7EB0" w:rsidP="002E4599">
      <w:pPr>
        <w:spacing w:after="220"/>
      </w:pPr>
      <w:r>
        <w:lastRenderedPageBreak/>
        <w:t xml:space="preserve">Any </w:t>
      </w:r>
      <w:r w:rsidR="002E4599" w:rsidRPr="00C345FD">
        <w:t>relevant updates regarding the EGM</w:t>
      </w:r>
      <w:r w:rsidR="00C14A53">
        <w:t>,</w:t>
      </w:r>
      <w:r w:rsidR="002E4599" w:rsidRPr="00C345FD">
        <w:t xml:space="preserve"> including any changes to the arrangements outlined in </w:t>
      </w:r>
      <w:r w:rsidR="007D1C94">
        <w:t>the</w:t>
      </w:r>
      <w:r w:rsidR="002E4599" w:rsidRPr="00C345FD">
        <w:t xml:space="preserve"> Circular, will </w:t>
      </w:r>
      <w:r w:rsidR="002E4599">
        <w:t>be announced via a Regulatory Information Service and will</w:t>
      </w:r>
      <w:r w:rsidR="002E4599" w:rsidRPr="00C345FD">
        <w:t xml:space="preserve"> be available on </w:t>
      </w:r>
      <w:hyperlink r:id="rId9" w:history="1">
        <w:r w:rsidR="009E1A45" w:rsidRPr="00945844">
          <w:rPr>
            <w:rStyle w:val="Hyperlink"/>
          </w:rPr>
          <w:t>https://investor.ryanair.com/</w:t>
        </w:r>
      </w:hyperlink>
      <w:r w:rsidR="002E4599" w:rsidRPr="00C345FD">
        <w:t>.</w:t>
      </w:r>
    </w:p>
    <w:p w14:paraId="0FAB7F3F" w14:textId="77777777" w:rsidR="002E4599" w:rsidRDefault="002E4599" w:rsidP="002E4599">
      <w:pPr>
        <w:pStyle w:val="Body"/>
      </w:pPr>
      <w:r w:rsidRPr="00C345FD">
        <w:t>In the event that it is not possible to hold the EGM either in compliance with public health guidelines or applicable law or where it is otherwise considered that proceeding with the EGM as planned poses an unacceptable health and safety risk, the EGM may be</w:t>
      </w:r>
      <w:r>
        <w:t xml:space="preserve"> </w:t>
      </w:r>
      <w:r w:rsidRPr="00C345FD">
        <w:t>adjourned or postponed</w:t>
      </w:r>
      <w:r>
        <w:t xml:space="preserve"> or relocated</w:t>
      </w:r>
      <w:r w:rsidRPr="00C345FD">
        <w:t xml:space="preserve"> to a different time and/or venue, in which case notification of such adjournment or postponement</w:t>
      </w:r>
      <w:r>
        <w:t xml:space="preserve"> or relocation</w:t>
      </w:r>
      <w:r w:rsidRPr="00C345FD">
        <w:t xml:space="preserve"> will be given in accordance with </w:t>
      </w:r>
      <w:r>
        <w:t>applicable law</w:t>
      </w:r>
      <w:r w:rsidRPr="00C345FD">
        <w:t>.</w:t>
      </w:r>
    </w:p>
    <w:p w14:paraId="64B46ACB" w14:textId="4FB285FF" w:rsidR="00283705" w:rsidRDefault="006430DC" w:rsidP="009B413E">
      <w:pPr>
        <w:pStyle w:val="Body"/>
      </w:pPr>
      <w:r w:rsidRPr="002E4599">
        <w:rPr>
          <w:b/>
          <w:lang w:eastAsia="en-US"/>
        </w:rPr>
        <w:t>Further information in relation to the EGM</w:t>
      </w:r>
    </w:p>
    <w:p w14:paraId="7871E627" w14:textId="4696DCB6" w:rsidR="00D03DDC" w:rsidRPr="00D03DDC" w:rsidRDefault="002E4599" w:rsidP="005117FB">
      <w:pPr>
        <w:pStyle w:val="Body"/>
        <w:rPr>
          <w:lang w:eastAsia="en-US"/>
        </w:rPr>
      </w:pPr>
      <w:r w:rsidRPr="002E4599">
        <w:t xml:space="preserve">In accordance with Irish Listing Rule 6.1.59 and UK Listing Rule </w:t>
      </w:r>
      <w:r>
        <w:t>14.3.6</w:t>
      </w:r>
      <w:r w:rsidR="00C14A53">
        <w:t>,</w:t>
      </w:r>
      <w:r w:rsidRPr="002E4599">
        <w:t xml:space="preserve"> </w:t>
      </w:r>
      <w:r w:rsidR="006F04E9">
        <w:t xml:space="preserve">the </w:t>
      </w:r>
      <w:r w:rsidR="007D1C94">
        <w:t>Circular and the A</w:t>
      </w:r>
      <w:r>
        <w:t xml:space="preserve">rticles of Association </w:t>
      </w:r>
      <w:r w:rsidR="007D1C94">
        <w:t>of the Company</w:t>
      </w:r>
      <w:r w:rsidR="006F04E9">
        <w:t xml:space="preserve"> </w:t>
      </w:r>
      <w:r>
        <w:t>in the proposed amended form</w:t>
      </w:r>
      <w:r w:rsidRPr="002E4599">
        <w:t xml:space="preserve"> will be</w:t>
      </w:r>
      <w:r>
        <w:t xml:space="preserve"> </w:t>
      </w:r>
      <w:r w:rsidRPr="002E4599">
        <w:t>submitted to the Irish Stock Exchange t/a Euronext Dublin and the UK’s National Storage Mechanism</w:t>
      </w:r>
      <w:r>
        <w:t xml:space="preserve"> </w:t>
      </w:r>
      <w:r w:rsidRPr="002E4599">
        <w:t>and will be available for inspection at the following locations:</w:t>
      </w:r>
    </w:p>
    <w:p w14:paraId="44976266"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Companies Announcement Office</w:t>
      </w:r>
    </w:p>
    <w:p w14:paraId="7EA6C32F"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Euronext Dublin</w:t>
      </w:r>
    </w:p>
    <w:p w14:paraId="5E9AE400"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28 Anglesea Street</w:t>
      </w:r>
    </w:p>
    <w:p w14:paraId="7729ACA3"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Dublin 2</w:t>
      </w:r>
    </w:p>
    <w:p w14:paraId="14D0E4D9"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Tel. no: + 353 1 617 4200</w:t>
      </w:r>
    </w:p>
    <w:p w14:paraId="2CE82795" w14:textId="77777777" w:rsidR="00D03DDC" w:rsidRPr="00D03DDC" w:rsidRDefault="00D03DDC" w:rsidP="00D03DDC">
      <w:pPr>
        <w:pStyle w:val="k"/>
        <w:spacing w:before="0" w:beforeAutospacing="0" w:after="0" w:afterAutospacing="0"/>
        <w:jc w:val="both"/>
        <w:rPr>
          <w:sz w:val="22"/>
          <w:szCs w:val="22"/>
          <w:lang w:val="en-IE" w:eastAsia="en-US"/>
        </w:rPr>
      </w:pPr>
    </w:p>
    <w:p w14:paraId="09F23AF4" w14:textId="24E0BAC6" w:rsidR="00D03DDC" w:rsidRPr="001D7EB0" w:rsidRDefault="009E1A45" w:rsidP="00D03DDC">
      <w:pPr>
        <w:pStyle w:val="k"/>
        <w:spacing w:before="0" w:beforeAutospacing="0" w:after="0" w:afterAutospacing="0"/>
        <w:jc w:val="both"/>
        <w:rPr>
          <w:sz w:val="22"/>
          <w:szCs w:val="22"/>
          <w:lang w:val="en-IE" w:eastAsia="en-US"/>
        </w:rPr>
      </w:pPr>
      <w:r>
        <w:rPr>
          <w:sz w:val="22"/>
          <w:szCs w:val="22"/>
          <w:lang w:val="en-IE" w:eastAsia="en-US"/>
        </w:rPr>
        <w:t>and at:</w:t>
      </w:r>
      <w:r w:rsidR="00D03DDC" w:rsidRPr="00D03DDC">
        <w:rPr>
          <w:sz w:val="22"/>
          <w:szCs w:val="22"/>
          <w:lang w:val="en-IE" w:eastAsia="en-US"/>
        </w:rPr>
        <w:t xml:space="preserve"> </w:t>
      </w:r>
      <w:hyperlink r:id="rId10" w:anchor="/nsm/nationalstoragemechanism" w:history="1">
        <w:r w:rsidR="001D7EB0" w:rsidRPr="00F74BAF">
          <w:rPr>
            <w:rStyle w:val="Hyperlink"/>
            <w:sz w:val="22"/>
            <w:szCs w:val="22"/>
            <w:lang w:val="en-IE" w:eastAsia="en-US"/>
          </w:rPr>
          <w:t>https://data.fca.org.uk/#/nsm/nationalstoragemechanism</w:t>
        </w:r>
      </w:hyperlink>
    </w:p>
    <w:p w14:paraId="2CCC5E83" w14:textId="77777777" w:rsidR="00D03DDC" w:rsidRDefault="00D03DDC" w:rsidP="00D03DDC">
      <w:pPr>
        <w:pStyle w:val="k"/>
        <w:spacing w:before="0" w:beforeAutospacing="0" w:after="0" w:afterAutospacing="0"/>
        <w:jc w:val="both"/>
        <w:rPr>
          <w:lang w:val="en-IE" w:eastAsia="en-US"/>
        </w:rPr>
      </w:pPr>
    </w:p>
    <w:p w14:paraId="115B3E4F" w14:textId="77777777" w:rsidR="009B413E" w:rsidRPr="007D1C94" w:rsidRDefault="00065AD3" w:rsidP="00D03DDC">
      <w:pPr>
        <w:pStyle w:val="k"/>
        <w:spacing w:before="0" w:beforeAutospacing="0" w:after="0" w:afterAutospacing="0"/>
        <w:jc w:val="both"/>
        <w:rPr>
          <w:sz w:val="22"/>
          <w:szCs w:val="22"/>
        </w:rPr>
      </w:pPr>
      <w:r w:rsidRPr="007D1C94">
        <w:rPr>
          <w:sz w:val="22"/>
          <w:szCs w:val="22"/>
        </w:rPr>
        <w:t>For further information, please contact:</w:t>
      </w:r>
    </w:p>
    <w:p w14:paraId="5AB793EB" w14:textId="77777777" w:rsidR="009B413E" w:rsidRDefault="009B413E" w:rsidP="00D03DDC">
      <w:pPr>
        <w:pStyle w:val="k"/>
        <w:spacing w:before="0" w:beforeAutospacing="0" w:after="0" w:afterAutospacing="0"/>
        <w:jc w:val="both"/>
      </w:pPr>
    </w:p>
    <w:p w14:paraId="79B9B690" w14:textId="24625A79" w:rsidR="00F20436" w:rsidRPr="001D7EB0" w:rsidRDefault="00F20436" w:rsidP="001D7EB0">
      <w:pPr>
        <w:pStyle w:val="hm"/>
        <w:shd w:val="clear" w:color="auto" w:fill="FFFFFF"/>
        <w:spacing w:before="0" w:beforeAutospacing="0" w:after="0" w:afterAutospacing="0"/>
        <w:jc w:val="both"/>
        <w:rPr>
          <w:b/>
          <w:bCs/>
          <w:color w:val="000000"/>
          <w:sz w:val="22"/>
          <w:szCs w:val="22"/>
        </w:rPr>
      </w:pPr>
      <w:r w:rsidRPr="009B413E">
        <w:rPr>
          <w:rStyle w:val="hj"/>
          <w:b/>
          <w:bCs/>
          <w:color w:val="000000"/>
          <w:sz w:val="22"/>
          <w:szCs w:val="22"/>
        </w:rPr>
        <w:t>Ryanair Holdings plc</w:t>
      </w:r>
      <w:r w:rsidR="001D7EB0">
        <w:rPr>
          <w:b/>
          <w:bCs/>
          <w:color w:val="000000"/>
          <w:sz w:val="22"/>
          <w:szCs w:val="22"/>
        </w:rPr>
        <w:t xml:space="preserve">, </w:t>
      </w:r>
      <w:r w:rsidRPr="009B413E">
        <w:rPr>
          <w:rStyle w:val="hj"/>
          <w:color w:val="000000"/>
          <w:sz w:val="22"/>
          <w:szCs w:val="22"/>
        </w:rPr>
        <w:t>Peter Larkin, Head of Investor Relations</w:t>
      </w:r>
      <w:r w:rsidR="001D7EB0">
        <w:rPr>
          <w:rStyle w:val="hj"/>
          <w:color w:val="000000"/>
          <w:sz w:val="22"/>
          <w:szCs w:val="22"/>
        </w:rPr>
        <w:t xml:space="preserve">, </w:t>
      </w:r>
      <w:r w:rsidRPr="009B413E">
        <w:rPr>
          <w:rStyle w:val="hj"/>
          <w:color w:val="000000"/>
          <w:sz w:val="22"/>
          <w:szCs w:val="22"/>
        </w:rPr>
        <w:t>Tel: +353 (0) 1 945 1212</w:t>
      </w:r>
    </w:p>
    <w:p w14:paraId="4F00ED9A" w14:textId="77777777" w:rsidR="005117FB" w:rsidRDefault="005117FB" w:rsidP="006F04E9">
      <w:pPr>
        <w:rPr>
          <w:b/>
          <w:sz w:val="20"/>
          <w:szCs w:val="20"/>
          <w:lang w:val="en"/>
        </w:rPr>
      </w:pPr>
    </w:p>
    <w:p w14:paraId="71A7F9F8" w14:textId="1DCDCDBD" w:rsidR="006F04E9" w:rsidRPr="00394AFC" w:rsidRDefault="006F04E9" w:rsidP="006F04E9">
      <w:pPr>
        <w:rPr>
          <w:b/>
          <w:sz w:val="20"/>
          <w:szCs w:val="20"/>
          <w:lang w:val="en"/>
        </w:rPr>
      </w:pPr>
      <w:r w:rsidRPr="00394AFC">
        <w:rPr>
          <w:b/>
          <w:sz w:val="20"/>
          <w:szCs w:val="20"/>
          <w:lang w:val="en"/>
        </w:rPr>
        <w:t>Important Note</w:t>
      </w:r>
    </w:p>
    <w:p w14:paraId="542DA045" w14:textId="77777777" w:rsidR="006F04E9" w:rsidRPr="006F04E9" w:rsidRDefault="006F04E9" w:rsidP="006F04E9">
      <w:pPr>
        <w:rPr>
          <w:sz w:val="20"/>
          <w:szCs w:val="20"/>
          <w:lang w:val="en"/>
        </w:rPr>
      </w:pPr>
    </w:p>
    <w:p w14:paraId="756A5699" w14:textId="30C92507" w:rsidR="006F04E9" w:rsidRPr="006F04E9" w:rsidRDefault="00394AFC" w:rsidP="006F04E9">
      <w:pPr>
        <w:rPr>
          <w:sz w:val="20"/>
          <w:szCs w:val="20"/>
          <w:lang w:val="en"/>
        </w:rPr>
      </w:pPr>
      <w:r>
        <w:rPr>
          <w:sz w:val="20"/>
          <w:szCs w:val="20"/>
          <w:lang w:val="en"/>
        </w:rPr>
        <w:t>Announcements relating to the EGM</w:t>
      </w:r>
      <w:r w:rsidR="006F04E9" w:rsidRPr="006F04E9">
        <w:rPr>
          <w:sz w:val="20"/>
          <w:szCs w:val="20"/>
          <w:lang w:val="en"/>
        </w:rPr>
        <w:t xml:space="preserve"> </w:t>
      </w:r>
      <w:r>
        <w:rPr>
          <w:sz w:val="20"/>
          <w:szCs w:val="20"/>
          <w:lang w:val="en"/>
        </w:rPr>
        <w:t>contain</w:t>
      </w:r>
      <w:r w:rsidR="006F04E9" w:rsidRPr="006F04E9">
        <w:rPr>
          <w:sz w:val="20"/>
          <w:szCs w:val="20"/>
          <w:lang w:val="en"/>
        </w:rPr>
        <w:t xml:space="preserve"> (or may contain) certain forward-looking statements with respect to certain of the Company</w:t>
      </w:r>
      <w:r w:rsidR="00C14A53">
        <w:rPr>
          <w:sz w:val="20"/>
          <w:szCs w:val="20"/>
          <w:lang w:val="en"/>
        </w:rPr>
        <w:t>’</w:t>
      </w:r>
      <w:r w:rsidR="006F04E9" w:rsidRPr="006F04E9">
        <w:rPr>
          <w:sz w:val="20"/>
          <w:szCs w:val="20"/>
          <w:lang w:val="en"/>
        </w:rPr>
        <w:t>s current expectations and projections about future events, including Migration, and the Company</w:t>
      </w:r>
      <w:r w:rsidR="00C14A53">
        <w:rPr>
          <w:sz w:val="20"/>
          <w:szCs w:val="20"/>
          <w:lang w:val="en"/>
        </w:rPr>
        <w:t>’</w:t>
      </w:r>
      <w:r w:rsidR="006F04E9" w:rsidRPr="006F04E9">
        <w:rPr>
          <w:sz w:val="20"/>
          <w:szCs w:val="20"/>
          <w:lang w:val="en"/>
        </w:rPr>
        <w:t>s future financ</w:t>
      </w:r>
      <w:r w:rsidR="009E1A45">
        <w:rPr>
          <w:sz w:val="20"/>
          <w:szCs w:val="20"/>
          <w:lang w:val="en"/>
        </w:rPr>
        <w:t>ial condition and performance.</w:t>
      </w:r>
      <w:r w:rsidR="005117FB">
        <w:rPr>
          <w:sz w:val="20"/>
          <w:szCs w:val="20"/>
          <w:lang w:val="en"/>
        </w:rPr>
        <w:t xml:space="preserve">  </w:t>
      </w:r>
      <w:r w:rsidR="006F04E9" w:rsidRPr="006F04E9">
        <w:rPr>
          <w:sz w:val="20"/>
          <w:szCs w:val="20"/>
          <w:lang w:val="en"/>
        </w:rPr>
        <w:t>These statements, which sometimes use words such as “aim”, “anticipate”, “believe”, “may”, “will", “should”, “intend”, “plan”, “assume”, “estimate”, “expect” (or the negative thereof) and words of similar meaning, reflect the directors</w:t>
      </w:r>
      <w:r w:rsidR="00C14A53">
        <w:rPr>
          <w:sz w:val="20"/>
          <w:szCs w:val="20"/>
          <w:lang w:val="en"/>
        </w:rPr>
        <w:t>’</w:t>
      </w:r>
      <w:r w:rsidR="006F04E9" w:rsidRPr="006F04E9">
        <w:rPr>
          <w:sz w:val="20"/>
          <w:szCs w:val="20"/>
          <w:lang w:val="en"/>
        </w:rPr>
        <w:t xml:space="preserve"> current beliefs and expectations and involve known and unknown risks, uncertainties and assumptions, many of which are outside the Company</w:t>
      </w:r>
      <w:r w:rsidR="00C14A53">
        <w:rPr>
          <w:sz w:val="20"/>
          <w:szCs w:val="20"/>
          <w:lang w:val="en"/>
        </w:rPr>
        <w:t>’</w:t>
      </w:r>
      <w:r w:rsidR="006F04E9" w:rsidRPr="006F04E9">
        <w:rPr>
          <w:sz w:val="20"/>
          <w:szCs w:val="20"/>
          <w:lang w:val="en"/>
        </w:rPr>
        <w:t>s control and difficult to predict (cer</w:t>
      </w:r>
      <w:r>
        <w:rPr>
          <w:sz w:val="20"/>
          <w:szCs w:val="20"/>
          <w:lang w:val="en"/>
        </w:rPr>
        <w:t>tain of which are set out in the</w:t>
      </w:r>
      <w:r w:rsidR="006F04E9" w:rsidRPr="006F04E9">
        <w:rPr>
          <w:sz w:val="20"/>
          <w:szCs w:val="20"/>
          <w:lang w:val="en"/>
        </w:rPr>
        <w:t xml:space="preserve"> Circular with respect to Migration). </w:t>
      </w:r>
    </w:p>
    <w:p w14:paraId="0B891C21" w14:textId="77777777" w:rsidR="006F04E9" w:rsidRPr="006F04E9" w:rsidRDefault="006F04E9" w:rsidP="006F04E9">
      <w:pPr>
        <w:rPr>
          <w:sz w:val="20"/>
          <w:szCs w:val="20"/>
          <w:lang w:val="en"/>
        </w:rPr>
      </w:pPr>
    </w:p>
    <w:p w14:paraId="2608CADF" w14:textId="77777777" w:rsidR="006F04E9" w:rsidRPr="006F04E9" w:rsidRDefault="006F04E9" w:rsidP="006F04E9">
      <w:pPr>
        <w:rPr>
          <w:sz w:val="20"/>
          <w:szCs w:val="20"/>
          <w:lang w:val="en"/>
        </w:rPr>
      </w:pPr>
      <w:r w:rsidRPr="006F04E9">
        <w:rPr>
          <w:sz w:val="20"/>
          <w:szCs w:val="20"/>
          <w:lang w:val="en"/>
        </w:rPr>
        <w:t xml:space="preserve">Due to such uncertainties and risks, readers are cautioned not to place undue reliance on such forward-looking statements, which speak only as of the date hereof.  In light of these risks, uncertainties and assumptions, the events described in the forward-looking statements in this </w:t>
      </w:r>
      <w:r w:rsidR="00394AFC">
        <w:rPr>
          <w:sz w:val="20"/>
          <w:szCs w:val="20"/>
          <w:lang w:val="en"/>
        </w:rPr>
        <w:t>announcement</w:t>
      </w:r>
      <w:r w:rsidRPr="006F04E9">
        <w:rPr>
          <w:sz w:val="20"/>
          <w:szCs w:val="20"/>
          <w:lang w:val="en"/>
        </w:rPr>
        <w:t xml:space="preserve"> may not occur.  The information contained in this </w:t>
      </w:r>
      <w:r w:rsidR="00394AFC">
        <w:rPr>
          <w:sz w:val="20"/>
          <w:szCs w:val="20"/>
          <w:lang w:val="en"/>
        </w:rPr>
        <w:t>announcement</w:t>
      </w:r>
      <w:r w:rsidRPr="006F04E9">
        <w:rPr>
          <w:sz w:val="20"/>
          <w:szCs w:val="20"/>
          <w:lang w:val="en"/>
        </w:rPr>
        <w:t xml:space="preserve">, including the forward-looking statements, speaks only as of the date of this </w:t>
      </w:r>
      <w:r w:rsidR="00394AFC">
        <w:rPr>
          <w:sz w:val="20"/>
          <w:szCs w:val="20"/>
          <w:lang w:val="en"/>
        </w:rPr>
        <w:t>announcement</w:t>
      </w:r>
      <w:r w:rsidRPr="006F04E9">
        <w:rPr>
          <w:sz w:val="20"/>
          <w:szCs w:val="20"/>
          <w:lang w:val="en"/>
        </w:rPr>
        <w:t xml:space="preserve"> and is subject to change without notice and the Company does not assume any responsibility or obligation to, and does not intend to, update or revise publicly or review any of the information contained her</w:t>
      </w:r>
      <w:r w:rsidR="00394AFC">
        <w:rPr>
          <w:sz w:val="20"/>
          <w:szCs w:val="20"/>
          <w:lang w:val="en"/>
        </w:rPr>
        <w:t>ein save where indicated in the</w:t>
      </w:r>
      <w:r w:rsidRPr="006F04E9">
        <w:rPr>
          <w:sz w:val="20"/>
          <w:szCs w:val="20"/>
          <w:lang w:val="en"/>
        </w:rPr>
        <w:t xml:space="preserve"> Circular, whether as a result of new information, future events or otherwise, except to the extent required by Euronext Dublin, the Central Bank of Ireland, the UK Financial Conduct Authority, the London Stock Exchange, the NASDAQ Stock Market, the U.S. Securities and Exchange Commission or by applicable law.  </w:t>
      </w:r>
    </w:p>
    <w:p w14:paraId="3A5B9F49" w14:textId="77777777" w:rsidR="006F04E9" w:rsidRPr="00394AFC" w:rsidRDefault="006F04E9" w:rsidP="005C61E4">
      <w:pPr>
        <w:rPr>
          <w:sz w:val="20"/>
          <w:szCs w:val="20"/>
          <w:lang w:val="en"/>
        </w:rPr>
      </w:pPr>
    </w:p>
    <w:p w14:paraId="67FA77ED" w14:textId="16F58897" w:rsidR="00394AFC" w:rsidRPr="00394AFC" w:rsidRDefault="00394AFC" w:rsidP="005C61E4">
      <w:pPr>
        <w:rPr>
          <w:sz w:val="20"/>
          <w:szCs w:val="20"/>
          <w:lang w:val="en"/>
        </w:rPr>
      </w:pPr>
      <w:r w:rsidRPr="00394AFC">
        <w:rPr>
          <w:sz w:val="20"/>
          <w:szCs w:val="20"/>
          <w:lang w:val="en"/>
        </w:rPr>
        <w:t>The defined terms set out in Part 9 of the Circular have the same meaning herein.</w:t>
      </w:r>
      <w:r w:rsidR="00974176" w:rsidDel="00974176">
        <w:rPr>
          <w:rStyle w:val="FootnoteReference"/>
          <w:sz w:val="20"/>
          <w:szCs w:val="20"/>
          <w:lang w:val="en"/>
        </w:rPr>
        <w:t xml:space="preserve"> </w:t>
      </w:r>
    </w:p>
    <w:p w14:paraId="0ED7B916" w14:textId="77777777" w:rsidR="006F04E9" w:rsidRDefault="006F04E9" w:rsidP="005C61E4">
      <w:pPr>
        <w:rPr>
          <w:lang w:val="en"/>
        </w:rPr>
      </w:pPr>
    </w:p>
    <w:p w14:paraId="04E42962" w14:textId="77777777" w:rsidR="005C61E4" w:rsidRPr="004E48CD" w:rsidRDefault="005C61E4" w:rsidP="005C61E4">
      <w:pPr>
        <w:adjustRightInd/>
        <w:spacing w:after="200" w:line="276" w:lineRule="auto"/>
        <w:jc w:val="left"/>
        <w:rPr>
          <w:b/>
        </w:rPr>
      </w:pPr>
      <w:r>
        <w:rPr>
          <w:b/>
        </w:rPr>
        <w:t>END</w:t>
      </w:r>
    </w:p>
    <w:sectPr w:rsidR="005C61E4" w:rsidRPr="004E48CD" w:rsidSect="00F700B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A0FEE" w14:textId="77777777" w:rsidR="00DC092E" w:rsidRDefault="00DC092E" w:rsidP="00422C53">
      <w:r>
        <w:separator/>
      </w:r>
    </w:p>
  </w:endnote>
  <w:endnote w:type="continuationSeparator" w:id="0">
    <w:p w14:paraId="6A5657E1" w14:textId="77777777" w:rsidR="00DC092E" w:rsidRDefault="00DC092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7496" w14:textId="77777777" w:rsidR="00A13218" w:rsidRDefault="00A13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55068"/>
      <w:docPartObj>
        <w:docPartGallery w:val="Page Numbers (Bottom of Page)"/>
        <w:docPartUnique/>
      </w:docPartObj>
    </w:sdtPr>
    <w:sdtEndPr>
      <w:rPr>
        <w:noProof/>
      </w:rPr>
    </w:sdtEndPr>
    <w:sdtContent>
      <w:p w14:paraId="7DB82161" w14:textId="08298C09" w:rsidR="00E1288A" w:rsidRDefault="00F700BB" w:rsidP="00F700BB">
        <w:pPr>
          <w:pStyle w:val="Footer"/>
          <w:jc w:val="center"/>
        </w:pPr>
        <w:r>
          <w:fldChar w:fldCharType="begin"/>
        </w:r>
        <w:r>
          <w:instrText xml:space="preserve"> PAGE   \* MERGEFORMAT </w:instrText>
        </w:r>
        <w:r>
          <w:fldChar w:fldCharType="separate"/>
        </w:r>
        <w:r w:rsidR="00C81B4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58DE3" w14:textId="77777777" w:rsidR="00F700BB" w:rsidRPr="00F700BB" w:rsidRDefault="00F700BB" w:rsidP="00F700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A2FDF" w14:textId="77777777" w:rsidR="00DC092E" w:rsidRDefault="00DC092E" w:rsidP="00422C53">
      <w:r>
        <w:separator/>
      </w:r>
    </w:p>
  </w:footnote>
  <w:footnote w:type="continuationSeparator" w:id="0">
    <w:p w14:paraId="46CD7C82" w14:textId="77777777" w:rsidR="00DC092E" w:rsidRDefault="00DC092E" w:rsidP="0042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AE51" w14:textId="77777777" w:rsidR="00A13218" w:rsidRDefault="00A13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F4A39" w14:textId="77777777" w:rsidR="00A13218" w:rsidRDefault="00A13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165A9" w14:textId="77777777" w:rsidR="00A13218" w:rsidRDefault="00A13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1A80"/>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2274E79"/>
    <w:multiLevelType w:val="hybridMultilevel"/>
    <w:tmpl w:val="866EA8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8696D2E"/>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6"/>
  </w:num>
  <w:num w:numId="4">
    <w:abstractNumId w:val="6"/>
  </w:num>
  <w:num w:numId="5">
    <w:abstractNumId w:val="6"/>
  </w:num>
  <w:num w:numId="6">
    <w:abstractNumId w:val="1"/>
  </w:num>
  <w:num w:numId="7">
    <w:abstractNumId w:val="1"/>
  </w:num>
  <w:num w:numId="8">
    <w:abstractNumId w:val="1"/>
  </w:num>
  <w:num w:numId="9">
    <w:abstractNumId w:val="7"/>
  </w:num>
  <w:num w:numId="10">
    <w:abstractNumId w:val="3"/>
  </w:num>
  <w:num w:numId="11">
    <w:abstractNumId w:val="3"/>
  </w:num>
  <w:num w:numId="12">
    <w:abstractNumId w:val="3"/>
  </w:num>
  <w:num w:numId="13">
    <w:abstractNumId w:val="3"/>
  </w:num>
  <w:num w:numId="14">
    <w:abstractNumId w:val="3"/>
  </w:num>
  <w:num w:numId="15">
    <w:abstractNumId w:val="5"/>
  </w:num>
  <w:num w:numId="16">
    <w:abstractNumId w:val="5"/>
  </w:num>
  <w:num w:numId="17">
    <w:abstractNumId w:val="5"/>
  </w:num>
  <w:num w:numId="18">
    <w:abstractNumId w:val="5"/>
  </w:num>
  <w:num w:numId="19">
    <w:abstractNumId w:val="5"/>
  </w:num>
  <w:num w:numId="20">
    <w:abstractNumId w:val="0"/>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E22A88"/>
    <w:rsid w:val="000427C0"/>
    <w:rsid w:val="00065AD3"/>
    <w:rsid w:val="000667F4"/>
    <w:rsid w:val="00082CB5"/>
    <w:rsid w:val="00083173"/>
    <w:rsid w:val="00085ED5"/>
    <w:rsid w:val="0008768C"/>
    <w:rsid w:val="000B7CD7"/>
    <w:rsid w:val="000C6583"/>
    <w:rsid w:val="00122778"/>
    <w:rsid w:val="001443A3"/>
    <w:rsid w:val="00155C5D"/>
    <w:rsid w:val="00157B1E"/>
    <w:rsid w:val="001936EE"/>
    <w:rsid w:val="001A1107"/>
    <w:rsid w:val="001A4D65"/>
    <w:rsid w:val="001D7EB0"/>
    <w:rsid w:val="001F6650"/>
    <w:rsid w:val="00226394"/>
    <w:rsid w:val="00241BA4"/>
    <w:rsid w:val="00281016"/>
    <w:rsid w:val="00283705"/>
    <w:rsid w:val="002C40C7"/>
    <w:rsid w:val="002E4599"/>
    <w:rsid w:val="00314363"/>
    <w:rsid w:val="0032746C"/>
    <w:rsid w:val="00361693"/>
    <w:rsid w:val="00394AFC"/>
    <w:rsid w:val="003B1656"/>
    <w:rsid w:val="003C38BD"/>
    <w:rsid w:val="003D2C66"/>
    <w:rsid w:val="00401750"/>
    <w:rsid w:val="00422C53"/>
    <w:rsid w:val="00423CF3"/>
    <w:rsid w:val="0043457A"/>
    <w:rsid w:val="00452351"/>
    <w:rsid w:val="004642EC"/>
    <w:rsid w:val="004725ED"/>
    <w:rsid w:val="00473109"/>
    <w:rsid w:val="00486323"/>
    <w:rsid w:val="004919FC"/>
    <w:rsid w:val="004E764F"/>
    <w:rsid w:val="004F7723"/>
    <w:rsid w:val="005117FB"/>
    <w:rsid w:val="00513F27"/>
    <w:rsid w:val="00521999"/>
    <w:rsid w:val="005264B2"/>
    <w:rsid w:val="005338B2"/>
    <w:rsid w:val="0054086B"/>
    <w:rsid w:val="00547F98"/>
    <w:rsid w:val="00557A75"/>
    <w:rsid w:val="005603F3"/>
    <w:rsid w:val="00575893"/>
    <w:rsid w:val="005935C0"/>
    <w:rsid w:val="005C61E4"/>
    <w:rsid w:val="005D77DD"/>
    <w:rsid w:val="005E6889"/>
    <w:rsid w:val="005F0FDD"/>
    <w:rsid w:val="005F2955"/>
    <w:rsid w:val="006018DA"/>
    <w:rsid w:val="006341E4"/>
    <w:rsid w:val="006430DC"/>
    <w:rsid w:val="00676AA5"/>
    <w:rsid w:val="00692C4C"/>
    <w:rsid w:val="006D1B7C"/>
    <w:rsid w:val="006E4475"/>
    <w:rsid w:val="006F04E9"/>
    <w:rsid w:val="006F5C4D"/>
    <w:rsid w:val="00755602"/>
    <w:rsid w:val="007659C5"/>
    <w:rsid w:val="00765DA8"/>
    <w:rsid w:val="00770497"/>
    <w:rsid w:val="00782392"/>
    <w:rsid w:val="007923AF"/>
    <w:rsid w:val="007C0017"/>
    <w:rsid w:val="007D1C94"/>
    <w:rsid w:val="007E4733"/>
    <w:rsid w:val="007F3E37"/>
    <w:rsid w:val="0081513E"/>
    <w:rsid w:val="00854629"/>
    <w:rsid w:val="00893F03"/>
    <w:rsid w:val="008C1810"/>
    <w:rsid w:val="008D1A08"/>
    <w:rsid w:val="008E58DC"/>
    <w:rsid w:val="009261FB"/>
    <w:rsid w:val="00951142"/>
    <w:rsid w:val="00956502"/>
    <w:rsid w:val="00962C55"/>
    <w:rsid w:val="009721A9"/>
    <w:rsid w:val="00974176"/>
    <w:rsid w:val="00986186"/>
    <w:rsid w:val="009973E8"/>
    <w:rsid w:val="00997FDD"/>
    <w:rsid w:val="009B3301"/>
    <w:rsid w:val="009B413E"/>
    <w:rsid w:val="009C557B"/>
    <w:rsid w:val="009C6840"/>
    <w:rsid w:val="009E1A45"/>
    <w:rsid w:val="00A01D27"/>
    <w:rsid w:val="00A055AF"/>
    <w:rsid w:val="00A13218"/>
    <w:rsid w:val="00A13F05"/>
    <w:rsid w:val="00A157A9"/>
    <w:rsid w:val="00A34DC3"/>
    <w:rsid w:val="00A40376"/>
    <w:rsid w:val="00A65960"/>
    <w:rsid w:val="00A84CE2"/>
    <w:rsid w:val="00AD399C"/>
    <w:rsid w:val="00B02137"/>
    <w:rsid w:val="00B522A6"/>
    <w:rsid w:val="00B6238C"/>
    <w:rsid w:val="00B62672"/>
    <w:rsid w:val="00BA5CE5"/>
    <w:rsid w:val="00BC62D8"/>
    <w:rsid w:val="00BD2FA9"/>
    <w:rsid w:val="00BD7D30"/>
    <w:rsid w:val="00BF5DD3"/>
    <w:rsid w:val="00BF7D6B"/>
    <w:rsid w:val="00C14A53"/>
    <w:rsid w:val="00C23D60"/>
    <w:rsid w:val="00C3137E"/>
    <w:rsid w:val="00C417A0"/>
    <w:rsid w:val="00C45083"/>
    <w:rsid w:val="00C458AA"/>
    <w:rsid w:val="00C7373A"/>
    <w:rsid w:val="00C81B40"/>
    <w:rsid w:val="00CB5BC3"/>
    <w:rsid w:val="00CD74E9"/>
    <w:rsid w:val="00D03DDC"/>
    <w:rsid w:val="00D179AE"/>
    <w:rsid w:val="00D210AD"/>
    <w:rsid w:val="00D441FE"/>
    <w:rsid w:val="00D54653"/>
    <w:rsid w:val="00D62458"/>
    <w:rsid w:val="00D76C81"/>
    <w:rsid w:val="00DA2A15"/>
    <w:rsid w:val="00DB3FA0"/>
    <w:rsid w:val="00DB625B"/>
    <w:rsid w:val="00DC092E"/>
    <w:rsid w:val="00DF1926"/>
    <w:rsid w:val="00E04320"/>
    <w:rsid w:val="00E1288A"/>
    <w:rsid w:val="00E13CE7"/>
    <w:rsid w:val="00E22A88"/>
    <w:rsid w:val="00E348C6"/>
    <w:rsid w:val="00E4359F"/>
    <w:rsid w:val="00E514D5"/>
    <w:rsid w:val="00E722DF"/>
    <w:rsid w:val="00E7553B"/>
    <w:rsid w:val="00EB185F"/>
    <w:rsid w:val="00EB2562"/>
    <w:rsid w:val="00EB4AF3"/>
    <w:rsid w:val="00EE7E47"/>
    <w:rsid w:val="00F20436"/>
    <w:rsid w:val="00F3278E"/>
    <w:rsid w:val="00F4528A"/>
    <w:rsid w:val="00F65B16"/>
    <w:rsid w:val="00F70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AEF84"/>
  <w15:chartTrackingRefBased/>
  <w15:docId w15:val="{655099EA-20D9-42F5-AF6D-A7D61F7E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93"/>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E2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0497"/>
    <w:rPr>
      <w:color w:val="0000FF" w:themeColor="hyperlink"/>
      <w:u w:val="single"/>
    </w:rPr>
  </w:style>
  <w:style w:type="paragraph" w:styleId="ListParagraph">
    <w:name w:val="List Paragraph"/>
    <w:basedOn w:val="Normal"/>
    <w:uiPriority w:val="34"/>
    <w:qFormat/>
    <w:rsid w:val="00997FDD"/>
    <w:pPr>
      <w:ind w:left="720"/>
      <w:contextualSpacing/>
    </w:pPr>
  </w:style>
  <w:style w:type="paragraph" w:styleId="BalloonText">
    <w:name w:val="Balloon Text"/>
    <w:basedOn w:val="Normal"/>
    <w:link w:val="BalloonTextChar"/>
    <w:uiPriority w:val="99"/>
    <w:semiHidden/>
    <w:unhideWhenUsed/>
    <w:rsid w:val="009B3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01"/>
    <w:rPr>
      <w:rFonts w:ascii="Segoe UI" w:hAnsi="Segoe UI" w:cs="Segoe UI"/>
      <w:sz w:val="18"/>
      <w:szCs w:val="18"/>
      <w:lang w:val="en-IE" w:eastAsia="en-IE"/>
    </w:rPr>
  </w:style>
  <w:style w:type="character" w:customStyle="1" w:styleId="fu">
    <w:name w:val="fu"/>
    <w:basedOn w:val="DefaultParagraphFont"/>
    <w:rsid w:val="0032746C"/>
  </w:style>
  <w:style w:type="paragraph" w:customStyle="1" w:styleId="k">
    <w:name w:val="k"/>
    <w:basedOn w:val="Normal"/>
    <w:uiPriority w:val="99"/>
    <w:rsid w:val="00D03DDC"/>
    <w:pPr>
      <w:adjustRightInd/>
      <w:spacing w:before="100" w:beforeAutospacing="1" w:after="100" w:afterAutospacing="1"/>
      <w:jc w:val="left"/>
    </w:pPr>
    <w:rPr>
      <w:rFonts w:eastAsiaTheme="minorHAnsi"/>
      <w:sz w:val="24"/>
      <w:szCs w:val="24"/>
      <w:lang w:val="en-GB" w:eastAsia="en-GB"/>
    </w:rPr>
  </w:style>
  <w:style w:type="paragraph" w:customStyle="1" w:styleId="Default">
    <w:name w:val="Default"/>
    <w:rsid w:val="00155C5D"/>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hl">
    <w:name w:val="hl"/>
    <w:basedOn w:val="Normal"/>
    <w:rsid w:val="00F20436"/>
    <w:pPr>
      <w:adjustRightInd/>
      <w:spacing w:before="100" w:beforeAutospacing="1" w:after="100" w:afterAutospacing="1"/>
      <w:jc w:val="left"/>
    </w:pPr>
    <w:rPr>
      <w:sz w:val="24"/>
      <w:szCs w:val="24"/>
    </w:rPr>
  </w:style>
  <w:style w:type="character" w:customStyle="1" w:styleId="hj">
    <w:name w:val="hj"/>
    <w:basedOn w:val="DefaultParagraphFont"/>
    <w:rsid w:val="00F20436"/>
  </w:style>
  <w:style w:type="paragraph" w:customStyle="1" w:styleId="hm">
    <w:name w:val="hm"/>
    <w:basedOn w:val="Normal"/>
    <w:rsid w:val="00F20436"/>
    <w:pPr>
      <w:adjustRightInd/>
      <w:spacing w:before="100" w:beforeAutospacing="1" w:after="100" w:afterAutospacing="1"/>
      <w:jc w:val="left"/>
    </w:pPr>
    <w:rPr>
      <w:sz w:val="24"/>
      <w:szCs w:val="24"/>
    </w:rPr>
  </w:style>
  <w:style w:type="character" w:styleId="CommentReference">
    <w:name w:val="annotation reference"/>
    <w:basedOn w:val="DefaultParagraphFont"/>
    <w:uiPriority w:val="99"/>
    <w:semiHidden/>
    <w:unhideWhenUsed/>
    <w:rsid w:val="00F20436"/>
    <w:rPr>
      <w:sz w:val="16"/>
      <w:szCs w:val="16"/>
    </w:rPr>
  </w:style>
  <w:style w:type="paragraph" w:styleId="CommentText">
    <w:name w:val="annotation text"/>
    <w:basedOn w:val="Normal"/>
    <w:link w:val="CommentTextChar"/>
    <w:uiPriority w:val="99"/>
    <w:semiHidden/>
    <w:unhideWhenUsed/>
    <w:rsid w:val="00F20436"/>
    <w:rPr>
      <w:sz w:val="20"/>
      <w:szCs w:val="20"/>
    </w:rPr>
  </w:style>
  <w:style w:type="character" w:customStyle="1" w:styleId="CommentTextChar">
    <w:name w:val="Comment Text Char"/>
    <w:basedOn w:val="DefaultParagraphFont"/>
    <w:link w:val="CommentText"/>
    <w:uiPriority w:val="99"/>
    <w:semiHidden/>
    <w:rsid w:val="00F20436"/>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F20436"/>
    <w:rPr>
      <w:b/>
      <w:bCs/>
    </w:rPr>
  </w:style>
  <w:style w:type="character" w:customStyle="1" w:styleId="CommentSubjectChar">
    <w:name w:val="Comment Subject Char"/>
    <w:basedOn w:val="CommentTextChar"/>
    <w:link w:val="CommentSubject"/>
    <w:uiPriority w:val="99"/>
    <w:semiHidden/>
    <w:rsid w:val="00F20436"/>
    <w:rPr>
      <w:rFonts w:ascii="Times New Roman" w:hAnsi="Times New Roman" w:cs="Times New Roman"/>
      <w:b/>
      <w:bCs/>
      <w:sz w:val="20"/>
      <w:szCs w:val="20"/>
      <w:lang w:val="en-IE" w:eastAsia="en-IE"/>
    </w:rPr>
  </w:style>
  <w:style w:type="character" w:customStyle="1" w:styleId="UnresolvedMention1">
    <w:name w:val="Unresolved Mention1"/>
    <w:basedOn w:val="DefaultParagraphFont"/>
    <w:uiPriority w:val="99"/>
    <w:semiHidden/>
    <w:unhideWhenUsed/>
    <w:rsid w:val="001D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5750">
      <w:bodyDiv w:val="1"/>
      <w:marLeft w:val="0"/>
      <w:marRight w:val="0"/>
      <w:marTop w:val="0"/>
      <w:marBottom w:val="0"/>
      <w:divBdr>
        <w:top w:val="none" w:sz="0" w:space="0" w:color="auto"/>
        <w:left w:val="none" w:sz="0" w:space="0" w:color="auto"/>
        <w:bottom w:val="none" w:sz="0" w:space="0" w:color="auto"/>
        <w:right w:val="none" w:sz="0" w:space="0" w:color="auto"/>
      </w:divBdr>
    </w:div>
    <w:div w:id="272058888">
      <w:bodyDiv w:val="1"/>
      <w:marLeft w:val="0"/>
      <w:marRight w:val="0"/>
      <w:marTop w:val="0"/>
      <w:marBottom w:val="0"/>
      <w:divBdr>
        <w:top w:val="none" w:sz="0" w:space="0" w:color="auto"/>
        <w:left w:val="none" w:sz="0" w:space="0" w:color="auto"/>
        <w:bottom w:val="none" w:sz="0" w:space="0" w:color="auto"/>
        <w:right w:val="none" w:sz="0" w:space="0" w:color="auto"/>
      </w:divBdr>
    </w:div>
    <w:div w:id="17895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ryanai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ata.fca.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investor.ryanai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2020-11-24T07:00:34+00:00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1818EDB8-75BE-4059-B30A-BB00AF8F4E4D}"/>
</file>

<file path=customXml/itemProps2.xml><?xml version="1.0" encoding="utf-8"?>
<ds:datastoreItem xmlns:ds="http://schemas.openxmlformats.org/officeDocument/2006/customXml" ds:itemID="{1B30D0AB-226A-42B4-BD96-FADFAF08FA0F}"/>
</file>

<file path=customXml/itemProps3.xml><?xml version="1.0" encoding="utf-8"?>
<ds:datastoreItem xmlns:ds="http://schemas.openxmlformats.org/officeDocument/2006/customXml" ds:itemID="{84E6B43B-D639-4FCD-8907-48A0FF4388AF}"/>
</file>

<file path=customXml/itemProps4.xml><?xml version="1.0" encoding="utf-8"?>
<ds:datastoreItem xmlns:ds="http://schemas.openxmlformats.org/officeDocument/2006/customXml" ds:itemID="{35924E66-F9AB-499E-82E9-EEF98B90AAD5}"/>
</file>

<file path=docProps/app.xml><?xml version="1.0" encoding="utf-8"?>
<Properties xmlns="http://schemas.openxmlformats.org/officeDocument/2006/extended-properties" xmlns:vt="http://schemas.openxmlformats.org/officeDocument/2006/docPropsVTypes">
  <Template>Normal</Template>
  <TotalTime>3</TotalTime>
  <Pages>2</Pages>
  <Words>928</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Cox</dc:creator>
  <cp:keywords/>
  <dc:description/>
  <cp:lastModifiedBy>Edwards, Jessica</cp:lastModifiedBy>
  <cp:revision>2</cp:revision>
  <cp:lastPrinted>2020-11-20T09:01:00Z</cp:lastPrinted>
  <dcterms:created xsi:type="dcterms:W3CDTF">2020-11-24T06:36:00Z</dcterms:created>
  <dcterms:modified xsi:type="dcterms:W3CDTF">2020-11-24T06:36:00Z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AC#36917003.8</vt:lpwstr>
  </property>
  <property fmtid="{D5CDD505-2E9C-101B-9397-08002B2CF9AE}" pid="3" name="ACDocType">
    <vt:lpwstr>DOCUMENT</vt:lpwstr>
  </property>
  <property fmtid="{D5CDD505-2E9C-101B-9397-08002B2CF9AE}" pid="4" name="ACMatter">
    <vt:lpwstr>RY069/039/</vt:lpwstr>
  </property>
  <property fmtid="{D5CDD505-2E9C-101B-9397-08002B2CF9AE}" pid="5" name="ContentTypeId">
    <vt:lpwstr>0x010100BE156B1CF39149A8843C57AB06C49AFE0011B886BEF4CCD94F85F46E94360FD412</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169302800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