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5A7768" w14:paraId="1B79C35F" w14:textId="77777777">
        <w:tc>
          <w:tcPr>
            <w:tcW w:w="9694" w:type="dxa"/>
            <w:gridSpan w:val="2"/>
            <w:tcBorders>
              <w:top w:val="nil"/>
              <w:left w:val="nil"/>
              <w:bottom w:val="nil"/>
              <w:right w:val="nil"/>
            </w:tcBorders>
            <w:tcMar>
              <w:top w:w="60" w:type="dxa"/>
              <w:bottom w:w="20" w:type="dxa"/>
            </w:tcMar>
          </w:tcPr>
          <w:p w14:paraId="2B0150C2" w14:textId="77777777" w:rsidR="005A7768" w:rsidRDefault="006C361F">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6C83E875" w14:textId="77777777" w:rsidR="005A7768" w:rsidRDefault="006C361F">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5A7768" w14:paraId="6AA74B51"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948D886" w14:textId="77777777" w:rsidR="005A7768" w:rsidRDefault="006C361F">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5A7768" w14:paraId="625715FD" w14:textId="77777777">
        <w:tc>
          <w:tcPr>
            <w:tcW w:w="9694" w:type="dxa"/>
            <w:gridSpan w:val="2"/>
            <w:tcBorders>
              <w:top w:val="nil"/>
              <w:left w:val="nil"/>
              <w:bottom w:val="nil"/>
              <w:right w:val="nil"/>
            </w:tcBorders>
            <w:tcMar>
              <w:top w:w="60" w:type="dxa"/>
              <w:left w:w="60" w:type="dxa"/>
              <w:bottom w:w="60" w:type="dxa"/>
              <w:right w:w="60" w:type="dxa"/>
            </w:tcMar>
          </w:tcPr>
          <w:p w14:paraId="2F015CEF"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5404AB18"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1F36A98"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324D2156"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5A7768" w14:paraId="65473D66"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224A32A"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62946E3A"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73559D74"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14:paraId="36866B0B"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14:paraId="5DC5613B"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14:paraId="78300546"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417CA116"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790B4C57"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5A7768" w14:paraId="780D0288"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653CB004" w14:textId="77777777" w:rsidR="005A7768" w:rsidRDefault="006C361F">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6439804A"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0CFB73DF" w14:textId="77777777" w:rsidR="005A7768" w:rsidRDefault="006C361F">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2598F573"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5A7768" w14:paraId="4608B49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6271FBB"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45F91A61"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0075E617"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5819150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70482C2"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63192E7B"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25 Jan 2021</w:t>
            </w:r>
          </w:p>
        </w:tc>
      </w:tr>
      <w:tr w:rsidR="005A7768" w14:paraId="0362E10D"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547858E"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33DB6949" w14:textId="4589EACD"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w:t>
            </w:r>
            <w:r w:rsidR="00AE179A">
              <w:rPr>
                <w:rFonts w:ascii="Helvetica" w:hAnsi="Helvetica" w:cs="Helvetica"/>
                <w:color w:val="000000"/>
                <w:sz w:val="20"/>
                <w:szCs w:val="20"/>
              </w:rPr>
              <w:t>6</w:t>
            </w:r>
            <w:r>
              <w:rPr>
                <w:rFonts w:ascii="Helvetica" w:hAnsi="Helvetica" w:cs="Helvetica"/>
                <w:color w:val="000000"/>
                <w:sz w:val="20"/>
                <w:szCs w:val="20"/>
              </w:rPr>
              <w:t xml:space="preserve"> Jan 2021</w:t>
            </w:r>
          </w:p>
        </w:tc>
      </w:tr>
      <w:tr w:rsidR="005A7768" w14:paraId="54FFF1AB"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36066CD"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245466FE"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Capital Research and Management Company increased above 10.00% of total voting rights outstanding.</w:t>
            </w:r>
          </w:p>
        </w:tc>
      </w:tr>
    </w:tbl>
    <w:p w14:paraId="79E70D53" w14:textId="77777777" w:rsidR="005A7768" w:rsidRDefault="005A7768">
      <w:pPr>
        <w:widowControl w:val="0"/>
        <w:autoSpaceDE w:val="0"/>
        <w:autoSpaceDN w:val="0"/>
        <w:adjustRightInd w:val="0"/>
        <w:spacing w:after="0" w:line="240" w:lineRule="auto"/>
        <w:rPr>
          <w:rFonts w:ascii="Arial" w:hAnsi="Arial" w:cs="Arial"/>
          <w:sz w:val="24"/>
          <w:szCs w:val="24"/>
        </w:rPr>
        <w:sectPr w:rsidR="005A7768">
          <w:headerReference w:type="even" r:id="rId6"/>
          <w:headerReference w:type="default" r:id="rId7"/>
          <w:footerReference w:type="even" r:id="rId8"/>
          <w:footerReference w:type="default" r:id="rId9"/>
          <w:headerReference w:type="first" r:id="rId10"/>
          <w:footerReference w:type="first" r:id="rId1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5A7768" w14:paraId="3947CACE"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FF7320C"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5A7768" w14:paraId="276CC35A"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23C0F84"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52BE3CA"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1FCE9600"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35D3AC4"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3AA456F5"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DA8C21B"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5E2B5C20"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07A1B0E"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5A7768" w14:paraId="21ADCB67"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8F1051"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71A4E2"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10.17%</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CF2115"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C34F832"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10.17%</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72280A4"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1,127,467,028</w:t>
            </w:r>
          </w:p>
        </w:tc>
      </w:tr>
      <w:tr w:rsidR="005A7768" w14:paraId="1C806193"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60EE42"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8A12A86"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10.03%</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9E93AA2"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7B3E88"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10.03%</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6A1AAD89"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2732D481" w14:textId="77777777">
        <w:tc>
          <w:tcPr>
            <w:tcW w:w="9694" w:type="dxa"/>
            <w:gridSpan w:val="11"/>
            <w:tcBorders>
              <w:top w:val="nil"/>
              <w:left w:val="nil"/>
              <w:bottom w:val="nil"/>
              <w:right w:val="nil"/>
            </w:tcBorders>
            <w:tcMar>
              <w:top w:w="60" w:type="dxa"/>
              <w:bottom w:w="60" w:type="dxa"/>
            </w:tcMar>
          </w:tcPr>
          <w:p w14:paraId="042C0119"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34CE63F0"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640F2A15"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5A7768" w14:paraId="6929D1CC"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6CDCAEC6"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5A7768" w14:paraId="39168438"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62604C"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D14E746"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5F953F4"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A7768" w14:paraId="14CF11AA"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DB243F" w14:textId="77777777" w:rsidR="005A7768" w:rsidRDefault="005A7768">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50A5ECE" w14:textId="77777777" w:rsidR="005A7768" w:rsidRDefault="006C361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E3B71C" w14:textId="77777777" w:rsidR="005A7768" w:rsidRDefault="006C361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F4A8CE" w14:textId="77777777" w:rsidR="005A7768" w:rsidRDefault="006C361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FCB596" w14:textId="77777777" w:rsidR="005A7768" w:rsidRDefault="006C361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5A7768" w14:paraId="379725CC"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6E555E3"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71CC8F9"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656B452"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107,037,790</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750B302"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DF0526E"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9.49%</w:t>
            </w:r>
          </w:p>
        </w:tc>
      </w:tr>
      <w:tr w:rsidR="005A7768" w14:paraId="03CF029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C91C2E0"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EEDD4F4"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50F7CB7"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7,577,025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E305DC8"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08AB1AD"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0.67%</w:t>
            </w:r>
          </w:p>
        </w:tc>
      </w:tr>
      <w:tr w:rsidR="005A7768" w14:paraId="26FFD15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7A3B619"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E8DA2FE"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AB2AFCF"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40F6140"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D12D847"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r>
      <w:tr w:rsidR="005A7768" w14:paraId="2048D75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F0FD81E"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DE2CFFD"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114,614,815</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151F5A0" w14:textId="77777777" w:rsidR="005A7768" w:rsidRDefault="006C361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10.17%</w:t>
            </w:r>
          </w:p>
        </w:tc>
      </w:tr>
      <w:tr w:rsidR="005A7768" w14:paraId="74545A4E" w14:textId="77777777">
        <w:tc>
          <w:tcPr>
            <w:tcW w:w="9694" w:type="dxa"/>
            <w:gridSpan w:val="11"/>
            <w:tcBorders>
              <w:top w:val="nil"/>
              <w:left w:val="nil"/>
              <w:bottom w:val="nil"/>
              <w:right w:val="nil"/>
            </w:tcBorders>
            <w:tcMar>
              <w:top w:w="60" w:type="dxa"/>
              <w:bottom w:w="60" w:type="dxa"/>
            </w:tcMar>
          </w:tcPr>
          <w:p w14:paraId="257AD544"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5FF47928"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631962E9"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5A7768" w14:paraId="26BC3958"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D8DEAE"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E3894F"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177C34"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E04D54C"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A77887F"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A7768" w14:paraId="5B34BF5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DF0AA34"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BE6070"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867079"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9585E1"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3E0438"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r>
      <w:tr w:rsidR="005A7768" w14:paraId="51D3FCED" w14:textId="77777777">
        <w:tc>
          <w:tcPr>
            <w:tcW w:w="1700" w:type="dxa"/>
            <w:tcBorders>
              <w:top w:val="nil"/>
              <w:left w:val="nil"/>
              <w:bottom w:val="nil"/>
              <w:right w:val="nil"/>
            </w:tcBorders>
            <w:tcMar>
              <w:top w:w="60" w:type="dxa"/>
              <w:left w:w="120" w:type="dxa"/>
              <w:bottom w:w="20" w:type="dxa"/>
              <w:right w:w="120" w:type="dxa"/>
            </w:tcMar>
          </w:tcPr>
          <w:p w14:paraId="119E7010"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63DD368"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CE3FC19"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4B1138" w14:textId="77777777" w:rsidR="005A7768" w:rsidRDefault="005A7768">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E0456B" w14:textId="77777777" w:rsidR="005A7768" w:rsidRDefault="005A7768">
            <w:pPr>
              <w:widowControl w:val="0"/>
              <w:autoSpaceDE w:val="0"/>
              <w:autoSpaceDN w:val="0"/>
              <w:adjustRightInd w:val="0"/>
              <w:spacing w:after="0" w:line="240" w:lineRule="auto"/>
              <w:jc w:val="center"/>
              <w:rPr>
                <w:rFonts w:ascii="Helvetica" w:hAnsi="Helvetica" w:cs="Helvetica"/>
                <w:color w:val="000000"/>
                <w:sz w:val="20"/>
                <w:szCs w:val="20"/>
              </w:rPr>
            </w:pPr>
          </w:p>
        </w:tc>
      </w:tr>
      <w:tr w:rsidR="005A7768" w14:paraId="6ECB2552" w14:textId="77777777">
        <w:tc>
          <w:tcPr>
            <w:tcW w:w="9694" w:type="dxa"/>
            <w:gridSpan w:val="11"/>
            <w:tcBorders>
              <w:top w:val="nil"/>
              <w:left w:val="nil"/>
              <w:bottom w:val="nil"/>
              <w:right w:val="nil"/>
            </w:tcBorders>
            <w:tcMar>
              <w:top w:w="60" w:type="dxa"/>
              <w:bottom w:w="60" w:type="dxa"/>
            </w:tcMar>
          </w:tcPr>
          <w:p w14:paraId="4C9AEEE2"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4673FABF"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263B719"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5A7768" w14:paraId="03ADC9C1"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6741DC"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5688EA"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0CF3361"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7F2D6D1"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A28142D"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E9ACCC1"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A7768" w14:paraId="2926D44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21A916"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607EC4"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EC13DF"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C336B7"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616E91E"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F9E72F" w14:textId="77777777" w:rsidR="005A7768" w:rsidRDefault="005A7768">
            <w:pPr>
              <w:widowControl w:val="0"/>
              <w:autoSpaceDE w:val="0"/>
              <w:autoSpaceDN w:val="0"/>
              <w:adjustRightInd w:val="0"/>
              <w:spacing w:after="0" w:line="240" w:lineRule="auto"/>
              <w:rPr>
                <w:rFonts w:ascii="Helvetica" w:hAnsi="Helvetica" w:cs="Helvetica"/>
                <w:color w:val="000000"/>
                <w:sz w:val="18"/>
                <w:szCs w:val="18"/>
              </w:rPr>
            </w:pPr>
          </w:p>
        </w:tc>
      </w:tr>
      <w:tr w:rsidR="005A7768" w14:paraId="2B6E3F8C" w14:textId="77777777">
        <w:tc>
          <w:tcPr>
            <w:tcW w:w="1700" w:type="dxa"/>
            <w:tcBorders>
              <w:top w:val="nil"/>
              <w:left w:val="nil"/>
              <w:bottom w:val="nil"/>
              <w:right w:val="nil"/>
            </w:tcBorders>
            <w:tcMar>
              <w:top w:w="60" w:type="dxa"/>
              <w:left w:w="120" w:type="dxa"/>
              <w:bottom w:w="20" w:type="dxa"/>
              <w:right w:w="120" w:type="dxa"/>
            </w:tcMar>
          </w:tcPr>
          <w:p w14:paraId="51A9CE2E"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7A578B41"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B8646EF"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95BFE4A" w14:textId="77777777" w:rsidR="005A7768" w:rsidRDefault="006C361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93730F4" w14:textId="77777777" w:rsidR="005A7768" w:rsidRDefault="005A7768">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5DD2D6" w14:textId="77777777" w:rsidR="005A7768" w:rsidRDefault="005A7768">
            <w:pPr>
              <w:widowControl w:val="0"/>
              <w:autoSpaceDE w:val="0"/>
              <w:autoSpaceDN w:val="0"/>
              <w:adjustRightInd w:val="0"/>
              <w:spacing w:after="0" w:line="240" w:lineRule="auto"/>
              <w:jc w:val="center"/>
              <w:rPr>
                <w:rFonts w:ascii="Helvetica" w:hAnsi="Helvetica" w:cs="Helvetica"/>
                <w:color w:val="000000"/>
                <w:sz w:val="20"/>
                <w:szCs w:val="20"/>
              </w:rPr>
            </w:pPr>
          </w:p>
        </w:tc>
      </w:tr>
    </w:tbl>
    <w:p w14:paraId="3F88B59A" w14:textId="77777777" w:rsidR="005A7768" w:rsidRDefault="005A7768">
      <w:pPr>
        <w:widowControl w:val="0"/>
        <w:autoSpaceDE w:val="0"/>
        <w:autoSpaceDN w:val="0"/>
        <w:adjustRightInd w:val="0"/>
        <w:spacing w:after="0" w:line="240" w:lineRule="auto"/>
        <w:rPr>
          <w:rFonts w:ascii="Arial" w:hAnsi="Arial" w:cs="Arial"/>
          <w:sz w:val="24"/>
          <w:szCs w:val="24"/>
        </w:rPr>
        <w:sectPr w:rsidR="005A7768">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5A7768" w14:paraId="25A55A7B"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7AABA351"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5A7768" w14:paraId="5F269E5F"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538CE47E"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5A7768" w14:paraId="1674B49B"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6796923A"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5A7768" w14:paraId="44FB7A49"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641699D" w14:textId="77777777" w:rsidR="005A7768" w:rsidRDefault="006C361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667D7490" w14:textId="77777777" w:rsidR="005A7768" w:rsidRDefault="006C361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5EDB1EB" w14:textId="77777777" w:rsidR="005A7768" w:rsidRDefault="006C361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ACF7D02" w14:textId="77777777" w:rsidR="005A7768" w:rsidRDefault="006C361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5A7768" w14:paraId="7A108AB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E8F2413"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467D9C6" w14:textId="77777777" w:rsidR="005A7768" w:rsidRDefault="006C361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10.01%</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F1A57EC"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0ABCE28" w14:textId="77777777" w:rsidR="005A7768" w:rsidRDefault="006C361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10.01%</w:t>
            </w:r>
          </w:p>
        </w:tc>
      </w:tr>
      <w:tr w:rsidR="005A7768" w14:paraId="2AE15FE5"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7A601BE"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669DB4A8"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B287AAE"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AF74365"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r>
      <w:tr w:rsidR="005A7768" w14:paraId="01A7497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328A4BE"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6944CA9D"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F1DCEB7"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590089E"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r>
      <w:tr w:rsidR="005A7768" w14:paraId="096811E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9BA8A04"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44D73E0"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A633519"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AF8E4A4"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r>
      <w:tr w:rsidR="005A7768" w14:paraId="65ACB02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8840988"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Sarl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C6EAA34"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C847A36"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51440E"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r>
      <w:tr w:rsidR="005A7768" w14:paraId="3400B00F"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EE33DD"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9487682" w14:textId="77777777" w:rsidR="005A7768" w:rsidRDefault="006C361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3.20%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BF72F2A"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4D96B92" w14:textId="77777777" w:rsidR="005A7768" w:rsidRDefault="006C361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3.20%</w:t>
            </w:r>
          </w:p>
        </w:tc>
      </w:tr>
      <w:tr w:rsidR="005A7768" w14:paraId="6117029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6EF822" w14:textId="77777777" w:rsidR="005A7768" w:rsidRDefault="006C361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131EB2B" w14:textId="77777777" w:rsidR="005A7768" w:rsidRDefault="006C361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10.17%</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317C104" w14:textId="77777777" w:rsidR="005A7768" w:rsidRDefault="005A7768">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547B9D" w14:textId="77777777" w:rsidR="005A7768" w:rsidRDefault="006C361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10.17%</w:t>
            </w:r>
          </w:p>
        </w:tc>
      </w:tr>
      <w:tr w:rsidR="005A7768" w14:paraId="148BA567" w14:textId="77777777">
        <w:tc>
          <w:tcPr>
            <w:tcW w:w="9692" w:type="dxa"/>
            <w:gridSpan w:val="4"/>
            <w:tcBorders>
              <w:top w:val="nil"/>
              <w:left w:val="nil"/>
              <w:bottom w:val="nil"/>
              <w:right w:val="nil"/>
            </w:tcBorders>
            <w:tcMar>
              <w:top w:w="120" w:type="dxa"/>
              <w:left w:w="120" w:type="dxa"/>
              <w:bottom w:w="20" w:type="dxa"/>
              <w:right w:w="120" w:type="dxa"/>
            </w:tcMar>
          </w:tcPr>
          <w:p w14:paraId="4ACC23F1"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76DAAA82"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C551385"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5A7768" w14:paraId="5CA2F60F" w14:textId="77777777">
        <w:tc>
          <w:tcPr>
            <w:tcW w:w="9694" w:type="dxa"/>
            <w:gridSpan w:val="4"/>
            <w:tcBorders>
              <w:top w:val="nil"/>
              <w:left w:val="nil"/>
              <w:bottom w:val="nil"/>
              <w:right w:val="nil"/>
            </w:tcBorders>
            <w:tcMar>
              <w:top w:w="120" w:type="dxa"/>
              <w:left w:w="120" w:type="dxa"/>
              <w:bottom w:w="20" w:type="dxa"/>
              <w:right w:w="120" w:type="dxa"/>
            </w:tcMar>
          </w:tcPr>
          <w:p w14:paraId="3DCC2B39"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52686C58"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2C67ACF" w14:textId="77777777" w:rsidR="005A7768" w:rsidRDefault="006C361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43623D7A" w14:textId="77777777" w:rsidR="005A7768" w:rsidRDefault="006C361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2ADD48EA" w14:textId="77777777" w:rsidR="005A7768" w:rsidRDefault="006C361F">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14:paraId="0642F973" w14:textId="77777777" w:rsidR="005A7768" w:rsidRDefault="005A7768">
            <w:pPr>
              <w:widowControl w:val="0"/>
              <w:autoSpaceDE w:val="0"/>
              <w:autoSpaceDN w:val="0"/>
              <w:adjustRightInd w:val="0"/>
              <w:spacing w:before="240" w:after="0" w:line="240" w:lineRule="auto"/>
              <w:rPr>
                <w:rFonts w:ascii="Helvetica" w:hAnsi="Helvetica" w:cs="Helvetica"/>
                <w:color w:val="000000"/>
                <w:sz w:val="20"/>
                <w:szCs w:val="20"/>
              </w:rPr>
            </w:pPr>
          </w:p>
        </w:tc>
      </w:tr>
      <w:tr w:rsidR="005A7768" w14:paraId="3302ED1A" w14:textId="77777777">
        <w:tc>
          <w:tcPr>
            <w:tcW w:w="9694" w:type="dxa"/>
            <w:gridSpan w:val="4"/>
            <w:tcBorders>
              <w:top w:val="nil"/>
              <w:left w:val="nil"/>
              <w:bottom w:val="nil"/>
              <w:right w:val="nil"/>
            </w:tcBorders>
            <w:tcMar>
              <w:top w:w="120" w:type="dxa"/>
              <w:left w:w="120" w:type="dxa"/>
              <w:bottom w:w="20" w:type="dxa"/>
              <w:right w:w="120" w:type="dxa"/>
            </w:tcMar>
          </w:tcPr>
          <w:p w14:paraId="0B115552" w14:textId="77777777" w:rsidR="005A7768" w:rsidRDefault="005A7768">
            <w:pPr>
              <w:widowControl w:val="0"/>
              <w:autoSpaceDE w:val="0"/>
              <w:autoSpaceDN w:val="0"/>
              <w:adjustRightInd w:val="0"/>
              <w:spacing w:after="0" w:line="240" w:lineRule="auto"/>
              <w:rPr>
                <w:rFonts w:ascii="Helvetica" w:hAnsi="Helvetica" w:cs="Helvetica"/>
                <w:color w:val="000000"/>
                <w:sz w:val="20"/>
                <w:szCs w:val="20"/>
              </w:rPr>
            </w:pPr>
          </w:p>
        </w:tc>
      </w:tr>
      <w:tr w:rsidR="005A7768" w14:paraId="745F2A9D" w14:textId="77777777">
        <w:tc>
          <w:tcPr>
            <w:tcW w:w="9694" w:type="dxa"/>
            <w:gridSpan w:val="4"/>
            <w:tcBorders>
              <w:top w:val="nil"/>
              <w:left w:val="nil"/>
              <w:bottom w:val="nil"/>
              <w:right w:val="nil"/>
            </w:tcBorders>
            <w:tcMar>
              <w:top w:w="120" w:type="dxa"/>
              <w:left w:w="120" w:type="dxa"/>
              <w:bottom w:w="20" w:type="dxa"/>
              <w:right w:w="120" w:type="dxa"/>
            </w:tcMar>
          </w:tcPr>
          <w:p w14:paraId="124ECEC6" w14:textId="1855A6DC" w:rsidR="005A7768" w:rsidRDefault="006C361F">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Done at Los Angeles on </w:t>
            </w:r>
            <w:r w:rsidR="00AE179A">
              <w:rPr>
                <w:rFonts w:ascii="Helvetica" w:hAnsi="Helvetica" w:cs="Helvetica"/>
                <w:color w:val="000000"/>
                <w:sz w:val="20"/>
                <w:szCs w:val="20"/>
              </w:rPr>
              <w:t>26</w:t>
            </w:r>
            <w:r>
              <w:rPr>
                <w:rFonts w:ascii="Helvetica" w:hAnsi="Helvetica" w:cs="Helvetica"/>
                <w:color w:val="000000"/>
                <w:sz w:val="20"/>
                <w:szCs w:val="20"/>
              </w:rPr>
              <w:t xml:space="preserve"> Jan 2021.</w:t>
            </w:r>
          </w:p>
        </w:tc>
      </w:tr>
    </w:tbl>
    <w:p w14:paraId="17823BA3" w14:textId="77777777" w:rsidR="005A7768" w:rsidRDefault="005A7768" w:rsidP="006C361F">
      <w:pPr>
        <w:widowControl w:val="0"/>
        <w:autoSpaceDE w:val="0"/>
        <w:autoSpaceDN w:val="0"/>
        <w:adjustRightInd w:val="0"/>
        <w:spacing w:after="0" w:line="240" w:lineRule="auto"/>
        <w:rPr>
          <w:rFonts w:ascii="Arial" w:hAnsi="Arial" w:cs="Arial"/>
          <w:sz w:val="24"/>
          <w:szCs w:val="24"/>
        </w:rPr>
      </w:pPr>
    </w:p>
    <w:sectPr w:rsidR="005A7768">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4B25F" w14:textId="77777777" w:rsidR="008D0A6B" w:rsidRDefault="008D0A6B" w:rsidP="008D0A6B">
      <w:pPr>
        <w:spacing w:after="0" w:line="240" w:lineRule="auto"/>
      </w:pPr>
      <w:r>
        <w:separator/>
      </w:r>
    </w:p>
  </w:endnote>
  <w:endnote w:type="continuationSeparator" w:id="0">
    <w:p w14:paraId="1450BB84" w14:textId="77777777" w:rsidR="008D0A6B" w:rsidRDefault="008D0A6B" w:rsidP="008D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0730" w14:textId="77777777" w:rsidR="008D0A6B" w:rsidRDefault="008D0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54041" w14:textId="77777777" w:rsidR="008D0A6B" w:rsidRDefault="008D0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B7B0" w14:textId="77777777" w:rsidR="008D0A6B" w:rsidRDefault="008D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51518" w14:textId="77777777" w:rsidR="008D0A6B" w:rsidRDefault="008D0A6B" w:rsidP="008D0A6B">
      <w:pPr>
        <w:spacing w:after="0" w:line="240" w:lineRule="auto"/>
      </w:pPr>
      <w:r>
        <w:separator/>
      </w:r>
    </w:p>
  </w:footnote>
  <w:footnote w:type="continuationSeparator" w:id="0">
    <w:p w14:paraId="33411F25" w14:textId="77777777" w:rsidR="008D0A6B" w:rsidRDefault="008D0A6B" w:rsidP="008D0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208E" w14:textId="77777777" w:rsidR="008D0A6B" w:rsidRDefault="008D0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094C" w14:textId="77777777" w:rsidR="008D0A6B" w:rsidRDefault="008D0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B349" w14:textId="77777777" w:rsidR="008D0A6B" w:rsidRDefault="008D0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E179A"/>
    <w:rsid w:val="00125C55"/>
    <w:rsid w:val="005A7768"/>
    <w:rsid w:val="006C361F"/>
    <w:rsid w:val="008D0A6B"/>
    <w:rsid w:val="00AE179A"/>
    <w:rsid w:val="00E9044C"/>
    <w:rsid w:val="00FA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EC6DB2"/>
  <w14:defaultImageDpi w14:val="0"/>
  <w15:docId w15:val="{E8DBB211-C41D-4298-94FD-1B788FD5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A6B"/>
  </w:style>
  <w:style w:type="paragraph" w:styleId="Footer">
    <w:name w:val="footer"/>
    <w:basedOn w:val="Normal"/>
    <w:link w:val="FooterChar"/>
    <w:uiPriority w:val="99"/>
    <w:unhideWhenUsed/>
    <w:rsid w:val="008D0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2021-01-27T10:30:09+00:00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FF95622-F02F-47AC-93D8-7F1ED5597818}"/>
</file>

<file path=customXml/itemProps2.xml><?xml version="1.0" encoding="utf-8"?>
<ds:datastoreItem xmlns:ds="http://schemas.openxmlformats.org/officeDocument/2006/customXml" ds:itemID="{E5CABD71-8B20-4A38-A8BA-13BEABAE4FCC}"/>
</file>

<file path=customXml/itemProps3.xml><?xml version="1.0" encoding="utf-8"?>
<ds:datastoreItem xmlns:ds="http://schemas.openxmlformats.org/officeDocument/2006/customXml" ds:itemID="{7B2C5BF9-DB9A-4B30-A68D-AB5479F0EEA2}"/>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4453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Moreno (ABXM)</dc:creator>
  <cp:keywords/>
  <dc:description/>
  <cp:lastModifiedBy>Tennant Humphreys, Stephen</cp:lastModifiedBy>
  <cp:revision>2</cp:revision>
  <dcterms:created xsi:type="dcterms:W3CDTF">2021-01-27T10:23:00Z</dcterms:created>
  <dcterms:modified xsi:type="dcterms:W3CDTF">2021-01-27T10:23:00Z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170413300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