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2FFAC" w14:textId="77777777" w:rsidR="00DB7576" w:rsidRPr="00DB7576" w:rsidRDefault="00DB7576" w:rsidP="00DB7576">
      <w:pPr>
        <w:suppressAutoHyphens/>
        <w:autoSpaceDN w:val="0"/>
        <w:jc w:val="center"/>
        <w:textAlignment w:val="baseline"/>
        <w:rPr>
          <w:rFonts w:eastAsia="Calibri"/>
          <w:b/>
          <w:sz w:val="26"/>
          <w:szCs w:val="26"/>
          <w:lang w:val="en-GB"/>
        </w:rPr>
      </w:pPr>
      <w:r w:rsidRPr="00DB7576">
        <w:rPr>
          <w:rFonts w:eastAsia="Calibri"/>
          <w:b/>
          <w:sz w:val="26"/>
          <w:szCs w:val="26"/>
          <w:lang w:val="en-GB"/>
        </w:rPr>
        <w:t>RYANAIR REPORTS STRONG HALF YEAR PROFITS OF €2.18BN</w:t>
      </w:r>
    </w:p>
    <w:p w14:paraId="5F474126" w14:textId="77777777" w:rsidR="00DB7576" w:rsidRPr="00DB7576" w:rsidRDefault="00DB7576" w:rsidP="00DB7576">
      <w:pPr>
        <w:suppressAutoHyphens/>
        <w:autoSpaceDN w:val="0"/>
        <w:jc w:val="center"/>
        <w:textAlignment w:val="baseline"/>
        <w:rPr>
          <w:rFonts w:eastAsia="Calibri"/>
          <w:b/>
          <w:sz w:val="26"/>
          <w:szCs w:val="26"/>
          <w:lang w:val="en-GB"/>
        </w:rPr>
      </w:pPr>
      <w:r w:rsidRPr="00DB7576">
        <w:rPr>
          <w:rFonts w:eastAsia="Calibri"/>
          <w:b/>
          <w:sz w:val="26"/>
          <w:szCs w:val="26"/>
          <w:lang w:val="en-GB"/>
        </w:rPr>
        <w:t>DUE TO RECORD SUMMER TRAFFIC</w:t>
      </w:r>
    </w:p>
    <w:p w14:paraId="4B9B3C93" w14:textId="77777777" w:rsidR="00DB7576" w:rsidRPr="00DB7576" w:rsidRDefault="00DB7576" w:rsidP="00DB7576">
      <w:pPr>
        <w:suppressAutoHyphens/>
        <w:autoSpaceDN w:val="0"/>
        <w:jc w:val="center"/>
        <w:textAlignment w:val="baseline"/>
        <w:rPr>
          <w:rFonts w:eastAsia="Calibri"/>
          <w:b/>
          <w:sz w:val="26"/>
          <w:szCs w:val="26"/>
          <w:lang w:val="en-GB"/>
        </w:rPr>
      </w:pPr>
      <w:r w:rsidRPr="00DB7576">
        <w:rPr>
          <w:rFonts w:eastAsia="Calibri"/>
          <w:b/>
          <w:sz w:val="26"/>
          <w:szCs w:val="26"/>
          <w:lang w:val="en-GB"/>
        </w:rPr>
        <w:t>FULL YEAR PAT OF €10 PER PAX LIKELY - €400M DIV. DECLARED</w:t>
      </w:r>
    </w:p>
    <w:p w14:paraId="1D6FB137" w14:textId="77777777" w:rsidR="00DB7576" w:rsidRPr="00DB7576" w:rsidRDefault="00DB7576" w:rsidP="00DB7576">
      <w:pPr>
        <w:suppressAutoHyphens/>
        <w:autoSpaceDN w:val="0"/>
        <w:jc w:val="center"/>
        <w:textAlignment w:val="baseline"/>
        <w:rPr>
          <w:rFonts w:eastAsia="Calibri"/>
          <w:b/>
          <w:sz w:val="26"/>
          <w:szCs w:val="26"/>
          <w:lang w:val="en-GB"/>
        </w:rPr>
      </w:pPr>
    </w:p>
    <w:p w14:paraId="60EE4E57" w14:textId="77777777" w:rsidR="00DB7576" w:rsidRPr="00DB7576" w:rsidRDefault="00DB7576" w:rsidP="008905DD">
      <w:pPr>
        <w:suppressAutoHyphens/>
        <w:autoSpaceDN w:val="0"/>
        <w:jc w:val="both"/>
        <w:textAlignment w:val="baseline"/>
        <w:rPr>
          <w:rFonts w:eastAsia="Calibri"/>
          <w:sz w:val="22"/>
          <w:szCs w:val="22"/>
          <w:lang w:val="en-GB"/>
        </w:rPr>
      </w:pPr>
      <w:r w:rsidRPr="00DB7576">
        <w:rPr>
          <w:rFonts w:eastAsia="Calibri"/>
          <w:sz w:val="22"/>
          <w:szCs w:val="22"/>
          <w:lang w:val="en-GB"/>
        </w:rPr>
        <w:t>Ryanair Holdings today (6 Nov.) reported a strong half-year profit of €2.18bn, compared to a prior year H1 PAT of €1.37bn, thanks to a strong Easter in Q1, record summer traffic and higher fares which offset significantly higher fuel costs in the half year.</w:t>
      </w:r>
    </w:p>
    <w:p w14:paraId="314044C3" w14:textId="77777777" w:rsidR="00DB7576" w:rsidRPr="00DB7576" w:rsidRDefault="00DB7576" w:rsidP="008905DD">
      <w:pPr>
        <w:suppressAutoHyphens/>
        <w:autoSpaceDN w:val="0"/>
        <w:jc w:val="both"/>
        <w:textAlignment w:val="baseline"/>
        <w:rPr>
          <w:rFonts w:eastAsia="Calibr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700"/>
        <w:gridCol w:w="1700"/>
        <w:gridCol w:w="1700"/>
      </w:tblGrid>
      <w:tr w:rsidR="00DB7576" w:rsidRPr="00F033FF" w14:paraId="51CE526A" w14:textId="77777777" w:rsidTr="00F033FF">
        <w:tc>
          <w:tcPr>
            <w:tcW w:w="1699" w:type="dxa"/>
            <w:shd w:val="clear" w:color="auto" w:fill="auto"/>
          </w:tcPr>
          <w:p w14:paraId="099AA890" w14:textId="77777777" w:rsidR="00DB7576" w:rsidRPr="00DB7576" w:rsidRDefault="00DB7576" w:rsidP="00F033FF">
            <w:pPr>
              <w:suppressAutoHyphens/>
              <w:autoSpaceDN w:val="0"/>
              <w:jc w:val="both"/>
              <w:textAlignment w:val="baseline"/>
              <w:rPr>
                <w:rFonts w:eastAsia="Calibri"/>
                <w:b/>
                <w:sz w:val="22"/>
                <w:szCs w:val="22"/>
                <w:lang w:val="en-GB"/>
              </w:rPr>
            </w:pPr>
          </w:p>
        </w:tc>
        <w:tc>
          <w:tcPr>
            <w:tcW w:w="1700" w:type="dxa"/>
            <w:shd w:val="clear" w:color="auto" w:fill="auto"/>
          </w:tcPr>
          <w:p w14:paraId="0D4146E0" w14:textId="77777777" w:rsidR="00DB7576" w:rsidRPr="00DB7576" w:rsidRDefault="00DB7576" w:rsidP="00F033FF">
            <w:pPr>
              <w:suppressAutoHyphens/>
              <w:autoSpaceDN w:val="0"/>
              <w:jc w:val="both"/>
              <w:textAlignment w:val="baseline"/>
              <w:rPr>
                <w:rFonts w:eastAsia="Calibri"/>
                <w:b/>
                <w:sz w:val="22"/>
                <w:szCs w:val="22"/>
                <w:lang w:val="en-GB"/>
              </w:rPr>
            </w:pPr>
            <w:r w:rsidRPr="00DB7576">
              <w:rPr>
                <w:rFonts w:eastAsia="Calibri"/>
                <w:b/>
                <w:sz w:val="22"/>
                <w:szCs w:val="22"/>
                <w:lang w:val="en-GB"/>
              </w:rPr>
              <w:t>30 Sep. 2022</w:t>
            </w:r>
          </w:p>
        </w:tc>
        <w:tc>
          <w:tcPr>
            <w:tcW w:w="1700" w:type="dxa"/>
            <w:shd w:val="clear" w:color="auto" w:fill="auto"/>
          </w:tcPr>
          <w:p w14:paraId="1C48B972" w14:textId="77777777" w:rsidR="00DB7576" w:rsidRPr="00DB7576" w:rsidRDefault="00DB7576" w:rsidP="00F033FF">
            <w:pPr>
              <w:suppressAutoHyphens/>
              <w:autoSpaceDN w:val="0"/>
              <w:jc w:val="both"/>
              <w:textAlignment w:val="baseline"/>
              <w:rPr>
                <w:rFonts w:eastAsia="Calibri"/>
                <w:b/>
                <w:sz w:val="22"/>
                <w:szCs w:val="22"/>
                <w:lang w:val="en-GB"/>
              </w:rPr>
            </w:pPr>
            <w:r w:rsidRPr="00DB7576">
              <w:rPr>
                <w:rFonts w:eastAsia="Calibri"/>
                <w:b/>
                <w:sz w:val="22"/>
                <w:szCs w:val="22"/>
                <w:lang w:val="en-GB"/>
              </w:rPr>
              <w:t>30 Sep. 2023</w:t>
            </w:r>
          </w:p>
        </w:tc>
        <w:tc>
          <w:tcPr>
            <w:tcW w:w="1700" w:type="dxa"/>
            <w:shd w:val="clear" w:color="auto" w:fill="auto"/>
          </w:tcPr>
          <w:p w14:paraId="2CFF1B7D" w14:textId="77777777" w:rsidR="00DB7576" w:rsidRPr="00DB7576" w:rsidRDefault="00DB7576" w:rsidP="00F033FF">
            <w:pPr>
              <w:suppressAutoHyphens/>
              <w:autoSpaceDN w:val="0"/>
              <w:jc w:val="both"/>
              <w:textAlignment w:val="baseline"/>
              <w:rPr>
                <w:rFonts w:eastAsia="Calibri"/>
                <w:b/>
                <w:sz w:val="22"/>
                <w:szCs w:val="22"/>
                <w:lang w:val="en-GB"/>
              </w:rPr>
            </w:pPr>
            <w:r w:rsidRPr="00DB7576">
              <w:rPr>
                <w:rFonts w:eastAsia="Calibri"/>
                <w:b/>
                <w:sz w:val="22"/>
                <w:szCs w:val="22"/>
                <w:lang w:val="en-GB"/>
              </w:rPr>
              <w:t>Change</w:t>
            </w:r>
          </w:p>
        </w:tc>
      </w:tr>
      <w:tr w:rsidR="00DB7576" w:rsidRPr="00F033FF" w14:paraId="2DC4DA49" w14:textId="77777777" w:rsidTr="00F033FF">
        <w:tc>
          <w:tcPr>
            <w:tcW w:w="1699" w:type="dxa"/>
            <w:shd w:val="clear" w:color="auto" w:fill="auto"/>
          </w:tcPr>
          <w:p w14:paraId="733C9BB3"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Customers</w:t>
            </w:r>
          </w:p>
        </w:tc>
        <w:tc>
          <w:tcPr>
            <w:tcW w:w="1700" w:type="dxa"/>
            <w:shd w:val="clear" w:color="auto" w:fill="auto"/>
          </w:tcPr>
          <w:p w14:paraId="772E1125"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95.1m</w:t>
            </w:r>
          </w:p>
        </w:tc>
        <w:tc>
          <w:tcPr>
            <w:tcW w:w="1700" w:type="dxa"/>
            <w:shd w:val="clear" w:color="auto" w:fill="auto"/>
          </w:tcPr>
          <w:p w14:paraId="3D54A0AB"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105.4m</w:t>
            </w:r>
          </w:p>
        </w:tc>
        <w:tc>
          <w:tcPr>
            <w:tcW w:w="1700" w:type="dxa"/>
            <w:shd w:val="clear" w:color="auto" w:fill="auto"/>
          </w:tcPr>
          <w:p w14:paraId="72A48D12"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+11%</w:t>
            </w:r>
          </w:p>
        </w:tc>
      </w:tr>
      <w:tr w:rsidR="00DB7576" w:rsidRPr="00F033FF" w14:paraId="57A95938" w14:textId="77777777" w:rsidTr="00F033FF">
        <w:tc>
          <w:tcPr>
            <w:tcW w:w="1699" w:type="dxa"/>
            <w:shd w:val="clear" w:color="auto" w:fill="auto"/>
          </w:tcPr>
          <w:p w14:paraId="73F6E7FA"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Load Factor</w:t>
            </w:r>
          </w:p>
        </w:tc>
        <w:tc>
          <w:tcPr>
            <w:tcW w:w="1700" w:type="dxa"/>
            <w:shd w:val="clear" w:color="auto" w:fill="auto"/>
          </w:tcPr>
          <w:p w14:paraId="622E4A45"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94%</w:t>
            </w:r>
          </w:p>
        </w:tc>
        <w:tc>
          <w:tcPr>
            <w:tcW w:w="1700" w:type="dxa"/>
            <w:shd w:val="clear" w:color="auto" w:fill="auto"/>
          </w:tcPr>
          <w:p w14:paraId="24E41B00"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95%</w:t>
            </w:r>
          </w:p>
        </w:tc>
        <w:tc>
          <w:tcPr>
            <w:tcW w:w="1700" w:type="dxa"/>
            <w:shd w:val="clear" w:color="auto" w:fill="auto"/>
          </w:tcPr>
          <w:p w14:paraId="5DEC91FC"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+1pt</w:t>
            </w:r>
          </w:p>
        </w:tc>
      </w:tr>
      <w:tr w:rsidR="00DB7576" w:rsidRPr="00F033FF" w14:paraId="09184623" w14:textId="77777777" w:rsidTr="00F033FF">
        <w:tc>
          <w:tcPr>
            <w:tcW w:w="1699" w:type="dxa"/>
            <w:shd w:val="clear" w:color="auto" w:fill="auto"/>
          </w:tcPr>
          <w:p w14:paraId="16D0B008"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Revenue</w:t>
            </w:r>
          </w:p>
        </w:tc>
        <w:tc>
          <w:tcPr>
            <w:tcW w:w="1700" w:type="dxa"/>
            <w:shd w:val="clear" w:color="auto" w:fill="auto"/>
          </w:tcPr>
          <w:p w14:paraId="5EFDF1F4"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€6.62bn</w:t>
            </w:r>
          </w:p>
        </w:tc>
        <w:tc>
          <w:tcPr>
            <w:tcW w:w="1700" w:type="dxa"/>
            <w:shd w:val="clear" w:color="auto" w:fill="auto"/>
          </w:tcPr>
          <w:p w14:paraId="4F380FAE"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€8.58bn</w:t>
            </w:r>
          </w:p>
        </w:tc>
        <w:tc>
          <w:tcPr>
            <w:tcW w:w="1700" w:type="dxa"/>
            <w:shd w:val="clear" w:color="auto" w:fill="auto"/>
          </w:tcPr>
          <w:p w14:paraId="34BE7196"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+30%</w:t>
            </w:r>
          </w:p>
        </w:tc>
      </w:tr>
      <w:tr w:rsidR="00DB7576" w:rsidRPr="00F033FF" w14:paraId="47A015F4" w14:textId="77777777" w:rsidTr="00F033FF">
        <w:tc>
          <w:tcPr>
            <w:tcW w:w="1699" w:type="dxa"/>
            <w:shd w:val="clear" w:color="auto" w:fill="auto"/>
          </w:tcPr>
          <w:p w14:paraId="03475A80"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Op. Costs</w:t>
            </w:r>
          </w:p>
        </w:tc>
        <w:tc>
          <w:tcPr>
            <w:tcW w:w="1700" w:type="dxa"/>
            <w:shd w:val="clear" w:color="auto" w:fill="auto"/>
          </w:tcPr>
          <w:p w14:paraId="6367934D"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€4.98bn</w:t>
            </w:r>
            <w:r w:rsidRPr="00DB7576">
              <w:rPr>
                <w:rFonts w:eastAsia="Calibri"/>
                <w:sz w:val="22"/>
                <w:szCs w:val="22"/>
                <w:vertAlign w:val="superscript"/>
                <w:lang w:val="en-GB"/>
              </w:rPr>
              <w:t>1</w:t>
            </w:r>
          </w:p>
        </w:tc>
        <w:tc>
          <w:tcPr>
            <w:tcW w:w="1700" w:type="dxa"/>
            <w:shd w:val="clear" w:color="auto" w:fill="auto"/>
          </w:tcPr>
          <w:p w14:paraId="178AD0A9"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€6.16bn</w:t>
            </w:r>
          </w:p>
        </w:tc>
        <w:tc>
          <w:tcPr>
            <w:tcW w:w="1700" w:type="dxa"/>
            <w:shd w:val="clear" w:color="auto" w:fill="auto"/>
          </w:tcPr>
          <w:p w14:paraId="4373AC26"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+24%</w:t>
            </w:r>
          </w:p>
        </w:tc>
      </w:tr>
      <w:tr w:rsidR="00DB7576" w:rsidRPr="00F033FF" w14:paraId="4D94FFC2" w14:textId="77777777" w:rsidTr="00F033FF">
        <w:tc>
          <w:tcPr>
            <w:tcW w:w="1699" w:type="dxa"/>
            <w:shd w:val="clear" w:color="auto" w:fill="auto"/>
          </w:tcPr>
          <w:p w14:paraId="63771DE9"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PAT</w:t>
            </w:r>
          </w:p>
        </w:tc>
        <w:tc>
          <w:tcPr>
            <w:tcW w:w="1700" w:type="dxa"/>
            <w:shd w:val="clear" w:color="auto" w:fill="auto"/>
          </w:tcPr>
          <w:p w14:paraId="6BC35F8A"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€1.37bn</w:t>
            </w:r>
            <w:r w:rsidRPr="00DB7576">
              <w:rPr>
                <w:rFonts w:eastAsia="Calibri"/>
                <w:sz w:val="22"/>
                <w:szCs w:val="22"/>
                <w:vertAlign w:val="superscript"/>
                <w:lang w:val="en-GB"/>
              </w:rPr>
              <w:t>1</w:t>
            </w:r>
          </w:p>
        </w:tc>
        <w:tc>
          <w:tcPr>
            <w:tcW w:w="1700" w:type="dxa"/>
            <w:shd w:val="clear" w:color="auto" w:fill="auto"/>
          </w:tcPr>
          <w:p w14:paraId="4135208D"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€2.18bn</w:t>
            </w:r>
          </w:p>
        </w:tc>
        <w:tc>
          <w:tcPr>
            <w:tcW w:w="1700" w:type="dxa"/>
            <w:shd w:val="clear" w:color="auto" w:fill="auto"/>
          </w:tcPr>
          <w:p w14:paraId="2E2E9EF6"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+59%</w:t>
            </w:r>
          </w:p>
        </w:tc>
      </w:tr>
      <w:tr w:rsidR="00DB7576" w:rsidRPr="00F033FF" w14:paraId="5BE434D7" w14:textId="77777777" w:rsidTr="00F033FF">
        <w:tc>
          <w:tcPr>
            <w:tcW w:w="1699" w:type="dxa"/>
            <w:shd w:val="clear" w:color="auto" w:fill="auto"/>
          </w:tcPr>
          <w:p w14:paraId="68249EC0"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 xml:space="preserve">EPS </w:t>
            </w:r>
          </w:p>
        </w:tc>
        <w:tc>
          <w:tcPr>
            <w:tcW w:w="1700" w:type="dxa"/>
            <w:shd w:val="clear" w:color="auto" w:fill="auto"/>
          </w:tcPr>
          <w:p w14:paraId="5FEB0D74"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€1.11</w:t>
            </w:r>
          </w:p>
        </w:tc>
        <w:tc>
          <w:tcPr>
            <w:tcW w:w="1700" w:type="dxa"/>
            <w:shd w:val="clear" w:color="auto" w:fill="auto"/>
          </w:tcPr>
          <w:p w14:paraId="577015F2"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€1.91</w:t>
            </w:r>
          </w:p>
        </w:tc>
        <w:tc>
          <w:tcPr>
            <w:tcW w:w="1700" w:type="dxa"/>
            <w:shd w:val="clear" w:color="auto" w:fill="auto"/>
          </w:tcPr>
          <w:p w14:paraId="0206D9F5"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+72%</w:t>
            </w:r>
          </w:p>
        </w:tc>
      </w:tr>
    </w:tbl>
    <w:p w14:paraId="5CCBF5B8" w14:textId="77777777" w:rsidR="00DB7576" w:rsidRPr="00DB7576" w:rsidRDefault="00DB7576" w:rsidP="008905DD">
      <w:pPr>
        <w:suppressAutoHyphens/>
        <w:autoSpaceDN w:val="0"/>
        <w:jc w:val="both"/>
        <w:textAlignment w:val="baseline"/>
        <w:rPr>
          <w:rFonts w:eastAsia="Calibri"/>
          <w:sz w:val="16"/>
          <w:szCs w:val="16"/>
          <w:lang w:val="en-GB"/>
        </w:rPr>
      </w:pPr>
    </w:p>
    <w:p w14:paraId="179E8DFB" w14:textId="77777777" w:rsidR="00DB7576" w:rsidRPr="00DB7576" w:rsidRDefault="00DB7576" w:rsidP="008905DD">
      <w:pPr>
        <w:suppressAutoHyphens/>
        <w:autoSpaceDN w:val="0"/>
        <w:jc w:val="both"/>
        <w:textAlignment w:val="baseline"/>
        <w:rPr>
          <w:rFonts w:eastAsia="Calibri"/>
          <w:sz w:val="22"/>
          <w:szCs w:val="22"/>
          <w:lang w:val="en-GB"/>
        </w:rPr>
      </w:pPr>
      <w:r w:rsidRPr="00DB7576">
        <w:rPr>
          <w:rFonts w:eastAsia="Calibri"/>
          <w:sz w:val="22"/>
          <w:szCs w:val="22"/>
          <w:lang w:val="en-GB"/>
        </w:rPr>
        <w:t>H1 highlights:</w:t>
      </w:r>
    </w:p>
    <w:p w14:paraId="38B98C82" w14:textId="77777777" w:rsidR="00DB7576" w:rsidRPr="00DB7576" w:rsidRDefault="00DB7576" w:rsidP="008905DD">
      <w:pPr>
        <w:numPr>
          <w:ilvl w:val="0"/>
          <w:numId w:val="20"/>
        </w:numPr>
        <w:suppressAutoHyphens/>
        <w:autoSpaceDN w:val="0"/>
        <w:ind w:left="0" w:firstLine="426"/>
        <w:jc w:val="both"/>
        <w:textAlignment w:val="baseline"/>
        <w:rPr>
          <w:rFonts w:eastAsia="Calibri"/>
          <w:sz w:val="22"/>
          <w:szCs w:val="22"/>
          <w:lang w:val="en-GB"/>
        </w:rPr>
      </w:pPr>
      <w:r w:rsidRPr="00DB7576">
        <w:rPr>
          <w:rFonts w:eastAsia="Calibri"/>
          <w:sz w:val="22"/>
          <w:szCs w:val="22"/>
          <w:lang w:val="en-GB"/>
        </w:rPr>
        <w:t xml:space="preserve">Traffic grew 11% to 105.4m (95% load factor).  </w:t>
      </w:r>
    </w:p>
    <w:p w14:paraId="41502527" w14:textId="77777777" w:rsidR="00DB7576" w:rsidRPr="00DB7576" w:rsidRDefault="00DB7576" w:rsidP="008905DD">
      <w:pPr>
        <w:numPr>
          <w:ilvl w:val="0"/>
          <w:numId w:val="20"/>
        </w:numPr>
        <w:suppressAutoHyphens/>
        <w:autoSpaceDN w:val="0"/>
        <w:ind w:left="0" w:firstLine="426"/>
        <w:jc w:val="both"/>
        <w:textAlignment w:val="baseline"/>
        <w:rPr>
          <w:rFonts w:eastAsia="Calibri"/>
          <w:sz w:val="22"/>
          <w:szCs w:val="22"/>
          <w:lang w:val="en-GB"/>
        </w:rPr>
      </w:pPr>
      <w:r w:rsidRPr="00DB7576">
        <w:rPr>
          <w:rFonts w:eastAsia="Calibri"/>
          <w:sz w:val="22"/>
          <w:szCs w:val="22"/>
          <w:lang w:val="en-GB"/>
        </w:rPr>
        <w:t xml:space="preserve">Rev. per pax +17% (ave. fares +24% &amp; ancil. rev. +3%). </w:t>
      </w:r>
    </w:p>
    <w:p w14:paraId="3AAE1F69" w14:textId="77777777" w:rsidR="00DB7576" w:rsidRPr="00DB7576" w:rsidRDefault="00DB7576" w:rsidP="008905DD">
      <w:pPr>
        <w:numPr>
          <w:ilvl w:val="0"/>
          <w:numId w:val="20"/>
        </w:numPr>
        <w:suppressAutoHyphens/>
        <w:autoSpaceDN w:val="0"/>
        <w:ind w:left="0" w:firstLine="426"/>
        <w:jc w:val="both"/>
        <w:textAlignment w:val="baseline"/>
        <w:rPr>
          <w:rFonts w:eastAsia="Calibri"/>
          <w:sz w:val="22"/>
          <w:szCs w:val="22"/>
          <w:lang w:val="en-GB"/>
        </w:rPr>
      </w:pPr>
      <w:r w:rsidRPr="00DB7576">
        <w:rPr>
          <w:rFonts w:eastAsia="Calibri"/>
          <w:sz w:val="22"/>
          <w:szCs w:val="22"/>
          <w:lang w:val="en-GB"/>
        </w:rPr>
        <w:t>3 new bases &amp; 194 new routes in S.23.</w:t>
      </w:r>
    </w:p>
    <w:p w14:paraId="44F7DB9B" w14:textId="77777777" w:rsidR="00DB7576" w:rsidRPr="00DB7576" w:rsidRDefault="00DB7576" w:rsidP="008905DD">
      <w:pPr>
        <w:numPr>
          <w:ilvl w:val="0"/>
          <w:numId w:val="20"/>
        </w:numPr>
        <w:suppressAutoHyphens/>
        <w:autoSpaceDN w:val="0"/>
        <w:ind w:left="0" w:firstLine="426"/>
        <w:jc w:val="both"/>
        <w:textAlignment w:val="baseline"/>
        <w:rPr>
          <w:rFonts w:eastAsia="Calibri"/>
          <w:sz w:val="22"/>
          <w:szCs w:val="22"/>
          <w:lang w:val="en-GB"/>
        </w:rPr>
      </w:pPr>
      <w:r w:rsidRPr="00DB7576">
        <w:rPr>
          <w:rFonts w:eastAsia="Calibri"/>
          <w:sz w:val="22"/>
          <w:szCs w:val="22"/>
          <w:lang w:val="en-GB"/>
        </w:rPr>
        <w:t xml:space="preserve">124x B737 </w:t>
      </w:r>
      <w:r w:rsidRPr="00DB7576">
        <w:rPr>
          <w:rFonts w:eastAsia="Calibri"/>
          <w:i/>
          <w:iCs/>
          <w:sz w:val="22"/>
          <w:szCs w:val="22"/>
          <w:lang w:val="en-GB"/>
        </w:rPr>
        <w:t>“Gamechangers”</w:t>
      </w:r>
      <w:r w:rsidRPr="00DB7576">
        <w:rPr>
          <w:rFonts w:eastAsia="Calibri"/>
          <w:sz w:val="22"/>
          <w:szCs w:val="22"/>
          <w:lang w:val="en-GB"/>
        </w:rPr>
        <w:t>.  Total fleet of 563 aircraft at 30 Sep.</w:t>
      </w:r>
    </w:p>
    <w:p w14:paraId="73B0A8B1" w14:textId="77777777" w:rsidR="00DB7576" w:rsidRPr="00DB7576" w:rsidRDefault="00DB7576" w:rsidP="008905DD">
      <w:pPr>
        <w:numPr>
          <w:ilvl w:val="0"/>
          <w:numId w:val="20"/>
        </w:numPr>
        <w:suppressAutoHyphens/>
        <w:autoSpaceDN w:val="0"/>
        <w:ind w:left="0" w:firstLine="426"/>
        <w:jc w:val="both"/>
        <w:textAlignment w:val="baseline"/>
        <w:rPr>
          <w:rFonts w:eastAsia="Calibri"/>
          <w:sz w:val="22"/>
          <w:szCs w:val="22"/>
          <w:lang w:val="en-GB"/>
        </w:rPr>
      </w:pPr>
      <w:r w:rsidRPr="00DB7576">
        <w:rPr>
          <w:rFonts w:eastAsia="Calibri"/>
          <w:sz w:val="22"/>
          <w:szCs w:val="22"/>
          <w:lang w:val="en-GB"/>
        </w:rPr>
        <w:t>Fuel bill rose €0.6bn (+29%) to €2.8bn.</w:t>
      </w:r>
    </w:p>
    <w:p w14:paraId="5B4470E8" w14:textId="77777777" w:rsidR="00DB7576" w:rsidRPr="00DB7576" w:rsidRDefault="00DB7576" w:rsidP="008905DD">
      <w:pPr>
        <w:numPr>
          <w:ilvl w:val="0"/>
          <w:numId w:val="20"/>
        </w:numPr>
        <w:suppressAutoHyphens/>
        <w:autoSpaceDN w:val="0"/>
        <w:ind w:left="0" w:firstLine="426"/>
        <w:jc w:val="both"/>
        <w:textAlignment w:val="baseline"/>
        <w:rPr>
          <w:rFonts w:eastAsia="Calibri"/>
          <w:sz w:val="22"/>
          <w:szCs w:val="22"/>
          <w:lang w:val="en-GB"/>
        </w:rPr>
      </w:pPr>
      <w:r w:rsidRPr="00DB7576">
        <w:rPr>
          <w:rFonts w:eastAsia="Calibri"/>
          <w:sz w:val="22"/>
          <w:szCs w:val="22"/>
          <w:lang w:val="en-GB"/>
        </w:rPr>
        <w:t>Fuel hedging extended – c.85% FY24 at $89bbl &amp; over 50% FY25 at $79bbl.</w:t>
      </w:r>
    </w:p>
    <w:p w14:paraId="6BAC4F9E" w14:textId="77777777" w:rsidR="00DB7576" w:rsidRPr="00DB7576" w:rsidRDefault="00DB7576" w:rsidP="008905DD">
      <w:pPr>
        <w:numPr>
          <w:ilvl w:val="0"/>
          <w:numId w:val="20"/>
        </w:numPr>
        <w:suppressAutoHyphens/>
        <w:autoSpaceDN w:val="0"/>
        <w:ind w:left="0" w:firstLine="426"/>
        <w:jc w:val="both"/>
        <w:textAlignment w:val="baseline"/>
        <w:rPr>
          <w:rFonts w:eastAsia="Calibri"/>
          <w:sz w:val="22"/>
          <w:szCs w:val="22"/>
          <w:lang w:val="en-GB"/>
        </w:rPr>
      </w:pPr>
      <w:r w:rsidRPr="00DB7576">
        <w:rPr>
          <w:rFonts w:eastAsia="Calibri"/>
          <w:sz w:val="22"/>
          <w:szCs w:val="22"/>
          <w:lang w:val="en-GB"/>
        </w:rPr>
        <w:t>Net cash of €0.84bn (31 Mar. €0.56bn), over €1bn debt repaid.</w:t>
      </w:r>
    </w:p>
    <w:p w14:paraId="4C774A59" w14:textId="77777777" w:rsidR="00DB7576" w:rsidRPr="00DB7576" w:rsidRDefault="00DB7576" w:rsidP="008905DD">
      <w:pPr>
        <w:numPr>
          <w:ilvl w:val="0"/>
          <w:numId w:val="20"/>
        </w:numPr>
        <w:suppressAutoHyphens/>
        <w:autoSpaceDN w:val="0"/>
        <w:ind w:left="0" w:firstLine="426"/>
        <w:jc w:val="both"/>
        <w:textAlignment w:val="baseline"/>
        <w:rPr>
          <w:rFonts w:eastAsia="Calibri"/>
          <w:sz w:val="22"/>
          <w:szCs w:val="22"/>
          <w:lang w:val="en-GB"/>
        </w:rPr>
      </w:pPr>
      <w:r w:rsidRPr="00DB7576">
        <w:rPr>
          <w:rFonts w:eastAsia="Calibri"/>
          <w:sz w:val="22"/>
          <w:szCs w:val="22"/>
          <w:lang w:val="en-GB"/>
        </w:rPr>
        <w:t>300x Boeing MAX-10 order underpins growth decade to 300m pax p.a. by FY34.</w:t>
      </w:r>
    </w:p>
    <w:p w14:paraId="176C0C2E" w14:textId="77777777" w:rsidR="00DB7576" w:rsidRPr="00DB7576" w:rsidRDefault="00DB7576" w:rsidP="008905DD">
      <w:pPr>
        <w:numPr>
          <w:ilvl w:val="0"/>
          <w:numId w:val="20"/>
        </w:numPr>
        <w:suppressAutoHyphens/>
        <w:autoSpaceDN w:val="0"/>
        <w:ind w:left="0" w:firstLine="426"/>
        <w:jc w:val="both"/>
        <w:textAlignment w:val="baseline"/>
        <w:rPr>
          <w:rFonts w:eastAsia="Calibri"/>
          <w:sz w:val="22"/>
          <w:szCs w:val="22"/>
          <w:lang w:val="en-GB"/>
        </w:rPr>
      </w:pPr>
      <w:r w:rsidRPr="00DB7576">
        <w:rPr>
          <w:rFonts w:eastAsia="Calibri"/>
          <w:sz w:val="22"/>
          <w:szCs w:val="22"/>
          <w:lang w:val="en-GB"/>
        </w:rPr>
        <w:t>€400m maiden div. &amp; div. policy announced.</w:t>
      </w:r>
    </w:p>
    <w:p w14:paraId="271BFE01" w14:textId="77777777" w:rsidR="00DB7576" w:rsidRPr="00DB7576" w:rsidRDefault="00DB7576" w:rsidP="008905DD">
      <w:pPr>
        <w:suppressAutoHyphens/>
        <w:autoSpaceDN w:val="0"/>
        <w:jc w:val="both"/>
        <w:textAlignment w:val="baseline"/>
        <w:rPr>
          <w:rFonts w:eastAsia="Calibri"/>
          <w:sz w:val="16"/>
          <w:szCs w:val="16"/>
          <w:lang w:val="en-GB"/>
        </w:rPr>
      </w:pPr>
    </w:p>
    <w:p w14:paraId="77EC362A" w14:textId="77777777" w:rsidR="00DB7576" w:rsidRPr="00DB7576" w:rsidRDefault="00DB7576" w:rsidP="008905DD">
      <w:pPr>
        <w:suppressAutoHyphens/>
        <w:autoSpaceDN w:val="0"/>
        <w:jc w:val="both"/>
        <w:textAlignment w:val="baseline"/>
        <w:rPr>
          <w:rFonts w:eastAsia="Calibri"/>
          <w:b/>
          <w:i/>
          <w:sz w:val="22"/>
          <w:szCs w:val="22"/>
          <w:lang w:val="en-GB"/>
        </w:rPr>
      </w:pPr>
      <w:r w:rsidRPr="00DB7576">
        <w:rPr>
          <w:rFonts w:eastAsia="Calibri"/>
          <w:b/>
          <w:i/>
          <w:sz w:val="22"/>
          <w:szCs w:val="22"/>
          <w:lang w:val="en-GB"/>
        </w:rPr>
        <w:t>Ryanair’s Michael O’Leary, said:</w:t>
      </w:r>
    </w:p>
    <w:p w14:paraId="3BE6E63D" w14:textId="77777777" w:rsidR="00DB7576" w:rsidRPr="00DB7576" w:rsidRDefault="00DB7576" w:rsidP="008905DD">
      <w:pPr>
        <w:suppressAutoHyphens/>
        <w:autoSpaceDN w:val="0"/>
        <w:jc w:val="both"/>
        <w:textAlignment w:val="baseline"/>
        <w:rPr>
          <w:rFonts w:eastAsia="Calibri"/>
          <w:sz w:val="22"/>
          <w:szCs w:val="22"/>
          <w:lang w:val="en-GB"/>
        </w:rPr>
      </w:pPr>
    </w:p>
    <w:p w14:paraId="241B8B1A" w14:textId="77777777" w:rsidR="00DB7576" w:rsidRPr="00DB7576" w:rsidRDefault="00DB7576" w:rsidP="008905DD">
      <w:pPr>
        <w:suppressAutoHyphens/>
        <w:autoSpaceDN w:val="0"/>
        <w:jc w:val="both"/>
        <w:textAlignment w:val="baseline"/>
        <w:rPr>
          <w:rFonts w:eastAsia="Calibri"/>
          <w:b/>
          <w:sz w:val="22"/>
          <w:szCs w:val="22"/>
          <w:u w:val="single"/>
          <w:lang w:val="en-GB"/>
        </w:rPr>
      </w:pPr>
      <w:r w:rsidRPr="00DB7576">
        <w:rPr>
          <w:rFonts w:eastAsia="Calibri"/>
          <w:b/>
          <w:sz w:val="22"/>
          <w:szCs w:val="22"/>
          <w:u w:val="single"/>
          <w:lang w:val="en-GB"/>
        </w:rPr>
        <w:t>ENVIRONMENT:</w:t>
      </w:r>
    </w:p>
    <w:p w14:paraId="4FB42F39" w14:textId="77777777" w:rsidR="00DB7576" w:rsidRPr="00DB7576" w:rsidRDefault="00DB7576" w:rsidP="008905DD">
      <w:pPr>
        <w:suppressAutoHyphens/>
        <w:autoSpaceDN w:val="0"/>
        <w:jc w:val="both"/>
        <w:textAlignment w:val="baseline"/>
        <w:rPr>
          <w:rFonts w:eastAsia="Calibri"/>
          <w:sz w:val="22"/>
          <w:szCs w:val="22"/>
          <w:lang w:val="en-GB"/>
        </w:rPr>
      </w:pPr>
      <w:r w:rsidRPr="00DB7576">
        <w:rPr>
          <w:rFonts w:eastAsia="Calibri"/>
          <w:sz w:val="22"/>
          <w:szCs w:val="22"/>
          <w:lang w:val="en-GB"/>
        </w:rPr>
        <w:t>“Ryanair is one of the most environmentally efficient major EU airlines.  With a young fleet and high load factors, our CO2 per pax/km is just 65 grams.  We invest heavily in new, more efficient, technology. In H1 we took delivery of 26, new, B737-8200 “</w:t>
      </w:r>
      <w:r w:rsidRPr="00DB7576">
        <w:rPr>
          <w:rFonts w:eastAsia="Calibri"/>
          <w:i/>
          <w:iCs/>
          <w:sz w:val="22"/>
          <w:szCs w:val="22"/>
          <w:lang w:val="en-GB"/>
        </w:rPr>
        <w:t>Gamechangers</w:t>
      </w:r>
      <w:r w:rsidRPr="00DB7576">
        <w:rPr>
          <w:rFonts w:eastAsia="Calibri"/>
          <w:sz w:val="22"/>
          <w:szCs w:val="22"/>
          <w:lang w:val="en-GB"/>
        </w:rPr>
        <w:t xml:space="preserve">” (4% more seats, 16% less fuel &amp; CO2).  We’re accelerating the </w:t>
      </w:r>
      <w:proofErr w:type="gramStart"/>
      <w:r w:rsidRPr="00DB7576">
        <w:rPr>
          <w:rFonts w:eastAsia="Calibri"/>
          <w:sz w:val="22"/>
          <w:szCs w:val="22"/>
          <w:lang w:val="en-GB"/>
        </w:rPr>
        <w:t>retro-fit</w:t>
      </w:r>
      <w:proofErr w:type="gramEnd"/>
      <w:r w:rsidRPr="00DB7576">
        <w:rPr>
          <w:rFonts w:eastAsia="Calibri"/>
          <w:sz w:val="22"/>
          <w:szCs w:val="22"/>
          <w:lang w:val="en-GB"/>
        </w:rPr>
        <w:t xml:space="preserve"> of scimitar winglets to almost 130 B737NGs (target 409 by 2026), reducing fuel burn by 1.5% and lowering noise emissions by a further 6%.  We are working with fuel partners to accelerate SAF supply and are on track to achieve the Group’s ambitious 2030 goal of powering 12.5% of Ryanair flights with SAF (9.5% already secured).     </w:t>
      </w:r>
    </w:p>
    <w:p w14:paraId="4E84822F" w14:textId="77777777" w:rsidR="00DB7576" w:rsidRPr="00DB7576" w:rsidRDefault="00DB7576" w:rsidP="008905DD">
      <w:pPr>
        <w:suppressAutoHyphens/>
        <w:autoSpaceDN w:val="0"/>
        <w:jc w:val="both"/>
        <w:textAlignment w:val="baseline"/>
        <w:rPr>
          <w:rFonts w:eastAsia="Calibri"/>
          <w:sz w:val="22"/>
          <w:szCs w:val="22"/>
          <w:lang w:val="en-GB"/>
        </w:rPr>
      </w:pPr>
    </w:p>
    <w:p w14:paraId="4C83352B" w14:textId="77777777" w:rsidR="00DB7576" w:rsidRPr="00DB7576" w:rsidRDefault="00DB7576" w:rsidP="008905DD">
      <w:pPr>
        <w:suppressAutoHyphens/>
        <w:autoSpaceDN w:val="0"/>
        <w:jc w:val="both"/>
        <w:textAlignment w:val="baseline"/>
        <w:rPr>
          <w:rFonts w:eastAsia="Calibri"/>
          <w:sz w:val="22"/>
          <w:szCs w:val="22"/>
          <w:lang w:val="en-GB"/>
        </w:rPr>
      </w:pPr>
      <w:r w:rsidRPr="00DB7576">
        <w:rPr>
          <w:rFonts w:eastAsia="Calibri"/>
          <w:sz w:val="22"/>
          <w:szCs w:val="22"/>
          <w:lang w:val="en-GB"/>
        </w:rPr>
        <w:t xml:space="preserve">The urgent reform of Europe’s inefficient ATC system is one of the most significant environmental </w:t>
      </w:r>
      <w:proofErr w:type="gramStart"/>
      <w:r w:rsidRPr="00DB7576">
        <w:rPr>
          <w:rFonts w:eastAsia="Calibri"/>
          <w:sz w:val="22"/>
          <w:szCs w:val="22"/>
          <w:lang w:val="en-GB"/>
        </w:rPr>
        <w:t>initiatives  the</w:t>
      </w:r>
      <w:proofErr w:type="gramEnd"/>
      <w:r w:rsidRPr="00DB7576">
        <w:rPr>
          <w:rFonts w:eastAsia="Calibri"/>
          <w:sz w:val="22"/>
          <w:szCs w:val="22"/>
          <w:lang w:val="en-GB"/>
        </w:rPr>
        <w:t xml:space="preserve"> EU can deliver.  In 2023, French ATC has (so far) inflicted over 60 days of strikes on our sector, during which the French Govt. use minimum service laws to protect local/domestic flights while disproportionately cancelling overflights.  In Sep., we delivered a petition (signed by 1.5m customers) calling on the EC to protect the single market for air travel by protecting overflights (while respecting ATC Unions right to strike), as is already the case in Greece, </w:t>
      </w:r>
      <w:proofErr w:type="gramStart"/>
      <w:r w:rsidRPr="00DB7576">
        <w:rPr>
          <w:rFonts w:eastAsia="Calibri"/>
          <w:sz w:val="22"/>
          <w:szCs w:val="22"/>
          <w:lang w:val="en-GB"/>
        </w:rPr>
        <w:t>Italy</w:t>
      </w:r>
      <w:proofErr w:type="gramEnd"/>
      <w:r w:rsidRPr="00DB7576">
        <w:rPr>
          <w:rFonts w:eastAsia="Calibri"/>
          <w:sz w:val="22"/>
          <w:szCs w:val="22"/>
          <w:lang w:val="en-GB"/>
        </w:rPr>
        <w:t xml:space="preserve"> and Spain. Sadly, we have yet to see any action from President Ursula von der Leyen on this key environmental initiative.</w:t>
      </w:r>
    </w:p>
    <w:p w14:paraId="609B8245" w14:textId="77777777" w:rsidR="00DB7576" w:rsidRPr="00DB7576" w:rsidRDefault="00DB7576" w:rsidP="008905DD">
      <w:pPr>
        <w:suppressAutoHyphens/>
        <w:autoSpaceDN w:val="0"/>
        <w:jc w:val="both"/>
        <w:textAlignment w:val="baseline"/>
        <w:rPr>
          <w:rFonts w:eastAsia="Calibri"/>
          <w:sz w:val="22"/>
          <w:szCs w:val="22"/>
          <w:lang w:val="en-GB"/>
        </w:rPr>
      </w:pPr>
    </w:p>
    <w:p w14:paraId="48E16E21" w14:textId="77777777" w:rsidR="00DB7576" w:rsidRPr="00DB7576" w:rsidRDefault="00DB7576" w:rsidP="008905DD">
      <w:pPr>
        <w:suppressAutoHyphens/>
        <w:autoSpaceDN w:val="0"/>
        <w:jc w:val="both"/>
        <w:textAlignment w:val="baseline"/>
        <w:rPr>
          <w:rFonts w:eastAsia="Calibri"/>
          <w:sz w:val="22"/>
          <w:szCs w:val="22"/>
          <w:lang w:val="en-GB"/>
        </w:rPr>
      </w:pPr>
      <w:r w:rsidRPr="00DB7576">
        <w:rPr>
          <w:rFonts w:eastAsia="Calibri"/>
          <w:sz w:val="22"/>
          <w:szCs w:val="22"/>
          <w:lang w:val="en-GB"/>
        </w:rPr>
        <w:t xml:space="preserve">Our recent order for 300 Boeing MAX-10 aircraft (21% more seats, 20% less fuel &amp; CO2 and 50% quieter), enabled us to reset the Group’s environmental targets as we strive to </w:t>
      </w:r>
      <w:proofErr w:type="gramStart"/>
      <w:r w:rsidRPr="00DB7576">
        <w:rPr>
          <w:rFonts w:eastAsia="Calibri"/>
          <w:sz w:val="22"/>
          <w:szCs w:val="22"/>
          <w:lang w:val="en-GB"/>
        </w:rPr>
        <w:t>more sustainably grow traffic</w:t>
      </w:r>
      <w:proofErr w:type="gramEnd"/>
      <w:r w:rsidRPr="00DB7576">
        <w:rPr>
          <w:rFonts w:eastAsia="Calibri"/>
          <w:sz w:val="22"/>
          <w:szCs w:val="22"/>
          <w:lang w:val="en-GB"/>
        </w:rPr>
        <w:t xml:space="preserve"> to 300m p.a. by FY34. In H1, we set a very ambitious target of 50 grams of CO2 per pax/km by FY31 (previously 60 grams by FY30) and published Ryanair’s </w:t>
      </w:r>
      <w:proofErr w:type="gramStart"/>
      <w:r w:rsidRPr="00DB7576">
        <w:rPr>
          <w:rFonts w:eastAsia="Calibri"/>
          <w:sz w:val="22"/>
          <w:szCs w:val="22"/>
          <w:lang w:val="en-GB"/>
        </w:rPr>
        <w:t>1.5 degree</w:t>
      </w:r>
      <w:proofErr w:type="gramEnd"/>
      <w:r w:rsidRPr="00DB7576">
        <w:rPr>
          <w:rFonts w:eastAsia="Calibri"/>
          <w:sz w:val="22"/>
          <w:szCs w:val="22"/>
          <w:lang w:val="en-GB"/>
        </w:rPr>
        <w:t xml:space="preserve"> Climate Transition Plan. </w:t>
      </w:r>
    </w:p>
    <w:p w14:paraId="0B4AB265" w14:textId="77777777" w:rsidR="00DB7576" w:rsidRPr="00DB7576" w:rsidRDefault="00DB7576" w:rsidP="008905DD">
      <w:pPr>
        <w:suppressAutoHyphens/>
        <w:autoSpaceDN w:val="0"/>
        <w:jc w:val="both"/>
        <w:textAlignment w:val="baseline"/>
        <w:rPr>
          <w:rFonts w:eastAsia="Calibri"/>
          <w:sz w:val="22"/>
          <w:szCs w:val="22"/>
          <w:lang w:val="en-GB"/>
        </w:rPr>
      </w:pPr>
    </w:p>
    <w:p w14:paraId="4BAA8E54" w14:textId="77777777" w:rsidR="00DB7576" w:rsidRPr="00DB7576" w:rsidRDefault="00DB7576" w:rsidP="008905DD">
      <w:pPr>
        <w:suppressAutoHyphens/>
        <w:autoSpaceDN w:val="0"/>
        <w:jc w:val="both"/>
        <w:textAlignment w:val="baseline"/>
        <w:rPr>
          <w:rFonts w:eastAsia="Calibri"/>
          <w:b/>
          <w:bCs/>
          <w:sz w:val="22"/>
          <w:szCs w:val="22"/>
          <w:u w:val="single"/>
          <w:lang w:val="en-GB"/>
        </w:rPr>
      </w:pPr>
      <w:r w:rsidRPr="00DB7576">
        <w:rPr>
          <w:rFonts w:eastAsia="Calibri"/>
          <w:b/>
          <w:bCs/>
          <w:sz w:val="22"/>
          <w:szCs w:val="22"/>
          <w:u w:val="single"/>
          <w:lang w:val="en-GB"/>
        </w:rPr>
        <w:t>SOCIAL:</w:t>
      </w:r>
    </w:p>
    <w:p w14:paraId="69230AD9" w14:textId="77777777" w:rsidR="00DB7576" w:rsidRPr="00DB7576" w:rsidRDefault="00DB7576" w:rsidP="008905DD">
      <w:pPr>
        <w:jc w:val="both"/>
        <w:rPr>
          <w:rFonts w:eastAsia="Calibri"/>
          <w:iCs/>
          <w:sz w:val="22"/>
          <w:szCs w:val="22"/>
          <w:lang w:val="en-GB"/>
        </w:rPr>
      </w:pPr>
      <w:bookmarkStart w:id="0" w:name="_Hlk92645076"/>
      <w:r w:rsidRPr="00DB7576">
        <w:rPr>
          <w:rFonts w:eastAsia="Calibri"/>
          <w:iCs/>
          <w:sz w:val="22"/>
          <w:szCs w:val="22"/>
          <w:lang w:val="en-GB"/>
        </w:rPr>
        <w:t xml:space="preserve">We expect to create over 10,000 new, well-paid, jobs for highly trained aviation professionals as the Group expands our fleet to 800 aircraft by FY34.  Building on the success of our aviation training facilities in Dublin, Stansted, </w:t>
      </w:r>
      <w:proofErr w:type="gramStart"/>
      <w:r w:rsidRPr="00DB7576">
        <w:rPr>
          <w:rFonts w:eastAsia="Calibri"/>
          <w:iCs/>
          <w:sz w:val="22"/>
          <w:szCs w:val="22"/>
          <w:lang w:val="en-GB"/>
        </w:rPr>
        <w:t>Bergamo</w:t>
      </w:r>
      <w:proofErr w:type="gramEnd"/>
      <w:r w:rsidRPr="00DB7576">
        <w:rPr>
          <w:rFonts w:eastAsia="Calibri"/>
          <w:iCs/>
          <w:sz w:val="22"/>
          <w:szCs w:val="22"/>
          <w:lang w:val="en-GB"/>
        </w:rPr>
        <w:t xml:space="preserve"> and East Midlands, we’re opening 2 new excellence centres in Krakow and Madrid to accelerate local crew training and development in those major markets.  Our recently announced engineering academy will support 1,000 apprentices annually as we train the next generation of highly </w:t>
      </w:r>
      <w:r w:rsidRPr="00DB7576">
        <w:rPr>
          <w:rFonts w:eastAsia="Calibri"/>
          <w:iCs/>
          <w:sz w:val="22"/>
          <w:szCs w:val="22"/>
          <w:lang w:val="en-GB"/>
        </w:rPr>
        <w:lastRenderedPageBreak/>
        <w:t xml:space="preserve">skilled mechanics and engineers.  Ryanair Labs is also growing at its dev. hubs in Dublin, Madrid, </w:t>
      </w:r>
      <w:proofErr w:type="gramStart"/>
      <w:r w:rsidRPr="00DB7576">
        <w:rPr>
          <w:rFonts w:eastAsia="Calibri"/>
          <w:iCs/>
          <w:sz w:val="22"/>
          <w:szCs w:val="22"/>
          <w:lang w:val="en-GB"/>
        </w:rPr>
        <w:t>Portugal</w:t>
      </w:r>
      <w:proofErr w:type="gramEnd"/>
      <w:r w:rsidRPr="00DB7576">
        <w:rPr>
          <w:rFonts w:eastAsia="Calibri"/>
          <w:iCs/>
          <w:sz w:val="22"/>
          <w:szCs w:val="22"/>
          <w:lang w:val="en-GB"/>
        </w:rPr>
        <w:t xml:space="preserve"> and Wroclaw to support Ryanair’s customer service, our efficiency and scalability over the coming decade.</w:t>
      </w:r>
    </w:p>
    <w:p w14:paraId="00641AFA" w14:textId="77777777" w:rsidR="00DB7576" w:rsidRPr="00DB7576" w:rsidRDefault="00DB7576" w:rsidP="008905DD">
      <w:pPr>
        <w:jc w:val="both"/>
        <w:rPr>
          <w:rFonts w:eastAsia="Calibri"/>
          <w:iCs/>
          <w:sz w:val="22"/>
          <w:szCs w:val="22"/>
          <w:lang w:val="en-GB"/>
        </w:rPr>
      </w:pPr>
    </w:p>
    <w:p w14:paraId="1B6B8AC4" w14:textId="77777777" w:rsidR="00DB7576" w:rsidRPr="00DB7576" w:rsidRDefault="00DB7576" w:rsidP="008905DD">
      <w:pPr>
        <w:jc w:val="both"/>
        <w:rPr>
          <w:rFonts w:eastAsia="Calibri"/>
          <w:iCs/>
          <w:sz w:val="22"/>
          <w:szCs w:val="22"/>
          <w:lang w:val="en-GB"/>
        </w:rPr>
      </w:pPr>
      <w:r w:rsidRPr="00DB7576">
        <w:rPr>
          <w:rFonts w:eastAsia="Calibri"/>
          <w:iCs/>
          <w:sz w:val="22"/>
          <w:szCs w:val="22"/>
          <w:lang w:val="en-GB"/>
        </w:rPr>
        <w:t>Ryanair’s investment in resilience ahead of our S.23 schedule (increased crew ratios, doubling the capacity of our Dublin and Warsaw ops centres, enhanced day-of-travel app. and continuously improving live customer comms.) ensured that our passengers and crews could enjoy Ryanair’s industry leading OTP and reliability, despite significant ATC disruptions this year. This is reflected in our strong H1 CSAT score of 84%, notwithstanding over 60 days of French ATC strikes.</w:t>
      </w:r>
    </w:p>
    <w:p w14:paraId="07B73F8C" w14:textId="77777777" w:rsidR="00DB7576" w:rsidRPr="00DB7576" w:rsidRDefault="00DB7576" w:rsidP="008905DD">
      <w:pPr>
        <w:jc w:val="both"/>
        <w:rPr>
          <w:rFonts w:eastAsia="Calibri"/>
          <w:iCs/>
          <w:sz w:val="22"/>
          <w:szCs w:val="22"/>
          <w:lang w:val="en-GB"/>
        </w:rPr>
      </w:pPr>
    </w:p>
    <w:bookmarkEnd w:id="0"/>
    <w:p w14:paraId="1C0DA485" w14:textId="77777777" w:rsidR="00DB7576" w:rsidRPr="00DB7576" w:rsidRDefault="00DB7576" w:rsidP="008905DD">
      <w:pPr>
        <w:suppressAutoHyphens/>
        <w:autoSpaceDN w:val="0"/>
        <w:jc w:val="both"/>
        <w:textAlignment w:val="baseline"/>
        <w:rPr>
          <w:rFonts w:eastAsia="Calibri"/>
          <w:b/>
          <w:bCs/>
          <w:sz w:val="22"/>
          <w:szCs w:val="22"/>
          <w:u w:val="single"/>
          <w:lang w:val="en-GB"/>
        </w:rPr>
      </w:pPr>
      <w:r w:rsidRPr="00DB7576">
        <w:rPr>
          <w:rFonts w:eastAsia="Calibri"/>
          <w:b/>
          <w:bCs/>
          <w:sz w:val="22"/>
          <w:szCs w:val="22"/>
          <w:u w:val="single"/>
          <w:lang w:val="en-GB"/>
        </w:rPr>
        <w:t>GROWTH &amp; FLEET:</w:t>
      </w:r>
    </w:p>
    <w:p w14:paraId="526D40CE" w14:textId="77777777" w:rsidR="00DB7576" w:rsidRPr="00DB7576" w:rsidRDefault="00DB7576" w:rsidP="008905DD">
      <w:pPr>
        <w:suppressAutoHyphens/>
        <w:autoSpaceDN w:val="0"/>
        <w:jc w:val="both"/>
        <w:textAlignment w:val="baseline"/>
        <w:rPr>
          <w:rFonts w:eastAsia="Calibri"/>
          <w:sz w:val="22"/>
          <w:szCs w:val="22"/>
          <w:lang w:val="en-GB"/>
        </w:rPr>
      </w:pPr>
      <w:r w:rsidRPr="00DB7576">
        <w:rPr>
          <w:rFonts w:eastAsia="Calibri"/>
          <w:sz w:val="22"/>
          <w:szCs w:val="22"/>
          <w:lang w:val="en-GB"/>
        </w:rPr>
        <w:t xml:space="preserve">During S.23 we operated our largest ever schedule, including 3 new bases and over 190 new routes. We delivered record traffic across peak summer months.  This winter </w:t>
      </w:r>
      <w:proofErr w:type="gramStart"/>
      <w:r w:rsidRPr="00DB7576">
        <w:rPr>
          <w:rFonts w:eastAsia="Calibri"/>
          <w:sz w:val="22"/>
          <w:szCs w:val="22"/>
          <w:lang w:val="en-GB"/>
        </w:rPr>
        <w:t>we’ll</w:t>
      </w:r>
      <w:proofErr w:type="gramEnd"/>
      <w:r w:rsidRPr="00DB7576">
        <w:rPr>
          <w:rFonts w:eastAsia="Calibri"/>
          <w:sz w:val="22"/>
          <w:szCs w:val="22"/>
          <w:lang w:val="en-GB"/>
        </w:rPr>
        <w:t xml:space="preserve"> operate 6 new bases (Athens, Belfast, Copenhagen, Girona, Lanzarote &amp; Tenerife), and over 60 new routes including our first 17 routes to Albania.  To date over 90% of S.24 capacity is already on sale, including over 180 new routes.</w:t>
      </w:r>
    </w:p>
    <w:p w14:paraId="445C0B68" w14:textId="77777777" w:rsidR="00DB7576" w:rsidRPr="00DB7576" w:rsidRDefault="00DB7576" w:rsidP="008905DD">
      <w:pPr>
        <w:suppressAutoHyphens/>
        <w:autoSpaceDN w:val="0"/>
        <w:jc w:val="both"/>
        <w:textAlignment w:val="baseline"/>
        <w:rPr>
          <w:rFonts w:eastAsia="Calibri"/>
          <w:sz w:val="22"/>
          <w:szCs w:val="22"/>
          <w:lang w:val="en-GB"/>
        </w:rPr>
      </w:pPr>
    </w:p>
    <w:p w14:paraId="1A2E7631" w14:textId="77777777" w:rsidR="00DB7576" w:rsidRPr="00DB7576" w:rsidRDefault="00DB7576" w:rsidP="008905DD">
      <w:pPr>
        <w:suppressAutoHyphens/>
        <w:autoSpaceDN w:val="0"/>
        <w:jc w:val="both"/>
        <w:textAlignment w:val="baseline"/>
        <w:rPr>
          <w:rFonts w:eastAsia="Calibri"/>
          <w:sz w:val="22"/>
          <w:szCs w:val="22"/>
          <w:lang w:val="en-GB"/>
        </w:rPr>
      </w:pPr>
      <w:r w:rsidRPr="00DB7576">
        <w:rPr>
          <w:rFonts w:eastAsia="Calibri"/>
          <w:bCs/>
          <w:sz w:val="22"/>
          <w:szCs w:val="22"/>
          <w:lang w:val="en-GB"/>
        </w:rPr>
        <w:t xml:space="preserve">While Boeing are currently suffering delivery delays with Spirit (their fuselage supplier), we are working with them to minimise delays ahead of peak S.24.  At this stage, we are concerned that up to 10 of our 57 contracted Gamechanger deliveries </w:t>
      </w:r>
      <w:proofErr w:type="gramStart"/>
      <w:r w:rsidRPr="00DB7576">
        <w:rPr>
          <w:rFonts w:eastAsia="Calibri"/>
          <w:bCs/>
          <w:sz w:val="22"/>
          <w:szCs w:val="22"/>
          <w:lang w:val="en-GB"/>
        </w:rPr>
        <w:t>pre S.</w:t>
      </w:r>
      <w:proofErr w:type="gramEnd"/>
      <w:r w:rsidRPr="00DB7576">
        <w:rPr>
          <w:rFonts w:eastAsia="Calibri"/>
          <w:bCs/>
          <w:sz w:val="22"/>
          <w:szCs w:val="22"/>
          <w:lang w:val="en-GB"/>
        </w:rPr>
        <w:t>24 may be delayed until winter 2024.</w:t>
      </w:r>
    </w:p>
    <w:p w14:paraId="0378EE60" w14:textId="77777777" w:rsidR="00DB7576" w:rsidRPr="00DB7576" w:rsidRDefault="00DB7576" w:rsidP="008905DD">
      <w:pPr>
        <w:suppressAutoHyphens/>
        <w:autoSpaceDN w:val="0"/>
        <w:jc w:val="both"/>
        <w:textAlignment w:val="baseline"/>
        <w:rPr>
          <w:rFonts w:eastAsia="Calibri"/>
          <w:sz w:val="22"/>
          <w:szCs w:val="22"/>
          <w:lang w:val="en-GB"/>
        </w:rPr>
      </w:pPr>
    </w:p>
    <w:p w14:paraId="515D91AB" w14:textId="77777777" w:rsidR="00DB7576" w:rsidRPr="00DB7576" w:rsidRDefault="00DB7576" w:rsidP="008905DD">
      <w:pPr>
        <w:suppressAutoHyphens/>
        <w:autoSpaceDN w:val="0"/>
        <w:jc w:val="both"/>
        <w:textAlignment w:val="baseline"/>
        <w:rPr>
          <w:rFonts w:eastAsia="Calibri"/>
          <w:bCs/>
          <w:sz w:val="22"/>
          <w:szCs w:val="22"/>
          <w:lang w:val="en-GB"/>
        </w:rPr>
      </w:pPr>
      <w:r w:rsidRPr="00DB7576">
        <w:rPr>
          <w:rFonts w:eastAsia="Calibri"/>
          <w:sz w:val="22"/>
          <w:szCs w:val="22"/>
          <w:lang w:val="en-GB"/>
        </w:rPr>
        <w:t>We expect European a</w:t>
      </w:r>
      <w:r w:rsidRPr="00DB7576">
        <w:rPr>
          <w:rFonts w:eastAsia="Calibri"/>
          <w:bCs/>
          <w:sz w:val="22"/>
          <w:szCs w:val="22"/>
          <w:lang w:val="en-GB"/>
        </w:rPr>
        <w:t xml:space="preserve">irlines will continue to consolidate over the next 2-3 years, with the takeover of ITA (Italy) and the sale of TAP (Portugal) and SAS (Scandinavia) already underway.  While Pratt &amp; Whitney engine (GTF) issues and inspection programme threaten to substantially curtail competitor and lessor capacity between 2024 and 2026, the large backlog of OEM aircraft deliveries is also likely to constrain capacity in Europe for the next 3 or 4 years.  These capacity constraints, combined with our widening cost advantage, our judicious fuel hedging, strong balance sheet, low-cost aircraft orders and industry leading operational resilience, creates significant traffic and profit growth opportunities for Ryanair as we expand to carry 300m pax p.a. by FY34.     </w:t>
      </w:r>
    </w:p>
    <w:p w14:paraId="0DAA4130" w14:textId="77777777" w:rsidR="00DB7576" w:rsidRPr="00DB7576" w:rsidRDefault="00DB7576" w:rsidP="008905DD">
      <w:pPr>
        <w:suppressAutoHyphens/>
        <w:autoSpaceDN w:val="0"/>
        <w:jc w:val="both"/>
        <w:textAlignment w:val="baseline"/>
        <w:rPr>
          <w:rFonts w:eastAsia="Calibri"/>
          <w:b/>
          <w:sz w:val="22"/>
          <w:szCs w:val="22"/>
          <w:u w:val="single"/>
          <w:lang w:val="en-GB"/>
        </w:rPr>
      </w:pPr>
    </w:p>
    <w:p w14:paraId="57938FC6" w14:textId="77777777" w:rsidR="00DB7576" w:rsidRPr="00DB7576" w:rsidRDefault="00DB7576" w:rsidP="008905DD">
      <w:pPr>
        <w:suppressAutoHyphens/>
        <w:autoSpaceDN w:val="0"/>
        <w:jc w:val="both"/>
        <w:textAlignment w:val="baseline"/>
        <w:rPr>
          <w:rFonts w:eastAsia="Calibri"/>
          <w:b/>
          <w:sz w:val="22"/>
          <w:szCs w:val="22"/>
          <w:u w:val="single"/>
          <w:lang w:val="en-GB"/>
        </w:rPr>
      </w:pPr>
      <w:r w:rsidRPr="00DB7576">
        <w:rPr>
          <w:rFonts w:eastAsia="Calibri"/>
          <w:b/>
          <w:sz w:val="22"/>
          <w:szCs w:val="22"/>
          <w:u w:val="single"/>
          <w:lang w:val="en-GB"/>
        </w:rPr>
        <w:t>H1 FY24 BUSINESS REVIEW:</w:t>
      </w:r>
    </w:p>
    <w:p w14:paraId="52FF87C1" w14:textId="77777777" w:rsidR="00DB7576" w:rsidRPr="00DB7576" w:rsidRDefault="00DB7576" w:rsidP="008905DD">
      <w:pPr>
        <w:suppressAutoHyphens/>
        <w:autoSpaceDN w:val="0"/>
        <w:jc w:val="both"/>
        <w:textAlignment w:val="baseline"/>
        <w:rPr>
          <w:rFonts w:eastAsia="Calibri"/>
          <w:b/>
          <w:sz w:val="22"/>
          <w:szCs w:val="22"/>
          <w:lang w:val="en-GB"/>
        </w:rPr>
      </w:pPr>
    </w:p>
    <w:p w14:paraId="3007D560" w14:textId="77777777" w:rsidR="00DB7576" w:rsidRPr="00DB7576" w:rsidRDefault="00DB7576" w:rsidP="008905DD">
      <w:pPr>
        <w:suppressAutoHyphens/>
        <w:autoSpaceDN w:val="0"/>
        <w:jc w:val="both"/>
        <w:textAlignment w:val="baseline"/>
        <w:rPr>
          <w:rFonts w:eastAsia="Calibri"/>
          <w:bCs/>
          <w:i/>
          <w:iCs/>
          <w:sz w:val="22"/>
          <w:szCs w:val="22"/>
          <w:u w:val="single"/>
          <w:lang w:val="en-GB"/>
        </w:rPr>
      </w:pPr>
      <w:r w:rsidRPr="00DB7576">
        <w:rPr>
          <w:rFonts w:eastAsia="Calibri"/>
          <w:bCs/>
          <w:i/>
          <w:iCs/>
          <w:sz w:val="22"/>
          <w:szCs w:val="22"/>
          <w:u w:val="single"/>
          <w:lang w:val="en-GB"/>
        </w:rPr>
        <w:t>Revenue &amp; Costs</w:t>
      </w:r>
    </w:p>
    <w:p w14:paraId="37918AAF" w14:textId="77777777" w:rsidR="00DB7576" w:rsidRPr="00DB7576" w:rsidRDefault="00DB7576" w:rsidP="008905DD">
      <w:pPr>
        <w:suppressAutoHyphens/>
        <w:autoSpaceDN w:val="0"/>
        <w:jc w:val="both"/>
        <w:textAlignment w:val="baseline"/>
        <w:rPr>
          <w:rFonts w:eastAsia="Calibri"/>
          <w:sz w:val="22"/>
          <w:szCs w:val="22"/>
          <w:lang w:val="en-GB"/>
        </w:rPr>
      </w:pPr>
      <w:r w:rsidRPr="00DB7576">
        <w:rPr>
          <w:rFonts w:eastAsia="Calibri"/>
          <w:sz w:val="22"/>
          <w:szCs w:val="22"/>
          <w:lang w:val="en-GB"/>
        </w:rPr>
        <w:t>H1 scheduled revenues increased 37% to €6.1bn.  Traffic grew 11% to 105.4m while ave. fares rose 24% to c.€58 due to a strong Easter and record S.23 demand.  Ancillary revenue increased 14% to €2.5bn (c.€23.70 per passenger).  Total H1 FY24 revenue therefore rose 30% to €8.6bn.  Total operating costs increased 24% to €6.2bn, primarily due to much higher fuel costs (+29% to €2.8bn), higher staff costs (reflecting pay restoration, pre-agreed pay increases and higher crewing ratios as we invested in ops. resilience) and higher ATC fees (incl. airport &amp; handling charges).   Ryanair’s cost advantage over most of its EU competitors continues to widen, with H1 ex-fuel unit costs finishing just under €32.</w:t>
      </w:r>
    </w:p>
    <w:p w14:paraId="65822800" w14:textId="77777777" w:rsidR="00DB7576" w:rsidRPr="00DB7576" w:rsidRDefault="00DB7576" w:rsidP="008905DD">
      <w:pPr>
        <w:jc w:val="both"/>
        <w:rPr>
          <w:rFonts w:eastAsia="Calibri" w:cs="Calibri"/>
          <w:sz w:val="22"/>
          <w:szCs w:val="22"/>
        </w:rPr>
      </w:pPr>
    </w:p>
    <w:p w14:paraId="4D456C54" w14:textId="77777777" w:rsidR="00DB7576" w:rsidRPr="00DB7576" w:rsidRDefault="00DB7576" w:rsidP="008905DD">
      <w:pPr>
        <w:suppressAutoHyphens/>
        <w:autoSpaceDN w:val="0"/>
        <w:jc w:val="both"/>
        <w:textAlignment w:val="baseline"/>
        <w:rPr>
          <w:rFonts w:eastAsia="Calibri"/>
          <w:sz w:val="22"/>
          <w:szCs w:val="22"/>
          <w:lang w:val="en-GB"/>
        </w:rPr>
      </w:pPr>
      <w:r w:rsidRPr="00DB7576">
        <w:rPr>
          <w:rFonts w:eastAsia="Calibri"/>
          <w:sz w:val="22"/>
          <w:szCs w:val="22"/>
          <w:lang w:val="en-GB"/>
        </w:rPr>
        <w:t>Our FY24 fuel requirements are almost 85% hedged at approx. $89bbl (a mix of forwards and caps) while our FY25 hedging has increased to just over 50% at approx. $79bbl.  This will deliver savings of approx. €300m on the fuel already hedged for FY25. Over 90% of FY24 €/$ opex is hedged at 1.08 and almost 50% of FY25 is hedged at 1.12.  This strong hedge position leaves us very well protected from recent short term fuel price volatility which many competitors are more, or fully, exposed to.</w:t>
      </w:r>
    </w:p>
    <w:p w14:paraId="7B59B4AB" w14:textId="77777777" w:rsidR="00DB7576" w:rsidRPr="00DB7576" w:rsidRDefault="00DB7576" w:rsidP="008905DD">
      <w:pPr>
        <w:suppressAutoHyphens/>
        <w:autoSpaceDN w:val="0"/>
        <w:jc w:val="both"/>
        <w:textAlignment w:val="baseline"/>
        <w:rPr>
          <w:rFonts w:eastAsia="Calibri"/>
          <w:sz w:val="22"/>
          <w:szCs w:val="22"/>
          <w:lang w:val="en-GB"/>
        </w:rPr>
      </w:pPr>
    </w:p>
    <w:p w14:paraId="3B750260" w14:textId="77777777" w:rsidR="00DB7576" w:rsidRPr="00DB7576" w:rsidRDefault="00DB7576" w:rsidP="008905DD">
      <w:pPr>
        <w:suppressAutoHyphens/>
        <w:autoSpaceDN w:val="0"/>
        <w:jc w:val="both"/>
        <w:textAlignment w:val="baseline"/>
        <w:rPr>
          <w:rFonts w:eastAsia="Calibri"/>
          <w:bCs/>
          <w:i/>
          <w:iCs/>
          <w:sz w:val="22"/>
          <w:szCs w:val="22"/>
          <w:u w:val="single"/>
          <w:lang w:val="en-GB"/>
        </w:rPr>
      </w:pPr>
      <w:r w:rsidRPr="00DB7576">
        <w:rPr>
          <w:rFonts w:eastAsia="Calibri"/>
          <w:bCs/>
          <w:i/>
          <w:iCs/>
          <w:sz w:val="22"/>
          <w:szCs w:val="22"/>
          <w:u w:val="single"/>
          <w:lang w:val="en-GB"/>
        </w:rPr>
        <w:t>Balance Sheet &amp; Liquidity</w:t>
      </w:r>
    </w:p>
    <w:p w14:paraId="12E8F944" w14:textId="77777777" w:rsidR="00DB7576" w:rsidRPr="00DB7576" w:rsidRDefault="00DB7576" w:rsidP="008905DD">
      <w:pPr>
        <w:suppressAutoHyphens/>
        <w:autoSpaceDN w:val="0"/>
        <w:jc w:val="both"/>
        <w:textAlignment w:val="baseline"/>
        <w:rPr>
          <w:rFonts w:eastAsia="Calibri"/>
          <w:sz w:val="22"/>
          <w:szCs w:val="22"/>
          <w:lang w:val="en-GB"/>
        </w:rPr>
      </w:pPr>
      <w:r w:rsidRPr="00DB7576">
        <w:rPr>
          <w:rFonts w:eastAsia="Calibri"/>
          <w:sz w:val="22"/>
          <w:szCs w:val="22"/>
          <w:lang w:val="en-GB"/>
        </w:rPr>
        <w:t xml:space="preserve">Ryanair’s balance sheet remains one of the strongest in the industry with a BBB+ credit rating (both S&amp;P and Fitch) and over €3.6bn gross cash at period end, despite €1.6bn capex and over €1bn debt repayments (incl. a maturing €750m bond &amp; €260m prepayment of our RCF in Aug.).  Net cash was €0.84bn at 30 Sep. (€0.56bn at 31 Mar.).  </w:t>
      </w:r>
      <w:proofErr w:type="gramStart"/>
      <w:r w:rsidRPr="00DB7576">
        <w:rPr>
          <w:rFonts w:eastAsia="Calibri"/>
          <w:sz w:val="22"/>
          <w:szCs w:val="22"/>
          <w:lang w:val="en-GB"/>
        </w:rPr>
        <w:t>All of</w:t>
      </w:r>
      <w:proofErr w:type="gramEnd"/>
      <w:r w:rsidRPr="00DB7576">
        <w:rPr>
          <w:rFonts w:eastAsia="Calibri"/>
          <w:sz w:val="22"/>
          <w:szCs w:val="22"/>
          <w:lang w:val="en-GB"/>
        </w:rPr>
        <w:t xml:space="preserve"> the Group’s owned B737 fleet (534 aircraft) are unencumbered, which significantly widens our cost advantage over competitor airlines who are heavily exposed to rising interest rates and rising aircraft lease costs.  </w:t>
      </w:r>
    </w:p>
    <w:p w14:paraId="0EAF57C2" w14:textId="77777777" w:rsidR="00DB7576" w:rsidRPr="00DB7576" w:rsidRDefault="00DB7576" w:rsidP="008905DD">
      <w:pPr>
        <w:suppressAutoHyphens/>
        <w:autoSpaceDN w:val="0"/>
        <w:jc w:val="both"/>
        <w:textAlignment w:val="baseline"/>
        <w:rPr>
          <w:rFonts w:eastAsia="Calibri"/>
          <w:sz w:val="22"/>
          <w:szCs w:val="22"/>
          <w:lang w:val="en-GB"/>
        </w:rPr>
      </w:pPr>
    </w:p>
    <w:p w14:paraId="77C66DD6" w14:textId="77777777" w:rsidR="00DB7576" w:rsidRPr="00DB7576" w:rsidRDefault="00DB7576" w:rsidP="008905DD">
      <w:pPr>
        <w:suppressAutoHyphens/>
        <w:autoSpaceDN w:val="0"/>
        <w:jc w:val="both"/>
        <w:textAlignment w:val="baseline"/>
        <w:rPr>
          <w:rFonts w:eastAsia="Calibri"/>
          <w:b/>
          <w:bCs/>
          <w:sz w:val="22"/>
          <w:szCs w:val="22"/>
          <w:u w:val="single"/>
          <w:lang w:val="en-GB"/>
        </w:rPr>
      </w:pPr>
      <w:r w:rsidRPr="00DB7576">
        <w:rPr>
          <w:rFonts w:eastAsia="Calibri"/>
          <w:b/>
          <w:bCs/>
          <w:sz w:val="22"/>
          <w:szCs w:val="22"/>
          <w:u w:val="single"/>
          <w:lang w:val="en-GB"/>
        </w:rPr>
        <w:t>CAPITAL ALLOCATION POLICY:</w:t>
      </w:r>
    </w:p>
    <w:p w14:paraId="1270AC12" w14:textId="77777777" w:rsidR="00DB7576" w:rsidRPr="00DB7576" w:rsidRDefault="00DB7576" w:rsidP="008905DD">
      <w:pPr>
        <w:suppressAutoHyphens/>
        <w:autoSpaceDN w:val="0"/>
        <w:jc w:val="both"/>
        <w:textAlignment w:val="baseline"/>
        <w:rPr>
          <w:rFonts w:eastAsia="Calibri"/>
          <w:sz w:val="22"/>
          <w:szCs w:val="22"/>
          <w:lang w:val="en-GB"/>
        </w:rPr>
      </w:pPr>
      <w:r w:rsidRPr="00DB7576">
        <w:rPr>
          <w:rFonts w:eastAsia="Calibri"/>
          <w:sz w:val="22"/>
          <w:szCs w:val="22"/>
          <w:lang w:val="en-GB"/>
        </w:rPr>
        <w:t xml:space="preserve">Our Board’s strategy, as our business recovered from Covid, was to firstly prioritise pay restoration and multi-year pay increases for our people, something that has now been delivered over recent quarters.  Secondly, we are determined to pay down our remaining debt as it matures between now and 2026.  Closely aligned to this is the Group’s policy to prioritise growth opportunities to drive shareholder value.  This is </w:t>
      </w:r>
      <w:r w:rsidRPr="00DB7576">
        <w:rPr>
          <w:rFonts w:eastAsia="Calibri"/>
          <w:sz w:val="22"/>
          <w:szCs w:val="22"/>
          <w:lang w:val="en-GB"/>
        </w:rPr>
        <w:lastRenderedPageBreak/>
        <w:t>achieved by maintaining a strong balance sheet and investment grade rating; investing in growth (the Gamechanger and MAX-10 orderbooks will deliver annual traffic of 300m by FY34) from internally generated cashflows; and shareholder returns.  Ryanair has an established track record of delivering industry leading returns to shareholders.  Between FY08 and FY20 we returned €6.74bn to shareholders via share buybacks and special dividends.</w:t>
      </w:r>
    </w:p>
    <w:p w14:paraId="0785F5CD" w14:textId="77777777" w:rsidR="00DB7576" w:rsidRPr="00DB7576" w:rsidRDefault="00DB7576" w:rsidP="008905DD">
      <w:pPr>
        <w:suppressAutoHyphens/>
        <w:autoSpaceDN w:val="0"/>
        <w:jc w:val="both"/>
        <w:textAlignment w:val="baseline"/>
        <w:rPr>
          <w:rFonts w:eastAsia="Calibri"/>
          <w:sz w:val="22"/>
          <w:szCs w:val="22"/>
          <w:lang w:val="en-GB"/>
        </w:rPr>
      </w:pPr>
    </w:p>
    <w:p w14:paraId="393362FC" w14:textId="77777777" w:rsidR="00DB7576" w:rsidRPr="00DB7576" w:rsidRDefault="00DB7576" w:rsidP="008905DD">
      <w:pPr>
        <w:suppressAutoHyphens/>
        <w:autoSpaceDN w:val="0"/>
        <w:jc w:val="both"/>
        <w:textAlignment w:val="baseline"/>
        <w:rPr>
          <w:rFonts w:eastAsia="Calibri"/>
          <w:b/>
          <w:bCs/>
          <w:sz w:val="22"/>
          <w:szCs w:val="22"/>
          <w:u w:val="single"/>
          <w:lang w:val="en-GB"/>
        </w:rPr>
      </w:pPr>
      <w:r w:rsidRPr="00DB7576">
        <w:rPr>
          <w:rFonts w:eastAsia="Calibri"/>
          <w:b/>
          <w:bCs/>
          <w:sz w:val="22"/>
          <w:szCs w:val="22"/>
          <w:u w:val="single"/>
          <w:lang w:val="en-GB"/>
        </w:rPr>
        <w:t>DIVIDEND POLICY:</w:t>
      </w:r>
    </w:p>
    <w:p w14:paraId="03692927" w14:textId="77777777" w:rsidR="00DB7576" w:rsidRPr="00DB7576" w:rsidRDefault="00DB7576" w:rsidP="008905DD">
      <w:pPr>
        <w:suppressAutoHyphens/>
        <w:autoSpaceDN w:val="0"/>
        <w:jc w:val="both"/>
        <w:textAlignment w:val="baseline"/>
        <w:rPr>
          <w:rFonts w:eastAsia="Calibri"/>
          <w:sz w:val="22"/>
          <w:szCs w:val="22"/>
          <w:lang w:val="en-GB"/>
        </w:rPr>
      </w:pPr>
      <w:r w:rsidRPr="00DB7576">
        <w:rPr>
          <w:rFonts w:eastAsia="Calibri"/>
          <w:sz w:val="22"/>
          <w:szCs w:val="22"/>
          <w:lang w:val="en-GB"/>
        </w:rPr>
        <w:t>Ryanair’s shareholders invested €400m in a share placing during the peak of the Covid crisis in Sep. 2020, which was key to Ryanair subsequently issuing a timely, low cost, €850m bond, which helped the Group emerge from the Covid pandemic in a position of unrivalled strategic and financial strength.  The Board is therefore pleased to declare a maiden ordinary dividend of €400m (c.€0.35 per share) in aggregate through an interim and final dividend of €200m each, payable in Feb. 2024 and after the AGM in Sep. 2024 respectively.</w:t>
      </w:r>
    </w:p>
    <w:p w14:paraId="745C7B35" w14:textId="77777777" w:rsidR="00DB7576" w:rsidRPr="00DB7576" w:rsidRDefault="00DB7576" w:rsidP="008905DD">
      <w:pPr>
        <w:suppressAutoHyphens/>
        <w:autoSpaceDN w:val="0"/>
        <w:jc w:val="both"/>
        <w:textAlignment w:val="baseline"/>
        <w:rPr>
          <w:rFonts w:eastAsia="Calibri"/>
          <w:sz w:val="22"/>
          <w:szCs w:val="22"/>
          <w:lang w:val="en-GB"/>
        </w:rPr>
      </w:pPr>
    </w:p>
    <w:p w14:paraId="1AEF8962" w14:textId="77777777" w:rsidR="00DB7576" w:rsidRPr="00DB7576" w:rsidRDefault="00DB7576" w:rsidP="008905DD">
      <w:pPr>
        <w:suppressAutoHyphens/>
        <w:autoSpaceDN w:val="0"/>
        <w:jc w:val="both"/>
        <w:textAlignment w:val="baseline"/>
        <w:rPr>
          <w:rFonts w:eastAsia="Calibri"/>
          <w:sz w:val="22"/>
          <w:szCs w:val="22"/>
          <w:lang w:val="en-GB"/>
        </w:rPr>
      </w:pPr>
      <w:r w:rsidRPr="00DB7576">
        <w:rPr>
          <w:rFonts w:eastAsia="Calibri"/>
          <w:sz w:val="22"/>
          <w:szCs w:val="22"/>
          <w:lang w:val="en-GB"/>
        </w:rPr>
        <w:t>For subsequent financial years (</w:t>
      </w:r>
      <w:proofErr w:type="gramStart"/>
      <w:r w:rsidRPr="00DB7576">
        <w:rPr>
          <w:rFonts w:eastAsia="Calibri"/>
          <w:sz w:val="22"/>
          <w:szCs w:val="22"/>
          <w:lang w:val="en-GB"/>
        </w:rPr>
        <w:t>i.e.</w:t>
      </w:r>
      <w:proofErr w:type="gramEnd"/>
      <w:r w:rsidRPr="00DB7576">
        <w:rPr>
          <w:rFonts w:eastAsia="Calibri"/>
          <w:sz w:val="22"/>
          <w:szCs w:val="22"/>
          <w:lang w:val="en-GB"/>
        </w:rPr>
        <w:t xml:space="preserve"> for FY25 onwards), under the Group’s new dividend policy, Ryanair plans to return approx. 25% of prior-year PAT (adjusted for non-recurring gains or losses) by way of ordinary dividend to our shareholders.  Additionally, the Board, </w:t>
      </w:r>
      <w:proofErr w:type="gramStart"/>
      <w:r w:rsidRPr="00DB7576">
        <w:rPr>
          <w:rFonts w:eastAsia="Calibri"/>
          <w:sz w:val="22"/>
          <w:szCs w:val="22"/>
          <w:lang w:val="en-GB"/>
        </w:rPr>
        <w:t>taking into account</w:t>
      </w:r>
      <w:proofErr w:type="gramEnd"/>
      <w:r w:rsidRPr="00DB7576">
        <w:rPr>
          <w:rFonts w:eastAsia="Calibri"/>
          <w:sz w:val="22"/>
          <w:szCs w:val="22"/>
          <w:lang w:val="en-GB"/>
        </w:rPr>
        <w:t xml:space="preserve"> prevailing market conditions and ensuring that the Group retains a prudent level of cash to fund debt and capex requirements will retain the flexibility to consider, when or if appropriate, the return of surplus cash to shareholders through special dividends and/or share buybacks.</w:t>
      </w:r>
    </w:p>
    <w:p w14:paraId="72762215" w14:textId="77777777" w:rsidR="00DB7576" w:rsidRPr="00DB7576" w:rsidRDefault="00DB7576" w:rsidP="008905DD">
      <w:pPr>
        <w:suppressAutoHyphens/>
        <w:autoSpaceDN w:val="0"/>
        <w:jc w:val="both"/>
        <w:textAlignment w:val="baseline"/>
        <w:rPr>
          <w:rFonts w:eastAsia="Calibri"/>
          <w:sz w:val="22"/>
          <w:szCs w:val="22"/>
          <w:lang w:val="en-GB"/>
        </w:rPr>
      </w:pPr>
      <w:r w:rsidRPr="00DB7576">
        <w:rPr>
          <w:rFonts w:eastAsia="Calibri"/>
          <w:sz w:val="22"/>
          <w:szCs w:val="22"/>
          <w:lang w:val="en-GB"/>
        </w:rPr>
        <w:t xml:space="preserve"> </w:t>
      </w:r>
    </w:p>
    <w:p w14:paraId="39066349" w14:textId="77777777" w:rsidR="00DB7576" w:rsidRPr="00DB7576" w:rsidRDefault="00DB7576" w:rsidP="008905DD">
      <w:pPr>
        <w:suppressAutoHyphens/>
        <w:autoSpaceDN w:val="0"/>
        <w:jc w:val="both"/>
        <w:textAlignment w:val="baseline"/>
        <w:rPr>
          <w:rFonts w:eastAsia="Calibri"/>
          <w:b/>
          <w:sz w:val="22"/>
          <w:szCs w:val="22"/>
          <w:u w:val="single"/>
          <w:lang w:val="en-GB"/>
        </w:rPr>
      </w:pPr>
      <w:r w:rsidRPr="00DB7576">
        <w:rPr>
          <w:rFonts w:eastAsia="Calibri"/>
          <w:b/>
          <w:sz w:val="22"/>
          <w:szCs w:val="22"/>
          <w:u w:val="single"/>
          <w:lang w:val="en-GB"/>
        </w:rPr>
        <w:t>OUTLOOK:</w:t>
      </w:r>
    </w:p>
    <w:p w14:paraId="451BB179" w14:textId="77777777" w:rsidR="00DB7576" w:rsidRPr="00DB7576" w:rsidRDefault="00DB7576" w:rsidP="008905DD">
      <w:pPr>
        <w:suppressAutoHyphens/>
        <w:autoSpaceDN w:val="0"/>
        <w:jc w:val="both"/>
        <w:textAlignment w:val="baseline"/>
        <w:rPr>
          <w:rFonts w:eastAsia="Calibri"/>
          <w:sz w:val="22"/>
          <w:szCs w:val="22"/>
          <w:lang w:val="en-GB"/>
        </w:rPr>
      </w:pPr>
      <w:r w:rsidRPr="00DB7576">
        <w:rPr>
          <w:rFonts w:eastAsia="Calibri"/>
          <w:sz w:val="22"/>
          <w:szCs w:val="22"/>
          <w:lang w:val="en-GB"/>
        </w:rPr>
        <w:t xml:space="preserve">We continue to target approx. 183.5m (+9%) FY24 traffic, although the final figure depends on Boeing meeting their delivery commitments between now and year-end.  As previously guided, we expect ex-fuel unit costs to increase by c.€2 this year, which still widens the cost gap between Ryanair and competitor airlines in Europe.  Forward bookings (both traffic and fares) are robust over the late Oct. mid-terms and into the peak Christmas travel period. With the benefit of constrained EU capacity this winter (Eurocontrol expect EU capacity to recover to only 94% of pre-Covid) and the impact of P&amp;W engine repairs on competitor fleets, we currently expect Q3 ave. fares to be ahead of the prior year Q3 by a mid teens percentage.  Unhedged fuel costs, however, are significantly higher making it unlikely that </w:t>
      </w:r>
      <w:proofErr w:type="gramStart"/>
      <w:r w:rsidRPr="00DB7576">
        <w:rPr>
          <w:rFonts w:eastAsia="Calibri"/>
          <w:sz w:val="22"/>
          <w:szCs w:val="22"/>
          <w:lang w:val="en-GB"/>
        </w:rPr>
        <w:t>we’ll</w:t>
      </w:r>
      <w:proofErr w:type="gramEnd"/>
      <w:r w:rsidRPr="00DB7576">
        <w:rPr>
          <w:rFonts w:eastAsia="Calibri"/>
          <w:sz w:val="22"/>
          <w:szCs w:val="22"/>
          <w:lang w:val="en-GB"/>
        </w:rPr>
        <w:t xml:space="preserve"> replicate last year’s bumper Q3 performance.  As is normal at this time of year, we have very limited Q4 visibility.  Q4 is traditionally our weakest quarter and, this year, will be impacted by the partial unwind of free ETS carbon credits (from Jan. 2024).  </w:t>
      </w:r>
    </w:p>
    <w:p w14:paraId="52745383" w14:textId="77777777" w:rsidR="00DB7576" w:rsidRPr="00DB7576" w:rsidRDefault="00DB7576" w:rsidP="008905DD">
      <w:pPr>
        <w:suppressAutoHyphens/>
        <w:autoSpaceDN w:val="0"/>
        <w:jc w:val="both"/>
        <w:textAlignment w:val="baseline"/>
        <w:rPr>
          <w:rFonts w:eastAsia="Calibri"/>
          <w:sz w:val="22"/>
          <w:szCs w:val="22"/>
          <w:lang w:val="en-GB"/>
        </w:rPr>
      </w:pPr>
    </w:p>
    <w:p w14:paraId="53B49949" w14:textId="77777777" w:rsidR="00DB7576" w:rsidRPr="00DB7576" w:rsidRDefault="00DB7576" w:rsidP="008905DD">
      <w:pPr>
        <w:suppressAutoHyphens/>
        <w:autoSpaceDN w:val="0"/>
        <w:jc w:val="both"/>
        <w:textAlignment w:val="baseline"/>
        <w:rPr>
          <w:rFonts w:eastAsia="Calibri"/>
          <w:sz w:val="22"/>
          <w:szCs w:val="22"/>
          <w:lang w:val="en-GB"/>
        </w:rPr>
      </w:pPr>
      <w:r w:rsidRPr="00DB7576">
        <w:rPr>
          <w:rFonts w:eastAsia="Calibri"/>
          <w:sz w:val="22"/>
          <w:szCs w:val="22"/>
          <w:lang w:val="en-GB"/>
        </w:rPr>
        <w:t>Despite uncertainty over Boeing deliveries, a significantly higher full year fuel bill (up c.€1.3bn on last year), very limited Q4 visibility and the risk of weaker consumer spending over coming months, we now expect that FY24 PAT will finish in a range of between €1.85bn to €2.05bn, assuming modest losses over the H2 winter period.  This guidance remains highly dependent on the absence of any unforeseen adverse events (for example such as Ukraine or Gaza) between now and the end of Mar. 2024.”</w:t>
      </w:r>
    </w:p>
    <w:p w14:paraId="52697769" w14:textId="77777777" w:rsidR="00DB7576" w:rsidRPr="00DB7576" w:rsidRDefault="00DB7576" w:rsidP="008905DD">
      <w:pPr>
        <w:suppressAutoHyphens/>
        <w:autoSpaceDN w:val="0"/>
        <w:jc w:val="both"/>
        <w:textAlignment w:val="baseline"/>
        <w:rPr>
          <w:rFonts w:eastAsia="Calibri"/>
          <w:sz w:val="22"/>
          <w:szCs w:val="22"/>
          <w:lang w:val="en-GB"/>
        </w:rPr>
      </w:pPr>
    </w:p>
    <w:p w14:paraId="3316D495" w14:textId="77777777" w:rsidR="00DB7576" w:rsidRPr="00DB7576" w:rsidRDefault="00DB7576" w:rsidP="008905DD">
      <w:pPr>
        <w:suppressAutoHyphens/>
        <w:autoSpaceDN w:val="0"/>
        <w:jc w:val="both"/>
        <w:textAlignment w:val="baseline"/>
        <w:rPr>
          <w:rFonts w:eastAsia="Calibri"/>
          <w:b/>
          <w:sz w:val="22"/>
          <w:szCs w:val="22"/>
          <w:lang w:val="en-GB"/>
        </w:rPr>
      </w:pPr>
      <w:r w:rsidRPr="00DB7576">
        <w:rPr>
          <w:rFonts w:eastAsia="Calibri"/>
          <w:b/>
          <w:sz w:val="22"/>
          <w:szCs w:val="22"/>
          <w:lang w:val="en-GB"/>
        </w:rPr>
        <w:t>ENDS</w:t>
      </w:r>
    </w:p>
    <w:p w14:paraId="0DE61F04" w14:textId="77777777" w:rsidR="00DB7576" w:rsidRPr="00DB7576" w:rsidRDefault="008905DD" w:rsidP="008905DD">
      <w:pPr>
        <w:suppressAutoHyphens/>
        <w:autoSpaceDN w:val="0"/>
        <w:jc w:val="both"/>
        <w:textAlignment w:val="baseline"/>
        <w:rPr>
          <w:rFonts w:eastAsia="Calibri"/>
          <w:b/>
          <w:sz w:val="22"/>
          <w:szCs w:val="22"/>
          <w:lang w:val="en-GB"/>
        </w:rPr>
      </w:pPr>
      <w:r>
        <w:rPr>
          <w:noProof/>
        </w:rPr>
        <w:pict w14:anchorId="4AD9763A">
          <v:shapetype id="_x0000_t202" coordsize="21600,21600" o:spt="202" path="m,l,21600r21600,l21600,xe">
            <v:stroke joinstyle="miter"/>
            <v:path gradientshapeok="t" o:connecttype="rect"/>
          </v:shapetype>
          <v:shape id="Text Box 4" o:spid="_x0000_s2052" type="#_x0000_t202" style="position:absolute;left:0;text-align:left;margin-left:-7.25pt;margin-top:59.95pt;width:484.8pt;height:95.25pt;z-index:2516577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" strokeweight=".26467mm">
            <v:textbox style="mso-next-textbox:#Text Box 4">
              <w:txbxContent>
                <w:p w14:paraId="1C2E16C8" w14:textId="77777777" w:rsidR="008905DD" w:rsidRPr="005E21CA" w:rsidRDefault="008905DD" w:rsidP="008905DD">
                  <w:pPr>
                    <w:jc w:val="both"/>
                    <w:rPr>
                      <w:i/>
                      <w:iCs/>
                      <w:sz w:val="20"/>
                      <w:szCs w:val="20"/>
                    </w:rPr>
                  </w:pPr>
                  <w:r w:rsidRPr="005E21CA">
                    <w:rPr>
                      <w:i/>
                      <w:iCs/>
                      <w:sz w:val="20"/>
                      <w:szCs w:val="20"/>
                    </w:rPr>
                    <w:t xml:space="preserve">Ryanair Holdings plc, Europe’s largest airline group, is the parent company of Buzz, Lauda, Malta Air, Ryanair &amp; Ryanair UK. Carrying up to 183.5m guests p.a. on over 3,000 daily flights from 92 bases, the Group connects </w:t>
                  </w:r>
                  <w:r>
                    <w:rPr>
                      <w:i/>
                      <w:iCs/>
                      <w:sz w:val="20"/>
                      <w:szCs w:val="20"/>
                    </w:rPr>
                    <w:t>almost 230</w:t>
                  </w:r>
                  <w:r w:rsidRPr="005E21CA">
                    <w:rPr>
                      <w:i/>
                      <w:iCs/>
                      <w:sz w:val="20"/>
                      <w:szCs w:val="20"/>
                    </w:rPr>
                    <w:t xml:space="preserve"> airports in 36 countries on a fleet of 565 aircraft, with </w:t>
                  </w:r>
                  <w:r>
                    <w:rPr>
                      <w:i/>
                      <w:iCs/>
                      <w:sz w:val="20"/>
                      <w:szCs w:val="20"/>
                    </w:rPr>
                    <w:t>c.385</w:t>
                  </w:r>
                  <w:r w:rsidRPr="005E21CA">
                    <w:rPr>
                      <w:i/>
                      <w:iCs/>
                      <w:sz w:val="20"/>
                      <w:szCs w:val="20"/>
                    </w:rPr>
                    <w:t xml:space="preserve"> Boeing 737s on order, which will enable the Ryanair Group to grow traffic to 300m p.a. by FY34. Ryanair has a team of over 22,000 highly skilled aviation professionals delivering Europe’s No.1 operational performance, and an industry leading 38-year safety record. Ryanair is one of the most efficient major EU airlines.  With a young fleet and high load factors, Ryanair’s CO2 per pax/km is just 65 grams.</w:t>
                  </w:r>
                </w:p>
                <w:p w14:paraId="2F2CB4D9" w14:textId="77777777" w:rsidR="008905DD" w:rsidRPr="00AA0B5C" w:rsidRDefault="008905DD" w:rsidP="008905DD">
                  <w:pPr>
                    <w:jc w:val="both"/>
                    <w:rPr>
                      <w:i/>
                      <w:iCs/>
                      <w:sz w:val="20"/>
                      <w:szCs w:val="20"/>
                    </w:rPr>
                  </w:pPr>
                </w:p>
              </w:txbxContent>
            </v:textbox>
            <w10:wrap anchorx="margin"/>
          </v:shape>
        </w:pict>
      </w:r>
    </w:p>
    <w:tbl>
      <w:tblPr>
        <w:tblW w:w="0" w:type="auto"/>
        <w:tblLook w:val="04A0" w:firstRow="1" w:lastRow="0" w:firstColumn="1" w:lastColumn="0" w:noHBand="0" w:noVBand="1"/>
      </w:tblPr>
      <w:tblGrid>
        <w:gridCol w:w="3101"/>
        <w:gridCol w:w="3100"/>
        <w:gridCol w:w="3100"/>
      </w:tblGrid>
      <w:tr w:rsidR="00DB7576" w:rsidRPr="00F033FF" w14:paraId="3067D3AB" w14:textId="77777777" w:rsidTr="00F033FF">
        <w:trPr>
          <w:trHeight w:val="840"/>
        </w:trPr>
        <w:tc>
          <w:tcPr>
            <w:tcW w:w="3101" w:type="dxa"/>
            <w:shd w:val="clear" w:color="auto" w:fill="auto"/>
          </w:tcPr>
          <w:p w14:paraId="5040897C"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For further information</w:t>
            </w:r>
          </w:p>
          <w:p w14:paraId="56E73A41"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please contact:</w:t>
            </w:r>
          </w:p>
          <w:p w14:paraId="7FB2B224" w14:textId="77777777" w:rsidR="00DB7576" w:rsidRPr="00DB7576" w:rsidRDefault="00DB7576" w:rsidP="00F033FF">
            <w:pPr>
              <w:suppressAutoHyphens/>
              <w:autoSpaceDN w:val="0"/>
              <w:jc w:val="both"/>
              <w:textAlignment w:val="baseline"/>
              <w:rPr>
                <w:rFonts w:eastAsia="Calibri"/>
                <w:sz w:val="22"/>
                <w:szCs w:val="22"/>
                <w:lang w:val="en-GB"/>
              </w:rPr>
            </w:pPr>
            <w:hyperlink r:id="rId10" w:history="1">
              <w:r w:rsidRPr="00F033FF">
                <w:rPr>
                  <w:rFonts w:eastAsia="Calibri"/>
                  <w:color w:val="0563C1"/>
                  <w:sz w:val="22"/>
                  <w:szCs w:val="22"/>
                  <w:u w:val="single"/>
                  <w:lang w:val="en-GB"/>
                </w:rPr>
                <w:t>www.ryanair.com</w:t>
              </w:r>
            </w:hyperlink>
            <w:r w:rsidRPr="00DB7576">
              <w:rPr>
                <w:rFonts w:eastAsia="Calibri"/>
                <w:sz w:val="22"/>
                <w:szCs w:val="22"/>
                <w:lang w:val="en-GB"/>
              </w:rPr>
              <w:t xml:space="preserve"> </w:t>
            </w:r>
          </w:p>
        </w:tc>
        <w:tc>
          <w:tcPr>
            <w:tcW w:w="3100" w:type="dxa"/>
            <w:shd w:val="clear" w:color="auto" w:fill="auto"/>
          </w:tcPr>
          <w:p w14:paraId="056909D1"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Neil Sorahan</w:t>
            </w:r>
          </w:p>
          <w:p w14:paraId="29AA386C"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Ryanair Holdings plc</w:t>
            </w:r>
          </w:p>
          <w:p w14:paraId="02434222" w14:textId="77777777" w:rsidR="00DB7576" w:rsidRPr="00DB7576" w:rsidRDefault="00DB7576" w:rsidP="00F033FF">
            <w:pPr>
              <w:suppressAutoHyphens/>
              <w:autoSpaceDN w:val="0"/>
              <w:jc w:val="both"/>
              <w:textAlignment w:val="baseline"/>
              <w:rPr>
                <w:rFonts w:eastAsia="Calibri"/>
                <w:b/>
                <w:sz w:val="22"/>
                <w:szCs w:val="22"/>
                <w:lang w:val="en-GB"/>
              </w:rPr>
            </w:pPr>
            <w:r w:rsidRPr="00DB7576">
              <w:rPr>
                <w:rFonts w:eastAsia="Calibri"/>
                <w:b/>
                <w:sz w:val="22"/>
                <w:szCs w:val="22"/>
                <w:lang w:val="en-GB"/>
              </w:rPr>
              <w:t>Tel: +353-1-9451212</w:t>
            </w:r>
          </w:p>
        </w:tc>
        <w:tc>
          <w:tcPr>
            <w:tcW w:w="3100" w:type="dxa"/>
            <w:shd w:val="clear" w:color="auto" w:fill="auto"/>
          </w:tcPr>
          <w:p w14:paraId="694CBCFC"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Paul Clifford</w:t>
            </w:r>
          </w:p>
          <w:p w14:paraId="3FFAF6F3" w14:textId="77777777" w:rsidR="00DB7576" w:rsidRPr="00DB7576" w:rsidRDefault="00DB7576" w:rsidP="00F033FF">
            <w:pPr>
              <w:suppressAutoHyphens/>
              <w:autoSpaceDN w:val="0"/>
              <w:jc w:val="both"/>
              <w:textAlignment w:val="baseline"/>
              <w:rPr>
                <w:rFonts w:eastAsia="Calibri"/>
                <w:sz w:val="22"/>
                <w:szCs w:val="22"/>
                <w:lang w:val="en-GB"/>
              </w:rPr>
            </w:pPr>
            <w:r w:rsidRPr="00DB7576">
              <w:rPr>
                <w:rFonts w:eastAsia="Calibri"/>
                <w:sz w:val="22"/>
                <w:szCs w:val="22"/>
                <w:lang w:val="en-GB"/>
              </w:rPr>
              <w:t>Drury</w:t>
            </w:r>
          </w:p>
          <w:p w14:paraId="19E0AC3C" w14:textId="77777777" w:rsidR="00DB7576" w:rsidRPr="00F033FF" w:rsidRDefault="00DB7576" w:rsidP="00F033FF">
            <w:pPr>
              <w:suppressAutoHyphens/>
              <w:autoSpaceDN w:val="0"/>
              <w:jc w:val="both"/>
              <w:textAlignment w:val="baseline"/>
              <w:rPr>
                <w:rFonts w:eastAsia="Calibri"/>
                <w:b/>
                <w:sz w:val="22"/>
                <w:szCs w:val="22"/>
                <w:lang w:val="en-GB"/>
              </w:rPr>
            </w:pPr>
            <w:r w:rsidRPr="00DB7576">
              <w:rPr>
                <w:rFonts w:eastAsia="Calibri"/>
                <w:b/>
                <w:sz w:val="22"/>
                <w:szCs w:val="22"/>
                <w:lang w:val="en-GB"/>
              </w:rPr>
              <w:t>Tel: +353-1-260-5000</w:t>
            </w:r>
          </w:p>
          <w:p w14:paraId="5B3C391C" w14:textId="77777777" w:rsidR="00DB7576" w:rsidRPr="00DB7576" w:rsidRDefault="00DB7576" w:rsidP="00F033FF">
            <w:pPr>
              <w:suppressAutoHyphens/>
              <w:autoSpaceDN w:val="0"/>
              <w:jc w:val="both"/>
              <w:textAlignment w:val="baseline"/>
              <w:rPr>
                <w:rFonts w:eastAsia="Calibri"/>
                <w:b/>
                <w:sz w:val="22"/>
                <w:szCs w:val="22"/>
                <w:lang w:val="en-GB"/>
              </w:rPr>
            </w:pPr>
          </w:p>
        </w:tc>
      </w:tr>
    </w:tbl>
    <w:p w14:paraId="1A302190" w14:textId="77777777" w:rsidR="008905DD" w:rsidRDefault="008905DD" w:rsidP="008905DD">
      <w:pPr>
        <w:suppressAutoHyphens/>
        <w:autoSpaceDN w:val="0"/>
        <w:jc w:val="both"/>
        <w:textAlignment w:val="baseline"/>
        <w:rPr>
          <w:rFonts w:eastAsia="Calibri"/>
          <w:b/>
          <w:bCs/>
          <w:i/>
          <w:sz w:val="16"/>
          <w:szCs w:val="16"/>
          <w:u w:val="single"/>
          <w:lang w:val="en-GB"/>
        </w:rPr>
      </w:pPr>
    </w:p>
    <w:p w14:paraId="43844E01" w14:textId="77777777" w:rsidR="008905DD" w:rsidRDefault="008905DD" w:rsidP="008905DD">
      <w:pPr>
        <w:suppressAutoHyphens/>
        <w:autoSpaceDN w:val="0"/>
        <w:jc w:val="both"/>
        <w:textAlignment w:val="baseline"/>
        <w:rPr>
          <w:rFonts w:eastAsia="Calibri"/>
          <w:b/>
          <w:bCs/>
          <w:i/>
          <w:sz w:val="16"/>
          <w:szCs w:val="16"/>
          <w:u w:val="single"/>
          <w:lang w:val="en-GB"/>
        </w:rPr>
      </w:pPr>
    </w:p>
    <w:p w14:paraId="45B15B26" w14:textId="77777777" w:rsidR="008905DD" w:rsidRDefault="008905DD" w:rsidP="008905DD">
      <w:pPr>
        <w:suppressAutoHyphens/>
        <w:autoSpaceDN w:val="0"/>
        <w:jc w:val="both"/>
        <w:textAlignment w:val="baseline"/>
        <w:rPr>
          <w:rFonts w:eastAsia="Calibri"/>
          <w:b/>
          <w:bCs/>
          <w:i/>
          <w:sz w:val="16"/>
          <w:szCs w:val="16"/>
          <w:u w:val="single"/>
          <w:lang w:val="en-GB"/>
        </w:rPr>
      </w:pPr>
    </w:p>
    <w:p w14:paraId="40029207" w14:textId="77777777" w:rsidR="008905DD" w:rsidRDefault="008905DD" w:rsidP="008905DD">
      <w:pPr>
        <w:suppressAutoHyphens/>
        <w:autoSpaceDN w:val="0"/>
        <w:jc w:val="both"/>
        <w:textAlignment w:val="baseline"/>
        <w:rPr>
          <w:rFonts w:eastAsia="Calibri"/>
          <w:b/>
          <w:bCs/>
          <w:i/>
          <w:sz w:val="16"/>
          <w:szCs w:val="16"/>
          <w:u w:val="single"/>
          <w:lang w:val="en-GB"/>
        </w:rPr>
      </w:pPr>
    </w:p>
    <w:p w14:paraId="3DA8EC7C" w14:textId="77777777" w:rsidR="008905DD" w:rsidRDefault="008905DD" w:rsidP="008905DD">
      <w:pPr>
        <w:suppressAutoHyphens/>
        <w:autoSpaceDN w:val="0"/>
        <w:jc w:val="both"/>
        <w:textAlignment w:val="baseline"/>
        <w:rPr>
          <w:rFonts w:eastAsia="Calibri"/>
          <w:b/>
          <w:bCs/>
          <w:i/>
          <w:sz w:val="16"/>
          <w:szCs w:val="16"/>
          <w:u w:val="single"/>
          <w:lang w:val="en-GB"/>
        </w:rPr>
      </w:pPr>
    </w:p>
    <w:p w14:paraId="14853800" w14:textId="77777777" w:rsidR="008905DD" w:rsidRDefault="008905DD" w:rsidP="008905DD">
      <w:pPr>
        <w:suppressAutoHyphens/>
        <w:autoSpaceDN w:val="0"/>
        <w:jc w:val="both"/>
        <w:textAlignment w:val="baseline"/>
        <w:rPr>
          <w:rFonts w:eastAsia="Calibri"/>
          <w:b/>
          <w:bCs/>
          <w:i/>
          <w:sz w:val="16"/>
          <w:szCs w:val="16"/>
          <w:u w:val="single"/>
          <w:lang w:val="en-GB"/>
        </w:rPr>
      </w:pPr>
    </w:p>
    <w:p w14:paraId="55C22181" w14:textId="77777777" w:rsidR="008905DD" w:rsidRDefault="008905DD" w:rsidP="008905DD">
      <w:pPr>
        <w:suppressAutoHyphens/>
        <w:autoSpaceDN w:val="0"/>
        <w:jc w:val="both"/>
        <w:textAlignment w:val="baseline"/>
        <w:rPr>
          <w:rFonts w:eastAsia="Calibri"/>
          <w:b/>
          <w:bCs/>
          <w:i/>
          <w:sz w:val="16"/>
          <w:szCs w:val="16"/>
          <w:u w:val="single"/>
          <w:lang w:val="en-GB"/>
        </w:rPr>
      </w:pPr>
    </w:p>
    <w:p w14:paraId="138C32F9" w14:textId="77777777" w:rsidR="008905DD" w:rsidRDefault="008905DD" w:rsidP="008905DD">
      <w:pPr>
        <w:suppressAutoHyphens/>
        <w:autoSpaceDN w:val="0"/>
        <w:jc w:val="both"/>
        <w:textAlignment w:val="baseline"/>
        <w:rPr>
          <w:rFonts w:eastAsia="Calibri"/>
          <w:b/>
          <w:bCs/>
          <w:i/>
          <w:sz w:val="16"/>
          <w:szCs w:val="16"/>
          <w:u w:val="single"/>
          <w:lang w:val="en-GB"/>
        </w:rPr>
      </w:pPr>
    </w:p>
    <w:p w14:paraId="048C3D86" w14:textId="77777777" w:rsidR="008905DD" w:rsidRDefault="008905DD" w:rsidP="008905DD">
      <w:pPr>
        <w:suppressAutoHyphens/>
        <w:autoSpaceDN w:val="0"/>
        <w:jc w:val="both"/>
        <w:textAlignment w:val="baseline"/>
        <w:rPr>
          <w:rFonts w:eastAsia="Calibri"/>
          <w:b/>
          <w:bCs/>
          <w:i/>
          <w:sz w:val="16"/>
          <w:szCs w:val="16"/>
          <w:u w:val="single"/>
          <w:lang w:val="en-GB"/>
        </w:rPr>
      </w:pPr>
    </w:p>
    <w:p w14:paraId="1320E099" w14:textId="77777777" w:rsidR="008905DD" w:rsidRDefault="008905DD" w:rsidP="008905DD">
      <w:pPr>
        <w:suppressAutoHyphens/>
        <w:autoSpaceDN w:val="0"/>
        <w:jc w:val="both"/>
        <w:textAlignment w:val="baseline"/>
        <w:rPr>
          <w:rFonts w:eastAsia="Calibri"/>
          <w:b/>
          <w:bCs/>
          <w:i/>
          <w:sz w:val="16"/>
          <w:szCs w:val="16"/>
          <w:u w:val="single"/>
          <w:lang w:val="en-GB"/>
        </w:rPr>
      </w:pPr>
    </w:p>
    <w:p w14:paraId="6F5519C8" w14:textId="77777777" w:rsidR="008905DD" w:rsidRDefault="008905DD" w:rsidP="008905DD">
      <w:pPr>
        <w:suppressAutoHyphens/>
        <w:autoSpaceDN w:val="0"/>
        <w:jc w:val="both"/>
        <w:textAlignment w:val="baseline"/>
        <w:rPr>
          <w:rFonts w:eastAsia="Calibri"/>
          <w:b/>
          <w:bCs/>
          <w:i/>
          <w:sz w:val="16"/>
          <w:szCs w:val="16"/>
          <w:u w:val="single"/>
          <w:lang w:val="en-GB"/>
        </w:rPr>
      </w:pPr>
    </w:p>
    <w:p w14:paraId="2ECB0372" w14:textId="77777777" w:rsidR="008905DD" w:rsidRDefault="008905DD" w:rsidP="008905DD">
      <w:pPr>
        <w:suppressAutoHyphens/>
        <w:autoSpaceDN w:val="0"/>
        <w:jc w:val="both"/>
        <w:textAlignment w:val="baseline"/>
        <w:rPr>
          <w:rFonts w:eastAsia="Calibri"/>
          <w:b/>
          <w:bCs/>
          <w:i/>
          <w:sz w:val="16"/>
          <w:szCs w:val="16"/>
          <w:u w:val="single"/>
          <w:lang w:val="en-GB"/>
        </w:rPr>
      </w:pPr>
    </w:p>
    <w:p w14:paraId="3D4FF492" w14:textId="77777777" w:rsidR="008905DD" w:rsidRPr="00DB7576" w:rsidRDefault="008905DD" w:rsidP="008905DD">
      <w:pPr>
        <w:suppressAutoHyphens/>
        <w:autoSpaceDN w:val="0"/>
        <w:ind w:hanging="142"/>
        <w:jc w:val="both"/>
        <w:textAlignment w:val="baseline"/>
        <w:rPr>
          <w:rFonts w:eastAsia="Calibri"/>
          <w:b/>
          <w:bCs/>
          <w:i/>
          <w:sz w:val="16"/>
          <w:szCs w:val="16"/>
          <w:u w:val="single"/>
          <w:lang w:val="en-GB"/>
        </w:rPr>
      </w:pPr>
      <w:r w:rsidRPr="00DB7576">
        <w:rPr>
          <w:rFonts w:eastAsia="Calibri"/>
          <w:b/>
          <w:bCs/>
          <w:i/>
          <w:sz w:val="16"/>
          <w:szCs w:val="16"/>
          <w:u w:val="single"/>
          <w:lang w:val="en-GB"/>
        </w:rPr>
        <w:t>Notes:</w:t>
      </w:r>
    </w:p>
    <w:p w14:paraId="3F665BCE" w14:textId="77777777" w:rsidR="008905DD" w:rsidRPr="00DB7576" w:rsidRDefault="008905DD" w:rsidP="008905DD">
      <w:pPr>
        <w:numPr>
          <w:ilvl w:val="0"/>
          <w:numId w:val="21"/>
        </w:numPr>
        <w:suppressAutoHyphens/>
        <w:autoSpaceDN w:val="0"/>
        <w:ind w:left="142" w:firstLine="0"/>
        <w:jc w:val="both"/>
        <w:textAlignment w:val="baseline"/>
        <w:rPr>
          <w:rFonts w:eastAsia="Calibri"/>
          <w:i/>
          <w:sz w:val="16"/>
          <w:szCs w:val="16"/>
          <w:lang w:val="en-GB"/>
        </w:rPr>
      </w:pPr>
      <w:r w:rsidRPr="00DB7576">
        <w:rPr>
          <w:rFonts w:eastAsia="Calibri"/>
          <w:i/>
          <w:sz w:val="16"/>
          <w:szCs w:val="16"/>
          <w:lang w:val="en-GB"/>
        </w:rPr>
        <w:t>Non-IFRS financial measure, excl. €107m except. unrealised mark-to-market loss (timing unwind) on jet fuel caps.</w:t>
      </w:r>
    </w:p>
    <w:p w14:paraId="54DCD4B6" w14:textId="77777777" w:rsidR="00DB7576" w:rsidRPr="00DB7576" w:rsidRDefault="008905DD" w:rsidP="008905DD">
      <w:pPr>
        <w:suppressAutoHyphens/>
        <w:autoSpaceDN w:val="0"/>
        <w:jc w:val="both"/>
        <w:textAlignment w:val="baseline"/>
        <w:rPr>
          <w:b/>
          <w:bCs/>
          <w:i/>
          <w:sz w:val="16"/>
          <w:szCs w:val="16"/>
          <w:lang w:val="en-GB"/>
        </w:rPr>
      </w:pPr>
      <w:r>
        <w:rPr>
          <w:b/>
          <w:bCs/>
          <w:i/>
          <w:sz w:val="16"/>
          <w:szCs w:val="16"/>
          <w:lang w:val="en-GB"/>
        </w:rPr>
        <w:br w:type="page"/>
      </w:r>
      <w:r w:rsidR="00DB7576" w:rsidRPr="00DB7576">
        <w:rPr>
          <w:b/>
          <w:bCs/>
          <w:i/>
          <w:sz w:val="16"/>
          <w:szCs w:val="16"/>
          <w:lang w:val="en-GB"/>
        </w:rPr>
        <w:lastRenderedPageBreak/>
        <w:t xml:space="preserve">Certain of the information included in this release is forward looking and is subject to important risks and uncertainties that could cause actual results to differ materially.  It is not reasonably possible to itemise </w:t>
      </w:r>
      <w:proofErr w:type="gramStart"/>
      <w:r w:rsidR="00DB7576" w:rsidRPr="00DB7576">
        <w:rPr>
          <w:b/>
          <w:bCs/>
          <w:i/>
          <w:sz w:val="16"/>
          <w:szCs w:val="16"/>
          <w:lang w:val="en-GB"/>
        </w:rPr>
        <w:t>all of</w:t>
      </w:r>
      <w:proofErr w:type="gramEnd"/>
      <w:r w:rsidR="00DB7576" w:rsidRPr="00DB7576">
        <w:rPr>
          <w:b/>
          <w:bCs/>
          <w:i/>
          <w:sz w:val="16"/>
          <w:szCs w:val="16"/>
          <w:lang w:val="en-GB"/>
        </w:rPr>
        <w:t xml:space="preserve"> the many factors and specific events that could affect the outlook and results of an airline operating in the European economy.  Among the factors that are subject to change and could significantly impact Ryanair’s expected results are the airline pricing environment, fuel costs, competition from new and existing carriers, market prices for the replacement of aircraft, costs associated with environmental, safety and security measures, actions of the Irish, U.K., European Union (“EU”) and other governments and their respective regulatory agencies, post-Brexit uncertainties, weather related disruptions, ATC strikes and staffing related disruptions, delays in the delivery of contracted aircraft, fluctuations in currency exchange rates and interest rates, airport access and charges, labour relations, the economic environment of the airline industry, the general economic environment in Ireland, the U.K. and Continental Europe, the general willingness of passengers to travel and other economics, social and political factors, global pandemics such as Covid-19 and unforeseen security events.</w:t>
      </w:r>
    </w:p>
    <w:p w14:paraId="36D93305" w14:textId="77777777" w:rsidR="00DB7576" w:rsidRPr="00DB7576" w:rsidRDefault="00DB7576" w:rsidP="008905DD">
      <w:pPr>
        <w:suppressAutoHyphens/>
        <w:autoSpaceDN w:val="0"/>
        <w:jc w:val="both"/>
        <w:textAlignment w:val="baseline"/>
        <w:rPr>
          <w:b/>
          <w:bCs/>
          <w:i/>
          <w:sz w:val="16"/>
          <w:szCs w:val="16"/>
          <w:lang w:val="en-GB"/>
        </w:rPr>
      </w:pPr>
    </w:p>
    <w:p w14:paraId="458705AE" w14:textId="77777777" w:rsidR="008905DD" w:rsidRDefault="008905DD" w:rsidP="008905DD">
      <w:pPr>
        <w:suppressAutoHyphens/>
        <w:autoSpaceDN w:val="0"/>
        <w:jc w:val="both"/>
        <w:textAlignment w:val="baseline"/>
        <w:rPr>
          <w:rFonts w:ascii="Calibri" w:hAnsi="Calibri" w:cs="Calibri"/>
          <w:b/>
          <w:bCs/>
          <w:color w:val="000000"/>
        </w:rPr>
        <w:sectPr w:rsidR="008905DD" w:rsidSect="008905DD">
          <w:footerReference w:type="default" r:id="rId11"/>
          <w:pgSz w:w="11906" w:h="16838" w:code="9"/>
          <w:pgMar w:top="709" w:right="991" w:bottom="1440" w:left="1276" w:header="142" w:footer="709" w:gutter="0"/>
          <w:pgNumType w:start="1"/>
          <w:cols w:space="708"/>
          <w:docGrid w:linePitch="360"/>
        </w:sectPr>
      </w:pPr>
    </w:p>
    <w:p w14:paraId="67F1CD42" w14:textId="77777777" w:rsidR="00FD6E41" w:rsidRPr="00835E4A" w:rsidRDefault="00FD6E41" w:rsidP="008905DD">
      <w:pPr>
        <w:suppressAutoHyphens/>
        <w:autoSpaceDN w:val="0"/>
        <w:jc w:val="both"/>
        <w:textAlignment w:val="baseline"/>
        <w:rPr>
          <w:rFonts w:ascii="Calibri" w:hAnsi="Calibri" w:cs="Calibri"/>
          <w:b/>
          <w:bCs/>
          <w:color w:val="000000"/>
        </w:rPr>
      </w:pPr>
      <w:r w:rsidRPr="00835E4A">
        <w:rPr>
          <w:rFonts w:ascii="Calibri" w:hAnsi="Calibri" w:cs="Calibri"/>
          <w:b/>
          <w:bCs/>
          <w:color w:val="000000"/>
        </w:rPr>
        <w:lastRenderedPageBreak/>
        <w:t xml:space="preserve">Ryanair Holdings plc and Subsidiaries  </w:t>
      </w:r>
    </w:p>
    <w:p w14:paraId="425C5024" w14:textId="77777777" w:rsidR="00FD6E41" w:rsidRPr="0026148D" w:rsidRDefault="00FD6E41" w:rsidP="00FD6E41">
      <w:pPr>
        <w:autoSpaceDE w:val="0"/>
        <w:autoSpaceDN w:val="0"/>
        <w:adjustRightInd w:val="0"/>
        <w:ind w:right="4"/>
        <w:rPr>
          <w:rFonts w:ascii="Calibri" w:hAnsi="Calibri" w:cs="Calibri"/>
          <w:b/>
          <w:bCs/>
          <w:i/>
          <w:iCs/>
          <w:color w:val="000000"/>
        </w:rPr>
      </w:pPr>
      <w:r w:rsidRPr="0026148D">
        <w:rPr>
          <w:rFonts w:ascii="Calibri" w:hAnsi="Calibri" w:cs="Calibri"/>
          <w:b/>
          <w:bCs/>
          <w:i/>
          <w:iCs/>
          <w:color w:val="000000"/>
        </w:rPr>
        <w:t xml:space="preserve">Condensed Consolidated Interim Balance Sheet as </w:t>
      </w:r>
      <w:proofErr w:type="gramStart"/>
      <w:r w:rsidRPr="0026148D">
        <w:rPr>
          <w:rFonts w:ascii="Calibri" w:hAnsi="Calibri" w:cs="Calibri"/>
          <w:b/>
          <w:bCs/>
          <w:i/>
          <w:iCs/>
          <w:color w:val="000000"/>
        </w:rPr>
        <w:t>at</w:t>
      </w:r>
      <w:proofErr w:type="gramEnd"/>
      <w:r w:rsidRPr="0026148D">
        <w:rPr>
          <w:rFonts w:ascii="Calibri" w:hAnsi="Calibri" w:cs="Calibri"/>
          <w:b/>
          <w:bCs/>
          <w:i/>
          <w:iCs/>
          <w:color w:val="000000"/>
        </w:rPr>
        <w:t xml:space="preserve"> September 30, 2023 (unaudited)</w:t>
      </w:r>
    </w:p>
    <w:p w14:paraId="6A7B55E2" w14:textId="77777777" w:rsidR="00FD6E41" w:rsidRPr="00345F84" w:rsidRDefault="00FD6E41" w:rsidP="00FD6E41">
      <w:pPr>
        <w:autoSpaceDE w:val="0"/>
        <w:autoSpaceDN w:val="0"/>
        <w:adjustRightInd w:val="0"/>
        <w:ind w:right="4"/>
        <w:rPr>
          <w:rFonts w:ascii="Calibri" w:hAnsi="Calibri" w:cs="Calibri"/>
          <w:b/>
          <w:bCs/>
          <w:i/>
          <w:iCs/>
          <w:color w:val="000000"/>
          <w:sz w:val="22"/>
          <w:szCs w:val="22"/>
        </w:rPr>
      </w:pPr>
    </w:p>
    <w:tbl>
      <w:tblPr>
        <w:tblW w:w="11091" w:type="dxa"/>
        <w:tblInd w:w="-318" w:type="dxa"/>
        <w:tblLayout w:type="fixed"/>
        <w:tblLook w:val="04A0" w:firstRow="1" w:lastRow="0" w:firstColumn="1" w:lastColumn="0" w:noHBand="0" w:noVBand="1"/>
      </w:tblPr>
      <w:tblGrid>
        <w:gridCol w:w="261"/>
        <w:gridCol w:w="5414"/>
        <w:gridCol w:w="3148"/>
        <w:gridCol w:w="1134"/>
        <w:gridCol w:w="1134"/>
      </w:tblGrid>
      <w:tr w:rsidR="00FD6E41" w:rsidRPr="00135F6B" w14:paraId="400FC600" w14:textId="77777777" w:rsidTr="00F72676">
        <w:trPr>
          <w:trHeight w:val="249"/>
        </w:trPr>
        <w:tc>
          <w:tcPr>
            <w:tcW w:w="261" w:type="dxa"/>
            <w:shd w:val="clear" w:color="auto" w:fill="FFFFFF"/>
            <w:noWrap/>
            <w:vAlign w:val="bottom"/>
            <w:hideMark/>
          </w:tcPr>
          <w:p w14:paraId="189AB305" w14:textId="77777777" w:rsidR="00FD6E41" w:rsidRPr="00345F84" w:rsidRDefault="00FD6E41" w:rsidP="001C5897">
            <w:pPr>
              <w:rPr>
                <w:sz w:val="20"/>
                <w:szCs w:val="20"/>
                <w:lang w:eastAsia="en-IE"/>
              </w:rPr>
            </w:pPr>
          </w:p>
        </w:tc>
        <w:tc>
          <w:tcPr>
            <w:tcW w:w="5414" w:type="dxa"/>
            <w:shd w:val="clear" w:color="auto" w:fill="FFFFFF"/>
            <w:vAlign w:val="center"/>
            <w:hideMark/>
          </w:tcPr>
          <w:p w14:paraId="01D27A39" w14:textId="77777777" w:rsidR="00FD6E41" w:rsidRPr="001F1BE1" w:rsidRDefault="00FD6E41" w:rsidP="00FD6E41">
            <w:pPr>
              <w:ind w:left="60"/>
              <w:rPr>
                <w:rFonts w:ascii="Calibri" w:hAnsi="Calibri" w:cs="Calibri"/>
                <w:b/>
                <w:bCs/>
                <w:i/>
                <w:iCs/>
                <w:sz w:val="21"/>
                <w:szCs w:val="21"/>
                <w:lang w:eastAsia="en-IE"/>
              </w:rPr>
            </w:pPr>
            <w:r w:rsidRPr="001F1BE1">
              <w:rPr>
                <w:rFonts w:ascii="Calibri" w:hAnsi="Calibri" w:cs="Calibri"/>
                <w:b/>
                <w:bCs/>
                <w:i/>
                <w:iCs/>
                <w:sz w:val="21"/>
                <w:szCs w:val="21"/>
                <w:lang w:eastAsia="en-IE"/>
              </w:rPr>
              <w:t> </w:t>
            </w:r>
          </w:p>
        </w:tc>
        <w:tc>
          <w:tcPr>
            <w:tcW w:w="3148" w:type="dxa"/>
            <w:shd w:val="clear" w:color="auto" w:fill="FFFFFF"/>
            <w:vAlign w:val="center"/>
            <w:hideMark/>
          </w:tcPr>
          <w:p w14:paraId="02A7810D" w14:textId="77777777" w:rsidR="00FD6E41" w:rsidRPr="001F1BE1" w:rsidRDefault="00FD6E41" w:rsidP="001C5897">
            <w:pPr>
              <w:jc w:val="right"/>
              <w:rPr>
                <w:rFonts w:ascii="Calibri" w:hAnsi="Calibri" w:cs="Calibri"/>
                <w:b/>
                <w:bCs/>
                <w:color w:val="000000"/>
                <w:sz w:val="21"/>
                <w:szCs w:val="21"/>
                <w:lang w:eastAsia="en-IE"/>
              </w:rPr>
            </w:pPr>
            <w:r w:rsidRPr="001F1BE1">
              <w:rPr>
                <w:rFonts w:ascii="Calibri" w:hAnsi="Calibri" w:cs="Calibri"/>
                <w:b/>
                <w:bCs/>
                <w:color w:val="000000"/>
                <w:sz w:val="21"/>
                <w:szCs w:val="21"/>
                <w:lang w:eastAsia="en-IE"/>
              </w:rPr>
              <w:t> </w:t>
            </w:r>
          </w:p>
        </w:tc>
        <w:tc>
          <w:tcPr>
            <w:tcW w:w="1134" w:type="dxa"/>
            <w:shd w:val="clear" w:color="auto" w:fill="FFFF00"/>
            <w:noWrap/>
            <w:vAlign w:val="center"/>
            <w:hideMark/>
          </w:tcPr>
          <w:p w14:paraId="6F0E86DF" w14:textId="77777777" w:rsidR="00FD6E41" w:rsidRPr="001F1BE1" w:rsidRDefault="00FD6E41" w:rsidP="00F72676">
            <w:pPr>
              <w:ind w:left="-45" w:right="27" w:hanging="60"/>
              <w:jc w:val="right"/>
              <w:rPr>
                <w:rFonts w:ascii="Calibri" w:hAnsi="Calibri" w:cs="Calibri"/>
                <w:b/>
                <w:bCs/>
                <w:color w:val="000000"/>
                <w:sz w:val="21"/>
                <w:szCs w:val="21"/>
                <w:lang w:eastAsia="en-IE"/>
              </w:rPr>
            </w:pPr>
            <w:r w:rsidRPr="001F1BE1">
              <w:rPr>
                <w:rFonts w:ascii="Calibri" w:hAnsi="Calibri" w:cs="Calibri"/>
                <w:b/>
                <w:bCs/>
                <w:color w:val="000000"/>
                <w:sz w:val="21"/>
                <w:szCs w:val="21"/>
                <w:lang w:eastAsia="en-IE"/>
              </w:rPr>
              <w:t xml:space="preserve">At </w:t>
            </w:r>
            <w:r>
              <w:rPr>
                <w:rFonts w:ascii="Calibri" w:hAnsi="Calibri" w:cs="Calibri"/>
                <w:b/>
                <w:bCs/>
                <w:color w:val="000000"/>
                <w:sz w:val="21"/>
                <w:szCs w:val="21"/>
                <w:lang w:eastAsia="en-IE"/>
              </w:rPr>
              <w:t>Sep</w:t>
            </w:r>
            <w:r w:rsidR="00F72676">
              <w:rPr>
                <w:rFonts w:ascii="Calibri" w:hAnsi="Calibri" w:cs="Calibri"/>
                <w:b/>
                <w:bCs/>
                <w:color w:val="000000"/>
                <w:sz w:val="21"/>
                <w:szCs w:val="21"/>
                <w:lang w:eastAsia="en-IE"/>
              </w:rPr>
              <w:t xml:space="preserve"> </w:t>
            </w:r>
            <w:r>
              <w:rPr>
                <w:rFonts w:ascii="Calibri" w:hAnsi="Calibri" w:cs="Calibri"/>
                <w:b/>
                <w:bCs/>
                <w:color w:val="000000"/>
                <w:sz w:val="21"/>
                <w:szCs w:val="21"/>
                <w:lang w:eastAsia="en-IE"/>
              </w:rPr>
              <w:t>30</w:t>
            </w:r>
            <w:r w:rsidRPr="001F1BE1">
              <w:rPr>
                <w:rFonts w:ascii="Calibri" w:hAnsi="Calibri" w:cs="Calibri"/>
                <w:b/>
                <w:bCs/>
                <w:color w:val="000000"/>
                <w:sz w:val="21"/>
                <w:szCs w:val="21"/>
                <w:lang w:eastAsia="en-IE"/>
              </w:rPr>
              <w:t>,</w:t>
            </w:r>
          </w:p>
        </w:tc>
        <w:tc>
          <w:tcPr>
            <w:tcW w:w="1134" w:type="dxa"/>
            <w:shd w:val="clear" w:color="auto" w:fill="FFFFFF"/>
            <w:noWrap/>
            <w:vAlign w:val="center"/>
            <w:hideMark/>
          </w:tcPr>
          <w:p w14:paraId="1B58FDDD" w14:textId="77777777" w:rsidR="00FD6E41" w:rsidRPr="00103D56" w:rsidRDefault="00FD6E41" w:rsidP="00F72676">
            <w:pPr>
              <w:ind w:right="33" w:hanging="111"/>
              <w:jc w:val="right"/>
              <w:rPr>
                <w:rFonts w:ascii="Calibri" w:hAnsi="Calibri" w:cs="Calibri"/>
                <w:color w:val="000000"/>
                <w:sz w:val="22"/>
                <w:szCs w:val="22"/>
                <w:lang w:eastAsia="en-IE"/>
              </w:rPr>
            </w:pPr>
            <w:proofErr w:type="gramStart"/>
            <w:r w:rsidRPr="00103D56">
              <w:rPr>
                <w:rFonts w:ascii="Calibri" w:hAnsi="Calibri" w:cs="Calibri"/>
                <w:color w:val="000000"/>
                <w:sz w:val="22"/>
                <w:szCs w:val="22"/>
                <w:lang w:eastAsia="en-IE"/>
              </w:rPr>
              <w:t>At</w:t>
            </w:r>
            <w:proofErr w:type="gramEnd"/>
            <w:r w:rsidRPr="00103D56">
              <w:rPr>
                <w:rFonts w:ascii="Calibri" w:hAnsi="Calibri" w:cs="Calibri"/>
                <w:color w:val="000000"/>
                <w:sz w:val="22"/>
                <w:szCs w:val="22"/>
                <w:lang w:eastAsia="en-IE"/>
              </w:rPr>
              <w:t xml:space="preserve"> Mar 31,</w:t>
            </w:r>
          </w:p>
        </w:tc>
      </w:tr>
      <w:tr w:rsidR="00FD6E41" w:rsidRPr="00135F6B" w14:paraId="4204C4C1" w14:textId="77777777" w:rsidTr="00F72676">
        <w:trPr>
          <w:trHeight w:val="249"/>
        </w:trPr>
        <w:tc>
          <w:tcPr>
            <w:tcW w:w="261" w:type="dxa"/>
            <w:shd w:val="clear" w:color="auto" w:fill="FFFFFF"/>
            <w:noWrap/>
            <w:vAlign w:val="bottom"/>
            <w:hideMark/>
          </w:tcPr>
          <w:p w14:paraId="382BC91D"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02CF3295" w14:textId="77777777" w:rsidR="00FD6E41" w:rsidRPr="001F1BE1" w:rsidRDefault="00FD6E41" w:rsidP="00FD6E41">
            <w:pPr>
              <w:ind w:left="60"/>
              <w:rPr>
                <w:rFonts w:ascii="Calibri" w:hAnsi="Calibri" w:cs="Calibri"/>
                <w:b/>
                <w:bCs/>
                <w:i/>
                <w:iCs/>
                <w:sz w:val="21"/>
                <w:szCs w:val="21"/>
                <w:lang w:eastAsia="en-IE"/>
              </w:rPr>
            </w:pPr>
            <w:r w:rsidRPr="001F1BE1">
              <w:rPr>
                <w:rFonts w:ascii="Calibri" w:hAnsi="Calibri" w:cs="Calibri"/>
                <w:b/>
                <w:bCs/>
                <w:i/>
                <w:iCs/>
                <w:sz w:val="21"/>
                <w:szCs w:val="21"/>
                <w:lang w:eastAsia="en-IE"/>
              </w:rPr>
              <w:t> </w:t>
            </w:r>
          </w:p>
        </w:tc>
        <w:tc>
          <w:tcPr>
            <w:tcW w:w="3148" w:type="dxa"/>
            <w:shd w:val="clear" w:color="auto" w:fill="FFFFFF"/>
            <w:vAlign w:val="center"/>
            <w:hideMark/>
          </w:tcPr>
          <w:p w14:paraId="61D437D2" w14:textId="77777777" w:rsidR="00FD6E41" w:rsidRPr="001F1BE1" w:rsidRDefault="00FD6E41" w:rsidP="001C5897">
            <w:pPr>
              <w:jc w:val="right"/>
              <w:rPr>
                <w:rFonts w:ascii="Calibri" w:hAnsi="Calibri" w:cs="Calibri"/>
                <w:b/>
                <w:bCs/>
                <w:color w:val="000000"/>
                <w:sz w:val="21"/>
                <w:szCs w:val="21"/>
                <w:lang w:eastAsia="en-IE"/>
              </w:rPr>
            </w:pPr>
            <w:r w:rsidRPr="001F1BE1">
              <w:rPr>
                <w:rFonts w:ascii="Calibri" w:hAnsi="Calibri" w:cs="Calibri"/>
                <w:b/>
                <w:bCs/>
                <w:color w:val="000000"/>
                <w:sz w:val="21"/>
                <w:szCs w:val="21"/>
                <w:lang w:eastAsia="en-IE"/>
              </w:rPr>
              <w:t> </w:t>
            </w:r>
          </w:p>
        </w:tc>
        <w:tc>
          <w:tcPr>
            <w:tcW w:w="1134" w:type="dxa"/>
            <w:shd w:val="clear" w:color="auto" w:fill="FFFF00"/>
            <w:noWrap/>
            <w:vAlign w:val="center"/>
            <w:hideMark/>
          </w:tcPr>
          <w:p w14:paraId="256E6E40" w14:textId="77777777" w:rsidR="00FD6E41" w:rsidRPr="001F1BE1" w:rsidRDefault="00FD6E41" w:rsidP="00F72676">
            <w:pPr>
              <w:ind w:left="-45" w:right="27" w:firstLine="45"/>
              <w:jc w:val="right"/>
              <w:rPr>
                <w:rFonts w:ascii="Calibri" w:hAnsi="Calibri" w:cs="Calibri"/>
                <w:b/>
                <w:bCs/>
                <w:color w:val="000000"/>
                <w:sz w:val="21"/>
                <w:szCs w:val="21"/>
                <w:lang w:eastAsia="en-IE"/>
              </w:rPr>
            </w:pPr>
            <w:r w:rsidRPr="001F1BE1">
              <w:rPr>
                <w:rFonts w:ascii="Calibri" w:hAnsi="Calibri" w:cs="Calibri"/>
                <w:b/>
                <w:bCs/>
                <w:color w:val="000000"/>
                <w:sz w:val="21"/>
                <w:szCs w:val="21"/>
                <w:lang w:eastAsia="en-IE"/>
              </w:rPr>
              <w:t>2023</w:t>
            </w:r>
          </w:p>
        </w:tc>
        <w:tc>
          <w:tcPr>
            <w:tcW w:w="1134" w:type="dxa"/>
            <w:shd w:val="clear" w:color="auto" w:fill="FFFFFF"/>
            <w:noWrap/>
            <w:vAlign w:val="center"/>
            <w:hideMark/>
          </w:tcPr>
          <w:p w14:paraId="18885A81"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2023</w:t>
            </w:r>
          </w:p>
        </w:tc>
      </w:tr>
      <w:tr w:rsidR="00FD6E41" w:rsidRPr="00135F6B" w14:paraId="6D274035" w14:textId="77777777" w:rsidTr="00F72676">
        <w:trPr>
          <w:trHeight w:val="249"/>
        </w:trPr>
        <w:tc>
          <w:tcPr>
            <w:tcW w:w="261" w:type="dxa"/>
            <w:shd w:val="clear" w:color="auto" w:fill="FFFFFF"/>
            <w:noWrap/>
            <w:vAlign w:val="bottom"/>
            <w:hideMark/>
          </w:tcPr>
          <w:p w14:paraId="4BFCFB4D"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434194FC" w14:textId="77777777" w:rsidR="00FD6E41" w:rsidRPr="001F1BE1" w:rsidRDefault="00FD6E41" w:rsidP="00FD6E41">
            <w:pPr>
              <w:ind w:left="60"/>
              <w:rPr>
                <w:rFonts w:ascii="Calibri" w:hAnsi="Calibri" w:cs="Calibri"/>
                <w:b/>
                <w:bCs/>
                <w:sz w:val="21"/>
                <w:szCs w:val="21"/>
                <w:lang w:eastAsia="en-IE"/>
              </w:rPr>
            </w:pPr>
            <w:r w:rsidRPr="001F1BE1">
              <w:rPr>
                <w:rFonts w:ascii="Calibri" w:hAnsi="Calibri" w:cs="Calibri"/>
                <w:b/>
                <w:bCs/>
                <w:sz w:val="21"/>
                <w:szCs w:val="21"/>
                <w:lang w:eastAsia="en-IE"/>
              </w:rPr>
              <w:t> </w:t>
            </w:r>
          </w:p>
        </w:tc>
        <w:tc>
          <w:tcPr>
            <w:tcW w:w="3148" w:type="dxa"/>
            <w:shd w:val="clear" w:color="auto" w:fill="FFFFFF"/>
            <w:vAlign w:val="center"/>
            <w:hideMark/>
          </w:tcPr>
          <w:p w14:paraId="45FD637C" w14:textId="77777777" w:rsidR="00FD6E41" w:rsidRPr="00103D56" w:rsidRDefault="00FD6E41" w:rsidP="001C5897">
            <w:pPr>
              <w:jc w:val="right"/>
              <w:rPr>
                <w:rFonts w:ascii="Calibri" w:hAnsi="Calibri" w:cs="Calibri"/>
                <w:b/>
                <w:bCs/>
                <w:color w:val="000000"/>
                <w:sz w:val="22"/>
                <w:szCs w:val="22"/>
                <w:u w:val="single"/>
                <w:lang w:eastAsia="en-IE"/>
              </w:rPr>
            </w:pPr>
            <w:r w:rsidRPr="00103D56">
              <w:rPr>
                <w:rFonts w:ascii="Calibri" w:hAnsi="Calibri" w:cs="Calibri"/>
                <w:b/>
                <w:bCs/>
                <w:color w:val="000000"/>
                <w:sz w:val="22"/>
                <w:szCs w:val="22"/>
                <w:u w:val="single"/>
                <w:lang w:eastAsia="en-IE"/>
              </w:rPr>
              <w:t>Note</w:t>
            </w:r>
          </w:p>
        </w:tc>
        <w:tc>
          <w:tcPr>
            <w:tcW w:w="1134" w:type="dxa"/>
            <w:shd w:val="clear" w:color="auto" w:fill="FFFF00"/>
            <w:vAlign w:val="center"/>
            <w:hideMark/>
          </w:tcPr>
          <w:p w14:paraId="24DE6104" w14:textId="77777777" w:rsidR="00FD6E41" w:rsidRPr="001F1BE1" w:rsidRDefault="00FD6E41" w:rsidP="00F72676">
            <w:pPr>
              <w:ind w:left="-45" w:right="27" w:firstLine="45"/>
              <w:jc w:val="right"/>
              <w:rPr>
                <w:rFonts w:ascii="Calibri" w:hAnsi="Calibri" w:cs="Calibri"/>
                <w:b/>
                <w:bCs/>
                <w:color w:val="000000"/>
                <w:sz w:val="21"/>
                <w:szCs w:val="21"/>
                <w:u w:val="single"/>
                <w:lang w:eastAsia="en-IE"/>
              </w:rPr>
            </w:pPr>
            <w:r w:rsidRPr="001F1BE1">
              <w:rPr>
                <w:rFonts w:ascii="Calibri" w:hAnsi="Calibri" w:cs="Calibri"/>
                <w:b/>
                <w:bCs/>
                <w:color w:val="000000"/>
                <w:sz w:val="21"/>
                <w:szCs w:val="21"/>
                <w:u w:val="single"/>
                <w:lang w:eastAsia="en-IE"/>
              </w:rPr>
              <w:t>€M</w:t>
            </w:r>
          </w:p>
        </w:tc>
        <w:tc>
          <w:tcPr>
            <w:tcW w:w="1134" w:type="dxa"/>
            <w:shd w:val="clear" w:color="auto" w:fill="FFFFFF"/>
            <w:vAlign w:val="center"/>
            <w:hideMark/>
          </w:tcPr>
          <w:p w14:paraId="023CAF8C" w14:textId="77777777" w:rsidR="00FD6E41" w:rsidRPr="00103D56" w:rsidRDefault="00FD6E41" w:rsidP="00F72676">
            <w:pPr>
              <w:ind w:right="33" w:hanging="111"/>
              <w:jc w:val="right"/>
              <w:rPr>
                <w:rFonts w:ascii="Calibri" w:hAnsi="Calibri" w:cs="Calibri"/>
                <w:color w:val="000000"/>
                <w:sz w:val="22"/>
                <w:szCs w:val="22"/>
                <w:u w:val="single"/>
                <w:lang w:eastAsia="en-IE"/>
              </w:rPr>
            </w:pPr>
            <w:r w:rsidRPr="00103D56">
              <w:rPr>
                <w:rFonts w:ascii="Calibri" w:hAnsi="Calibri" w:cs="Calibri"/>
                <w:color w:val="000000"/>
                <w:sz w:val="22"/>
                <w:szCs w:val="22"/>
                <w:u w:val="single"/>
                <w:lang w:eastAsia="en-IE"/>
              </w:rPr>
              <w:t>€M</w:t>
            </w:r>
          </w:p>
        </w:tc>
      </w:tr>
      <w:tr w:rsidR="00FD6E41" w:rsidRPr="00135F6B" w14:paraId="70174D9B" w14:textId="77777777" w:rsidTr="00F72676">
        <w:trPr>
          <w:trHeight w:val="249"/>
        </w:trPr>
        <w:tc>
          <w:tcPr>
            <w:tcW w:w="261" w:type="dxa"/>
            <w:shd w:val="clear" w:color="auto" w:fill="FFFFFF"/>
            <w:noWrap/>
            <w:vAlign w:val="bottom"/>
            <w:hideMark/>
          </w:tcPr>
          <w:p w14:paraId="15D733DC" w14:textId="77777777" w:rsidR="00FD6E41" w:rsidRPr="00135F6B" w:rsidRDefault="00FD6E41" w:rsidP="001C5897">
            <w:pPr>
              <w:rPr>
                <w:rFonts w:ascii="Calibri" w:hAnsi="Calibri" w:cs="Calibri"/>
                <w:color w:val="000000"/>
                <w:sz w:val="20"/>
                <w:szCs w:val="20"/>
                <w:u w:val="single"/>
                <w:lang w:eastAsia="en-IE"/>
              </w:rPr>
            </w:pPr>
          </w:p>
        </w:tc>
        <w:tc>
          <w:tcPr>
            <w:tcW w:w="5414" w:type="dxa"/>
            <w:shd w:val="clear" w:color="auto" w:fill="FFFFFF"/>
            <w:vAlign w:val="center"/>
            <w:hideMark/>
          </w:tcPr>
          <w:p w14:paraId="7BED3A09"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Non-current assets</w:t>
            </w:r>
          </w:p>
        </w:tc>
        <w:tc>
          <w:tcPr>
            <w:tcW w:w="3148" w:type="dxa"/>
            <w:shd w:val="clear" w:color="auto" w:fill="FFFFFF"/>
            <w:vAlign w:val="center"/>
            <w:hideMark/>
          </w:tcPr>
          <w:p w14:paraId="56D87789" w14:textId="77777777" w:rsidR="00FD6E41" w:rsidRPr="00103D56" w:rsidRDefault="00FD6E41" w:rsidP="001C5897">
            <w:pPr>
              <w:rPr>
                <w:rFonts w:ascii="Calibri" w:hAnsi="Calibri" w:cs="Calibri"/>
                <w:b/>
                <w:bCs/>
                <w:sz w:val="22"/>
                <w:szCs w:val="22"/>
                <w:lang w:eastAsia="en-IE"/>
              </w:rPr>
            </w:pPr>
          </w:p>
        </w:tc>
        <w:tc>
          <w:tcPr>
            <w:tcW w:w="1134" w:type="dxa"/>
            <w:shd w:val="clear" w:color="auto" w:fill="FFFF00"/>
            <w:vAlign w:val="bottom"/>
            <w:hideMark/>
          </w:tcPr>
          <w:p w14:paraId="496E9DCF" w14:textId="77777777" w:rsidR="00FD6E41" w:rsidRPr="001F1BE1" w:rsidRDefault="00FD6E41" w:rsidP="00F72676">
            <w:pPr>
              <w:ind w:left="-45" w:right="27" w:firstLine="45"/>
              <w:jc w:val="right"/>
              <w:rPr>
                <w:rFonts w:ascii="Calibri" w:hAnsi="Calibri" w:cs="Calibri"/>
                <w:b/>
                <w:bCs/>
                <w:color w:val="000000"/>
                <w:sz w:val="21"/>
                <w:szCs w:val="21"/>
                <w:lang w:eastAsia="en-IE"/>
              </w:rPr>
            </w:pPr>
          </w:p>
        </w:tc>
        <w:tc>
          <w:tcPr>
            <w:tcW w:w="1134" w:type="dxa"/>
            <w:shd w:val="clear" w:color="auto" w:fill="FFFFFF"/>
            <w:vAlign w:val="center"/>
            <w:hideMark/>
          </w:tcPr>
          <w:p w14:paraId="33A8DC47" w14:textId="77777777" w:rsidR="00FD6E41" w:rsidRPr="00103D56" w:rsidRDefault="00FD6E41" w:rsidP="00F72676">
            <w:pPr>
              <w:ind w:right="33" w:hanging="111"/>
              <w:rPr>
                <w:rFonts w:ascii="Calibri" w:eastAsia="Calibri" w:hAnsi="Calibri" w:cs="Calibri"/>
                <w:sz w:val="22"/>
                <w:szCs w:val="22"/>
                <w:lang w:eastAsia="en-IE"/>
              </w:rPr>
            </w:pPr>
          </w:p>
        </w:tc>
      </w:tr>
      <w:tr w:rsidR="00FD6E41" w:rsidRPr="00135F6B" w14:paraId="4EF12678" w14:textId="77777777" w:rsidTr="00F72676">
        <w:trPr>
          <w:trHeight w:val="249"/>
        </w:trPr>
        <w:tc>
          <w:tcPr>
            <w:tcW w:w="261" w:type="dxa"/>
            <w:shd w:val="clear" w:color="auto" w:fill="FFFFFF"/>
            <w:noWrap/>
            <w:vAlign w:val="bottom"/>
            <w:hideMark/>
          </w:tcPr>
          <w:p w14:paraId="49092DE4"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003263F7"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 xml:space="preserve">Property, </w:t>
            </w:r>
            <w:proofErr w:type="gramStart"/>
            <w:r w:rsidRPr="00103D56">
              <w:rPr>
                <w:rFonts w:ascii="Calibri" w:hAnsi="Calibri" w:cs="Calibri"/>
                <w:sz w:val="22"/>
                <w:szCs w:val="22"/>
                <w:lang w:eastAsia="en-IE"/>
              </w:rPr>
              <w:t>plant</w:t>
            </w:r>
            <w:proofErr w:type="gramEnd"/>
            <w:r w:rsidRPr="00103D56">
              <w:rPr>
                <w:rFonts w:ascii="Calibri" w:hAnsi="Calibri" w:cs="Calibri"/>
                <w:sz w:val="22"/>
                <w:szCs w:val="22"/>
                <w:lang w:eastAsia="en-IE"/>
              </w:rPr>
              <w:t xml:space="preserve"> and equipment</w:t>
            </w:r>
          </w:p>
        </w:tc>
        <w:tc>
          <w:tcPr>
            <w:tcW w:w="3148" w:type="dxa"/>
            <w:shd w:val="clear" w:color="auto" w:fill="FFFFFF"/>
            <w:vAlign w:val="center"/>
            <w:hideMark/>
          </w:tcPr>
          <w:p w14:paraId="2831AFEE" w14:textId="77777777" w:rsidR="00FD6E41" w:rsidRPr="00103D56" w:rsidRDefault="00FD6E41" w:rsidP="001C5897">
            <w:pPr>
              <w:jc w:val="right"/>
              <w:rPr>
                <w:rFonts w:ascii="Calibri" w:hAnsi="Calibri" w:cs="Calibri"/>
                <w:b/>
                <w:bCs/>
                <w:color w:val="000000"/>
                <w:sz w:val="22"/>
                <w:szCs w:val="22"/>
                <w:lang w:eastAsia="en-IE"/>
              </w:rPr>
            </w:pPr>
          </w:p>
        </w:tc>
        <w:tc>
          <w:tcPr>
            <w:tcW w:w="1134" w:type="dxa"/>
            <w:shd w:val="clear" w:color="auto" w:fill="FFFF00"/>
          </w:tcPr>
          <w:p w14:paraId="153715F5" w14:textId="77777777" w:rsidR="00FD6E41" w:rsidRPr="00103D56" w:rsidRDefault="00FD6E41" w:rsidP="00F72676">
            <w:pPr>
              <w:ind w:left="-45" w:right="27" w:firstLine="45"/>
              <w:jc w:val="right"/>
              <w:rPr>
                <w:rFonts w:ascii="Calibri" w:hAnsi="Calibri" w:cs="Calibri"/>
                <w:b/>
                <w:bCs/>
                <w:color w:val="000000"/>
                <w:sz w:val="22"/>
                <w:szCs w:val="22"/>
                <w:lang w:eastAsia="en-IE"/>
              </w:rPr>
            </w:pPr>
            <w:r w:rsidRPr="00103D56">
              <w:rPr>
                <w:rFonts w:ascii="Calibri" w:hAnsi="Calibri" w:cs="Calibri"/>
                <w:b/>
                <w:bCs/>
                <w:sz w:val="22"/>
                <w:szCs w:val="22"/>
              </w:rPr>
              <w:t>10,319.2</w:t>
            </w:r>
          </w:p>
        </w:tc>
        <w:tc>
          <w:tcPr>
            <w:tcW w:w="1134" w:type="dxa"/>
            <w:shd w:val="clear" w:color="auto" w:fill="FFFFFF"/>
            <w:vAlign w:val="center"/>
          </w:tcPr>
          <w:p w14:paraId="7D52075B"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9,908.9</w:t>
            </w:r>
          </w:p>
        </w:tc>
      </w:tr>
      <w:tr w:rsidR="00FD6E41" w:rsidRPr="00135F6B" w14:paraId="0BBE2FA3" w14:textId="77777777" w:rsidTr="00F72676">
        <w:trPr>
          <w:trHeight w:val="249"/>
        </w:trPr>
        <w:tc>
          <w:tcPr>
            <w:tcW w:w="261" w:type="dxa"/>
            <w:shd w:val="clear" w:color="auto" w:fill="FFFFFF"/>
            <w:noWrap/>
            <w:vAlign w:val="bottom"/>
            <w:hideMark/>
          </w:tcPr>
          <w:p w14:paraId="145D9F8A"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66BE31B8"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Right-of-use asset</w:t>
            </w:r>
          </w:p>
        </w:tc>
        <w:tc>
          <w:tcPr>
            <w:tcW w:w="3148" w:type="dxa"/>
            <w:shd w:val="clear" w:color="auto" w:fill="FFFFFF"/>
            <w:vAlign w:val="center"/>
            <w:hideMark/>
          </w:tcPr>
          <w:p w14:paraId="29864FB7" w14:textId="77777777" w:rsidR="00FD6E41" w:rsidRPr="00103D56" w:rsidRDefault="00FD6E41" w:rsidP="001C5897">
            <w:pPr>
              <w:jc w:val="right"/>
              <w:rPr>
                <w:rFonts w:ascii="Calibri" w:hAnsi="Calibri" w:cs="Calibri"/>
                <w:sz w:val="22"/>
                <w:szCs w:val="22"/>
                <w:lang w:eastAsia="en-IE"/>
              </w:rPr>
            </w:pPr>
          </w:p>
        </w:tc>
        <w:tc>
          <w:tcPr>
            <w:tcW w:w="1134" w:type="dxa"/>
            <w:shd w:val="clear" w:color="auto" w:fill="FFFF00"/>
          </w:tcPr>
          <w:p w14:paraId="20ACDA3A"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sz w:val="22"/>
                <w:szCs w:val="22"/>
              </w:rPr>
              <w:t>187.7</w:t>
            </w:r>
          </w:p>
        </w:tc>
        <w:tc>
          <w:tcPr>
            <w:tcW w:w="1134" w:type="dxa"/>
            <w:shd w:val="clear" w:color="auto" w:fill="FFFFFF"/>
            <w:vAlign w:val="center"/>
          </w:tcPr>
          <w:p w14:paraId="223CA622"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eastAsia="Calibri" w:hAnsi="Calibri" w:cs="Calibri"/>
                <w:sz w:val="22"/>
                <w:szCs w:val="22"/>
                <w:lang w:eastAsia="en-IE"/>
              </w:rPr>
              <w:t>209.1</w:t>
            </w:r>
          </w:p>
        </w:tc>
      </w:tr>
      <w:tr w:rsidR="00FD6E41" w:rsidRPr="00135F6B" w14:paraId="0A1A3AE6" w14:textId="77777777" w:rsidTr="00F72676">
        <w:trPr>
          <w:trHeight w:val="249"/>
        </w:trPr>
        <w:tc>
          <w:tcPr>
            <w:tcW w:w="261" w:type="dxa"/>
            <w:shd w:val="clear" w:color="auto" w:fill="FFFFFF"/>
            <w:noWrap/>
            <w:vAlign w:val="bottom"/>
            <w:hideMark/>
          </w:tcPr>
          <w:p w14:paraId="1A36260E"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2A5EB683"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 xml:space="preserve">Intangible assets </w:t>
            </w:r>
          </w:p>
        </w:tc>
        <w:tc>
          <w:tcPr>
            <w:tcW w:w="3148" w:type="dxa"/>
            <w:shd w:val="clear" w:color="auto" w:fill="FFFFFF"/>
            <w:vAlign w:val="center"/>
            <w:hideMark/>
          </w:tcPr>
          <w:p w14:paraId="0E8C87C0"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40408127"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color w:val="000000"/>
                <w:sz w:val="22"/>
                <w:szCs w:val="22"/>
              </w:rPr>
              <w:t>146.4</w:t>
            </w:r>
          </w:p>
        </w:tc>
        <w:tc>
          <w:tcPr>
            <w:tcW w:w="1134" w:type="dxa"/>
            <w:shd w:val="clear" w:color="auto" w:fill="FFFFFF"/>
            <w:vAlign w:val="center"/>
          </w:tcPr>
          <w:p w14:paraId="05A79C0C"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eastAsia="Calibri" w:hAnsi="Calibri" w:cs="Calibri"/>
                <w:sz w:val="22"/>
                <w:szCs w:val="22"/>
                <w:lang w:eastAsia="en-IE"/>
              </w:rPr>
              <w:t>146.4</w:t>
            </w:r>
          </w:p>
        </w:tc>
      </w:tr>
      <w:tr w:rsidR="00FD6E41" w:rsidRPr="00135F6B" w14:paraId="5D780F30" w14:textId="77777777" w:rsidTr="00F72676">
        <w:trPr>
          <w:trHeight w:val="249"/>
        </w:trPr>
        <w:tc>
          <w:tcPr>
            <w:tcW w:w="261" w:type="dxa"/>
            <w:shd w:val="clear" w:color="auto" w:fill="FFFFFF"/>
            <w:noWrap/>
            <w:vAlign w:val="bottom"/>
            <w:hideMark/>
          </w:tcPr>
          <w:p w14:paraId="2B52486C"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0EB119ED"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Derivative financial instruments</w:t>
            </w:r>
          </w:p>
        </w:tc>
        <w:tc>
          <w:tcPr>
            <w:tcW w:w="3148" w:type="dxa"/>
            <w:shd w:val="clear" w:color="auto" w:fill="FFFFFF"/>
            <w:vAlign w:val="center"/>
            <w:hideMark/>
          </w:tcPr>
          <w:p w14:paraId="3B3C3F89" w14:textId="77777777" w:rsidR="00FD6E41" w:rsidRPr="00103D56" w:rsidRDefault="00FD6E41" w:rsidP="001C5897">
            <w:pPr>
              <w:jc w:val="right"/>
              <w:rPr>
                <w:rFonts w:ascii="Calibri" w:hAnsi="Calibri" w:cs="Calibri"/>
                <w:b/>
                <w:bCs/>
                <w:color w:val="000000"/>
                <w:sz w:val="22"/>
                <w:szCs w:val="22"/>
                <w:lang w:eastAsia="en-IE"/>
              </w:rPr>
            </w:pPr>
            <w:r w:rsidRPr="00103D56">
              <w:rPr>
                <w:rFonts w:ascii="Calibri" w:hAnsi="Calibri" w:cs="Calibri"/>
                <w:b/>
                <w:bCs/>
                <w:color w:val="000000"/>
                <w:sz w:val="22"/>
                <w:szCs w:val="22"/>
                <w:lang w:eastAsia="en-IE"/>
              </w:rPr>
              <w:t>10</w:t>
            </w:r>
          </w:p>
        </w:tc>
        <w:tc>
          <w:tcPr>
            <w:tcW w:w="1134" w:type="dxa"/>
            <w:shd w:val="clear" w:color="auto" w:fill="FFFF00"/>
          </w:tcPr>
          <w:p w14:paraId="115E4B94" w14:textId="77777777" w:rsidR="00FD6E41" w:rsidRPr="00103D56" w:rsidRDefault="00FD6E41" w:rsidP="00F72676">
            <w:pPr>
              <w:ind w:left="-45" w:right="27" w:firstLine="45"/>
              <w:jc w:val="right"/>
              <w:rPr>
                <w:rFonts w:ascii="Calibri" w:hAnsi="Calibri" w:cs="Calibri"/>
                <w:b/>
                <w:bCs/>
                <w:color w:val="000000"/>
                <w:sz w:val="22"/>
                <w:szCs w:val="22"/>
                <w:lang w:eastAsia="en-IE"/>
              </w:rPr>
            </w:pPr>
            <w:r w:rsidRPr="00103D56">
              <w:rPr>
                <w:rFonts w:ascii="Calibri" w:hAnsi="Calibri" w:cs="Calibri"/>
                <w:b/>
                <w:bCs/>
                <w:color w:val="000000"/>
                <w:sz w:val="22"/>
                <w:szCs w:val="22"/>
              </w:rPr>
              <w:t>110.1</w:t>
            </w:r>
          </w:p>
        </w:tc>
        <w:tc>
          <w:tcPr>
            <w:tcW w:w="1134" w:type="dxa"/>
            <w:shd w:val="clear" w:color="auto" w:fill="FFFFFF"/>
            <w:vAlign w:val="center"/>
          </w:tcPr>
          <w:p w14:paraId="69863A50"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54.6</w:t>
            </w:r>
          </w:p>
        </w:tc>
      </w:tr>
      <w:tr w:rsidR="00FD6E41" w:rsidRPr="00135F6B" w14:paraId="7C3305BA" w14:textId="77777777" w:rsidTr="00F72676">
        <w:trPr>
          <w:trHeight w:val="249"/>
        </w:trPr>
        <w:tc>
          <w:tcPr>
            <w:tcW w:w="261" w:type="dxa"/>
            <w:shd w:val="clear" w:color="auto" w:fill="FFFFFF"/>
            <w:noWrap/>
            <w:vAlign w:val="bottom"/>
            <w:hideMark/>
          </w:tcPr>
          <w:p w14:paraId="61EB9581"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25D35360"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Deferred tax</w:t>
            </w:r>
          </w:p>
        </w:tc>
        <w:tc>
          <w:tcPr>
            <w:tcW w:w="3148" w:type="dxa"/>
            <w:shd w:val="clear" w:color="auto" w:fill="FFFFFF"/>
            <w:vAlign w:val="center"/>
            <w:hideMark/>
          </w:tcPr>
          <w:p w14:paraId="373257BA" w14:textId="77777777" w:rsidR="00FD6E41" w:rsidRPr="00103D56" w:rsidRDefault="00FD6E41" w:rsidP="001C5897">
            <w:pPr>
              <w:rPr>
                <w:rFonts w:ascii="Calibri" w:hAnsi="Calibri" w:cs="Calibri"/>
                <w:sz w:val="22"/>
                <w:szCs w:val="22"/>
                <w:lang w:eastAsia="en-IE"/>
              </w:rPr>
            </w:pPr>
          </w:p>
        </w:tc>
        <w:tc>
          <w:tcPr>
            <w:tcW w:w="1134" w:type="dxa"/>
            <w:tcBorders>
              <w:left w:val="nil"/>
              <w:right w:val="nil"/>
            </w:tcBorders>
            <w:shd w:val="clear" w:color="auto" w:fill="FFFF00"/>
          </w:tcPr>
          <w:p w14:paraId="215C49D9"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sz w:val="22"/>
                <w:szCs w:val="22"/>
              </w:rPr>
              <w:t>5.8</w:t>
            </w:r>
          </w:p>
        </w:tc>
        <w:tc>
          <w:tcPr>
            <w:tcW w:w="1134" w:type="dxa"/>
            <w:tcBorders>
              <w:top w:val="nil"/>
              <w:left w:val="nil"/>
              <w:right w:val="nil"/>
            </w:tcBorders>
            <w:shd w:val="clear" w:color="auto" w:fill="FFFFFF"/>
            <w:vAlign w:val="center"/>
          </w:tcPr>
          <w:p w14:paraId="6C89C40D"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eastAsia="Calibri" w:hAnsi="Calibri" w:cs="Calibri"/>
                <w:sz w:val="22"/>
                <w:szCs w:val="22"/>
                <w:lang w:eastAsia="en-IE"/>
              </w:rPr>
              <w:t>6.6</w:t>
            </w:r>
          </w:p>
        </w:tc>
      </w:tr>
      <w:tr w:rsidR="00FD6E41" w:rsidRPr="00135F6B" w14:paraId="57D88C1D" w14:textId="77777777" w:rsidTr="00F72676">
        <w:trPr>
          <w:trHeight w:val="249"/>
        </w:trPr>
        <w:tc>
          <w:tcPr>
            <w:tcW w:w="261" w:type="dxa"/>
            <w:shd w:val="clear" w:color="auto" w:fill="FFFFFF"/>
            <w:noWrap/>
            <w:vAlign w:val="bottom"/>
          </w:tcPr>
          <w:p w14:paraId="4C6FBD0F"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tcPr>
          <w:p w14:paraId="75B4D877"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Other assets</w:t>
            </w:r>
          </w:p>
        </w:tc>
        <w:tc>
          <w:tcPr>
            <w:tcW w:w="3148" w:type="dxa"/>
            <w:shd w:val="clear" w:color="auto" w:fill="FFFFFF"/>
            <w:vAlign w:val="center"/>
          </w:tcPr>
          <w:p w14:paraId="35E13C46" w14:textId="77777777" w:rsidR="00FD6E41" w:rsidRPr="00103D56" w:rsidRDefault="00FD6E41" w:rsidP="001C5897">
            <w:pPr>
              <w:rPr>
                <w:rFonts w:ascii="Calibri" w:hAnsi="Calibri" w:cs="Calibri"/>
                <w:sz w:val="22"/>
                <w:szCs w:val="22"/>
                <w:lang w:eastAsia="en-IE"/>
              </w:rPr>
            </w:pPr>
          </w:p>
        </w:tc>
        <w:tc>
          <w:tcPr>
            <w:tcW w:w="1134" w:type="dxa"/>
            <w:tcBorders>
              <w:left w:val="nil"/>
              <w:bottom w:val="single" w:sz="8" w:space="0" w:color="auto"/>
              <w:right w:val="nil"/>
            </w:tcBorders>
            <w:shd w:val="clear" w:color="auto" w:fill="FFFF00"/>
          </w:tcPr>
          <w:p w14:paraId="1CD22AC4"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color w:val="000000"/>
                <w:sz w:val="22"/>
                <w:szCs w:val="22"/>
              </w:rPr>
              <w:t>200.4</w:t>
            </w:r>
          </w:p>
        </w:tc>
        <w:tc>
          <w:tcPr>
            <w:tcW w:w="1134" w:type="dxa"/>
            <w:tcBorders>
              <w:left w:val="nil"/>
              <w:bottom w:val="single" w:sz="8" w:space="0" w:color="auto"/>
              <w:right w:val="nil"/>
            </w:tcBorders>
            <w:shd w:val="clear" w:color="auto" w:fill="FFFFFF"/>
            <w:vAlign w:val="center"/>
          </w:tcPr>
          <w:p w14:paraId="45BF52CE" w14:textId="77777777" w:rsidR="00FD6E41" w:rsidRPr="00103D56" w:rsidRDefault="00FD6E41" w:rsidP="00F72676">
            <w:pPr>
              <w:ind w:right="33" w:hanging="111"/>
              <w:jc w:val="right"/>
              <w:rPr>
                <w:rFonts w:ascii="Calibri" w:eastAsia="Calibri" w:hAnsi="Calibri" w:cs="Calibri"/>
                <w:sz w:val="22"/>
                <w:szCs w:val="22"/>
                <w:lang w:eastAsia="en-IE"/>
              </w:rPr>
            </w:pPr>
            <w:r w:rsidRPr="00103D56">
              <w:rPr>
                <w:rFonts w:ascii="Calibri" w:eastAsia="Calibri" w:hAnsi="Calibri" w:cs="Calibri"/>
                <w:sz w:val="22"/>
                <w:szCs w:val="22"/>
                <w:lang w:eastAsia="en-IE"/>
              </w:rPr>
              <w:t>168.9</w:t>
            </w:r>
          </w:p>
        </w:tc>
      </w:tr>
      <w:tr w:rsidR="00FD6E41" w:rsidRPr="00135F6B" w14:paraId="7E3BEE99" w14:textId="77777777" w:rsidTr="00F72676">
        <w:trPr>
          <w:trHeight w:val="249"/>
        </w:trPr>
        <w:tc>
          <w:tcPr>
            <w:tcW w:w="261" w:type="dxa"/>
            <w:shd w:val="clear" w:color="auto" w:fill="FFFFFF"/>
            <w:noWrap/>
            <w:vAlign w:val="bottom"/>
            <w:hideMark/>
          </w:tcPr>
          <w:p w14:paraId="2984283A"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4E07FDEE"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Total non-current assets</w:t>
            </w:r>
          </w:p>
        </w:tc>
        <w:tc>
          <w:tcPr>
            <w:tcW w:w="3148" w:type="dxa"/>
            <w:shd w:val="clear" w:color="auto" w:fill="FFFFFF"/>
            <w:vAlign w:val="center"/>
            <w:hideMark/>
          </w:tcPr>
          <w:p w14:paraId="23A56A88" w14:textId="77777777" w:rsidR="00FD6E41" w:rsidRPr="00103D56" w:rsidRDefault="00FD6E41" w:rsidP="001C5897">
            <w:pPr>
              <w:rPr>
                <w:rFonts w:ascii="Calibri" w:hAnsi="Calibri" w:cs="Calibri"/>
                <w:b/>
                <w:bCs/>
                <w:sz w:val="22"/>
                <w:szCs w:val="22"/>
                <w:lang w:eastAsia="en-IE"/>
              </w:rPr>
            </w:pPr>
          </w:p>
        </w:tc>
        <w:tc>
          <w:tcPr>
            <w:tcW w:w="1134" w:type="dxa"/>
            <w:tcBorders>
              <w:top w:val="nil"/>
              <w:left w:val="nil"/>
              <w:bottom w:val="single" w:sz="8" w:space="0" w:color="auto"/>
              <w:right w:val="nil"/>
            </w:tcBorders>
            <w:shd w:val="clear" w:color="auto" w:fill="FFFF00"/>
          </w:tcPr>
          <w:p w14:paraId="1BF4996F" w14:textId="77777777" w:rsidR="00FD6E41" w:rsidRPr="00103D56" w:rsidRDefault="00FD6E41" w:rsidP="00F72676">
            <w:pPr>
              <w:ind w:left="-45" w:right="27" w:firstLine="45"/>
              <w:jc w:val="right"/>
              <w:rPr>
                <w:rFonts w:ascii="Calibri" w:hAnsi="Calibri" w:cs="Calibri"/>
                <w:b/>
                <w:bCs/>
                <w:color w:val="000000"/>
                <w:sz w:val="22"/>
                <w:szCs w:val="22"/>
                <w:lang w:eastAsia="en-IE"/>
              </w:rPr>
            </w:pPr>
            <w:r w:rsidRPr="00103D56">
              <w:rPr>
                <w:rFonts w:ascii="Calibri" w:hAnsi="Calibri" w:cs="Calibri"/>
                <w:b/>
                <w:bCs/>
                <w:color w:val="000000"/>
                <w:sz w:val="22"/>
                <w:szCs w:val="22"/>
              </w:rPr>
              <w:t>10,969.6</w:t>
            </w:r>
          </w:p>
        </w:tc>
        <w:tc>
          <w:tcPr>
            <w:tcW w:w="1134" w:type="dxa"/>
            <w:tcBorders>
              <w:top w:val="nil"/>
              <w:left w:val="nil"/>
              <w:bottom w:val="single" w:sz="8" w:space="0" w:color="auto"/>
              <w:right w:val="nil"/>
            </w:tcBorders>
            <w:shd w:val="clear" w:color="auto" w:fill="FFFFFF"/>
            <w:vAlign w:val="center"/>
          </w:tcPr>
          <w:p w14:paraId="11AEE961"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10,494.5</w:t>
            </w:r>
          </w:p>
        </w:tc>
      </w:tr>
      <w:tr w:rsidR="00FD6E41" w:rsidRPr="00135F6B" w14:paraId="7E596C4A" w14:textId="77777777" w:rsidTr="00F72676">
        <w:trPr>
          <w:trHeight w:val="249"/>
        </w:trPr>
        <w:tc>
          <w:tcPr>
            <w:tcW w:w="261" w:type="dxa"/>
            <w:shd w:val="clear" w:color="auto" w:fill="FFFFFF"/>
            <w:noWrap/>
            <w:vAlign w:val="bottom"/>
            <w:hideMark/>
          </w:tcPr>
          <w:p w14:paraId="5C3D64E8"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3A5505E7" w14:textId="77777777" w:rsidR="00FD6E41" w:rsidRPr="00103D56" w:rsidRDefault="00FD6E41" w:rsidP="00FD6E41">
            <w:pPr>
              <w:ind w:left="60"/>
              <w:jc w:val="right"/>
              <w:rPr>
                <w:rFonts w:ascii="Calibri" w:hAnsi="Calibri" w:cs="Calibri"/>
                <w:b/>
                <w:bCs/>
                <w:sz w:val="22"/>
                <w:szCs w:val="22"/>
                <w:lang w:eastAsia="en-IE"/>
              </w:rPr>
            </w:pPr>
            <w:r w:rsidRPr="00103D56">
              <w:rPr>
                <w:rFonts w:ascii="Calibri" w:hAnsi="Calibri" w:cs="Calibri"/>
                <w:b/>
                <w:bCs/>
                <w:sz w:val="22"/>
                <w:szCs w:val="22"/>
                <w:lang w:eastAsia="en-IE"/>
              </w:rPr>
              <w:t> </w:t>
            </w:r>
          </w:p>
        </w:tc>
        <w:tc>
          <w:tcPr>
            <w:tcW w:w="3148" w:type="dxa"/>
            <w:shd w:val="clear" w:color="auto" w:fill="FFFFFF"/>
            <w:vAlign w:val="center"/>
            <w:hideMark/>
          </w:tcPr>
          <w:p w14:paraId="6AD03ECA" w14:textId="77777777" w:rsidR="00FD6E41" w:rsidRPr="00103D56" w:rsidRDefault="00FD6E41" w:rsidP="001C5897">
            <w:pPr>
              <w:rPr>
                <w:rFonts w:ascii="Calibri" w:hAnsi="Calibri" w:cs="Calibri"/>
                <w:b/>
                <w:bCs/>
                <w:sz w:val="22"/>
                <w:szCs w:val="22"/>
                <w:lang w:eastAsia="en-IE"/>
              </w:rPr>
            </w:pPr>
          </w:p>
        </w:tc>
        <w:tc>
          <w:tcPr>
            <w:tcW w:w="1134" w:type="dxa"/>
            <w:tcBorders>
              <w:top w:val="single" w:sz="8" w:space="0" w:color="auto"/>
            </w:tcBorders>
            <w:shd w:val="clear" w:color="auto" w:fill="FFFF00"/>
            <w:hideMark/>
          </w:tcPr>
          <w:p w14:paraId="5205BD59" w14:textId="77777777" w:rsidR="00FD6E41" w:rsidRPr="00103D56" w:rsidRDefault="00FD6E41" w:rsidP="00F72676">
            <w:pPr>
              <w:ind w:left="-45" w:right="27" w:firstLine="45"/>
              <w:jc w:val="right"/>
              <w:rPr>
                <w:rFonts w:ascii="Calibri" w:eastAsia="Calibri" w:hAnsi="Calibri" w:cs="Calibri"/>
                <w:b/>
                <w:bCs/>
                <w:sz w:val="22"/>
                <w:szCs w:val="22"/>
                <w:u w:val="single"/>
                <w:lang w:eastAsia="en-IE"/>
              </w:rPr>
            </w:pPr>
          </w:p>
        </w:tc>
        <w:tc>
          <w:tcPr>
            <w:tcW w:w="1134" w:type="dxa"/>
            <w:shd w:val="clear" w:color="auto" w:fill="FFFFFF"/>
            <w:vAlign w:val="center"/>
          </w:tcPr>
          <w:p w14:paraId="413DE3D0" w14:textId="77777777" w:rsidR="00FD6E41" w:rsidRPr="00103D56" w:rsidRDefault="00FD6E41" w:rsidP="00F72676">
            <w:pPr>
              <w:ind w:right="33" w:hanging="111"/>
              <w:rPr>
                <w:rFonts w:ascii="Calibri" w:eastAsia="Calibri" w:hAnsi="Calibri" w:cs="Calibri"/>
                <w:sz w:val="22"/>
                <w:szCs w:val="22"/>
                <w:lang w:eastAsia="en-IE"/>
              </w:rPr>
            </w:pPr>
          </w:p>
        </w:tc>
      </w:tr>
      <w:tr w:rsidR="00FD6E41" w:rsidRPr="00135F6B" w14:paraId="155A5478" w14:textId="77777777" w:rsidTr="00F72676">
        <w:trPr>
          <w:trHeight w:val="249"/>
        </w:trPr>
        <w:tc>
          <w:tcPr>
            <w:tcW w:w="261" w:type="dxa"/>
            <w:shd w:val="clear" w:color="auto" w:fill="FFFFFF"/>
            <w:noWrap/>
            <w:vAlign w:val="bottom"/>
            <w:hideMark/>
          </w:tcPr>
          <w:p w14:paraId="479C48E5"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51A55654"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Current assets</w:t>
            </w:r>
          </w:p>
        </w:tc>
        <w:tc>
          <w:tcPr>
            <w:tcW w:w="3148" w:type="dxa"/>
            <w:shd w:val="clear" w:color="auto" w:fill="FFFFFF"/>
            <w:vAlign w:val="center"/>
            <w:hideMark/>
          </w:tcPr>
          <w:p w14:paraId="4EEDA5E3" w14:textId="77777777" w:rsidR="00FD6E41" w:rsidRPr="00103D56" w:rsidRDefault="00FD6E41" w:rsidP="001C5897">
            <w:pPr>
              <w:rPr>
                <w:rFonts w:ascii="Calibri" w:hAnsi="Calibri" w:cs="Calibri"/>
                <w:b/>
                <w:bCs/>
                <w:sz w:val="22"/>
                <w:szCs w:val="22"/>
                <w:lang w:eastAsia="en-IE"/>
              </w:rPr>
            </w:pPr>
          </w:p>
        </w:tc>
        <w:tc>
          <w:tcPr>
            <w:tcW w:w="1134" w:type="dxa"/>
            <w:shd w:val="clear" w:color="auto" w:fill="FFFF00"/>
            <w:hideMark/>
          </w:tcPr>
          <w:p w14:paraId="0E01D959" w14:textId="77777777" w:rsidR="00FD6E41" w:rsidRPr="00103D56" w:rsidRDefault="00FD6E41" w:rsidP="00F72676">
            <w:pPr>
              <w:ind w:left="-45" w:right="27" w:firstLine="45"/>
              <w:rPr>
                <w:rFonts w:ascii="Calibri" w:eastAsia="Calibri" w:hAnsi="Calibri" w:cs="Calibri"/>
                <w:b/>
                <w:bCs/>
                <w:sz w:val="22"/>
                <w:szCs w:val="22"/>
                <w:u w:val="single"/>
                <w:lang w:eastAsia="en-IE"/>
              </w:rPr>
            </w:pPr>
          </w:p>
        </w:tc>
        <w:tc>
          <w:tcPr>
            <w:tcW w:w="1134" w:type="dxa"/>
            <w:shd w:val="clear" w:color="auto" w:fill="FFFFFF"/>
            <w:vAlign w:val="center"/>
          </w:tcPr>
          <w:p w14:paraId="77FBE3AD" w14:textId="77777777" w:rsidR="00FD6E41" w:rsidRPr="00103D56" w:rsidRDefault="00FD6E41" w:rsidP="00F72676">
            <w:pPr>
              <w:ind w:right="33" w:hanging="111"/>
              <w:rPr>
                <w:rFonts w:ascii="Calibri" w:eastAsia="Calibri" w:hAnsi="Calibri" w:cs="Calibri"/>
                <w:sz w:val="22"/>
                <w:szCs w:val="22"/>
                <w:lang w:eastAsia="en-IE"/>
              </w:rPr>
            </w:pPr>
          </w:p>
        </w:tc>
      </w:tr>
      <w:tr w:rsidR="00FD6E41" w:rsidRPr="00135F6B" w14:paraId="513C804B" w14:textId="77777777" w:rsidTr="00F72676">
        <w:trPr>
          <w:trHeight w:val="249"/>
        </w:trPr>
        <w:tc>
          <w:tcPr>
            <w:tcW w:w="261" w:type="dxa"/>
            <w:shd w:val="clear" w:color="auto" w:fill="FFFFFF"/>
            <w:noWrap/>
            <w:vAlign w:val="bottom"/>
            <w:hideMark/>
          </w:tcPr>
          <w:p w14:paraId="4567335F"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232A8AB2"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Inventories</w:t>
            </w:r>
          </w:p>
        </w:tc>
        <w:tc>
          <w:tcPr>
            <w:tcW w:w="3148" w:type="dxa"/>
            <w:shd w:val="clear" w:color="auto" w:fill="FFFFFF"/>
            <w:vAlign w:val="center"/>
            <w:hideMark/>
          </w:tcPr>
          <w:p w14:paraId="32179792"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4E1E8BC3"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color w:val="000000"/>
                <w:sz w:val="22"/>
                <w:szCs w:val="22"/>
              </w:rPr>
              <w:t>5.7</w:t>
            </w:r>
          </w:p>
        </w:tc>
        <w:tc>
          <w:tcPr>
            <w:tcW w:w="1134" w:type="dxa"/>
            <w:shd w:val="clear" w:color="auto" w:fill="FFFFFF"/>
            <w:vAlign w:val="center"/>
          </w:tcPr>
          <w:p w14:paraId="04E49BDF"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eastAsia="Calibri" w:hAnsi="Calibri" w:cs="Calibri"/>
                <w:sz w:val="22"/>
                <w:szCs w:val="22"/>
                <w:lang w:eastAsia="en-IE"/>
              </w:rPr>
              <w:t>6.0</w:t>
            </w:r>
          </w:p>
        </w:tc>
      </w:tr>
      <w:tr w:rsidR="00FD6E41" w:rsidRPr="00135F6B" w14:paraId="4D41F9FB" w14:textId="77777777" w:rsidTr="00F72676">
        <w:trPr>
          <w:trHeight w:val="249"/>
        </w:trPr>
        <w:tc>
          <w:tcPr>
            <w:tcW w:w="261" w:type="dxa"/>
            <w:shd w:val="clear" w:color="auto" w:fill="FFFFFF"/>
            <w:noWrap/>
            <w:vAlign w:val="bottom"/>
            <w:hideMark/>
          </w:tcPr>
          <w:p w14:paraId="1912A5A0"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7B689F92"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Other assets</w:t>
            </w:r>
          </w:p>
        </w:tc>
        <w:tc>
          <w:tcPr>
            <w:tcW w:w="3148" w:type="dxa"/>
            <w:shd w:val="clear" w:color="auto" w:fill="FFFFFF"/>
            <w:vAlign w:val="center"/>
            <w:hideMark/>
          </w:tcPr>
          <w:p w14:paraId="77BEA9EF"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688A2670"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color w:val="000000"/>
                <w:sz w:val="22"/>
                <w:szCs w:val="22"/>
              </w:rPr>
              <w:t>1,074.4</w:t>
            </w:r>
          </w:p>
        </w:tc>
        <w:tc>
          <w:tcPr>
            <w:tcW w:w="1134" w:type="dxa"/>
            <w:shd w:val="clear" w:color="auto" w:fill="FFFFFF"/>
            <w:vAlign w:val="center"/>
          </w:tcPr>
          <w:p w14:paraId="16F19731"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eastAsia="Calibri" w:hAnsi="Calibri" w:cs="Calibri"/>
                <w:sz w:val="22"/>
                <w:szCs w:val="22"/>
                <w:lang w:eastAsia="en-IE"/>
              </w:rPr>
              <w:t>878.6</w:t>
            </w:r>
          </w:p>
        </w:tc>
      </w:tr>
      <w:tr w:rsidR="00FD6E41" w:rsidRPr="00135F6B" w14:paraId="6B909DCD" w14:textId="77777777" w:rsidTr="00F72676">
        <w:trPr>
          <w:trHeight w:val="249"/>
        </w:trPr>
        <w:tc>
          <w:tcPr>
            <w:tcW w:w="261" w:type="dxa"/>
            <w:shd w:val="clear" w:color="auto" w:fill="FFFFFF"/>
            <w:noWrap/>
            <w:vAlign w:val="bottom"/>
            <w:hideMark/>
          </w:tcPr>
          <w:p w14:paraId="77200173"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21E48EDE"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Trade receivables</w:t>
            </w:r>
          </w:p>
        </w:tc>
        <w:tc>
          <w:tcPr>
            <w:tcW w:w="3148" w:type="dxa"/>
            <w:shd w:val="clear" w:color="auto" w:fill="FFFFFF"/>
            <w:hideMark/>
          </w:tcPr>
          <w:p w14:paraId="58499850" w14:textId="77777777" w:rsidR="00FD6E41" w:rsidRPr="00103D56" w:rsidRDefault="00FD6E41" w:rsidP="001C5897">
            <w:pPr>
              <w:jc w:val="right"/>
              <w:rPr>
                <w:rFonts w:ascii="Calibri" w:hAnsi="Calibri" w:cs="Calibri"/>
                <w:sz w:val="22"/>
                <w:szCs w:val="22"/>
                <w:lang w:eastAsia="en-IE"/>
              </w:rPr>
            </w:pPr>
            <w:r w:rsidRPr="00103D56">
              <w:rPr>
                <w:rFonts w:ascii="Calibri" w:hAnsi="Calibri" w:cs="Calibri"/>
                <w:b/>
                <w:bCs/>
                <w:color w:val="000000"/>
                <w:sz w:val="22"/>
                <w:szCs w:val="22"/>
                <w:lang w:eastAsia="en-IE"/>
              </w:rPr>
              <w:t>10</w:t>
            </w:r>
          </w:p>
        </w:tc>
        <w:tc>
          <w:tcPr>
            <w:tcW w:w="1134" w:type="dxa"/>
            <w:shd w:val="clear" w:color="auto" w:fill="FFFF00"/>
          </w:tcPr>
          <w:p w14:paraId="1A6521B6"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color w:val="000000"/>
                <w:sz w:val="22"/>
                <w:szCs w:val="22"/>
              </w:rPr>
              <w:t>68.3</w:t>
            </w:r>
          </w:p>
        </w:tc>
        <w:tc>
          <w:tcPr>
            <w:tcW w:w="1134" w:type="dxa"/>
            <w:shd w:val="clear" w:color="auto" w:fill="FFFFFF"/>
            <w:vAlign w:val="center"/>
          </w:tcPr>
          <w:p w14:paraId="34CB0521"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eastAsia="Calibri" w:hAnsi="Calibri" w:cs="Calibri"/>
                <w:sz w:val="22"/>
                <w:szCs w:val="22"/>
                <w:lang w:eastAsia="en-IE"/>
              </w:rPr>
              <w:t>59.7</w:t>
            </w:r>
          </w:p>
        </w:tc>
      </w:tr>
      <w:tr w:rsidR="00FD6E41" w:rsidRPr="00135F6B" w14:paraId="5D313253" w14:textId="77777777" w:rsidTr="00F72676">
        <w:trPr>
          <w:trHeight w:val="249"/>
        </w:trPr>
        <w:tc>
          <w:tcPr>
            <w:tcW w:w="261" w:type="dxa"/>
            <w:shd w:val="clear" w:color="auto" w:fill="FFFFFF"/>
            <w:noWrap/>
            <w:vAlign w:val="bottom"/>
            <w:hideMark/>
          </w:tcPr>
          <w:p w14:paraId="2602A102"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4DE793FB"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Derivative financial instruments</w:t>
            </w:r>
          </w:p>
        </w:tc>
        <w:tc>
          <w:tcPr>
            <w:tcW w:w="3148" w:type="dxa"/>
            <w:shd w:val="clear" w:color="auto" w:fill="FFFFFF"/>
            <w:hideMark/>
          </w:tcPr>
          <w:p w14:paraId="4824DE3F" w14:textId="77777777" w:rsidR="00FD6E41" w:rsidRPr="00103D56" w:rsidRDefault="00FD6E41" w:rsidP="001C5897">
            <w:pPr>
              <w:jc w:val="right"/>
              <w:rPr>
                <w:rFonts w:ascii="Calibri" w:hAnsi="Calibri" w:cs="Calibri"/>
                <w:b/>
                <w:bCs/>
                <w:color w:val="000000"/>
                <w:sz w:val="22"/>
                <w:szCs w:val="22"/>
                <w:lang w:eastAsia="en-IE"/>
              </w:rPr>
            </w:pPr>
            <w:r w:rsidRPr="00103D56">
              <w:rPr>
                <w:rFonts w:ascii="Calibri" w:hAnsi="Calibri" w:cs="Calibri"/>
                <w:b/>
                <w:bCs/>
                <w:color w:val="000000"/>
                <w:sz w:val="22"/>
                <w:szCs w:val="22"/>
                <w:lang w:eastAsia="en-IE"/>
              </w:rPr>
              <w:t>10</w:t>
            </w:r>
          </w:p>
        </w:tc>
        <w:tc>
          <w:tcPr>
            <w:tcW w:w="1134" w:type="dxa"/>
            <w:tcBorders>
              <w:left w:val="nil"/>
              <w:bottom w:val="single" w:sz="12" w:space="0" w:color="auto"/>
              <w:right w:val="nil"/>
            </w:tcBorders>
            <w:shd w:val="clear" w:color="auto" w:fill="FFFF00"/>
          </w:tcPr>
          <w:p w14:paraId="496EFD77" w14:textId="77777777" w:rsidR="00FD6E41" w:rsidRPr="00103D56" w:rsidRDefault="00FD6E41" w:rsidP="00F72676">
            <w:pPr>
              <w:ind w:left="-45" w:right="27" w:firstLine="45"/>
              <w:jc w:val="right"/>
              <w:rPr>
                <w:rFonts w:ascii="Calibri" w:hAnsi="Calibri" w:cs="Calibri"/>
                <w:b/>
                <w:bCs/>
                <w:color w:val="000000"/>
                <w:sz w:val="22"/>
                <w:szCs w:val="22"/>
                <w:lang w:eastAsia="en-IE"/>
              </w:rPr>
            </w:pPr>
            <w:r w:rsidRPr="00103D56">
              <w:rPr>
                <w:rFonts w:ascii="Calibri" w:hAnsi="Calibri" w:cs="Calibri"/>
                <w:b/>
                <w:bCs/>
                <w:color w:val="000000"/>
                <w:sz w:val="22"/>
                <w:szCs w:val="22"/>
              </w:rPr>
              <w:t>605.4</w:t>
            </w:r>
          </w:p>
        </w:tc>
        <w:tc>
          <w:tcPr>
            <w:tcW w:w="1134" w:type="dxa"/>
            <w:tcBorders>
              <w:top w:val="nil"/>
              <w:left w:val="nil"/>
              <w:bottom w:val="single" w:sz="12" w:space="0" w:color="auto"/>
              <w:right w:val="nil"/>
            </w:tcBorders>
            <w:shd w:val="clear" w:color="auto" w:fill="FFFFFF"/>
            <w:vAlign w:val="center"/>
          </w:tcPr>
          <w:p w14:paraId="41FE8B42"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292.1</w:t>
            </w:r>
          </w:p>
        </w:tc>
      </w:tr>
      <w:tr w:rsidR="00F72676" w:rsidRPr="00135F6B" w14:paraId="1FBA2B68" w14:textId="77777777" w:rsidTr="00F72676">
        <w:trPr>
          <w:trHeight w:val="249"/>
        </w:trPr>
        <w:tc>
          <w:tcPr>
            <w:tcW w:w="261" w:type="dxa"/>
            <w:shd w:val="clear" w:color="auto" w:fill="FFFFFF"/>
            <w:noWrap/>
            <w:vAlign w:val="bottom"/>
            <w:hideMark/>
          </w:tcPr>
          <w:p w14:paraId="436481B4"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01D0B148"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Restricted cash</w:t>
            </w:r>
          </w:p>
        </w:tc>
        <w:tc>
          <w:tcPr>
            <w:tcW w:w="3148" w:type="dxa"/>
            <w:tcBorders>
              <w:top w:val="nil"/>
              <w:left w:val="nil"/>
              <w:bottom w:val="nil"/>
              <w:right w:val="single" w:sz="12" w:space="0" w:color="auto"/>
            </w:tcBorders>
            <w:shd w:val="clear" w:color="auto" w:fill="FFFFFF"/>
            <w:hideMark/>
          </w:tcPr>
          <w:p w14:paraId="3E2DD74C" w14:textId="77777777" w:rsidR="00FD6E41" w:rsidRPr="00103D56" w:rsidRDefault="00FD6E41" w:rsidP="001C5897">
            <w:pPr>
              <w:jc w:val="right"/>
              <w:rPr>
                <w:rFonts w:ascii="Calibri" w:hAnsi="Calibri" w:cs="Calibri"/>
                <w:sz w:val="22"/>
                <w:szCs w:val="22"/>
                <w:lang w:eastAsia="en-IE"/>
              </w:rPr>
            </w:pPr>
            <w:r w:rsidRPr="00103D56">
              <w:rPr>
                <w:rFonts w:ascii="Calibri" w:hAnsi="Calibri" w:cs="Calibri"/>
                <w:b/>
                <w:bCs/>
                <w:color w:val="000000"/>
                <w:sz w:val="22"/>
                <w:szCs w:val="22"/>
                <w:lang w:eastAsia="en-IE"/>
              </w:rPr>
              <w:t>10</w:t>
            </w:r>
          </w:p>
        </w:tc>
        <w:tc>
          <w:tcPr>
            <w:tcW w:w="1134" w:type="dxa"/>
            <w:tcBorders>
              <w:top w:val="single" w:sz="12" w:space="0" w:color="auto"/>
              <w:left w:val="single" w:sz="12" w:space="0" w:color="auto"/>
            </w:tcBorders>
            <w:shd w:val="clear" w:color="auto" w:fill="FFFF00"/>
          </w:tcPr>
          <w:p w14:paraId="7FA944AB"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color w:val="000000"/>
                <w:sz w:val="22"/>
                <w:szCs w:val="22"/>
              </w:rPr>
              <w:t>19.5</w:t>
            </w:r>
          </w:p>
        </w:tc>
        <w:tc>
          <w:tcPr>
            <w:tcW w:w="1134" w:type="dxa"/>
            <w:tcBorders>
              <w:top w:val="single" w:sz="12" w:space="0" w:color="auto"/>
              <w:left w:val="nil"/>
              <w:bottom w:val="nil"/>
              <w:right w:val="single" w:sz="12" w:space="0" w:color="auto"/>
            </w:tcBorders>
            <w:shd w:val="clear" w:color="auto" w:fill="FFFFFF"/>
            <w:vAlign w:val="center"/>
          </w:tcPr>
          <w:p w14:paraId="1BBC3E99"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eastAsia="Calibri" w:hAnsi="Calibri" w:cs="Calibri"/>
                <w:sz w:val="22"/>
                <w:szCs w:val="22"/>
                <w:lang w:eastAsia="en-IE"/>
              </w:rPr>
              <w:t>19.5</w:t>
            </w:r>
          </w:p>
        </w:tc>
      </w:tr>
      <w:tr w:rsidR="00F72676" w:rsidRPr="00135F6B" w14:paraId="263B91AC" w14:textId="77777777" w:rsidTr="00F72676">
        <w:trPr>
          <w:trHeight w:val="249"/>
        </w:trPr>
        <w:tc>
          <w:tcPr>
            <w:tcW w:w="261" w:type="dxa"/>
            <w:shd w:val="clear" w:color="auto" w:fill="FFFFFF"/>
            <w:noWrap/>
            <w:vAlign w:val="bottom"/>
            <w:hideMark/>
          </w:tcPr>
          <w:p w14:paraId="441FF49F"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18F84850"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Financial assets: cash &gt; 3 months</w:t>
            </w:r>
          </w:p>
        </w:tc>
        <w:tc>
          <w:tcPr>
            <w:tcW w:w="3148" w:type="dxa"/>
            <w:tcBorders>
              <w:top w:val="nil"/>
              <w:left w:val="nil"/>
              <w:bottom w:val="nil"/>
              <w:right w:val="single" w:sz="12" w:space="0" w:color="auto"/>
            </w:tcBorders>
            <w:shd w:val="clear" w:color="auto" w:fill="FFFFFF"/>
            <w:hideMark/>
          </w:tcPr>
          <w:p w14:paraId="07FAE2A8" w14:textId="77777777" w:rsidR="00FD6E41" w:rsidRPr="00103D56" w:rsidRDefault="00FD6E41" w:rsidP="001C5897">
            <w:pPr>
              <w:jc w:val="right"/>
              <w:rPr>
                <w:rFonts w:ascii="Calibri" w:hAnsi="Calibri" w:cs="Calibri"/>
                <w:sz w:val="22"/>
                <w:szCs w:val="22"/>
                <w:lang w:eastAsia="en-IE"/>
              </w:rPr>
            </w:pPr>
            <w:r w:rsidRPr="00103D56">
              <w:rPr>
                <w:rFonts w:ascii="Calibri" w:hAnsi="Calibri" w:cs="Calibri"/>
                <w:b/>
                <w:bCs/>
                <w:color w:val="000000"/>
                <w:sz w:val="22"/>
                <w:szCs w:val="22"/>
                <w:lang w:eastAsia="en-IE"/>
              </w:rPr>
              <w:t>10</w:t>
            </w:r>
          </w:p>
        </w:tc>
        <w:tc>
          <w:tcPr>
            <w:tcW w:w="1134" w:type="dxa"/>
            <w:tcBorders>
              <w:left w:val="single" w:sz="12" w:space="0" w:color="auto"/>
            </w:tcBorders>
            <w:shd w:val="clear" w:color="auto" w:fill="FFFF00"/>
          </w:tcPr>
          <w:p w14:paraId="3ED60659"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color w:val="000000"/>
                <w:sz w:val="22"/>
                <w:szCs w:val="22"/>
              </w:rPr>
              <w:t>364.9</w:t>
            </w:r>
          </w:p>
        </w:tc>
        <w:tc>
          <w:tcPr>
            <w:tcW w:w="1134" w:type="dxa"/>
            <w:tcBorders>
              <w:top w:val="nil"/>
              <w:left w:val="nil"/>
              <w:bottom w:val="nil"/>
              <w:right w:val="single" w:sz="12" w:space="0" w:color="auto"/>
            </w:tcBorders>
            <w:shd w:val="clear" w:color="auto" w:fill="FFFFFF"/>
            <w:vAlign w:val="center"/>
          </w:tcPr>
          <w:p w14:paraId="33BE4A77"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eastAsia="Calibri" w:hAnsi="Calibri" w:cs="Calibri"/>
                <w:sz w:val="22"/>
                <w:szCs w:val="22"/>
                <w:lang w:eastAsia="en-IE"/>
              </w:rPr>
              <w:t>1,056.2</w:t>
            </w:r>
          </w:p>
        </w:tc>
      </w:tr>
      <w:tr w:rsidR="00F72676" w:rsidRPr="00135F6B" w14:paraId="5C82D43D" w14:textId="77777777" w:rsidTr="00F72676">
        <w:trPr>
          <w:trHeight w:val="249"/>
        </w:trPr>
        <w:tc>
          <w:tcPr>
            <w:tcW w:w="261" w:type="dxa"/>
            <w:shd w:val="clear" w:color="auto" w:fill="FFFFFF"/>
            <w:noWrap/>
            <w:vAlign w:val="bottom"/>
            <w:hideMark/>
          </w:tcPr>
          <w:p w14:paraId="5650302D"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5D550D21"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Cash and cash equivalents</w:t>
            </w:r>
          </w:p>
        </w:tc>
        <w:tc>
          <w:tcPr>
            <w:tcW w:w="3148" w:type="dxa"/>
            <w:tcBorders>
              <w:top w:val="nil"/>
              <w:left w:val="nil"/>
              <w:bottom w:val="nil"/>
              <w:right w:val="single" w:sz="12" w:space="0" w:color="auto"/>
            </w:tcBorders>
            <w:shd w:val="clear" w:color="auto" w:fill="FFFFFF"/>
            <w:hideMark/>
          </w:tcPr>
          <w:p w14:paraId="22E5A293" w14:textId="77777777" w:rsidR="00FD6E41" w:rsidRPr="00103D56" w:rsidRDefault="00FD6E41" w:rsidP="001C5897">
            <w:pPr>
              <w:jc w:val="right"/>
              <w:rPr>
                <w:rFonts w:ascii="Calibri" w:hAnsi="Calibri" w:cs="Calibri"/>
                <w:sz w:val="22"/>
                <w:szCs w:val="22"/>
                <w:lang w:eastAsia="en-IE"/>
              </w:rPr>
            </w:pPr>
            <w:r w:rsidRPr="00103D56">
              <w:rPr>
                <w:rFonts w:ascii="Calibri" w:hAnsi="Calibri" w:cs="Calibri"/>
                <w:b/>
                <w:bCs/>
                <w:color w:val="000000"/>
                <w:sz w:val="22"/>
                <w:szCs w:val="22"/>
                <w:lang w:eastAsia="en-IE"/>
              </w:rPr>
              <w:t>10</w:t>
            </w:r>
          </w:p>
        </w:tc>
        <w:tc>
          <w:tcPr>
            <w:tcW w:w="1134" w:type="dxa"/>
            <w:tcBorders>
              <w:left w:val="single" w:sz="12" w:space="0" w:color="auto"/>
              <w:bottom w:val="single" w:sz="12" w:space="0" w:color="auto"/>
              <w:right w:val="nil"/>
            </w:tcBorders>
            <w:shd w:val="clear" w:color="auto" w:fill="FFFF00"/>
          </w:tcPr>
          <w:p w14:paraId="5E9AB758"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color w:val="000000"/>
                <w:sz w:val="22"/>
                <w:szCs w:val="22"/>
              </w:rPr>
              <w:t>3,260.5</w:t>
            </w:r>
          </w:p>
        </w:tc>
        <w:tc>
          <w:tcPr>
            <w:tcW w:w="1134" w:type="dxa"/>
            <w:tcBorders>
              <w:top w:val="nil"/>
              <w:left w:val="nil"/>
              <w:bottom w:val="single" w:sz="12" w:space="0" w:color="auto"/>
              <w:right w:val="single" w:sz="12" w:space="0" w:color="auto"/>
            </w:tcBorders>
            <w:shd w:val="clear" w:color="auto" w:fill="FFFFFF"/>
            <w:vAlign w:val="center"/>
            <w:hideMark/>
          </w:tcPr>
          <w:p w14:paraId="707891EB"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eastAsia="Calibri" w:hAnsi="Calibri" w:cs="Calibri"/>
                <w:sz w:val="22"/>
                <w:szCs w:val="22"/>
                <w:lang w:eastAsia="en-IE"/>
              </w:rPr>
              <w:t>3,599.3</w:t>
            </w:r>
          </w:p>
        </w:tc>
      </w:tr>
      <w:tr w:rsidR="00FD6E41" w:rsidRPr="00135F6B" w14:paraId="6B6C6BD5" w14:textId="77777777" w:rsidTr="00F72676">
        <w:trPr>
          <w:trHeight w:val="249"/>
        </w:trPr>
        <w:tc>
          <w:tcPr>
            <w:tcW w:w="261" w:type="dxa"/>
            <w:shd w:val="clear" w:color="auto" w:fill="FFFFFF"/>
            <w:noWrap/>
            <w:vAlign w:val="bottom"/>
            <w:hideMark/>
          </w:tcPr>
          <w:p w14:paraId="22150958"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1C143F00"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Total current assets</w:t>
            </w:r>
          </w:p>
        </w:tc>
        <w:tc>
          <w:tcPr>
            <w:tcW w:w="3148" w:type="dxa"/>
            <w:shd w:val="clear" w:color="auto" w:fill="FFFFFF"/>
            <w:vAlign w:val="center"/>
            <w:hideMark/>
          </w:tcPr>
          <w:p w14:paraId="4FC1A828" w14:textId="77777777" w:rsidR="00FD6E41" w:rsidRPr="00103D56" w:rsidRDefault="00FD6E41" w:rsidP="001C5897">
            <w:pPr>
              <w:rPr>
                <w:rFonts w:ascii="Calibri" w:hAnsi="Calibri" w:cs="Calibri"/>
                <w:b/>
                <w:bCs/>
                <w:sz w:val="22"/>
                <w:szCs w:val="22"/>
                <w:lang w:eastAsia="en-IE"/>
              </w:rPr>
            </w:pPr>
          </w:p>
        </w:tc>
        <w:tc>
          <w:tcPr>
            <w:tcW w:w="1134" w:type="dxa"/>
            <w:tcBorders>
              <w:top w:val="single" w:sz="12" w:space="0" w:color="auto"/>
              <w:left w:val="nil"/>
              <w:bottom w:val="single" w:sz="8" w:space="0" w:color="auto"/>
              <w:right w:val="nil"/>
            </w:tcBorders>
            <w:shd w:val="clear" w:color="auto" w:fill="FFFF00"/>
          </w:tcPr>
          <w:p w14:paraId="535CF978" w14:textId="77777777" w:rsidR="00FD6E41" w:rsidRPr="00103D56" w:rsidRDefault="00FD6E41" w:rsidP="00F72676">
            <w:pPr>
              <w:ind w:left="-45" w:right="27" w:firstLine="45"/>
              <w:jc w:val="right"/>
              <w:rPr>
                <w:rFonts w:ascii="Calibri" w:hAnsi="Calibri" w:cs="Calibri"/>
                <w:b/>
                <w:bCs/>
                <w:color w:val="000000"/>
                <w:sz w:val="22"/>
                <w:szCs w:val="22"/>
                <w:lang w:eastAsia="en-IE"/>
              </w:rPr>
            </w:pPr>
            <w:r w:rsidRPr="00103D56">
              <w:rPr>
                <w:rFonts w:ascii="Calibri" w:hAnsi="Calibri" w:cs="Calibri"/>
                <w:b/>
                <w:bCs/>
                <w:color w:val="000000"/>
                <w:sz w:val="22"/>
                <w:szCs w:val="22"/>
              </w:rPr>
              <w:t>5,398.7</w:t>
            </w:r>
          </w:p>
        </w:tc>
        <w:tc>
          <w:tcPr>
            <w:tcW w:w="1134" w:type="dxa"/>
            <w:tcBorders>
              <w:top w:val="single" w:sz="12" w:space="0" w:color="auto"/>
              <w:left w:val="nil"/>
              <w:bottom w:val="single" w:sz="8" w:space="0" w:color="auto"/>
              <w:right w:val="nil"/>
            </w:tcBorders>
            <w:shd w:val="clear" w:color="auto" w:fill="FFFFFF"/>
            <w:vAlign w:val="center"/>
            <w:hideMark/>
          </w:tcPr>
          <w:p w14:paraId="30DB62DC"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5,911.4</w:t>
            </w:r>
          </w:p>
        </w:tc>
      </w:tr>
      <w:tr w:rsidR="00FD6E41" w:rsidRPr="00135F6B" w14:paraId="22FC95D0" w14:textId="77777777" w:rsidTr="00F72676">
        <w:trPr>
          <w:trHeight w:val="249"/>
        </w:trPr>
        <w:tc>
          <w:tcPr>
            <w:tcW w:w="261" w:type="dxa"/>
            <w:shd w:val="clear" w:color="auto" w:fill="FFFFFF"/>
            <w:noWrap/>
            <w:vAlign w:val="bottom"/>
            <w:hideMark/>
          </w:tcPr>
          <w:p w14:paraId="3971C962"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5D4789F2" w14:textId="77777777" w:rsidR="00FD6E41" w:rsidRPr="00103D56" w:rsidRDefault="00FD6E41" w:rsidP="00FD6E41">
            <w:pPr>
              <w:ind w:left="60"/>
              <w:jc w:val="right"/>
              <w:rPr>
                <w:rFonts w:ascii="Calibri" w:hAnsi="Calibri" w:cs="Calibri"/>
                <w:sz w:val="22"/>
                <w:szCs w:val="22"/>
                <w:lang w:eastAsia="en-IE"/>
              </w:rPr>
            </w:pPr>
            <w:r w:rsidRPr="00103D56">
              <w:rPr>
                <w:rFonts w:ascii="Calibri" w:hAnsi="Calibri" w:cs="Calibri"/>
                <w:sz w:val="22"/>
                <w:szCs w:val="22"/>
                <w:lang w:eastAsia="en-IE"/>
              </w:rPr>
              <w:t> </w:t>
            </w:r>
          </w:p>
        </w:tc>
        <w:tc>
          <w:tcPr>
            <w:tcW w:w="3148" w:type="dxa"/>
            <w:shd w:val="clear" w:color="auto" w:fill="FFFFFF"/>
            <w:vAlign w:val="center"/>
            <w:hideMark/>
          </w:tcPr>
          <w:p w14:paraId="1C83DE7C" w14:textId="77777777" w:rsidR="00FD6E41" w:rsidRPr="00103D56" w:rsidRDefault="00FD6E41" w:rsidP="001C5897">
            <w:pPr>
              <w:rPr>
                <w:rFonts w:ascii="Calibri" w:hAnsi="Calibri" w:cs="Calibri"/>
                <w:sz w:val="22"/>
                <w:szCs w:val="22"/>
                <w:lang w:eastAsia="en-IE"/>
              </w:rPr>
            </w:pPr>
          </w:p>
        </w:tc>
        <w:tc>
          <w:tcPr>
            <w:tcW w:w="1134" w:type="dxa"/>
            <w:tcBorders>
              <w:top w:val="single" w:sz="8" w:space="0" w:color="auto"/>
            </w:tcBorders>
            <w:shd w:val="clear" w:color="auto" w:fill="FFFF00"/>
            <w:vAlign w:val="center"/>
          </w:tcPr>
          <w:p w14:paraId="09FAFF29" w14:textId="77777777" w:rsidR="00FD6E41" w:rsidRPr="00103D56" w:rsidRDefault="00FD6E41" w:rsidP="00F72676">
            <w:pPr>
              <w:ind w:left="-45" w:right="27" w:firstLine="45"/>
              <w:jc w:val="right"/>
              <w:rPr>
                <w:rFonts w:ascii="Calibri" w:eastAsia="Calibri" w:hAnsi="Calibri" w:cs="Calibri"/>
                <w:b/>
                <w:sz w:val="22"/>
                <w:szCs w:val="22"/>
                <w:lang w:eastAsia="en-IE"/>
              </w:rPr>
            </w:pPr>
          </w:p>
        </w:tc>
        <w:tc>
          <w:tcPr>
            <w:tcW w:w="1134" w:type="dxa"/>
            <w:shd w:val="clear" w:color="auto" w:fill="FFFFFF"/>
            <w:vAlign w:val="bottom"/>
            <w:hideMark/>
          </w:tcPr>
          <w:p w14:paraId="7D1B7FA3" w14:textId="77777777" w:rsidR="00FD6E41" w:rsidRPr="00103D56" w:rsidRDefault="00FD6E41" w:rsidP="00F72676">
            <w:pPr>
              <w:ind w:right="33" w:hanging="111"/>
              <w:rPr>
                <w:rFonts w:ascii="Calibri" w:eastAsia="Calibri" w:hAnsi="Calibri" w:cs="Calibri"/>
                <w:sz w:val="22"/>
                <w:szCs w:val="22"/>
                <w:lang w:eastAsia="en-IE"/>
              </w:rPr>
            </w:pPr>
          </w:p>
        </w:tc>
      </w:tr>
      <w:tr w:rsidR="00FD6E41" w:rsidRPr="00135F6B" w14:paraId="7DA760CB" w14:textId="77777777" w:rsidTr="00F72676">
        <w:trPr>
          <w:trHeight w:val="249"/>
        </w:trPr>
        <w:tc>
          <w:tcPr>
            <w:tcW w:w="261" w:type="dxa"/>
            <w:shd w:val="clear" w:color="auto" w:fill="FFFFFF"/>
            <w:noWrap/>
            <w:vAlign w:val="bottom"/>
            <w:hideMark/>
          </w:tcPr>
          <w:p w14:paraId="4F0C214E"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1F6697E3"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Total assets</w:t>
            </w:r>
          </w:p>
        </w:tc>
        <w:tc>
          <w:tcPr>
            <w:tcW w:w="3148" w:type="dxa"/>
            <w:shd w:val="clear" w:color="auto" w:fill="FFFFFF"/>
            <w:vAlign w:val="center"/>
            <w:hideMark/>
          </w:tcPr>
          <w:p w14:paraId="3DDD9E2E" w14:textId="77777777" w:rsidR="00FD6E41" w:rsidRPr="00103D56" w:rsidRDefault="00FD6E41" w:rsidP="001C5897">
            <w:pPr>
              <w:rPr>
                <w:rFonts w:ascii="Calibri" w:hAnsi="Calibri" w:cs="Calibri"/>
                <w:b/>
                <w:bCs/>
                <w:sz w:val="22"/>
                <w:szCs w:val="22"/>
                <w:lang w:eastAsia="en-IE"/>
              </w:rPr>
            </w:pPr>
          </w:p>
        </w:tc>
        <w:tc>
          <w:tcPr>
            <w:tcW w:w="1134" w:type="dxa"/>
            <w:tcBorders>
              <w:left w:val="nil"/>
              <w:bottom w:val="single" w:sz="12" w:space="0" w:color="auto"/>
              <w:right w:val="nil"/>
            </w:tcBorders>
            <w:shd w:val="clear" w:color="auto" w:fill="FFFF00"/>
          </w:tcPr>
          <w:p w14:paraId="7A0A25D2" w14:textId="77777777" w:rsidR="00FD6E41" w:rsidRPr="00103D56" w:rsidRDefault="00FD6E41" w:rsidP="00F72676">
            <w:pPr>
              <w:ind w:left="-45" w:right="27" w:firstLine="45"/>
              <w:jc w:val="right"/>
              <w:rPr>
                <w:rFonts w:ascii="Calibri" w:hAnsi="Calibri" w:cs="Calibri"/>
                <w:b/>
                <w:bCs/>
                <w:color w:val="000000"/>
                <w:sz w:val="22"/>
                <w:szCs w:val="22"/>
                <w:lang w:eastAsia="en-IE"/>
              </w:rPr>
            </w:pPr>
            <w:r w:rsidRPr="00103D56">
              <w:rPr>
                <w:rFonts w:ascii="Calibri" w:hAnsi="Calibri" w:cs="Calibri"/>
                <w:b/>
                <w:bCs/>
                <w:color w:val="000000"/>
                <w:sz w:val="22"/>
                <w:szCs w:val="22"/>
              </w:rPr>
              <w:t>16,368.3</w:t>
            </w:r>
          </w:p>
        </w:tc>
        <w:tc>
          <w:tcPr>
            <w:tcW w:w="1134" w:type="dxa"/>
            <w:tcBorders>
              <w:top w:val="nil"/>
              <w:left w:val="nil"/>
              <w:bottom w:val="single" w:sz="12" w:space="0" w:color="auto"/>
              <w:right w:val="nil"/>
            </w:tcBorders>
            <w:shd w:val="clear" w:color="auto" w:fill="FFFFFF"/>
            <w:vAlign w:val="center"/>
            <w:hideMark/>
          </w:tcPr>
          <w:p w14:paraId="7259E4B1"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16,405.9</w:t>
            </w:r>
          </w:p>
        </w:tc>
      </w:tr>
      <w:tr w:rsidR="00FD6E41" w:rsidRPr="00135F6B" w14:paraId="6D8ED617" w14:textId="77777777" w:rsidTr="00F72676">
        <w:trPr>
          <w:trHeight w:val="249"/>
        </w:trPr>
        <w:tc>
          <w:tcPr>
            <w:tcW w:w="261" w:type="dxa"/>
            <w:shd w:val="clear" w:color="auto" w:fill="FFFFFF"/>
            <w:noWrap/>
            <w:vAlign w:val="bottom"/>
            <w:hideMark/>
          </w:tcPr>
          <w:p w14:paraId="19394DC0"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466877EC" w14:textId="77777777" w:rsidR="00FD6E41" w:rsidRPr="00103D56" w:rsidRDefault="00FD6E41" w:rsidP="00FD6E41">
            <w:pPr>
              <w:ind w:left="60"/>
              <w:jc w:val="right"/>
              <w:rPr>
                <w:rFonts w:ascii="Calibri" w:hAnsi="Calibri" w:cs="Calibri"/>
                <w:sz w:val="22"/>
                <w:szCs w:val="22"/>
                <w:lang w:eastAsia="en-IE"/>
              </w:rPr>
            </w:pPr>
            <w:r w:rsidRPr="00103D56">
              <w:rPr>
                <w:rFonts w:ascii="Calibri" w:hAnsi="Calibri" w:cs="Calibri"/>
                <w:sz w:val="22"/>
                <w:szCs w:val="22"/>
                <w:lang w:eastAsia="en-IE"/>
              </w:rPr>
              <w:t> </w:t>
            </w:r>
          </w:p>
        </w:tc>
        <w:tc>
          <w:tcPr>
            <w:tcW w:w="3148" w:type="dxa"/>
            <w:shd w:val="clear" w:color="auto" w:fill="FFFFFF"/>
            <w:vAlign w:val="center"/>
            <w:hideMark/>
          </w:tcPr>
          <w:p w14:paraId="30CD62EA" w14:textId="77777777" w:rsidR="00FD6E41" w:rsidRPr="00103D56" w:rsidRDefault="00FD6E41" w:rsidP="001C5897">
            <w:pPr>
              <w:rPr>
                <w:rFonts w:ascii="Calibri" w:hAnsi="Calibri" w:cs="Calibri"/>
                <w:sz w:val="22"/>
                <w:szCs w:val="22"/>
                <w:lang w:eastAsia="en-IE"/>
              </w:rPr>
            </w:pPr>
          </w:p>
        </w:tc>
        <w:tc>
          <w:tcPr>
            <w:tcW w:w="1134" w:type="dxa"/>
            <w:tcBorders>
              <w:top w:val="single" w:sz="12" w:space="0" w:color="auto"/>
            </w:tcBorders>
            <w:shd w:val="clear" w:color="auto" w:fill="FFFF00"/>
            <w:vAlign w:val="bottom"/>
            <w:hideMark/>
          </w:tcPr>
          <w:p w14:paraId="52587E1A" w14:textId="77777777" w:rsidR="00FD6E41" w:rsidRPr="00103D56" w:rsidRDefault="00FD6E41" w:rsidP="00F72676">
            <w:pPr>
              <w:ind w:left="-45" w:right="27" w:firstLine="45"/>
              <w:jc w:val="right"/>
              <w:rPr>
                <w:rFonts w:ascii="Calibri" w:eastAsia="Calibri" w:hAnsi="Calibri" w:cs="Calibri"/>
                <w:b/>
                <w:sz w:val="22"/>
                <w:szCs w:val="22"/>
                <w:lang w:eastAsia="en-IE"/>
              </w:rPr>
            </w:pPr>
          </w:p>
        </w:tc>
        <w:tc>
          <w:tcPr>
            <w:tcW w:w="1134" w:type="dxa"/>
            <w:tcBorders>
              <w:top w:val="single" w:sz="12" w:space="0" w:color="auto"/>
            </w:tcBorders>
            <w:shd w:val="clear" w:color="auto" w:fill="FFFFFF"/>
            <w:vAlign w:val="center"/>
            <w:hideMark/>
          </w:tcPr>
          <w:p w14:paraId="27EA9625" w14:textId="77777777" w:rsidR="00FD6E41" w:rsidRPr="009356EA" w:rsidRDefault="00FD6E41" w:rsidP="00F72676">
            <w:pPr>
              <w:ind w:right="33"/>
              <w:rPr>
                <w:rFonts w:ascii="Calibri" w:eastAsia="Calibri" w:hAnsi="Calibri" w:cs="Calibri"/>
                <w:sz w:val="21"/>
                <w:szCs w:val="21"/>
                <w:lang w:eastAsia="en-IE"/>
              </w:rPr>
            </w:pPr>
          </w:p>
        </w:tc>
      </w:tr>
      <w:tr w:rsidR="00FD6E41" w:rsidRPr="00135F6B" w14:paraId="5E496A27" w14:textId="77777777" w:rsidTr="00F72676">
        <w:trPr>
          <w:trHeight w:val="249"/>
        </w:trPr>
        <w:tc>
          <w:tcPr>
            <w:tcW w:w="261" w:type="dxa"/>
            <w:shd w:val="clear" w:color="auto" w:fill="FFFFFF"/>
            <w:noWrap/>
            <w:vAlign w:val="bottom"/>
            <w:hideMark/>
          </w:tcPr>
          <w:p w14:paraId="1BB82998"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03205BCD"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Current liabilities</w:t>
            </w:r>
          </w:p>
        </w:tc>
        <w:tc>
          <w:tcPr>
            <w:tcW w:w="3148" w:type="dxa"/>
            <w:shd w:val="clear" w:color="auto" w:fill="FFFFFF"/>
            <w:vAlign w:val="center"/>
            <w:hideMark/>
          </w:tcPr>
          <w:p w14:paraId="0B6E8810" w14:textId="77777777" w:rsidR="00FD6E41" w:rsidRPr="00103D56" w:rsidRDefault="00FD6E41" w:rsidP="001C5897">
            <w:pPr>
              <w:rPr>
                <w:rFonts w:ascii="Calibri" w:hAnsi="Calibri" w:cs="Calibri"/>
                <w:b/>
                <w:bCs/>
                <w:sz w:val="22"/>
                <w:szCs w:val="22"/>
                <w:lang w:eastAsia="en-IE"/>
              </w:rPr>
            </w:pPr>
          </w:p>
        </w:tc>
        <w:tc>
          <w:tcPr>
            <w:tcW w:w="1134" w:type="dxa"/>
            <w:shd w:val="clear" w:color="auto" w:fill="FFFF00"/>
            <w:hideMark/>
          </w:tcPr>
          <w:p w14:paraId="2A669752" w14:textId="77777777" w:rsidR="00FD6E41" w:rsidRPr="00103D56" w:rsidRDefault="00FD6E41" w:rsidP="00F72676">
            <w:pPr>
              <w:ind w:left="-45" w:right="27" w:firstLine="45"/>
              <w:jc w:val="right"/>
              <w:rPr>
                <w:rFonts w:ascii="Calibri" w:eastAsia="Calibri" w:hAnsi="Calibri" w:cs="Calibri"/>
                <w:b/>
                <w:sz w:val="22"/>
                <w:szCs w:val="22"/>
                <w:lang w:eastAsia="en-IE"/>
              </w:rPr>
            </w:pPr>
          </w:p>
        </w:tc>
        <w:tc>
          <w:tcPr>
            <w:tcW w:w="1134" w:type="dxa"/>
            <w:shd w:val="clear" w:color="auto" w:fill="FFFFFF"/>
            <w:vAlign w:val="center"/>
            <w:hideMark/>
          </w:tcPr>
          <w:p w14:paraId="3CC7F687" w14:textId="77777777" w:rsidR="00FD6E41" w:rsidRPr="009356EA" w:rsidRDefault="00FD6E41" w:rsidP="00F72676">
            <w:pPr>
              <w:ind w:right="33"/>
              <w:rPr>
                <w:rFonts w:ascii="Calibri" w:eastAsia="Calibri" w:hAnsi="Calibri" w:cs="Calibri"/>
                <w:sz w:val="21"/>
                <w:szCs w:val="21"/>
                <w:lang w:eastAsia="en-IE"/>
              </w:rPr>
            </w:pPr>
          </w:p>
        </w:tc>
      </w:tr>
      <w:tr w:rsidR="00FD6E41" w:rsidRPr="00135F6B" w14:paraId="77028FC6" w14:textId="77777777" w:rsidTr="00F72676">
        <w:trPr>
          <w:trHeight w:val="249"/>
        </w:trPr>
        <w:tc>
          <w:tcPr>
            <w:tcW w:w="261" w:type="dxa"/>
            <w:shd w:val="clear" w:color="auto" w:fill="FFFFFF"/>
            <w:noWrap/>
            <w:vAlign w:val="bottom"/>
            <w:hideMark/>
          </w:tcPr>
          <w:p w14:paraId="417A38E1"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08E4D9FF"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Provisions</w:t>
            </w:r>
          </w:p>
        </w:tc>
        <w:tc>
          <w:tcPr>
            <w:tcW w:w="3148" w:type="dxa"/>
            <w:shd w:val="clear" w:color="auto" w:fill="FFFFFF"/>
            <w:vAlign w:val="center"/>
            <w:hideMark/>
          </w:tcPr>
          <w:p w14:paraId="4E8BBF56"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62382CD1"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color w:val="000000"/>
                <w:sz w:val="22"/>
                <w:szCs w:val="22"/>
              </w:rPr>
              <w:t>25.8</w:t>
            </w:r>
          </w:p>
        </w:tc>
        <w:tc>
          <w:tcPr>
            <w:tcW w:w="1134" w:type="dxa"/>
            <w:shd w:val="clear" w:color="auto" w:fill="FFFFFF"/>
            <w:vAlign w:val="center"/>
            <w:hideMark/>
          </w:tcPr>
          <w:p w14:paraId="201C4151"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19.8</w:t>
            </w:r>
          </w:p>
        </w:tc>
      </w:tr>
      <w:tr w:rsidR="00FD6E41" w:rsidRPr="00135F6B" w14:paraId="7BA7F1FF" w14:textId="77777777" w:rsidTr="00F72676">
        <w:trPr>
          <w:trHeight w:val="249"/>
        </w:trPr>
        <w:tc>
          <w:tcPr>
            <w:tcW w:w="261" w:type="dxa"/>
            <w:shd w:val="clear" w:color="auto" w:fill="FFFFFF"/>
            <w:noWrap/>
            <w:vAlign w:val="bottom"/>
            <w:hideMark/>
          </w:tcPr>
          <w:p w14:paraId="3852867B"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50FDF7B9"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Trade payables</w:t>
            </w:r>
          </w:p>
        </w:tc>
        <w:tc>
          <w:tcPr>
            <w:tcW w:w="3148" w:type="dxa"/>
            <w:shd w:val="clear" w:color="auto" w:fill="FFFFFF"/>
            <w:vAlign w:val="center"/>
            <w:hideMark/>
          </w:tcPr>
          <w:p w14:paraId="3A154248" w14:textId="77777777" w:rsidR="00FD6E41" w:rsidRPr="00103D56" w:rsidRDefault="00FD6E41" w:rsidP="001C5897">
            <w:pPr>
              <w:jc w:val="right"/>
              <w:rPr>
                <w:rFonts w:ascii="Calibri" w:hAnsi="Calibri" w:cs="Calibri"/>
                <w:b/>
                <w:bCs/>
                <w:color w:val="000000"/>
                <w:sz w:val="22"/>
                <w:szCs w:val="22"/>
                <w:lang w:eastAsia="en-IE"/>
              </w:rPr>
            </w:pPr>
            <w:r w:rsidRPr="00103D56">
              <w:rPr>
                <w:rFonts w:ascii="Calibri" w:hAnsi="Calibri" w:cs="Calibri"/>
                <w:b/>
                <w:bCs/>
                <w:color w:val="000000"/>
                <w:sz w:val="22"/>
                <w:szCs w:val="22"/>
                <w:lang w:eastAsia="en-IE"/>
              </w:rPr>
              <w:t>10</w:t>
            </w:r>
          </w:p>
        </w:tc>
        <w:tc>
          <w:tcPr>
            <w:tcW w:w="1134" w:type="dxa"/>
            <w:shd w:val="clear" w:color="auto" w:fill="FFFF00"/>
          </w:tcPr>
          <w:p w14:paraId="5C9CA855" w14:textId="77777777" w:rsidR="00FD6E41" w:rsidRPr="00103D56" w:rsidRDefault="00FD6E41" w:rsidP="00F72676">
            <w:pPr>
              <w:ind w:left="-45" w:right="27" w:firstLine="45"/>
              <w:jc w:val="right"/>
              <w:rPr>
                <w:rFonts w:ascii="Calibri" w:hAnsi="Calibri" w:cs="Calibri"/>
                <w:b/>
                <w:bCs/>
                <w:color w:val="000000"/>
                <w:sz w:val="22"/>
                <w:szCs w:val="22"/>
                <w:lang w:eastAsia="en-IE"/>
              </w:rPr>
            </w:pPr>
            <w:r w:rsidRPr="00103D56">
              <w:rPr>
                <w:rFonts w:ascii="Calibri" w:hAnsi="Calibri" w:cs="Calibri"/>
                <w:b/>
                <w:bCs/>
                <w:color w:val="000000"/>
                <w:sz w:val="22"/>
                <w:szCs w:val="22"/>
              </w:rPr>
              <w:t>982.3</w:t>
            </w:r>
          </w:p>
        </w:tc>
        <w:tc>
          <w:tcPr>
            <w:tcW w:w="1134" w:type="dxa"/>
            <w:shd w:val="clear" w:color="auto" w:fill="FFFFFF"/>
            <w:vAlign w:val="center"/>
            <w:hideMark/>
          </w:tcPr>
          <w:p w14:paraId="00F2BF77"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1,065.5</w:t>
            </w:r>
          </w:p>
        </w:tc>
      </w:tr>
      <w:tr w:rsidR="00FD6E41" w:rsidRPr="00135F6B" w14:paraId="30E872F7" w14:textId="77777777" w:rsidTr="00F72676">
        <w:trPr>
          <w:trHeight w:val="249"/>
        </w:trPr>
        <w:tc>
          <w:tcPr>
            <w:tcW w:w="261" w:type="dxa"/>
            <w:shd w:val="clear" w:color="auto" w:fill="FFFFFF"/>
            <w:noWrap/>
            <w:vAlign w:val="bottom"/>
            <w:hideMark/>
          </w:tcPr>
          <w:p w14:paraId="74FBC590"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79D70957"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Accrued expenses and other liabilities</w:t>
            </w:r>
          </w:p>
        </w:tc>
        <w:tc>
          <w:tcPr>
            <w:tcW w:w="3148" w:type="dxa"/>
            <w:shd w:val="clear" w:color="auto" w:fill="FFFFFF"/>
            <w:vAlign w:val="center"/>
            <w:hideMark/>
          </w:tcPr>
          <w:p w14:paraId="498E3B53"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7086CE91"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color w:val="000000"/>
                <w:sz w:val="22"/>
                <w:szCs w:val="22"/>
              </w:rPr>
              <w:t>3,318.6</w:t>
            </w:r>
          </w:p>
        </w:tc>
        <w:tc>
          <w:tcPr>
            <w:tcW w:w="1134" w:type="dxa"/>
            <w:shd w:val="clear" w:color="auto" w:fill="FFFFFF"/>
            <w:vAlign w:val="center"/>
            <w:hideMark/>
          </w:tcPr>
          <w:p w14:paraId="7EAF94B2"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4,783.5</w:t>
            </w:r>
          </w:p>
        </w:tc>
      </w:tr>
      <w:tr w:rsidR="00FD6E41" w:rsidRPr="00135F6B" w14:paraId="06821F0D" w14:textId="77777777" w:rsidTr="00F72676">
        <w:trPr>
          <w:trHeight w:val="249"/>
        </w:trPr>
        <w:tc>
          <w:tcPr>
            <w:tcW w:w="261" w:type="dxa"/>
            <w:shd w:val="clear" w:color="auto" w:fill="FFFFFF"/>
            <w:noWrap/>
            <w:vAlign w:val="bottom"/>
            <w:hideMark/>
          </w:tcPr>
          <w:p w14:paraId="608F42C6"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730185FC"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Current lease liability</w:t>
            </w:r>
          </w:p>
        </w:tc>
        <w:tc>
          <w:tcPr>
            <w:tcW w:w="3148" w:type="dxa"/>
            <w:shd w:val="clear" w:color="auto" w:fill="FFFFFF"/>
            <w:vAlign w:val="center"/>
            <w:hideMark/>
          </w:tcPr>
          <w:p w14:paraId="1C7E0F82"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2B25A48D"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color w:val="000000"/>
                <w:sz w:val="22"/>
                <w:szCs w:val="22"/>
              </w:rPr>
              <w:t>41.5</w:t>
            </w:r>
          </w:p>
        </w:tc>
        <w:tc>
          <w:tcPr>
            <w:tcW w:w="1134" w:type="dxa"/>
            <w:shd w:val="clear" w:color="auto" w:fill="FFFFFF"/>
            <w:vAlign w:val="center"/>
            <w:hideMark/>
          </w:tcPr>
          <w:p w14:paraId="5E268326"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43.2</w:t>
            </w:r>
          </w:p>
        </w:tc>
      </w:tr>
      <w:tr w:rsidR="00FD6E41" w:rsidRPr="00135F6B" w14:paraId="728372F1" w14:textId="77777777" w:rsidTr="00F72676">
        <w:trPr>
          <w:trHeight w:val="249"/>
        </w:trPr>
        <w:tc>
          <w:tcPr>
            <w:tcW w:w="261" w:type="dxa"/>
            <w:shd w:val="clear" w:color="auto" w:fill="FFFFFF"/>
            <w:noWrap/>
            <w:vAlign w:val="bottom"/>
            <w:hideMark/>
          </w:tcPr>
          <w:p w14:paraId="48EDEBD2"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6A7CB6AC"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Current maturities of debt</w:t>
            </w:r>
          </w:p>
        </w:tc>
        <w:tc>
          <w:tcPr>
            <w:tcW w:w="3148" w:type="dxa"/>
            <w:shd w:val="clear" w:color="auto" w:fill="FFFFFF"/>
            <w:vAlign w:val="center"/>
            <w:hideMark/>
          </w:tcPr>
          <w:p w14:paraId="4D78C717" w14:textId="77777777" w:rsidR="00FD6E41" w:rsidRPr="00103D56" w:rsidRDefault="00FD6E41" w:rsidP="001C5897">
            <w:pPr>
              <w:jc w:val="right"/>
              <w:rPr>
                <w:rFonts w:ascii="Calibri" w:hAnsi="Calibri" w:cs="Calibri"/>
                <w:sz w:val="22"/>
                <w:szCs w:val="22"/>
                <w:lang w:eastAsia="en-IE"/>
              </w:rPr>
            </w:pPr>
            <w:r w:rsidRPr="00103D56">
              <w:rPr>
                <w:rFonts w:ascii="Calibri" w:hAnsi="Calibri" w:cs="Calibri"/>
                <w:b/>
                <w:bCs/>
                <w:color w:val="000000"/>
                <w:sz w:val="22"/>
                <w:szCs w:val="22"/>
                <w:lang w:eastAsia="en-IE"/>
              </w:rPr>
              <w:t>10</w:t>
            </w:r>
          </w:p>
        </w:tc>
        <w:tc>
          <w:tcPr>
            <w:tcW w:w="1134" w:type="dxa"/>
            <w:shd w:val="clear" w:color="auto" w:fill="FFFF00"/>
          </w:tcPr>
          <w:p w14:paraId="2D7A98B2"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color w:val="000000"/>
                <w:sz w:val="22"/>
                <w:szCs w:val="22"/>
              </w:rPr>
              <w:t>35.3</w:t>
            </w:r>
          </w:p>
        </w:tc>
        <w:tc>
          <w:tcPr>
            <w:tcW w:w="1134" w:type="dxa"/>
            <w:shd w:val="clear" w:color="auto" w:fill="FFFFFF"/>
            <w:vAlign w:val="center"/>
            <w:hideMark/>
          </w:tcPr>
          <w:p w14:paraId="5340A840"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1,056.7</w:t>
            </w:r>
          </w:p>
        </w:tc>
      </w:tr>
      <w:tr w:rsidR="00FD6E41" w:rsidRPr="00135F6B" w14:paraId="7D59FED3" w14:textId="77777777" w:rsidTr="00F72676">
        <w:trPr>
          <w:trHeight w:val="249"/>
        </w:trPr>
        <w:tc>
          <w:tcPr>
            <w:tcW w:w="261" w:type="dxa"/>
            <w:shd w:val="clear" w:color="auto" w:fill="FFFFFF"/>
            <w:noWrap/>
            <w:vAlign w:val="bottom"/>
            <w:hideMark/>
          </w:tcPr>
          <w:p w14:paraId="37DD83A2"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480FAFE6"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Derivative financial instruments</w:t>
            </w:r>
          </w:p>
        </w:tc>
        <w:tc>
          <w:tcPr>
            <w:tcW w:w="3148" w:type="dxa"/>
            <w:shd w:val="clear" w:color="auto" w:fill="FFFFFF"/>
            <w:vAlign w:val="center"/>
            <w:hideMark/>
          </w:tcPr>
          <w:p w14:paraId="1CDBE06D" w14:textId="77777777" w:rsidR="00FD6E41" w:rsidRPr="00103D56" w:rsidRDefault="00FD6E41" w:rsidP="001C5897">
            <w:pPr>
              <w:jc w:val="right"/>
              <w:rPr>
                <w:rFonts w:ascii="Calibri" w:hAnsi="Calibri" w:cs="Calibri"/>
                <w:b/>
                <w:bCs/>
                <w:color w:val="000000"/>
                <w:sz w:val="22"/>
                <w:szCs w:val="22"/>
                <w:lang w:eastAsia="en-IE"/>
              </w:rPr>
            </w:pPr>
            <w:r w:rsidRPr="00103D56">
              <w:rPr>
                <w:rFonts w:ascii="Calibri" w:hAnsi="Calibri" w:cs="Calibri"/>
                <w:b/>
                <w:bCs/>
                <w:color w:val="000000"/>
                <w:sz w:val="22"/>
                <w:szCs w:val="22"/>
                <w:lang w:eastAsia="en-IE"/>
              </w:rPr>
              <w:t>10</w:t>
            </w:r>
          </w:p>
        </w:tc>
        <w:tc>
          <w:tcPr>
            <w:tcW w:w="1134" w:type="dxa"/>
            <w:shd w:val="clear" w:color="auto" w:fill="FFFF00"/>
          </w:tcPr>
          <w:p w14:paraId="3A3D6F38" w14:textId="77777777" w:rsidR="00FD6E41" w:rsidRPr="00103D56" w:rsidRDefault="00FD6E41" w:rsidP="00F72676">
            <w:pPr>
              <w:ind w:left="-45" w:right="27" w:firstLine="45"/>
              <w:jc w:val="right"/>
              <w:rPr>
                <w:rFonts w:ascii="Calibri" w:hAnsi="Calibri" w:cs="Calibri"/>
                <w:b/>
                <w:bCs/>
                <w:color w:val="000000"/>
                <w:sz w:val="22"/>
                <w:szCs w:val="22"/>
                <w:lang w:eastAsia="en-IE"/>
              </w:rPr>
            </w:pPr>
            <w:r w:rsidRPr="00103D56">
              <w:rPr>
                <w:rFonts w:ascii="Calibri" w:hAnsi="Calibri" w:cs="Calibri"/>
                <w:b/>
                <w:bCs/>
                <w:color w:val="000000"/>
                <w:sz w:val="22"/>
                <w:szCs w:val="22"/>
              </w:rPr>
              <w:t>64.8</w:t>
            </w:r>
          </w:p>
        </w:tc>
        <w:tc>
          <w:tcPr>
            <w:tcW w:w="1134" w:type="dxa"/>
            <w:shd w:val="clear" w:color="auto" w:fill="FFFFFF"/>
            <w:vAlign w:val="center"/>
            <w:hideMark/>
          </w:tcPr>
          <w:p w14:paraId="61E084F8"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386.6</w:t>
            </w:r>
          </w:p>
        </w:tc>
      </w:tr>
      <w:tr w:rsidR="00FD6E41" w:rsidRPr="00135F6B" w14:paraId="654BDEB2" w14:textId="77777777" w:rsidTr="00F72676">
        <w:trPr>
          <w:trHeight w:val="249"/>
        </w:trPr>
        <w:tc>
          <w:tcPr>
            <w:tcW w:w="261" w:type="dxa"/>
            <w:shd w:val="clear" w:color="auto" w:fill="FFFFFF"/>
            <w:noWrap/>
            <w:vAlign w:val="bottom"/>
            <w:hideMark/>
          </w:tcPr>
          <w:p w14:paraId="0091D19A" w14:textId="77777777" w:rsidR="00FD6E41" w:rsidRPr="00E94038"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7522B89D"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Current tax</w:t>
            </w:r>
          </w:p>
        </w:tc>
        <w:tc>
          <w:tcPr>
            <w:tcW w:w="3148" w:type="dxa"/>
            <w:shd w:val="clear" w:color="auto" w:fill="FFFFFF"/>
            <w:vAlign w:val="center"/>
            <w:hideMark/>
          </w:tcPr>
          <w:p w14:paraId="50115DAA"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45432716"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color w:val="000000"/>
                <w:sz w:val="22"/>
                <w:szCs w:val="22"/>
              </w:rPr>
              <w:t>70.1</w:t>
            </w:r>
          </w:p>
        </w:tc>
        <w:tc>
          <w:tcPr>
            <w:tcW w:w="1134" w:type="dxa"/>
            <w:shd w:val="clear" w:color="auto" w:fill="FFFFFF"/>
            <w:vAlign w:val="center"/>
            <w:hideMark/>
          </w:tcPr>
          <w:p w14:paraId="3C3F5926"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66.3</w:t>
            </w:r>
          </w:p>
        </w:tc>
      </w:tr>
      <w:tr w:rsidR="00FD6E41" w:rsidRPr="00135F6B" w14:paraId="685F8457" w14:textId="77777777" w:rsidTr="00F72676">
        <w:trPr>
          <w:trHeight w:val="249"/>
        </w:trPr>
        <w:tc>
          <w:tcPr>
            <w:tcW w:w="261" w:type="dxa"/>
            <w:shd w:val="clear" w:color="auto" w:fill="FFFFFF"/>
            <w:noWrap/>
            <w:vAlign w:val="bottom"/>
            <w:hideMark/>
          </w:tcPr>
          <w:p w14:paraId="2AAB2EFA"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0435FE45"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Total current liabilities</w:t>
            </w:r>
          </w:p>
        </w:tc>
        <w:tc>
          <w:tcPr>
            <w:tcW w:w="3148" w:type="dxa"/>
            <w:shd w:val="clear" w:color="auto" w:fill="FFFFFF"/>
            <w:vAlign w:val="center"/>
            <w:hideMark/>
          </w:tcPr>
          <w:p w14:paraId="2668618E" w14:textId="77777777" w:rsidR="00FD6E41" w:rsidRPr="00103D56" w:rsidRDefault="00FD6E41" w:rsidP="001C5897">
            <w:pPr>
              <w:rPr>
                <w:rFonts w:ascii="Calibri" w:hAnsi="Calibri" w:cs="Calibri"/>
                <w:b/>
                <w:bCs/>
                <w:sz w:val="22"/>
                <w:szCs w:val="22"/>
                <w:lang w:eastAsia="en-IE"/>
              </w:rPr>
            </w:pPr>
          </w:p>
        </w:tc>
        <w:tc>
          <w:tcPr>
            <w:tcW w:w="1134" w:type="dxa"/>
            <w:tcBorders>
              <w:top w:val="single" w:sz="8" w:space="0" w:color="auto"/>
              <w:left w:val="nil"/>
              <w:bottom w:val="single" w:sz="8" w:space="0" w:color="auto"/>
              <w:right w:val="nil"/>
            </w:tcBorders>
            <w:shd w:val="clear" w:color="auto" w:fill="FFFF00"/>
          </w:tcPr>
          <w:p w14:paraId="0D7338D0" w14:textId="77777777" w:rsidR="00FD6E41" w:rsidRPr="00103D56" w:rsidRDefault="00FD6E41" w:rsidP="00F72676">
            <w:pPr>
              <w:ind w:left="-45" w:right="27" w:firstLine="45"/>
              <w:jc w:val="right"/>
              <w:rPr>
                <w:rFonts w:ascii="Calibri" w:hAnsi="Calibri" w:cs="Calibri"/>
                <w:b/>
                <w:bCs/>
                <w:color w:val="000000"/>
                <w:sz w:val="22"/>
                <w:szCs w:val="22"/>
                <w:lang w:eastAsia="en-IE"/>
              </w:rPr>
            </w:pPr>
            <w:r w:rsidRPr="00103D56">
              <w:rPr>
                <w:rFonts w:ascii="Calibri" w:hAnsi="Calibri" w:cs="Calibri"/>
                <w:b/>
                <w:bCs/>
                <w:color w:val="000000"/>
                <w:sz w:val="22"/>
                <w:szCs w:val="22"/>
              </w:rPr>
              <w:t>4,538.4</w:t>
            </w:r>
          </w:p>
        </w:tc>
        <w:tc>
          <w:tcPr>
            <w:tcW w:w="1134" w:type="dxa"/>
            <w:tcBorders>
              <w:top w:val="single" w:sz="8" w:space="0" w:color="auto"/>
              <w:left w:val="nil"/>
              <w:bottom w:val="single" w:sz="8" w:space="0" w:color="auto"/>
              <w:right w:val="nil"/>
            </w:tcBorders>
            <w:shd w:val="clear" w:color="auto" w:fill="FFFFFF"/>
            <w:vAlign w:val="center"/>
            <w:hideMark/>
          </w:tcPr>
          <w:p w14:paraId="18574E32"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7,421.6</w:t>
            </w:r>
          </w:p>
        </w:tc>
      </w:tr>
      <w:tr w:rsidR="00FD6E41" w:rsidRPr="00135F6B" w14:paraId="7C026055" w14:textId="77777777" w:rsidTr="00F72676">
        <w:trPr>
          <w:trHeight w:val="249"/>
        </w:trPr>
        <w:tc>
          <w:tcPr>
            <w:tcW w:w="261" w:type="dxa"/>
            <w:shd w:val="clear" w:color="auto" w:fill="FFFFFF"/>
            <w:noWrap/>
            <w:vAlign w:val="bottom"/>
            <w:hideMark/>
          </w:tcPr>
          <w:p w14:paraId="3364F5F1"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433BED73"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 </w:t>
            </w:r>
          </w:p>
        </w:tc>
        <w:tc>
          <w:tcPr>
            <w:tcW w:w="3148" w:type="dxa"/>
            <w:shd w:val="clear" w:color="auto" w:fill="FFFFFF"/>
            <w:vAlign w:val="center"/>
            <w:hideMark/>
          </w:tcPr>
          <w:p w14:paraId="6D1138E1" w14:textId="77777777" w:rsidR="00FD6E41" w:rsidRPr="00103D56" w:rsidRDefault="00FD6E41" w:rsidP="001C5897">
            <w:pPr>
              <w:rPr>
                <w:rFonts w:ascii="Calibri" w:hAnsi="Calibri" w:cs="Calibri"/>
                <w:b/>
                <w:bCs/>
                <w:sz w:val="22"/>
                <w:szCs w:val="22"/>
                <w:lang w:eastAsia="en-IE"/>
              </w:rPr>
            </w:pPr>
          </w:p>
        </w:tc>
        <w:tc>
          <w:tcPr>
            <w:tcW w:w="1134" w:type="dxa"/>
            <w:shd w:val="clear" w:color="auto" w:fill="FFFF00"/>
          </w:tcPr>
          <w:p w14:paraId="48C0035A" w14:textId="77777777" w:rsidR="00FD6E41" w:rsidRPr="00103D56" w:rsidRDefault="00FD6E41" w:rsidP="00F72676">
            <w:pPr>
              <w:ind w:left="-45" w:right="27" w:firstLine="45"/>
              <w:jc w:val="right"/>
              <w:rPr>
                <w:rFonts w:ascii="Calibri" w:eastAsia="Calibri" w:hAnsi="Calibri" w:cs="Calibri"/>
                <w:b/>
                <w:sz w:val="22"/>
                <w:szCs w:val="22"/>
                <w:lang w:eastAsia="en-IE"/>
              </w:rPr>
            </w:pPr>
          </w:p>
        </w:tc>
        <w:tc>
          <w:tcPr>
            <w:tcW w:w="1134" w:type="dxa"/>
            <w:shd w:val="clear" w:color="auto" w:fill="FFFFFF"/>
            <w:vAlign w:val="center"/>
            <w:hideMark/>
          </w:tcPr>
          <w:p w14:paraId="094D7807" w14:textId="77777777" w:rsidR="00FD6E41" w:rsidRPr="00103D56" w:rsidRDefault="00FD6E41" w:rsidP="00F72676">
            <w:pPr>
              <w:ind w:right="33"/>
              <w:rPr>
                <w:rFonts w:ascii="Calibri" w:eastAsia="Calibri" w:hAnsi="Calibri" w:cs="Calibri"/>
                <w:sz w:val="22"/>
                <w:szCs w:val="22"/>
                <w:lang w:eastAsia="en-IE"/>
              </w:rPr>
            </w:pPr>
          </w:p>
        </w:tc>
      </w:tr>
      <w:tr w:rsidR="00FD6E41" w:rsidRPr="00135F6B" w14:paraId="7B71F47D" w14:textId="77777777" w:rsidTr="00F72676">
        <w:trPr>
          <w:trHeight w:val="249"/>
        </w:trPr>
        <w:tc>
          <w:tcPr>
            <w:tcW w:w="261" w:type="dxa"/>
            <w:shd w:val="clear" w:color="auto" w:fill="FFFFFF"/>
            <w:noWrap/>
            <w:vAlign w:val="bottom"/>
            <w:hideMark/>
          </w:tcPr>
          <w:p w14:paraId="02369B23"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03EA43BE"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Non-current liabilities</w:t>
            </w:r>
          </w:p>
        </w:tc>
        <w:tc>
          <w:tcPr>
            <w:tcW w:w="3148" w:type="dxa"/>
            <w:shd w:val="clear" w:color="auto" w:fill="FFFFFF"/>
            <w:vAlign w:val="center"/>
            <w:hideMark/>
          </w:tcPr>
          <w:p w14:paraId="4D358214" w14:textId="77777777" w:rsidR="00FD6E41" w:rsidRPr="00103D56" w:rsidRDefault="00FD6E41" w:rsidP="001C5897">
            <w:pPr>
              <w:rPr>
                <w:rFonts w:ascii="Calibri" w:hAnsi="Calibri" w:cs="Calibri"/>
                <w:b/>
                <w:bCs/>
                <w:sz w:val="22"/>
                <w:szCs w:val="22"/>
                <w:lang w:eastAsia="en-IE"/>
              </w:rPr>
            </w:pPr>
          </w:p>
        </w:tc>
        <w:tc>
          <w:tcPr>
            <w:tcW w:w="1134" w:type="dxa"/>
            <w:shd w:val="clear" w:color="auto" w:fill="FFFF00"/>
          </w:tcPr>
          <w:p w14:paraId="18CC10A0" w14:textId="77777777" w:rsidR="00FD6E41" w:rsidRPr="00103D56" w:rsidRDefault="00FD6E41" w:rsidP="00F72676">
            <w:pPr>
              <w:ind w:left="-45" w:right="27" w:firstLine="45"/>
              <w:jc w:val="right"/>
              <w:rPr>
                <w:rFonts w:ascii="Calibri" w:eastAsia="Calibri" w:hAnsi="Calibri" w:cs="Calibri"/>
                <w:b/>
                <w:sz w:val="22"/>
                <w:szCs w:val="22"/>
                <w:lang w:eastAsia="en-IE"/>
              </w:rPr>
            </w:pPr>
          </w:p>
        </w:tc>
        <w:tc>
          <w:tcPr>
            <w:tcW w:w="1134" w:type="dxa"/>
            <w:shd w:val="clear" w:color="auto" w:fill="FFFFFF"/>
            <w:vAlign w:val="center"/>
            <w:hideMark/>
          </w:tcPr>
          <w:p w14:paraId="67A68CBC" w14:textId="77777777" w:rsidR="00FD6E41" w:rsidRPr="00103D56" w:rsidRDefault="00FD6E41" w:rsidP="00F72676">
            <w:pPr>
              <w:ind w:right="33"/>
              <w:rPr>
                <w:rFonts w:ascii="Calibri" w:eastAsia="Calibri" w:hAnsi="Calibri" w:cs="Calibri"/>
                <w:sz w:val="22"/>
                <w:szCs w:val="22"/>
                <w:lang w:eastAsia="en-IE"/>
              </w:rPr>
            </w:pPr>
          </w:p>
        </w:tc>
      </w:tr>
      <w:tr w:rsidR="00FD6E41" w:rsidRPr="00135F6B" w14:paraId="735A4ADF" w14:textId="77777777" w:rsidTr="00F72676">
        <w:trPr>
          <w:trHeight w:val="249"/>
        </w:trPr>
        <w:tc>
          <w:tcPr>
            <w:tcW w:w="261" w:type="dxa"/>
            <w:shd w:val="clear" w:color="auto" w:fill="FFFFFF"/>
            <w:noWrap/>
            <w:vAlign w:val="bottom"/>
            <w:hideMark/>
          </w:tcPr>
          <w:p w14:paraId="5DBD6AB3"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46B348A4"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Provisions</w:t>
            </w:r>
          </w:p>
        </w:tc>
        <w:tc>
          <w:tcPr>
            <w:tcW w:w="3148" w:type="dxa"/>
            <w:shd w:val="clear" w:color="auto" w:fill="FFFFFF"/>
            <w:vAlign w:val="center"/>
            <w:hideMark/>
          </w:tcPr>
          <w:p w14:paraId="66F69FD5"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1E5E8992"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color w:val="000000"/>
                <w:sz w:val="22"/>
                <w:szCs w:val="22"/>
              </w:rPr>
              <w:t>173.2</w:t>
            </w:r>
          </w:p>
        </w:tc>
        <w:tc>
          <w:tcPr>
            <w:tcW w:w="1134" w:type="dxa"/>
            <w:shd w:val="clear" w:color="auto" w:fill="FFFFFF"/>
            <w:vAlign w:val="center"/>
            <w:hideMark/>
          </w:tcPr>
          <w:p w14:paraId="2BD05BB0"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154.5</w:t>
            </w:r>
          </w:p>
        </w:tc>
      </w:tr>
      <w:tr w:rsidR="00FD6E41" w:rsidRPr="00135F6B" w14:paraId="31AF86BE" w14:textId="77777777" w:rsidTr="00F72676">
        <w:trPr>
          <w:trHeight w:val="249"/>
        </w:trPr>
        <w:tc>
          <w:tcPr>
            <w:tcW w:w="261" w:type="dxa"/>
            <w:shd w:val="clear" w:color="auto" w:fill="FFFFFF"/>
            <w:noWrap/>
            <w:vAlign w:val="bottom"/>
            <w:hideMark/>
          </w:tcPr>
          <w:p w14:paraId="69F74857"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4E9F3135"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 xml:space="preserve">Derivative financial instruments </w:t>
            </w:r>
          </w:p>
        </w:tc>
        <w:tc>
          <w:tcPr>
            <w:tcW w:w="3148" w:type="dxa"/>
            <w:shd w:val="clear" w:color="auto" w:fill="FFFFFF"/>
            <w:vAlign w:val="center"/>
            <w:hideMark/>
          </w:tcPr>
          <w:p w14:paraId="4C2FA4E8" w14:textId="77777777" w:rsidR="00FD6E41" w:rsidRPr="00103D56" w:rsidRDefault="00FD6E41" w:rsidP="001C5897">
            <w:pPr>
              <w:jc w:val="right"/>
              <w:rPr>
                <w:rFonts w:ascii="Calibri" w:hAnsi="Calibri" w:cs="Calibri"/>
                <w:b/>
                <w:bCs/>
                <w:color w:val="000000"/>
                <w:sz w:val="22"/>
                <w:szCs w:val="22"/>
                <w:lang w:eastAsia="en-IE"/>
              </w:rPr>
            </w:pPr>
            <w:r w:rsidRPr="00103D56">
              <w:rPr>
                <w:rFonts w:ascii="Calibri" w:hAnsi="Calibri" w:cs="Calibri"/>
                <w:b/>
                <w:bCs/>
                <w:color w:val="000000"/>
                <w:sz w:val="22"/>
                <w:szCs w:val="22"/>
                <w:lang w:eastAsia="en-IE"/>
              </w:rPr>
              <w:t>10</w:t>
            </w:r>
          </w:p>
        </w:tc>
        <w:tc>
          <w:tcPr>
            <w:tcW w:w="1134" w:type="dxa"/>
            <w:shd w:val="clear" w:color="auto" w:fill="FFFF00"/>
          </w:tcPr>
          <w:p w14:paraId="5AD62C46" w14:textId="77777777" w:rsidR="00FD6E41" w:rsidRPr="00103D56" w:rsidRDefault="00FD6E41" w:rsidP="00F72676">
            <w:pPr>
              <w:ind w:left="-45" w:right="27" w:firstLine="45"/>
              <w:jc w:val="right"/>
              <w:rPr>
                <w:rFonts w:ascii="Calibri" w:hAnsi="Calibri" w:cs="Calibri"/>
                <w:b/>
                <w:bCs/>
                <w:color w:val="000000"/>
                <w:sz w:val="22"/>
                <w:szCs w:val="22"/>
                <w:lang w:eastAsia="en-IE"/>
              </w:rPr>
            </w:pPr>
            <w:r w:rsidRPr="00103D56">
              <w:rPr>
                <w:rFonts w:ascii="Calibri" w:hAnsi="Calibri" w:cs="Calibri"/>
                <w:b/>
                <w:bCs/>
                <w:color w:val="000000"/>
                <w:sz w:val="22"/>
                <w:szCs w:val="22"/>
              </w:rPr>
              <w:t>1.1</w:t>
            </w:r>
          </w:p>
        </w:tc>
        <w:tc>
          <w:tcPr>
            <w:tcW w:w="1134" w:type="dxa"/>
            <w:shd w:val="clear" w:color="auto" w:fill="FFFFFF"/>
            <w:vAlign w:val="center"/>
            <w:hideMark/>
          </w:tcPr>
          <w:p w14:paraId="656D6B05"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11.2</w:t>
            </w:r>
          </w:p>
        </w:tc>
      </w:tr>
      <w:tr w:rsidR="00FD6E41" w:rsidRPr="00135F6B" w14:paraId="0A836DB1" w14:textId="77777777" w:rsidTr="00F72676">
        <w:trPr>
          <w:trHeight w:val="249"/>
        </w:trPr>
        <w:tc>
          <w:tcPr>
            <w:tcW w:w="261" w:type="dxa"/>
            <w:shd w:val="clear" w:color="auto" w:fill="FFFFFF"/>
            <w:noWrap/>
            <w:vAlign w:val="bottom"/>
            <w:hideMark/>
          </w:tcPr>
          <w:p w14:paraId="35D0FE64" w14:textId="77777777" w:rsidR="00FD6E41" w:rsidRPr="00B06BAB" w:rsidRDefault="00FD6E41" w:rsidP="001C5897">
            <w:pPr>
              <w:rPr>
                <w:rFonts w:ascii="Calibri" w:hAnsi="Calibri" w:cs="Calibri"/>
                <w:color w:val="000000"/>
                <w:sz w:val="20"/>
                <w:szCs w:val="20"/>
                <w:highlight w:val="yellow"/>
                <w:lang w:eastAsia="en-IE"/>
              </w:rPr>
            </w:pPr>
          </w:p>
        </w:tc>
        <w:tc>
          <w:tcPr>
            <w:tcW w:w="5414" w:type="dxa"/>
            <w:shd w:val="clear" w:color="auto" w:fill="FFFFFF"/>
            <w:vAlign w:val="center"/>
            <w:hideMark/>
          </w:tcPr>
          <w:p w14:paraId="2DBC143A"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Deferred tax</w:t>
            </w:r>
          </w:p>
        </w:tc>
        <w:tc>
          <w:tcPr>
            <w:tcW w:w="3148" w:type="dxa"/>
            <w:shd w:val="clear" w:color="auto" w:fill="FFFFFF"/>
            <w:vAlign w:val="center"/>
            <w:hideMark/>
          </w:tcPr>
          <w:p w14:paraId="2360BD01"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513F9139"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color w:val="000000"/>
                <w:sz w:val="22"/>
                <w:szCs w:val="22"/>
              </w:rPr>
              <w:t>502.7</w:t>
            </w:r>
          </w:p>
        </w:tc>
        <w:tc>
          <w:tcPr>
            <w:tcW w:w="1134" w:type="dxa"/>
            <w:shd w:val="clear" w:color="auto" w:fill="FFFFFF"/>
            <w:vAlign w:val="center"/>
            <w:hideMark/>
          </w:tcPr>
          <w:p w14:paraId="0EB32AF3"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159.3</w:t>
            </w:r>
          </w:p>
        </w:tc>
      </w:tr>
      <w:tr w:rsidR="00FD6E41" w:rsidRPr="00135F6B" w14:paraId="6C191F06" w14:textId="77777777" w:rsidTr="00F72676">
        <w:trPr>
          <w:trHeight w:val="249"/>
        </w:trPr>
        <w:tc>
          <w:tcPr>
            <w:tcW w:w="261" w:type="dxa"/>
            <w:shd w:val="clear" w:color="auto" w:fill="FFFFFF"/>
            <w:noWrap/>
            <w:vAlign w:val="bottom"/>
            <w:hideMark/>
          </w:tcPr>
          <w:p w14:paraId="6F13E8BA"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69D42812"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Non-current lease liability</w:t>
            </w:r>
          </w:p>
        </w:tc>
        <w:tc>
          <w:tcPr>
            <w:tcW w:w="3148" w:type="dxa"/>
            <w:shd w:val="clear" w:color="auto" w:fill="FFFFFF"/>
            <w:vAlign w:val="center"/>
            <w:hideMark/>
          </w:tcPr>
          <w:p w14:paraId="0B12282A"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529B7CC4"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color w:val="000000"/>
                <w:sz w:val="22"/>
                <w:szCs w:val="22"/>
              </w:rPr>
              <w:t>147.4</w:t>
            </w:r>
          </w:p>
        </w:tc>
        <w:tc>
          <w:tcPr>
            <w:tcW w:w="1134" w:type="dxa"/>
            <w:shd w:val="clear" w:color="auto" w:fill="FFFFFF"/>
            <w:vAlign w:val="center"/>
            <w:hideMark/>
          </w:tcPr>
          <w:p w14:paraId="320E5D2C"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163.1</w:t>
            </w:r>
          </w:p>
        </w:tc>
      </w:tr>
      <w:tr w:rsidR="00FD6E41" w:rsidRPr="00135F6B" w14:paraId="154294EB" w14:textId="77777777" w:rsidTr="00F72676">
        <w:trPr>
          <w:trHeight w:val="249"/>
        </w:trPr>
        <w:tc>
          <w:tcPr>
            <w:tcW w:w="261" w:type="dxa"/>
            <w:shd w:val="clear" w:color="auto" w:fill="FFFFFF"/>
            <w:noWrap/>
            <w:vAlign w:val="bottom"/>
            <w:hideMark/>
          </w:tcPr>
          <w:p w14:paraId="1AC8124F"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08730E2F"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Non-current maturities of debt</w:t>
            </w:r>
          </w:p>
        </w:tc>
        <w:tc>
          <w:tcPr>
            <w:tcW w:w="3148" w:type="dxa"/>
            <w:shd w:val="clear" w:color="auto" w:fill="FFFFFF"/>
            <w:vAlign w:val="center"/>
            <w:hideMark/>
          </w:tcPr>
          <w:p w14:paraId="40F3DE5E" w14:textId="77777777" w:rsidR="00FD6E41" w:rsidRPr="00103D56" w:rsidRDefault="00FD6E41" w:rsidP="001C5897">
            <w:pPr>
              <w:jc w:val="right"/>
              <w:rPr>
                <w:rFonts w:ascii="Calibri" w:hAnsi="Calibri" w:cs="Calibri"/>
                <w:b/>
                <w:bCs/>
                <w:sz w:val="22"/>
                <w:szCs w:val="22"/>
                <w:lang w:eastAsia="en-IE"/>
              </w:rPr>
            </w:pPr>
            <w:r w:rsidRPr="00103D56">
              <w:rPr>
                <w:rFonts w:ascii="Calibri" w:hAnsi="Calibri" w:cs="Calibri"/>
                <w:b/>
                <w:bCs/>
                <w:color w:val="000000"/>
                <w:sz w:val="22"/>
                <w:szCs w:val="22"/>
                <w:lang w:eastAsia="en-IE"/>
              </w:rPr>
              <w:t>10</w:t>
            </w:r>
          </w:p>
        </w:tc>
        <w:tc>
          <w:tcPr>
            <w:tcW w:w="1134" w:type="dxa"/>
            <w:tcBorders>
              <w:top w:val="nil"/>
              <w:left w:val="nil"/>
              <w:bottom w:val="single" w:sz="8" w:space="0" w:color="auto"/>
              <w:right w:val="nil"/>
            </w:tcBorders>
            <w:shd w:val="clear" w:color="auto" w:fill="FFFF00"/>
          </w:tcPr>
          <w:p w14:paraId="66A685F3"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color w:val="000000"/>
                <w:sz w:val="22"/>
                <w:szCs w:val="22"/>
              </w:rPr>
              <w:t>2,576.8</w:t>
            </w:r>
          </w:p>
        </w:tc>
        <w:tc>
          <w:tcPr>
            <w:tcW w:w="1134" w:type="dxa"/>
            <w:tcBorders>
              <w:top w:val="nil"/>
              <w:left w:val="nil"/>
              <w:bottom w:val="single" w:sz="8" w:space="0" w:color="auto"/>
              <w:right w:val="nil"/>
            </w:tcBorders>
            <w:shd w:val="clear" w:color="auto" w:fill="FFFFFF"/>
            <w:vAlign w:val="center"/>
            <w:hideMark/>
          </w:tcPr>
          <w:p w14:paraId="1D6DB843"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2,853.2</w:t>
            </w:r>
          </w:p>
        </w:tc>
      </w:tr>
      <w:tr w:rsidR="00FD6E41" w:rsidRPr="00135F6B" w14:paraId="75A977CD" w14:textId="77777777" w:rsidTr="00F72676">
        <w:trPr>
          <w:trHeight w:val="249"/>
        </w:trPr>
        <w:tc>
          <w:tcPr>
            <w:tcW w:w="261" w:type="dxa"/>
            <w:shd w:val="clear" w:color="auto" w:fill="FFFFFF"/>
            <w:noWrap/>
            <w:vAlign w:val="bottom"/>
            <w:hideMark/>
          </w:tcPr>
          <w:p w14:paraId="3657C627"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60598448"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Total non-current liabilities</w:t>
            </w:r>
          </w:p>
        </w:tc>
        <w:tc>
          <w:tcPr>
            <w:tcW w:w="3148" w:type="dxa"/>
            <w:shd w:val="clear" w:color="auto" w:fill="FFFFFF"/>
            <w:vAlign w:val="center"/>
            <w:hideMark/>
          </w:tcPr>
          <w:p w14:paraId="6534AE3F" w14:textId="77777777" w:rsidR="00FD6E41" w:rsidRPr="001F1BE1" w:rsidRDefault="00FD6E41" w:rsidP="001C5897">
            <w:pPr>
              <w:rPr>
                <w:rFonts w:ascii="Calibri" w:hAnsi="Calibri" w:cs="Calibri"/>
                <w:b/>
                <w:bCs/>
                <w:sz w:val="21"/>
                <w:szCs w:val="21"/>
                <w:lang w:eastAsia="en-IE"/>
              </w:rPr>
            </w:pPr>
          </w:p>
        </w:tc>
        <w:tc>
          <w:tcPr>
            <w:tcW w:w="1134" w:type="dxa"/>
            <w:tcBorders>
              <w:top w:val="nil"/>
              <w:left w:val="nil"/>
              <w:bottom w:val="single" w:sz="8" w:space="0" w:color="auto"/>
              <w:right w:val="nil"/>
            </w:tcBorders>
            <w:shd w:val="clear" w:color="auto" w:fill="FFFF00"/>
          </w:tcPr>
          <w:p w14:paraId="310D9CE6" w14:textId="77777777" w:rsidR="00FD6E41" w:rsidRPr="00103D56" w:rsidRDefault="00FD6E41" w:rsidP="00F72676">
            <w:pPr>
              <w:ind w:left="-45" w:right="27" w:firstLine="45"/>
              <w:jc w:val="right"/>
              <w:rPr>
                <w:rFonts w:ascii="Calibri" w:hAnsi="Calibri" w:cs="Calibri"/>
                <w:b/>
                <w:bCs/>
                <w:color w:val="000000"/>
                <w:sz w:val="22"/>
                <w:szCs w:val="22"/>
                <w:lang w:eastAsia="en-IE"/>
              </w:rPr>
            </w:pPr>
            <w:r w:rsidRPr="00103D56">
              <w:rPr>
                <w:rFonts w:ascii="Calibri" w:hAnsi="Calibri" w:cs="Calibri"/>
                <w:b/>
                <w:bCs/>
                <w:color w:val="000000"/>
                <w:sz w:val="22"/>
                <w:szCs w:val="22"/>
              </w:rPr>
              <w:t>3,401.2</w:t>
            </w:r>
          </w:p>
        </w:tc>
        <w:tc>
          <w:tcPr>
            <w:tcW w:w="1134" w:type="dxa"/>
            <w:tcBorders>
              <w:top w:val="nil"/>
              <w:left w:val="nil"/>
              <w:bottom w:val="single" w:sz="8" w:space="0" w:color="auto"/>
              <w:right w:val="nil"/>
            </w:tcBorders>
            <w:shd w:val="clear" w:color="auto" w:fill="FFFFFF"/>
            <w:vAlign w:val="center"/>
            <w:hideMark/>
          </w:tcPr>
          <w:p w14:paraId="7249009D"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3,341.3</w:t>
            </w:r>
          </w:p>
        </w:tc>
      </w:tr>
      <w:tr w:rsidR="00FD6E41" w:rsidRPr="00135F6B" w14:paraId="725D90EE" w14:textId="77777777" w:rsidTr="00F72676">
        <w:trPr>
          <w:trHeight w:val="249"/>
        </w:trPr>
        <w:tc>
          <w:tcPr>
            <w:tcW w:w="261" w:type="dxa"/>
            <w:shd w:val="clear" w:color="auto" w:fill="FFFFFF"/>
            <w:noWrap/>
            <w:vAlign w:val="bottom"/>
            <w:hideMark/>
          </w:tcPr>
          <w:p w14:paraId="0165DB8D"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3BA46F3D" w14:textId="77777777" w:rsidR="00FD6E41" w:rsidRPr="00103D56" w:rsidRDefault="00FD6E41" w:rsidP="00FD6E41">
            <w:pPr>
              <w:ind w:left="60"/>
              <w:jc w:val="right"/>
              <w:rPr>
                <w:rFonts w:ascii="Calibri" w:hAnsi="Calibri" w:cs="Calibri"/>
                <w:sz w:val="22"/>
                <w:szCs w:val="22"/>
                <w:lang w:eastAsia="en-IE"/>
              </w:rPr>
            </w:pPr>
            <w:r w:rsidRPr="00103D56">
              <w:rPr>
                <w:rFonts w:ascii="Calibri" w:hAnsi="Calibri" w:cs="Calibri"/>
                <w:sz w:val="22"/>
                <w:szCs w:val="22"/>
                <w:lang w:eastAsia="en-IE"/>
              </w:rPr>
              <w:t> </w:t>
            </w:r>
          </w:p>
        </w:tc>
        <w:tc>
          <w:tcPr>
            <w:tcW w:w="3148" w:type="dxa"/>
            <w:shd w:val="clear" w:color="auto" w:fill="FFFFFF"/>
            <w:vAlign w:val="center"/>
            <w:hideMark/>
          </w:tcPr>
          <w:p w14:paraId="2E4C47C9" w14:textId="77777777" w:rsidR="00FD6E41" w:rsidRPr="001F1BE1" w:rsidRDefault="00FD6E41" w:rsidP="001C5897">
            <w:pPr>
              <w:rPr>
                <w:rFonts w:ascii="Calibri" w:hAnsi="Calibri" w:cs="Calibri"/>
                <w:sz w:val="21"/>
                <w:szCs w:val="21"/>
                <w:lang w:eastAsia="en-IE"/>
              </w:rPr>
            </w:pPr>
          </w:p>
        </w:tc>
        <w:tc>
          <w:tcPr>
            <w:tcW w:w="1134" w:type="dxa"/>
            <w:shd w:val="clear" w:color="auto" w:fill="FFFF00"/>
            <w:vAlign w:val="center"/>
          </w:tcPr>
          <w:p w14:paraId="3F6ABA0B" w14:textId="77777777" w:rsidR="00FD6E41" w:rsidRPr="00103D56" w:rsidRDefault="00FD6E41" w:rsidP="00F72676">
            <w:pPr>
              <w:ind w:left="-45" w:right="27" w:firstLine="45"/>
              <w:jc w:val="right"/>
              <w:rPr>
                <w:rFonts w:ascii="Calibri" w:eastAsia="Calibri" w:hAnsi="Calibri" w:cs="Calibri"/>
                <w:b/>
                <w:sz w:val="22"/>
                <w:szCs w:val="22"/>
                <w:lang w:eastAsia="en-IE"/>
              </w:rPr>
            </w:pPr>
          </w:p>
        </w:tc>
        <w:tc>
          <w:tcPr>
            <w:tcW w:w="1134" w:type="dxa"/>
            <w:shd w:val="clear" w:color="auto" w:fill="FFFFFF"/>
            <w:vAlign w:val="center"/>
            <w:hideMark/>
          </w:tcPr>
          <w:p w14:paraId="7C701188" w14:textId="77777777" w:rsidR="00FD6E41" w:rsidRPr="00103D56" w:rsidRDefault="00FD6E41" w:rsidP="00F72676">
            <w:pPr>
              <w:ind w:right="33"/>
              <w:rPr>
                <w:rFonts w:ascii="Calibri" w:eastAsia="Calibri" w:hAnsi="Calibri" w:cs="Calibri"/>
                <w:sz w:val="22"/>
                <w:szCs w:val="22"/>
                <w:lang w:eastAsia="en-IE"/>
              </w:rPr>
            </w:pPr>
          </w:p>
        </w:tc>
      </w:tr>
      <w:tr w:rsidR="00FD6E41" w:rsidRPr="00135F6B" w14:paraId="428923AA" w14:textId="77777777" w:rsidTr="00F72676">
        <w:trPr>
          <w:trHeight w:val="249"/>
        </w:trPr>
        <w:tc>
          <w:tcPr>
            <w:tcW w:w="261" w:type="dxa"/>
            <w:shd w:val="clear" w:color="auto" w:fill="FFFFFF"/>
            <w:noWrap/>
            <w:vAlign w:val="bottom"/>
            <w:hideMark/>
          </w:tcPr>
          <w:p w14:paraId="0A8DE47D"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008343CA"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Shareholders' equity</w:t>
            </w:r>
          </w:p>
        </w:tc>
        <w:tc>
          <w:tcPr>
            <w:tcW w:w="3148" w:type="dxa"/>
            <w:shd w:val="clear" w:color="auto" w:fill="FFFFFF"/>
            <w:vAlign w:val="center"/>
            <w:hideMark/>
          </w:tcPr>
          <w:p w14:paraId="46CC4E96" w14:textId="77777777" w:rsidR="00FD6E41" w:rsidRPr="001F1BE1" w:rsidRDefault="00FD6E41" w:rsidP="001C5897">
            <w:pPr>
              <w:rPr>
                <w:rFonts w:ascii="Calibri" w:hAnsi="Calibri" w:cs="Calibri"/>
                <w:b/>
                <w:bCs/>
                <w:sz w:val="21"/>
                <w:szCs w:val="21"/>
                <w:lang w:eastAsia="en-IE"/>
              </w:rPr>
            </w:pPr>
          </w:p>
        </w:tc>
        <w:tc>
          <w:tcPr>
            <w:tcW w:w="1134" w:type="dxa"/>
            <w:shd w:val="clear" w:color="auto" w:fill="FFFF00"/>
          </w:tcPr>
          <w:p w14:paraId="26EF9ECC" w14:textId="77777777" w:rsidR="00FD6E41" w:rsidRPr="00103D56" w:rsidRDefault="00FD6E41" w:rsidP="00F72676">
            <w:pPr>
              <w:ind w:left="-45" w:right="27" w:firstLine="45"/>
              <w:jc w:val="right"/>
              <w:rPr>
                <w:rFonts w:ascii="Calibri" w:eastAsia="Calibri" w:hAnsi="Calibri" w:cs="Calibri"/>
                <w:b/>
                <w:sz w:val="22"/>
                <w:szCs w:val="22"/>
                <w:lang w:eastAsia="en-IE"/>
              </w:rPr>
            </w:pPr>
          </w:p>
        </w:tc>
        <w:tc>
          <w:tcPr>
            <w:tcW w:w="1134" w:type="dxa"/>
            <w:shd w:val="clear" w:color="auto" w:fill="FFFFFF"/>
            <w:vAlign w:val="center"/>
            <w:hideMark/>
          </w:tcPr>
          <w:p w14:paraId="51ABAFEE" w14:textId="77777777" w:rsidR="00FD6E41" w:rsidRPr="00103D56" w:rsidRDefault="00FD6E41" w:rsidP="00F72676">
            <w:pPr>
              <w:ind w:right="33"/>
              <w:rPr>
                <w:rFonts w:ascii="Calibri" w:eastAsia="Calibri" w:hAnsi="Calibri" w:cs="Calibri"/>
                <w:sz w:val="22"/>
                <w:szCs w:val="22"/>
                <w:lang w:eastAsia="en-IE"/>
              </w:rPr>
            </w:pPr>
          </w:p>
        </w:tc>
      </w:tr>
      <w:tr w:rsidR="00FD6E41" w:rsidRPr="00135F6B" w14:paraId="5985B840" w14:textId="77777777" w:rsidTr="00F72676">
        <w:trPr>
          <w:trHeight w:val="249"/>
        </w:trPr>
        <w:tc>
          <w:tcPr>
            <w:tcW w:w="261" w:type="dxa"/>
            <w:shd w:val="clear" w:color="auto" w:fill="FFFFFF"/>
            <w:noWrap/>
            <w:vAlign w:val="bottom"/>
            <w:hideMark/>
          </w:tcPr>
          <w:p w14:paraId="222A014F"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4080F14A"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Issued share capital</w:t>
            </w:r>
          </w:p>
        </w:tc>
        <w:tc>
          <w:tcPr>
            <w:tcW w:w="3148" w:type="dxa"/>
            <w:shd w:val="clear" w:color="auto" w:fill="FFFFFF"/>
            <w:vAlign w:val="center"/>
            <w:hideMark/>
          </w:tcPr>
          <w:p w14:paraId="2DB58990" w14:textId="77777777" w:rsidR="00FD6E41" w:rsidRPr="001F1BE1" w:rsidRDefault="00FD6E41" w:rsidP="001C5897">
            <w:pPr>
              <w:jc w:val="right"/>
              <w:rPr>
                <w:rFonts w:ascii="Calibri" w:hAnsi="Calibri" w:cs="Calibri"/>
                <w:b/>
                <w:bCs/>
                <w:color w:val="000000"/>
                <w:sz w:val="21"/>
                <w:szCs w:val="21"/>
                <w:lang w:eastAsia="en-IE"/>
              </w:rPr>
            </w:pPr>
          </w:p>
        </w:tc>
        <w:tc>
          <w:tcPr>
            <w:tcW w:w="1134" w:type="dxa"/>
            <w:shd w:val="clear" w:color="auto" w:fill="FFFF00"/>
          </w:tcPr>
          <w:p w14:paraId="286B1F72" w14:textId="77777777" w:rsidR="00FD6E41" w:rsidRPr="00103D56" w:rsidRDefault="00FD6E41" w:rsidP="00F72676">
            <w:pPr>
              <w:ind w:left="-45" w:right="27" w:firstLine="45"/>
              <w:jc w:val="right"/>
              <w:rPr>
                <w:rFonts w:ascii="Calibri" w:hAnsi="Calibri" w:cs="Calibri"/>
                <w:b/>
                <w:bCs/>
                <w:color w:val="000000"/>
                <w:sz w:val="22"/>
                <w:szCs w:val="22"/>
                <w:lang w:eastAsia="en-IE"/>
              </w:rPr>
            </w:pPr>
            <w:r w:rsidRPr="00103D56">
              <w:rPr>
                <w:rFonts w:ascii="Calibri" w:hAnsi="Calibri" w:cs="Calibri"/>
                <w:b/>
                <w:bCs/>
                <w:color w:val="000000"/>
                <w:sz w:val="22"/>
                <w:szCs w:val="22"/>
              </w:rPr>
              <w:t>6.9</w:t>
            </w:r>
          </w:p>
        </w:tc>
        <w:tc>
          <w:tcPr>
            <w:tcW w:w="1134" w:type="dxa"/>
            <w:shd w:val="clear" w:color="auto" w:fill="FFFFFF"/>
            <w:vAlign w:val="center"/>
            <w:hideMark/>
          </w:tcPr>
          <w:p w14:paraId="30A232DB"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6.9</w:t>
            </w:r>
          </w:p>
        </w:tc>
      </w:tr>
      <w:tr w:rsidR="00FD6E41" w:rsidRPr="00135F6B" w14:paraId="46BDC333" w14:textId="77777777" w:rsidTr="00F72676">
        <w:trPr>
          <w:trHeight w:val="249"/>
        </w:trPr>
        <w:tc>
          <w:tcPr>
            <w:tcW w:w="261" w:type="dxa"/>
            <w:shd w:val="clear" w:color="auto" w:fill="FFFFFF"/>
            <w:noWrap/>
            <w:vAlign w:val="bottom"/>
            <w:hideMark/>
          </w:tcPr>
          <w:p w14:paraId="79FA4E08"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1290807F"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Share premium account</w:t>
            </w:r>
          </w:p>
        </w:tc>
        <w:tc>
          <w:tcPr>
            <w:tcW w:w="3148" w:type="dxa"/>
            <w:shd w:val="clear" w:color="auto" w:fill="FFFFFF"/>
            <w:vAlign w:val="center"/>
            <w:hideMark/>
          </w:tcPr>
          <w:p w14:paraId="4C9E37B7" w14:textId="77777777" w:rsidR="00FD6E41" w:rsidRPr="001F1BE1" w:rsidRDefault="00FD6E41" w:rsidP="001C5897">
            <w:pPr>
              <w:jc w:val="right"/>
              <w:rPr>
                <w:rFonts w:ascii="Calibri" w:hAnsi="Calibri" w:cs="Calibri"/>
                <w:b/>
                <w:bCs/>
                <w:color w:val="000000"/>
                <w:sz w:val="21"/>
                <w:szCs w:val="21"/>
                <w:lang w:eastAsia="en-IE"/>
              </w:rPr>
            </w:pPr>
          </w:p>
        </w:tc>
        <w:tc>
          <w:tcPr>
            <w:tcW w:w="1134" w:type="dxa"/>
            <w:shd w:val="clear" w:color="auto" w:fill="FFFF00"/>
          </w:tcPr>
          <w:p w14:paraId="6CCC4E6E" w14:textId="77777777" w:rsidR="00FD6E41" w:rsidRPr="00103D56" w:rsidRDefault="00FD6E41" w:rsidP="00F72676">
            <w:pPr>
              <w:ind w:left="-45" w:right="27" w:firstLine="45"/>
              <w:jc w:val="right"/>
              <w:rPr>
                <w:rFonts w:ascii="Calibri" w:hAnsi="Calibri" w:cs="Calibri"/>
                <w:b/>
                <w:bCs/>
                <w:color w:val="000000"/>
                <w:sz w:val="22"/>
                <w:szCs w:val="22"/>
                <w:lang w:eastAsia="en-IE"/>
              </w:rPr>
            </w:pPr>
            <w:r w:rsidRPr="00103D56">
              <w:rPr>
                <w:rFonts w:ascii="Calibri" w:hAnsi="Calibri" w:cs="Calibri"/>
                <w:b/>
                <w:bCs/>
                <w:color w:val="000000"/>
                <w:sz w:val="22"/>
                <w:szCs w:val="22"/>
              </w:rPr>
              <w:t>1,384.2</w:t>
            </w:r>
          </w:p>
        </w:tc>
        <w:tc>
          <w:tcPr>
            <w:tcW w:w="1134" w:type="dxa"/>
            <w:shd w:val="clear" w:color="auto" w:fill="FFFFFF"/>
            <w:vAlign w:val="center"/>
            <w:hideMark/>
          </w:tcPr>
          <w:p w14:paraId="74E9C1D3"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1,379.9</w:t>
            </w:r>
          </w:p>
        </w:tc>
      </w:tr>
      <w:tr w:rsidR="00FD6E41" w:rsidRPr="00135F6B" w14:paraId="401B22AD" w14:textId="77777777" w:rsidTr="00F72676">
        <w:trPr>
          <w:trHeight w:val="249"/>
        </w:trPr>
        <w:tc>
          <w:tcPr>
            <w:tcW w:w="261" w:type="dxa"/>
            <w:shd w:val="clear" w:color="auto" w:fill="FFFFFF"/>
            <w:noWrap/>
            <w:vAlign w:val="bottom"/>
            <w:hideMark/>
          </w:tcPr>
          <w:p w14:paraId="78F645A1"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1ADA23FB"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Other undenominated capital</w:t>
            </w:r>
          </w:p>
        </w:tc>
        <w:tc>
          <w:tcPr>
            <w:tcW w:w="3148" w:type="dxa"/>
            <w:shd w:val="clear" w:color="auto" w:fill="FFFFFF"/>
            <w:vAlign w:val="center"/>
            <w:hideMark/>
          </w:tcPr>
          <w:p w14:paraId="3DA31CA4" w14:textId="77777777" w:rsidR="00FD6E41" w:rsidRPr="001F1BE1" w:rsidRDefault="00FD6E41" w:rsidP="001C5897">
            <w:pPr>
              <w:jc w:val="right"/>
              <w:rPr>
                <w:rFonts w:ascii="Calibri" w:hAnsi="Calibri" w:cs="Calibri"/>
                <w:b/>
                <w:bCs/>
                <w:color w:val="000000"/>
                <w:sz w:val="21"/>
                <w:szCs w:val="21"/>
                <w:lang w:eastAsia="en-IE"/>
              </w:rPr>
            </w:pPr>
          </w:p>
        </w:tc>
        <w:tc>
          <w:tcPr>
            <w:tcW w:w="1134" w:type="dxa"/>
            <w:shd w:val="clear" w:color="auto" w:fill="FFFF00"/>
          </w:tcPr>
          <w:p w14:paraId="358E8BDB" w14:textId="77777777" w:rsidR="00FD6E41" w:rsidRPr="00103D56" w:rsidRDefault="00FD6E41" w:rsidP="00F72676">
            <w:pPr>
              <w:ind w:left="-45" w:right="27" w:firstLine="45"/>
              <w:jc w:val="right"/>
              <w:rPr>
                <w:rFonts w:ascii="Calibri" w:hAnsi="Calibri" w:cs="Calibri"/>
                <w:b/>
                <w:bCs/>
                <w:color w:val="000000"/>
                <w:sz w:val="22"/>
                <w:szCs w:val="22"/>
                <w:lang w:eastAsia="en-IE"/>
              </w:rPr>
            </w:pPr>
            <w:r w:rsidRPr="00103D56">
              <w:rPr>
                <w:rFonts w:ascii="Calibri" w:hAnsi="Calibri" w:cs="Calibri"/>
                <w:b/>
                <w:bCs/>
                <w:color w:val="000000"/>
                <w:sz w:val="22"/>
                <w:szCs w:val="22"/>
              </w:rPr>
              <w:t>3.5</w:t>
            </w:r>
          </w:p>
        </w:tc>
        <w:tc>
          <w:tcPr>
            <w:tcW w:w="1134" w:type="dxa"/>
            <w:shd w:val="clear" w:color="auto" w:fill="FFFFFF"/>
            <w:vAlign w:val="center"/>
            <w:hideMark/>
          </w:tcPr>
          <w:p w14:paraId="389826F4"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3.5</w:t>
            </w:r>
          </w:p>
        </w:tc>
      </w:tr>
      <w:tr w:rsidR="00FD6E41" w:rsidRPr="00135F6B" w14:paraId="7491F979" w14:textId="77777777" w:rsidTr="00F72676">
        <w:trPr>
          <w:trHeight w:val="249"/>
        </w:trPr>
        <w:tc>
          <w:tcPr>
            <w:tcW w:w="261" w:type="dxa"/>
            <w:shd w:val="clear" w:color="auto" w:fill="FFFFFF"/>
            <w:noWrap/>
            <w:vAlign w:val="bottom"/>
            <w:hideMark/>
          </w:tcPr>
          <w:p w14:paraId="6C0E1DFD"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74A15643"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Retained earnings</w:t>
            </w:r>
          </w:p>
        </w:tc>
        <w:tc>
          <w:tcPr>
            <w:tcW w:w="3148" w:type="dxa"/>
            <w:shd w:val="clear" w:color="auto" w:fill="FFFFFF"/>
            <w:vAlign w:val="center"/>
            <w:hideMark/>
          </w:tcPr>
          <w:p w14:paraId="6C774325" w14:textId="77777777" w:rsidR="00FD6E41" w:rsidRPr="001F1BE1" w:rsidRDefault="00FD6E41" w:rsidP="001C5897">
            <w:pPr>
              <w:jc w:val="right"/>
              <w:rPr>
                <w:rFonts w:ascii="Calibri" w:hAnsi="Calibri" w:cs="Calibri"/>
                <w:b/>
                <w:bCs/>
                <w:color w:val="000000"/>
                <w:sz w:val="21"/>
                <w:szCs w:val="21"/>
                <w:lang w:eastAsia="en-IE"/>
              </w:rPr>
            </w:pPr>
          </w:p>
        </w:tc>
        <w:tc>
          <w:tcPr>
            <w:tcW w:w="1134" w:type="dxa"/>
            <w:shd w:val="clear" w:color="auto" w:fill="FFFF00"/>
          </w:tcPr>
          <w:p w14:paraId="3657D78E" w14:textId="77777777" w:rsidR="00FD6E41" w:rsidRPr="00103D56" w:rsidRDefault="00FD6E41" w:rsidP="00F72676">
            <w:pPr>
              <w:ind w:left="-45" w:right="27" w:firstLine="45"/>
              <w:jc w:val="right"/>
              <w:rPr>
                <w:rFonts w:ascii="Calibri" w:hAnsi="Calibri" w:cs="Calibri"/>
                <w:b/>
                <w:bCs/>
                <w:color w:val="000000"/>
                <w:sz w:val="22"/>
                <w:szCs w:val="22"/>
                <w:lang w:eastAsia="en-IE"/>
              </w:rPr>
            </w:pPr>
            <w:r w:rsidRPr="00103D56">
              <w:rPr>
                <w:rFonts w:ascii="Calibri" w:hAnsi="Calibri" w:cs="Calibri"/>
                <w:b/>
                <w:bCs/>
                <w:color w:val="000000"/>
                <w:sz w:val="22"/>
                <w:szCs w:val="22"/>
              </w:rPr>
              <w:t>6,357.6</w:t>
            </w:r>
          </w:p>
        </w:tc>
        <w:tc>
          <w:tcPr>
            <w:tcW w:w="1134" w:type="dxa"/>
            <w:shd w:val="clear" w:color="auto" w:fill="FFFFFF"/>
            <w:vAlign w:val="center"/>
            <w:hideMark/>
          </w:tcPr>
          <w:p w14:paraId="62F538D4"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4,180.0</w:t>
            </w:r>
          </w:p>
        </w:tc>
      </w:tr>
      <w:tr w:rsidR="00FD6E41" w:rsidRPr="00135F6B" w14:paraId="44E43068" w14:textId="77777777" w:rsidTr="00F72676">
        <w:trPr>
          <w:trHeight w:val="249"/>
        </w:trPr>
        <w:tc>
          <w:tcPr>
            <w:tcW w:w="261" w:type="dxa"/>
            <w:shd w:val="clear" w:color="auto" w:fill="FFFFFF"/>
            <w:noWrap/>
            <w:vAlign w:val="bottom"/>
            <w:hideMark/>
          </w:tcPr>
          <w:p w14:paraId="1F1C9CB5"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27B48813"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Other reserves</w:t>
            </w:r>
          </w:p>
        </w:tc>
        <w:tc>
          <w:tcPr>
            <w:tcW w:w="3148" w:type="dxa"/>
            <w:shd w:val="clear" w:color="auto" w:fill="FFFFFF"/>
            <w:vAlign w:val="center"/>
            <w:hideMark/>
          </w:tcPr>
          <w:p w14:paraId="53D4FCD8" w14:textId="77777777" w:rsidR="00FD6E41" w:rsidRPr="001F1BE1" w:rsidRDefault="00FD6E41" w:rsidP="001C5897">
            <w:pPr>
              <w:rPr>
                <w:rFonts w:ascii="Calibri" w:hAnsi="Calibri" w:cs="Calibri"/>
                <w:sz w:val="21"/>
                <w:szCs w:val="21"/>
                <w:lang w:eastAsia="en-IE"/>
              </w:rPr>
            </w:pPr>
          </w:p>
        </w:tc>
        <w:tc>
          <w:tcPr>
            <w:tcW w:w="1134" w:type="dxa"/>
            <w:tcBorders>
              <w:top w:val="nil"/>
              <w:left w:val="nil"/>
              <w:bottom w:val="single" w:sz="8" w:space="0" w:color="auto"/>
              <w:right w:val="nil"/>
            </w:tcBorders>
            <w:shd w:val="clear" w:color="auto" w:fill="FFFF00"/>
          </w:tcPr>
          <w:p w14:paraId="2CF4D04C" w14:textId="77777777" w:rsidR="00FD6E41" w:rsidRPr="00103D56" w:rsidRDefault="00FD6E41" w:rsidP="00F72676">
            <w:pPr>
              <w:ind w:left="-45" w:right="27" w:firstLine="45"/>
              <w:jc w:val="right"/>
              <w:rPr>
                <w:rFonts w:ascii="Calibri" w:eastAsia="Calibri" w:hAnsi="Calibri" w:cs="Calibri"/>
                <w:b/>
                <w:sz w:val="22"/>
                <w:szCs w:val="22"/>
                <w:lang w:eastAsia="en-IE"/>
              </w:rPr>
            </w:pPr>
            <w:r w:rsidRPr="00103D56">
              <w:rPr>
                <w:rFonts w:ascii="Calibri" w:hAnsi="Calibri" w:cs="Calibri"/>
                <w:b/>
                <w:bCs/>
                <w:color w:val="000000"/>
                <w:sz w:val="22"/>
                <w:szCs w:val="22"/>
              </w:rPr>
              <w:t>676.5</w:t>
            </w:r>
          </w:p>
        </w:tc>
        <w:tc>
          <w:tcPr>
            <w:tcW w:w="1134" w:type="dxa"/>
            <w:tcBorders>
              <w:top w:val="nil"/>
              <w:left w:val="nil"/>
              <w:bottom w:val="single" w:sz="8" w:space="0" w:color="auto"/>
              <w:right w:val="nil"/>
            </w:tcBorders>
            <w:shd w:val="clear" w:color="auto" w:fill="FFFFFF"/>
            <w:vAlign w:val="center"/>
            <w:hideMark/>
          </w:tcPr>
          <w:p w14:paraId="46E7C7AE"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72.7</w:t>
            </w:r>
          </w:p>
        </w:tc>
      </w:tr>
      <w:tr w:rsidR="00FD6E41" w:rsidRPr="00135F6B" w14:paraId="63604FC8" w14:textId="77777777" w:rsidTr="00F72676">
        <w:trPr>
          <w:trHeight w:val="249"/>
        </w:trPr>
        <w:tc>
          <w:tcPr>
            <w:tcW w:w="261" w:type="dxa"/>
            <w:shd w:val="clear" w:color="auto" w:fill="FFFFFF"/>
            <w:noWrap/>
            <w:vAlign w:val="bottom"/>
            <w:hideMark/>
          </w:tcPr>
          <w:p w14:paraId="0121E997"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0D0AF73D"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Shareholders' equity</w:t>
            </w:r>
          </w:p>
        </w:tc>
        <w:tc>
          <w:tcPr>
            <w:tcW w:w="3148" w:type="dxa"/>
            <w:shd w:val="clear" w:color="auto" w:fill="FFFFFF"/>
            <w:vAlign w:val="center"/>
            <w:hideMark/>
          </w:tcPr>
          <w:p w14:paraId="78BB872B" w14:textId="77777777" w:rsidR="00FD6E41" w:rsidRPr="001F1BE1" w:rsidRDefault="00FD6E41" w:rsidP="001C5897">
            <w:pPr>
              <w:rPr>
                <w:rFonts w:ascii="Calibri" w:hAnsi="Calibri" w:cs="Calibri"/>
                <w:b/>
                <w:bCs/>
                <w:sz w:val="21"/>
                <w:szCs w:val="21"/>
                <w:lang w:eastAsia="en-IE"/>
              </w:rPr>
            </w:pPr>
          </w:p>
        </w:tc>
        <w:tc>
          <w:tcPr>
            <w:tcW w:w="1134" w:type="dxa"/>
            <w:tcBorders>
              <w:top w:val="nil"/>
              <w:left w:val="nil"/>
              <w:bottom w:val="single" w:sz="8" w:space="0" w:color="auto"/>
              <w:right w:val="nil"/>
            </w:tcBorders>
            <w:shd w:val="clear" w:color="auto" w:fill="FFFF00"/>
          </w:tcPr>
          <w:p w14:paraId="4D3D882D" w14:textId="77777777" w:rsidR="00FD6E41" w:rsidRPr="00103D56" w:rsidRDefault="00FD6E41" w:rsidP="00F72676">
            <w:pPr>
              <w:ind w:left="-45" w:right="27" w:firstLine="45"/>
              <w:jc w:val="right"/>
              <w:rPr>
                <w:rFonts w:ascii="Calibri" w:hAnsi="Calibri" w:cs="Calibri"/>
                <w:b/>
                <w:bCs/>
                <w:color w:val="000000"/>
                <w:sz w:val="22"/>
                <w:szCs w:val="22"/>
                <w:lang w:eastAsia="en-IE"/>
              </w:rPr>
            </w:pPr>
            <w:r w:rsidRPr="00103D56">
              <w:rPr>
                <w:rFonts w:ascii="Calibri" w:hAnsi="Calibri" w:cs="Calibri"/>
                <w:b/>
                <w:bCs/>
                <w:color w:val="000000"/>
                <w:sz w:val="22"/>
                <w:szCs w:val="22"/>
              </w:rPr>
              <w:t>8,428.7</w:t>
            </w:r>
          </w:p>
        </w:tc>
        <w:tc>
          <w:tcPr>
            <w:tcW w:w="1134" w:type="dxa"/>
            <w:tcBorders>
              <w:top w:val="nil"/>
              <w:left w:val="nil"/>
              <w:bottom w:val="single" w:sz="8" w:space="0" w:color="auto"/>
              <w:right w:val="nil"/>
            </w:tcBorders>
            <w:shd w:val="clear" w:color="auto" w:fill="FFFFFF"/>
            <w:vAlign w:val="center"/>
            <w:hideMark/>
          </w:tcPr>
          <w:p w14:paraId="4C9DF8D8"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5,643.0</w:t>
            </w:r>
          </w:p>
        </w:tc>
      </w:tr>
      <w:tr w:rsidR="00FD6E41" w:rsidRPr="00135F6B" w14:paraId="590A1826" w14:textId="77777777" w:rsidTr="00F72676">
        <w:trPr>
          <w:trHeight w:val="249"/>
        </w:trPr>
        <w:tc>
          <w:tcPr>
            <w:tcW w:w="261" w:type="dxa"/>
            <w:shd w:val="clear" w:color="auto" w:fill="FFFFFF"/>
            <w:noWrap/>
            <w:vAlign w:val="bottom"/>
            <w:hideMark/>
          </w:tcPr>
          <w:p w14:paraId="00E19948"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69C208AA" w14:textId="77777777" w:rsidR="00FD6E41" w:rsidRPr="00103D56" w:rsidRDefault="00FD6E41" w:rsidP="00FD6E41">
            <w:pPr>
              <w:ind w:left="60"/>
              <w:jc w:val="right"/>
              <w:rPr>
                <w:rFonts w:ascii="Calibri" w:hAnsi="Calibri" w:cs="Calibri"/>
                <w:sz w:val="22"/>
                <w:szCs w:val="22"/>
                <w:lang w:eastAsia="en-IE"/>
              </w:rPr>
            </w:pPr>
            <w:r w:rsidRPr="00103D56">
              <w:rPr>
                <w:rFonts w:ascii="Calibri" w:hAnsi="Calibri" w:cs="Calibri"/>
                <w:sz w:val="22"/>
                <w:szCs w:val="22"/>
                <w:lang w:eastAsia="en-IE"/>
              </w:rPr>
              <w:t> </w:t>
            </w:r>
          </w:p>
        </w:tc>
        <w:tc>
          <w:tcPr>
            <w:tcW w:w="3148" w:type="dxa"/>
            <w:shd w:val="clear" w:color="auto" w:fill="FFFFFF"/>
            <w:vAlign w:val="center"/>
            <w:hideMark/>
          </w:tcPr>
          <w:p w14:paraId="53D353B9" w14:textId="77777777" w:rsidR="00FD6E41" w:rsidRPr="001F1BE1" w:rsidRDefault="00FD6E41" w:rsidP="001C5897">
            <w:pPr>
              <w:rPr>
                <w:rFonts w:ascii="Calibri" w:hAnsi="Calibri" w:cs="Calibri"/>
                <w:sz w:val="21"/>
                <w:szCs w:val="21"/>
                <w:lang w:eastAsia="en-IE"/>
              </w:rPr>
            </w:pPr>
          </w:p>
        </w:tc>
        <w:tc>
          <w:tcPr>
            <w:tcW w:w="1134" w:type="dxa"/>
            <w:shd w:val="clear" w:color="auto" w:fill="FFFF00"/>
            <w:vAlign w:val="center"/>
          </w:tcPr>
          <w:p w14:paraId="6D3FD013" w14:textId="77777777" w:rsidR="00FD6E41" w:rsidRPr="00103D56" w:rsidRDefault="00FD6E41" w:rsidP="00F72676">
            <w:pPr>
              <w:ind w:left="-45" w:right="27" w:firstLine="45"/>
              <w:jc w:val="right"/>
              <w:rPr>
                <w:rFonts w:ascii="Calibri" w:eastAsia="Calibri" w:hAnsi="Calibri" w:cs="Calibri"/>
                <w:b/>
                <w:sz w:val="22"/>
                <w:szCs w:val="22"/>
                <w:lang w:eastAsia="en-IE"/>
              </w:rPr>
            </w:pPr>
          </w:p>
        </w:tc>
        <w:tc>
          <w:tcPr>
            <w:tcW w:w="1134" w:type="dxa"/>
            <w:shd w:val="clear" w:color="auto" w:fill="FFFFFF"/>
            <w:vAlign w:val="center"/>
            <w:hideMark/>
          </w:tcPr>
          <w:p w14:paraId="441E4A02" w14:textId="77777777" w:rsidR="00FD6E41" w:rsidRPr="009356EA" w:rsidRDefault="00FD6E41" w:rsidP="00F72676">
            <w:pPr>
              <w:ind w:right="33"/>
              <w:rPr>
                <w:rFonts w:ascii="Calibri" w:eastAsia="Calibri" w:hAnsi="Calibri" w:cs="Calibri"/>
                <w:sz w:val="21"/>
                <w:szCs w:val="21"/>
                <w:lang w:eastAsia="en-IE"/>
              </w:rPr>
            </w:pPr>
          </w:p>
        </w:tc>
      </w:tr>
      <w:tr w:rsidR="00FD6E41" w:rsidRPr="00135F6B" w14:paraId="768A687E" w14:textId="77777777" w:rsidTr="00F72676">
        <w:trPr>
          <w:trHeight w:val="249"/>
        </w:trPr>
        <w:tc>
          <w:tcPr>
            <w:tcW w:w="261" w:type="dxa"/>
            <w:shd w:val="clear" w:color="auto" w:fill="FFFFFF"/>
            <w:noWrap/>
            <w:vAlign w:val="bottom"/>
            <w:hideMark/>
          </w:tcPr>
          <w:p w14:paraId="734D5972"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796D5CFA"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Total liabilities and shareholders' equity</w:t>
            </w:r>
          </w:p>
        </w:tc>
        <w:tc>
          <w:tcPr>
            <w:tcW w:w="3148" w:type="dxa"/>
            <w:shd w:val="clear" w:color="auto" w:fill="FFFFFF"/>
            <w:vAlign w:val="center"/>
            <w:hideMark/>
          </w:tcPr>
          <w:p w14:paraId="7394D8AE" w14:textId="77777777" w:rsidR="00FD6E41" w:rsidRPr="001F1BE1" w:rsidRDefault="00FD6E41" w:rsidP="001C5897">
            <w:pPr>
              <w:rPr>
                <w:rFonts w:ascii="Calibri" w:hAnsi="Calibri" w:cs="Calibri"/>
                <w:b/>
                <w:bCs/>
                <w:sz w:val="21"/>
                <w:szCs w:val="21"/>
                <w:lang w:eastAsia="en-IE"/>
              </w:rPr>
            </w:pPr>
          </w:p>
        </w:tc>
        <w:tc>
          <w:tcPr>
            <w:tcW w:w="1134" w:type="dxa"/>
            <w:tcBorders>
              <w:top w:val="nil"/>
              <w:left w:val="nil"/>
              <w:bottom w:val="single" w:sz="12" w:space="0" w:color="auto"/>
              <w:right w:val="nil"/>
            </w:tcBorders>
            <w:shd w:val="clear" w:color="auto" w:fill="FFFF00"/>
            <w:vAlign w:val="center"/>
          </w:tcPr>
          <w:p w14:paraId="304980C6" w14:textId="77777777" w:rsidR="00FD6E41" w:rsidRPr="00103D56" w:rsidRDefault="00FD6E41" w:rsidP="00F72676">
            <w:pPr>
              <w:ind w:left="-45" w:right="27" w:firstLine="45"/>
              <w:jc w:val="right"/>
              <w:rPr>
                <w:rFonts w:ascii="Calibri" w:hAnsi="Calibri" w:cs="Calibri"/>
                <w:b/>
                <w:bCs/>
                <w:color w:val="000000"/>
                <w:sz w:val="22"/>
                <w:szCs w:val="22"/>
                <w:lang w:eastAsia="en-IE"/>
              </w:rPr>
            </w:pPr>
            <w:r w:rsidRPr="00103D56">
              <w:rPr>
                <w:rFonts w:ascii="Calibri" w:hAnsi="Calibri" w:cs="Calibri"/>
                <w:b/>
                <w:bCs/>
                <w:color w:val="000000"/>
                <w:sz w:val="22"/>
                <w:szCs w:val="22"/>
              </w:rPr>
              <w:t>16,368.3</w:t>
            </w:r>
          </w:p>
        </w:tc>
        <w:tc>
          <w:tcPr>
            <w:tcW w:w="1134" w:type="dxa"/>
            <w:tcBorders>
              <w:top w:val="nil"/>
              <w:left w:val="nil"/>
              <w:bottom w:val="single" w:sz="12" w:space="0" w:color="auto"/>
              <w:right w:val="nil"/>
            </w:tcBorders>
            <w:shd w:val="clear" w:color="auto" w:fill="FFFFFF"/>
            <w:vAlign w:val="center"/>
            <w:hideMark/>
          </w:tcPr>
          <w:p w14:paraId="0EDE059F"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16,405.9</w:t>
            </w:r>
          </w:p>
        </w:tc>
      </w:tr>
    </w:tbl>
    <w:p w14:paraId="36D7B1C5" w14:textId="77777777" w:rsidR="00FD6E41" w:rsidRDefault="00FD6E41" w:rsidP="00FD6E41">
      <w:pPr>
        <w:keepNext/>
        <w:pageBreakBefore/>
        <w:autoSpaceDE w:val="0"/>
        <w:autoSpaceDN w:val="0"/>
        <w:adjustRightInd w:val="0"/>
        <w:ind w:left="142" w:hanging="142"/>
        <w:rPr>
          <w:rFonts w:ascii="Calibri" w:hAnsi="Calibri" w:cs="Calibri"/>
          <w:b/>
          <w:bCs/>
          <w:color w:val="000000"/>
        </w:rPr>
        <w:sectPr w:rsidR="00FD6E41" w:rsidSect="00DB7576">
          <w:headerReference w:type="default" r:id="rId12"/>
          <w:footerReference w:type="default" r:id="rId13"/>
          <w:pgSz w:w="11906" w:h="16838" w:code="9"/>
          <w:pgMar w:top="426" w:right="566" w:bottom="1440" w:left="567" w:header="142" w:footer="709" w:gutter="0"/>
          <w:pgNumType w:start="1"/>
          <w:cols w:space="708"/>
          <w:docGrid w:linePitch="360"/>
        </w:sectPr>
      </w:pPr>
    </w:p>
    <w:p w14:paraId="0BCBA01F" w14:textId="77777777" w:rsidR="00FD6E41" w:rsidRPr="00C22F7C" w:rsidRDefault="00FD6E41" w:rsidP="00FD6E41">
      <w:pPr>
        <w:keepNext/>
        <w:pageBreakBefore/>
        <w:autoSpaceDE w:val="0"/>
        <w:autoSpaceDN w:val="0"/>
        <w:adjustRightInd w:val="0"/>
        <w:ind w:left="142" w:hanging="142"/>
        <w:rPr>
          <w:rFonts w:ascii="Calibri" w:hAnsi="Calibri" w:cs="Calibri"/>
          <w:b/>
          <w:bCs/>
          <w:color w:val="000000"/>
        </w:rPr>
      </w:pPr>
      <w:r w:rsidRPr="00C22F7C">
        <w:rPr>
          <w:rFonts w:ascii="Calibri" w:hAnsi="Calibri" w:cs="Calibri"/>
          <w:b/>
          <w:bCs/>
          <w:color w:val="000000"/>
        </w:rPr>
        <w:lastRenderedPageBreak/>
        <w:t xml:space="preserve">Ryanair Holdings plc and Subsidiaries </w:t>
      </w:r>
    </w:p>
    <w:p w14:paraId="1DCA78AA" w14:textId="77777777" w:rsidR="00FD6E41" w:rsidRDefault="00FD6E41" w:rsidP="003A5640">
      <w:pPr>
        <w:ind w:right="-567"/>
      </w:pPr>
      <w:r w:rsidRPr="00C22F7C">
        <w:rPr>
          <w:rFonts w:ascii="Calibri" w:hAnsi="Calibri" w:cs="Calibri"/>
          <w:b/>
          <w:bCs/>
          <w:i/>
          <w:color w:val="000000"/>
        </w:rPr>
        <w:t xml:space="preserve">Condensed Consolidated Interim Income Statement for the Half-Year </w:t>
      </w:r>
      <w:r w:rsidR="007A1281">
        <w:rPr>
          <w:rFonts w:ascii="Calibri" w:hAnsi="Calibri" w:cs="Calibri"/>
          <w:b/>
          <w:bCs/>
          <w:i/>
          <w:color w:val="000000"/>
        </w:rPr>
        <w:t>E</w:t>
      </w:r>
      <w:r w:rsidRPr="00C22F7C">
        <w:rPr>
          <w:rFonts w:ascii="Calibri" w:hAnsi="Calibri" w:cs="Calibri"/>
          <w:b/>
          <w:bCs/>
          <w:i/>
          <w:color w:val="000000"/>
        </w:rPr>
        <w:t>nded September 30, 202</w:t>
      </w:r>
      <w:r>
        <w:rPr>
          <w:rFonts w:ascii="Calibri" w:hAnsi="Calibri" w:cs="Calibri"/>
          <w:b/>
          <w:bCs/>
          <w:i/>
          <w:color w:val="000000"/>
        </w:rPr>
        <w:t>3</w:t>
      </w:r>
      <w:r w:rsidR="003A5640">
        <w:rPr>
          <w:rFonts w:ascii="Calibri" w:hAnsi="Calibri" w:cs="Calibri"/>
          <w:b/>
          <w:bCs/>
          <w:i/>
          <w:color w:val="000000"/>
        </w:rPr>
        <w:t xml:space="preserve"> (</w:t>
      </w:r>
      <w:r w:rsidRPr="00C22F7C">
        <w:rPr>
          <w:rFonts w:ascii="Calibri" w:hAnsi="Calibri" w:cs="Calibri"/>
          <w:b/>
          <w:bCs/>
          <w:i/>
          <w:color w:val="000000"/>
        </w:rPr>
        <w:t>unaudited)</w:t>
      </w:r>
    </w:p>
    <w:tbl>
      <w:tblPr>
        <w:tblW w:w="5726" w:type="pct"/>
        <w:tblLayout w:type="fixed"/>
        <w:tblLook w:val="0000" w:firstRow="0" w:lastRow="0" w:firstColumn="0" w:lastColumn="0" w:noHBand="0" w:noVBand="0"/>
      </w:tblPr>
      <w:tblGrid>
        <w:gridCol w:w="11935"/>
      </w:tblGrid>
      <w:tr w:rsidR="003B0423" w:rsidRPr="00C22F7C" w14:paraId="66E7EBDD" w14:textId="77777777" w:rsidTr="00FD6E41">
        <w:trPr>
          <w:trHeight w:val="223"/>
        </w:trPr>
        <w:tc>
          <w:tcPr>
            <w:tcW w:w="5000" w:type="pct"/>
            <w:tcBorders>
              <w:top w:val="nil"/>
              <w:left w:val="nil"/>
              <w:bottom w:val="nil"/>
              <w:right w:val="nil"/>
            </w:tcBorders>
          </w:tcPr>
          <w:p w14:paraId="7B83DC75" w14:textId="77777777" w:rsidR="003B0423" w:rsidRPr="00C22F7C" w:rsidRDefault="003B0423" w:rsidP="003B0423">
            <w:pPr>
              <w:rPr>
                <w:rFonts w:ascii="Calibri" w:hAnsi="Calibri" w:cs="Calibri"/>
                <w:b/>
                <w:bCs/>
                <w:i/>
                <w:iCs/>
                <w:color w:val="000000"/>
                <w:sz w:val="22"/>
                <w:szCs w:val="22"/>
              </w:rPr>
            </w:pPr>
          </w:p>
          <w:tbl>
            <w:tblPr>
              <w:tblW w:w="10630" w:type="dxa"/>
              <w:tblLayout w:type="fixed"/>
              <w:tblLook w:val="0000" w:firstRow="0" w:lastRow="0" w:firstColumn="0" w:lastColumn="0" w:noHBand="0" w:noVBand="0"/>
            </w:tblPr>
            <w:tblGrid>
              <w:gridCol w:w="265"/>
              <w:gridCol w:w="3704"/>
              <w:gridCol w:w="704"/>
              <w:gridCol w:w="6"/>
              <w:gridCol w:w="1126"/>
              <w:gridCol w:w="6"/>
              <w:gridCol w:w="1269"/>
              <w:gridCol w:w="6"/>
              <w:gridCol w:w="1277"/>
              <w:gridCol w:w="1128"/>
              <w:gridCol w:w="6"/>
              <w:gridCol w:w="1133"/>
            </w:tblGrid>
            <w:tr w:rsidR="003B0423" w:rsidRPr="00C22F7C" w14:paraId="4D13917D" w14:textId="77777777" w:rsidTr="004C74E4">
              <w:trPr>
                <w:trHeight w:val="214"/>
              </w:trPr>
              <w:tc>
                <w:tcPr>
                  <w:tcW w:w="265" w:type="dxa"/>
                </w:tcPr>
                <w:p w14:paraId="0CAD7862" w14:textId="77777777" w:rsidR="003B0423" w:rsidRPr="00C22F7C" w:rsidRDefault="003B0423" w:rsidP="003B0423">
                  <w:pPr>
                    <w:autoSpaceDE w:val="0"/>
                    <w:autoSpaceDN w:val="0"/>
                    <w:adjustRightInd w:val="0"/>
                    <w:jc w:val="right"/>
                    <w:rPr>
                      <w:rFonts w:ascii="Calibri" w:hAnsi="Calibri" w:cs="Calibri"/>
                      <w:color w:val="000000"/>
                      <w:sz w:val="22"/>
                      <w:szCs w:val="22"/>
                    </w:rPr>
                  </w:pPr>
                </w:p>
              </w:tc>
              <w:tc>
                <w:tcPr>
                  <w:tcW w:w="3704" w:type="dxa"/>
                </w:tcPr>
                <w:p w14:paraId="75EFEF16" w14:textId="77777777" w:rsidR="003B0423" w:rsidRPr="00103D56" w:rsidRDefault="003B0423" w:rsidP="003B0423">
                  <w:pPr>
                    <w:autoSpaceDE w:val="0"/>
                    <w:autoSpaceDN w:val="0"/>
                    <w:adjustRightInd w:val="0"/>
                    <w:jc w:val="right"/>
                    <w:rPr>
                      <w:rFonts w:ascii="Calibri" w:hAnsi="Calibri" w:cs="Calibri"/>
                      <w:color w:val="000000"/>
                      <w:sz w:val="22"/>
                      <w:szCs w:val="22"/>
                    </w:rPr>
                  </w:pPr>
                </w:p>
              </w:tc>
              <w:tc>
                <w:tcPr>
                  <w:tcW w:w="710" w:type="dxa"/>
                  <w:gridSpan w:val="2"/>
                </w:tcPr>
                <w:p w14:paraId="10B414A2"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vAlign w:val="bottom"/>
                </w:tcPr>
                <w:p w14:paraId="67884538" w14:textId="77777777" w:rsidR="003B0423" w:rsidRPr="00103D56" w:rsidRDefault="003B0423" w:rsidP="003B0423">
                  <w:pPr>
                    <w:tabs>
                      <w:tab w:val="left" w:pos="-108"/>
                    </w:tabs>
                    <w:autoSpaceDE w:val="0"/>
                    <w:autoSpaceDN w:val="0"/>
                    <w:adjustRightInd w:val="0"/>
                    <w:ind w:left="-250"/>
                    <w:jc w:val="right"/>
                    <w:rPr>
                      <w:rFonts w:ascii="Calibri" w:hAnsi="Calibri" w:cs="Calibri"/>
                      <w:bCs/>
                      <w:color w:val="000000"/>
                      <w:sz w:val="22"/>
                      <w:szCs w:val="22"/>
                    </w:rPr>
                  </w:pPr>
                </w:p>
                <w:p w14:paraId="71D46249" w14:textId="77777777" w:rsidR="003B0423" w:rsidRPr="00103D56" w:rsidRDefault="003B0423" w:rsidP="003B0423">
                  <w:pPr>
                    <w:tabs>
                      <w:tab w:val="left" w:pos="-108"/>
                    </w:tabs>
                    <w:autoSpaceDE w:val="0"/>
                    <w:autoSpaceDN w:val="0"/>
                    <w:adjustRightInd w:val="0"/>
                    <w:ind w:left="-250"/>
                    <w:jc w:val="right"/>
                    <w:rPr>
                      <w:rFonts w:ascii="Calibri" w:hAnsi="Calibri" w:cs="Calibri"/>
                      <w:bCs/>
                      <w:color w:val="000000"/>
                      <w:sz w:val="22"/>
                      <w:szCs w:val="22"/>
                    </w:rPr>
                  </w:pPr>
                </w:p>
                <w:p w14:paraId="7BCB8EC4" w14:textId="77777777" w:rsidR="003B0423" w:rsidRPr="00103D56" w:rsidRDefault="003B0423" w:rsidP="003B0423">
                  <w:pPr>
                    <w:tabs>
                      <w:tab w:val="left" w:pos="-108"/>
                    </w:tabs>
                    <w:autoSpaceDE w:val="0"/>
                    <w:autoSpaceDN w:val="0"/>
                    <w:adjustRightInd w:val="0"/>
                    <w:ind w:left="-250"/>
                    <w:jc w:val="right"/>
                    <w:rPr>
                      <w:rFonts w:ascii="Calibri" w:hAnsi="Calibri" w:cs="Calibri"/>
                      <w:bCs/>
                      <w:color w:val="000000"/>
                      <w:sz w:val="22"/>
                      <w:szCs w:val="22"/>
                    </w:rPr>
                  </w:pPr>
                  <w:r w:rsidRPr="00103D56">
                    <w:rPr>
                      <w:rFonts w:ascii="Calibri" w:hAnsi="Calibri" w:cs="Calibri"/>
                      <w:bCs/>
                      <w:color w:val="000000"/>
                      <w:sz w:val="22"/>
                      <w:szCs w:val="22"/>
                    </w:rPr>
                    <w:t>Pre-</w:t>
                  </w:r>
                </w:p>
                <w:p w14:paraId="4B30E5F8" w14:textId="77777777" w:rsidR="003B0423" w:rsidRPr="00103D56" w:rsidRDefault="003B0423" w:rsidP="003B0423">
                  <w:pPr>
                    <w:tabs>
                      <w:tab w:val="left" w:pos="-108"/>
                    </w:tabs>
                    <w:autoSpaceDE w:val="0"/>
                    <w:autoSpaceDN w:val="0"/>
                    <w:adjustRightInd w:val="0"/>
                    <w:ind w:left="-250"/>
                    <w:jc w:val="right"/>
                    <w:rPr>
                      <w:rFonts w:ascii="Calibri" w:hAnsi="Calibri" w:cs="Calibri"/>
                      <w:bCs/>
                      <w:color w:val="000000"/>
                      <w:sz w:val="22"/>
                      <w:szCs w:val="22"/>
                    </w:rPr>
                  </w:pPr>
                  <w:r w:rsidRPr="00103D56">
                    <w:rPr>
                      <w:rFonts w:ascii="Calibri" w:hAnsi="Calibri" w:cs="Calibri"/>
                      <w:bCs/>
                      <w:color w:val="000000"/>
                      <w:sz w:val="22"/>
                      <w:szCs w:val="22"/>
                    </w:rPr>
                    <w:t>Except.</w:t>
                  </w:r>
                </w:p>
              </w:tc>
              <w:tc>
                <w:tcPr>
                  <w:tcW w:w="1275" w:type="dxa"/>
                  <w:gridSpan w:val="2"/>
                  <w:tcBorders>
                    <w:top w:val="single" w:sz="4" w:space="0" w:color="auto"/>
                    <w:left w:val="single" w:sz="4" w:space="0" w:color="auto"/>
                    <w:right w:val="single" w:sz="4" w:space="0" w:color="auto"/>
                  </w:tcBorders>
                  <w:shd w:val="clear" w:color="auto" w:fill="FFFF00"/>
                </w:tcPr>
                <w:p w14:paraId="2DF3432C" w14:textId="77777777" w:rsidR="003B0423" w:rsidRPr="00103D56" w:rsidRDefault="003B0423" w:rsidP="003B0423">
                  <w:pPr>
                    <w:widowControl w:val="0"/>
                    <w:autoSpaceDE w:val="0"/>
                    <w:autoSpaceDN w:val="0"/>
                    <w:adjustRightInd w:val="0"/>
                    <w:jc w:val="right"/>
                    <w:rPr>
                      <w:rFonts w:ascii="Calibri" w:hAnsi="Calibri" w:cs="Calibri"/>
                      <w:b/>
                      <w:bCs/>
                      <w:color w:val="000000"/>
                      <w:sz w:val="22"/>
                      <w:szCs w:val="22"/>
                    </w:rPr>
                  </w:pPr>
                  <w:r w:rsidRPr="00103D56">
                    <w:rPr>
                      <w:rFonts w:ascii="Calibri" w:hAnsi="Calibri" w:cs="Calibri"/>
                      <w:b/>
                      <w:bCs/>
                      <w:color w:val="000000"/>
                      <w:sz w:val="22"/>
                      <w:szCs w:val="22"/>
                    </w:rPr>
                    <w:t>IFRS</w:t>
                  </w:r>
                </w:p>
                <w:p w14:paraId="6864ADEC" w14:textId="77777777" w:rsidR="003B0423" w:rsidRPr="00103D56" w:rsidRDefault="003B0423" w:rsidP="003B0423">
                  <w:pPr>
                    <w:widowControl w:val="0"/>
                    <w:autoSpaceDE w:val="0"/>
                    <w:autoSpaceDN w:val="0"/>
                    <w:adjustRightInd w:val="0"/>
                    <w:jc w:val="right"/>
                    <w:rPr>
                      <w:rFonts w:ascii="Calibri" w:hAnsi="Calibri" w:cs="Calibri"/>
                      <w:b/>
                      <w:bCs/>
                      <w:color w:val="000000"/>
                      <w:sz w:val="22"/>
                      <w:szCs w:val="22"/>
                    </w:rPr>
                  </w:pPr>
                  <w:r w:rsidRPr="00103D56">
                    <w:rPr>
                      <w:rFonts w:ascii="Calibri" w:hAnsi="Calibri" w:cs="Calibri"/>
                      <w:b/>
                      <w:bCs/>
                      <w:color w:val="000000"/>
                      <w:sz w:val="22"/>
                      <w:szCs w:val="22"/>
                    </w:rPr>
                    <w:t>Half-Year</w:t>
                  </w:r>
                </w:p>
                <w:p w14:paraId="797126C0" w14:textId="77777777" w:rsidR="003B0423" w:rsidRPr="00103D56" w:rsidRDefault="003B0423" w:rsidP="003B0423">
                  <w:pPr>
                    <w:widowControl w:val="0"/>
                    <w:autoSpaceDE w:val="0"/>
                    <w:autoSpaceDN w:val="0"/>
                    <w:adjustRightInd w:val="0"/>
                    <w:jc w:val="right"/>
                    <w:rPr>
                      <w:rFonts w:ascii="Calibri" w:hAnsi="Calibri" w:cs="Calibri"/>
                      <w:b/>
                      <w:bCs/>
                      <w:color w:val="000000"/>
                      <w:sz w:val="22"/>
                      <w:szCs w:val="22"/>
                    </w:rPr>
                  </w:pPr>
                  <w:r w:rsidRPr="00103D56">
                    <w:rPr>
                      <w:rFonts w:ascii="Calibri" w:hAnsi="Calibri" w:cs="Calibri"/>
                      <w:b/>
                      <w:bCs/>
                      <w:color w:val="000000"/>
                      <w:sz w:val="22"/>
                      <w:szCs w:val="22"/>
                    </w:rPr>
                    <w:t>Ended</w:t>
                  </w:r>
                </w:p>
                <w:p w14:paraId="04E882CC" w14:textId="77777777" w:rsidR="003B0423" w:rsidRPr="00103D56" w:rsidRDefault="003B0423" w:rsidP="003B0423">
                  <w:pPr>
                    <w:widowControl w:val="0"/>
                    <w:autoSpaceDE w:val="0"/>
                    <w:autoSpaceDN w:val="0"/>
                    <w:adjustRightInd w:val="0"/>
                    <w:jc w:val="right"/>
                    <w:rPr>
                      <w:rFonts w:ascii="Calibri" w:hAnsi="Calibri" w:cs="Calibri"/>
                      <w:b/>
                      <w:bCs/>
                      <w:color w:val="000000"/>
                      <w:sz w:val="22"/>
                      <w:szCs w:val="22"/>
                    </w:rPr>
                  </w:pPr>
                  <w:r w:rsidRPr="00103D56">
                    <w:rPr>
                      <w:rFonts w:ascii="Calibri" w:hAnsi="Calibri" w:cs="Calibri"/>
                      <w:b/>
                      <w:bCs/>
                      <w:color w:val="000000"/>
                      <w:sz w:val="22"/>
                      <w:szCs w:val="22"/>
                    </w:rPr>
                    <w:t>Sep 30,</w:t>
                  </w:r>
                </w:p>
              </w:tc>
              <w:tc>
                <w:tcPr>
                  <w:tcW w:w="1277" w:type="dxa"/>
                  <w:tcBorders>
                    <w:top w:val="single" w:sz="4" w:space="0" w:color="auto"/>
                    <w:left w:val="single" w:sz="4" w:space="0" w:color="auto"/>
                    <w:right w:val="single" w:sz="4" w:space="0" w:color="auto"/>
                  </w:tcBorders>
                  <w:shd w:val="clear" w:color="auto" w:fill="auto"/>
                </w:tcPr>
                <w:p w14:paraId="66EE8713"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rPr>
                  </w:pPr>
                  <w:r w:rsidRPr="00CA3F18">
                    <w:rPr>
                      <w:rFonts w:ascii="Calibri" w:hAnsi="Calibri" w:cs="Calibri"/>
                      <w:color w:val="000000"/>
                      <w:sz w:val="22"/>
                      <w:szCs w:val="22"/>
                    </w:rPr>
                    <w:t>Pre-Except.</w:t>
                  </w:r>
                </w:p>
                <w:p w14:paraId="67C0E23B"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rPr>
                  </w:pPr>
                  <w:r w:rsidRPr="00CA3F18">
                    <w:rPr>
                      <w:rFonts w:ascii="Calibri" w:hAnsi="Calibri" w:cs="Calibri"/>
                      <w:color w:val="000000"/>
                      <w:sz w:val="22"/>
                      <w:szCs w:val="22"/>
                    </w:rPr>
                    <w:t>Half-Year</w:t>
                  </w:r>
                </w:p>
                <w:p w14:paraId="6DB3D4B6"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rPr>
                  </w:pPr>
                  <w:r w:rsidRPr="00CA3F18">
                    <w:rPr>
                      <w:rFonts w:ascii="Calibri" w:hAnsi="Calibri" w:cs="Calibri"/>
                      <w:color w:val="000000"/>
                      <w:sz w:val="22"/>
                      <w:szCs w:val="22"/>
                    </w:rPr>
                    <w:t>Ended</w:t>
                  </w:r>
                </w:p>
                <w:p w14:paraId="26F43DCF"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rPr>
                  </w:pPr>
                  <w:r w:rsidRPr="00CA3F18">
                    <w:rPr>
                      <w:rFonts w:ascii="Calibri" w:hAnsi="Calibri" w:cs="Calibri"/>
                      <w:color w:val="000000"/>
                      <w:sz w:val="22"/>
                      <w:szCs w:val="22"/>
                    </w:rPr>
                    <w:t>Sep 30,</w:t>
                  </w:r>
                </w:p>
              </w:tc>
              <w:tc>
                <w:tcPr>
                  <w:tcW w:w="1134" w:type="dxa"/>
                  <w:gridSpan w:val="2"/>
                  <w:tcBorders>
                    <w:top w:val="single" w:sz="4" w:space="0" w:color="auto"/>
                    <w:left w:val="single" w:sz="4" w:space="0" w:color="auto"/>
                    <w:right w:val="single" w:sz="4" w:space="0" w:color="auto"/>
                  </w:tcBorders>
                  <w:shd w:val="clear" w:color="auto" w:fill="auto"/>
                </w:tcPr>
                <w:p w14:paraId="02F3F310"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rPr>
                  </w:pPr>
                  <w:r w:rsidRPr="00CA3F18">
                    <w:rPr>
                      <w:rFonts w:ascii="Calibri" w:hAnsi="Calibri" w:cs="Calibri"/>
                      <w:color w:val="000000"/>
                      <w:sz w:val="22"/>
                      <w:szCs w:val="22"/>
                    </w:rPr>
                    <w:t>Except.</w:t>
                  </w:r>
                </w:p>
                <w:p w14:paraId="63C05D84"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rPr>
                  </w:pPr>
                  <w:r w:rsidRPr="00CA3F18">
                    <w:rPr>
                      <w:rFonts w:ascii="Calibri" w:hAnsi="Calibri" w:cs="Calibri"/>
                      <w:color w:val="000000"/>
                      <w:sz w:val="22"/>
                      <w:szCs w:val="22"/>
                    </w:rPr>
                    <w:t>Half-Year</w:t>
                  </w:r>
                </w:p>
                <w:p w14:paraId="65D06D57"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rPr>
                  </w:pPr>
                  <w:r w:rsidRPr="00CA3F18">
                    <w:rPr>
                      <w:rFonts w:ascii="Calibri" w:hAnsi="Calibri" w:cs="Calibri"/>
                      <w:color w:val="000000"/>
                      <w:sz w:val="22"/>
                      <w:szCs w:val="22"/>
                    </w:rPr>
                    <w:t>Ended</w:t>
                  </w:r>
                </w:p>
                <w:p w14:paraId="07FF9207"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rPr>
                  </w:pPr>
                  <w:r w:rsidRPr="00CA3F18">
                    <w:rPr>
                      <w:rFonts w:ascii="Calibri" w:hAnsi="Calibri" w:cs="Calibri"/>
                      <w:color w:val="000000"/>
                      <w:sz w:val="22"/>
                      <w:szCs w:val="22"/>
                    </w:rPr>
                    <w:t>Sep 30,</w:t>
                  </w:r>
                </w:p>
              </w:tc>
              <w:tc>
                <w:tcPr>
                  <w:tcW w:w="1133" w:type="dxa"/>
                  <w:tcBorders>
                    <w:top w:val="single" w:sz="4" w:space="0" w:color="auto"/>
                    <w:left w:val="single" w:sz="4" w:space="0" w:color="auto"/>
                    <w:right w:val="single" w:sz="4" w:space="0" w:color="auto"/>
                  </w:tcBorders>
                </w:tcPr>
                <w:p w14:paraId="7291CDD6"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rPr>
                  </w:pPr>
                  <w:r w:rsidRPr="00CA3F18">
                    <w:rPr>
                      <w:rFonts w:ascii="Calibri" w:hAnsi="Calibri" w:cs="Calibri"/>
                      <w:color w:val="000000"/>
                      <w:sz w:val="22"/>
                      <w:szCs w:val="22"/>
                    </w:rPr>
                    <w:t>IFRS</w:t>
                  </w:r>
                </w:p>
                <w:p w14:paraId="5E928CE4"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rPr>
                  </w:pPr>
                  <w:r w:rsidRPr="00CA3F18">
                    <w:rPr>
                      <w:rFonts w:ascii="Calibri" w:hAnsi="Calibri" w:cs="Calibri"/>
                      <w:color w:val="000000"/>
                      <w:sz w:val="22"/>
                      <w:szCs w:val="22"/>
                    </w:rPr>
                    <w:t>Half-Year</w:t>
                  </w:r>
                </w:p>
                <w:p w14:paraId="3733F44D"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rPr>
                  </w:pPr>
                  <w:r w:rsidRPr="00CA3F18">
                    <w:rPr>
                      <w:rFonts w:ascii="Calibri" w:hAnsi="Calibri" w:cs="Calibri"/>
                      <w:color w:val="000000"/>
                      <w:sz w:val="22"/>
                      <w:szCs w:val="22"/>
                    </w:rPr>
                    <w:t>Ended</w:t>
                  </w:r>
                </w:p>
                <w:p w14:paraId="5F2FEFE8"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rPr>
                  </w:pPr>
                  <w:r w:rsidRPr="00CA3F18">
                    <w:rPr>
                      <w:rFonts w:ascii="Calibri" w:hAnsi="Calibri" w:cs="Calibri"/>
                      <w:color w:val="000000"/>
                      <w:sz w:val="22"/>
                      <w:szCs w:val="22"/>
                    </w:rPr>
                    <w:t>Sep 30,</w:t>
                  </w:r>
                </w:p>
              </w:tc>
            </w:tr>
            <w:tr w:rsidR="003B0423" w:rsidRPr="00C22F7C" w14:paraId="4BE74277" w14:textId="77777777" w:rsidTr="004C74E4">
              <w:trPr>
                <w:trHeight w:val="214"/>
              </w:trPr>
              <w:tc>
                <w:tcPr>
                  <w:tcW w:w="265" w:type="dxa"/>
                </w:tcPr>
                <w:p w14:paraId="02C14C12" w14:textId="77777777" w:rsidR="003B0423" w:rsidRPr="00C22F7C" w:rsidRDefault="003B0423" w:rsidP="003B0423">
                  <w:pPr>
                    <w:autoSpaceDE w:val="0"/>
                    <w:autoSpaceDN w:val="0"/>
                    <w:adjustRightInd w:val="0"/>
                    <w:jc w:val="right"/>
                    <w:rPr>
                      <w:rFonts w:ascii="Calibri" w:hAnsi="Calibri" w:cs="Calibri"/>
                      <w:color w:val="000000"/>
                      <w:sz w:val="22"/>
                      <w:szCs w:val="22"/>
                    </w:rPr>
                  </w:pPr>
                </w:p>
              </w:tc>
              <w:tc>
                <w:tcPr>
                  <w:tcW w:w="3704" w:type="dxa"/>
                </w:tcPr>
                <w:p w14:paraId="4C8FF1FB" w14:textId="77777777" w:rsidR="003B0423" w:rsidRPr="00103D56" w:rsidRDefault="003B0423" w:rsidP="003B0423">
                  <w:pPr>
                    <w:autoSpaceDE w:val="0"/>
                    <w:autoSpaceDN w:val="0"/>
                    <w:adjustRightInd w:val="0"/>
                    <w:jc w:val="right"/>
                    <w:rPr>
                      <w:rFonts w:ascii="Calibri" w:hAnsi="Calibri" w:cs="Calibri"/>
                      <w:color w:val="000000"/>
                      <w:sz w:val="22"/>
                      <w:szCs w:val="22"/>
                    </w:rPr>
                  </w:pPr>
                </w:p>
              </w:tc>
              <w:tc>
                <w:tcPr>
                  <w:tcW w:w="710" w:type="dxa"/>
                  <w:gridSpan w:val="2"/>
                </w:tcPr>
                <w:p w14:paraId="494300CE" w14:textId="77777777" w:rsidR="003B0423" w:rsidRPr="00103D56" w:rsidRDefault="003B0423" w:rsidP="003B0423">
                  <w:pPr>
                    <w:autoSpaceDE w:val="0"/>
                    <w:autoSpaceDN w:val="0"/>
                    <w:adjustRightInd w:val="0"/>
                    <w:jc w:val="right"/>
                    <w:rPr>
                      <w:rFonts w:ascii="Calibri" w:hAnsi="Calibri" w:cs="Calibri"/>
                      <w:bCs/>
                      <w:color w:val="000000"/>
                      <w:sz w:val="22"/>
                      <w:szCs w:val="22"/>
                      <w:highlight w:val="yellow"/>
                    </w:rPr>
                  </w:pPr>
                </w:p>
              </w:tc>
              <w:tc>
                <w:tcPr>
                  <w:tcW w:w="1132" w:type="dxa"/>
                  <w:gridSpan w:val="2"/>
                  <w:tcBorders>
                    <w:right w:val="single" w:sz="4" w:space="0" w:color="auto"/>
                  </w:tcBorders>
                  <w:shd w:val="clear" w:color="auto" w:fill="auto"/>
                </w:tcPr>
                <w:p w14:paraId="2A82A86B" w14:textId="77777777" w:rsidR="003B0423" w:rsidRPr="00103D56" w:rsidRDefault="003B0423" w:rsidP="003B0423">
                  <w:pPr>
                    <w:tabs>
                      <w:tab w:val="left" w:pos="-108"/>
                    </w:tabs>
                    <w:autoSpaceDE w:val="0"/>
                    <w:autoSpaceDN w:val="0"/>
                    <w:adjustRightInd w:val="0"/>
                    <w:ind w:left="-250"/>
                    <w:jc w:val="right"/>
                    <w:rPr>
                      <w:rFonts w:ascii="Calibri" w:hAnsi="Calibri" w:cs="Calibri"/>
                      <w:bCs/>
                      <w:color w:val="000000"/>
                      <w:sz w:val="22"/>
                      <w:szCs w:val="22"/>
                    </w:rPr>
                  </w:pPr>
                  <w:r w:rsidRPr="00103D56">
                    <w:rPr>
                      <w:rFonts w:ascii="Calibri" w:hAnsi="Calibri" w:cs="Calibri"/>
                      <w:bCs/>
                      <w:color w:val="000000"/>
                      <w:sz w:val="22"/>
                      <w:szCs w:val="22"/>
                    </w:rPr>
                    <w:t>Change</w:t>
                  </w:r>
                </w:p>
              </w:tc>
              <w:tc>
                <w:tcPr>
                  <w:tcW w:w="1275" w:type="dxa"/>
                  <w:gridSpan w:val="2"/>
                  <w:tcBorders>
                    <w:left w:val="single" w:sz="4" w:space="0" w:color="auto"/>
                    <w:right w:val="single" w:sz="4" w:space="0" w:color="auto"/>
                  </w:tcBorders>
                  <w:shd w:val="clear" w:color="auto" w:fill="FFFF00"/>
                </w:tcPr>
                <w:p w14:paraId="7183D295" w14:textId="77777777" w:rsidR="003B0423" w:rsidRPr="00103D56" w:rsidRDefault="003B0423" w:rsidP="003B0423">
                  <w:pPr>
                    <w:widowControl w:val="0"/>
                    <w:autoSpaceDE w:val="0"/>
                    <w:autoSpaceDN w:val="0"/>
                    <w:adjustRightInd w:val="0"/>
                    <w:jc w:val="right"/>
                    <w:rPr>
                      <w:rFonts w:ascii="Calibri" w:hAnsi="Calibri" w:cs="Calibri"/>
                      <w:b/>
                      <w:bCs/>
                      <w:color w:val="000000"/>
                      <w:sz w:val="22"/>
                      <w:szCs w:val="22"/>
                    </w:rPr>
                  </w:pPr>
                  <w:r w:rsidRPr="00103D56">
                    <w:rPr>
                      <w:rFonts w:ascii="Calibri" w:hAnsi="Calibri" w:cs="Calibri"/>
                      <w:b/>
                      <w:bCs/>
                      <w:color w:val="000000"/>
                      <w:sz w:val="22"/>
                      <w:szCs w:val="22"/>
                    </w:rPr>
                    <w:t>2023</w:t>
                  </w:r>
                </w:p>
              </w:tc>
              <w:tc>
                <w:tcPr>
                  <w:tcW w:w="1277" w:type="dxa"/>
                  <w:tcBorders>
                    <w:left w:val="single" w:sz="4" w:space="0" w:color="auto"/>
                    <w:right w:val="single" w:sz="4" w:space="0" w:color="auto"/>
                  </w:tcBorders>
                  <w:shd w:val="clear" w:color="auto" w:fill="auto"/>
                </w:tcPr>
                <w:p w14:paraId="6932836E"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rPr>
                  </w:pPr>
                  <w:r w:rsidRPr="00CA3F18">
                    <w:rPr>
                      <w:rFonts w:ascii="Calibri" w:hAnsi="Calibri" w:cs="Calibri"/>
                      <w:color w:val="000000"/>
                      <w:sz w:val="22"/>
                      <w:szCs w:val="22"/>
                    </w:rPr>
                    <w:t>2022</w:t>
                  </w:r>
                </w:p>
              </w:tc>
              <w:tc>
                <w:tcPr>
                  <w:tcW w:w="1134" w:type="dxa"/>
                  <w:gridSpan w:val="2"/>
                  <w:tcBorders>
                    <w:left w:val="single" w:sz="4" w:space="0" w:color="auto"/>
                    <w:right w:val="single" w:sz="4" w:space="0" w:color="auto"/>
                  </w:tcBorders>
                  <w:shd w:val="clear" w:color="auto" w:fill="auto"/>
                </w:tcPr>
                <w:p w14:paraId="51E902FA"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rPr>
                  </w:pPr>
                  <w:r w:rsidRPr="00CA3F18">
                    <w:rPr>
                      <w:rFonts w:ascii="Calibri" w:hAnsi="Calibri" w:cs="Calibri"/>
                      <w:color w:val="000000"/>
                      <w:sz w:val="22"/>
                      <w:szCs w:val="22"/>
                    </w:rPr>
                    <w:t>2022</w:t>
                  </w:r>
                </w:p>
              </w:tc>
              <w:tc>
                <w:tcPr>
                  <w:tcW w:w="1133" w:type="dxa"/>
                  <w:tcBorders>
                    <w:left w:val="single" w:sz="4" w:space="0" w:color="auto"/>
                    <w:right w:val="single" w:sz="4" w:space="0" w:color="auto"/>
                  </w:tcBorders>
                </w:tcPr>
                <w:p w14:paraId="73241FDC"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rPr>
                  </w:pPr>
                  <w:r w:rsidRPr="00CA3F18">
                    <w:rPr>
                      <w:rFonts w:ascii="Calibri" w:hAnsi="Calibri" w:cs="Calibri"/>
                      <w:color w:val="000000"/>
                      <w:sz w:val="22"/>
                      <w:szCs w:val="22"/>
                    </w:rPr>
                    <w:t>2022</w:t>
                  </w:r>
                </w:p>
              </w:tc>
            </w:tr>
            <w:tr w:rsidR="003B0423" w:rsidRPr="00C22F7C" w14:paraId="34171444" w14:textId="77777777" w:rsidTr="004C74E4">
              <w:trPr>
                <w:trHeight w:val="214"/>
              </w:trPr>
              <w:tc>
                <w:tcPr>
                  <w:tcW w:w="265" w:type="dxa"/>
                </w:tcPr>
                <w:p w14:paraId="01EDBFB4" w14:textId="77777777" w:rsidR="003B0423" w:rsidRPr="00C22F7C" w:rsidRDefault="003B0423" w:rsidP="003B0423">
                  <w:pPr>
                    <w:autoSpaceDE w:val="0"/>
                    <w:autoSpaceDN w:val="0"/>
                    <w:adjustRightInd w:val="0"/>
                    <w:jc w:val="right"/>
                    <w:rPr>
                      <w:rFonts w:ascii="Calibri" w:hAnsi="Calibri" w:cs="Calibri"/>
                      <w:color w:val="000000"/>
                      <w:sz w:val="22"/>
                      <w:szCs w:val="22"/>
                    </w:rPr>
                  </w:pPr>
                </w:p>
              </w:tc>
              <w:tc>
                <w:tcPr>
                  <w:tcW w:w="3704" w:type="dxa"/>
                </w:tcPr>
                <w:p w14:paraId="18E00228" w14:textId="77777777" w:rsidR="003B0423" w:rsidRPr="00103D56" w:rsidRDefault="003B0423" w:rsidP="003B0423">
                  <w:pPr>
                    <w:autoSpaceDE w:val="0"/>
                    <w:autoSpaceDN w:val="0"/>
                    <w:adjustRightInd w:val="0"/>
                    <w:jc w:val="right"/>
                    <w:rPr>
                      <w:rFonts w:ascii="Calibri" w:hAnsi="Calibri" w:cs="Calibri"/>
                      <w:color w:val="000000"/>
                      <w:sz w:val="22"/>
                      <w:szCs w:val="22"/>
                    </w:rPr>
                  </w:pPr>
                </w:p>
              </w:tc>
              <w:tc>
                <w:tcPr>
                  <w:tcW w:w="710" w:type="dxa"/>
                  <w:gridSpan w:val="2"/>
                </w:tcPr>
                <w:p w14:paraId="64BF80FD" w14:textId="77777777" w:rsidR="003B0423" w:rsidRPr="00103D56" w:rsidRDefault="003B0423" w:rsidP="003B0423">
                  <w:pPr>
                    <w:autoSpaceDE w:val="0"/>
                    <w:autoSpaceDN w:val="0"/>
                    <w:adjustRightInd w:val="0"/>
                    <w:jc w:val="right"/>
                    <w:rPr>
                      <w:rFonts w:ascii="Calibri" w:hAnsi="Calibri" w:cs="Calibri"/>
                      <w:b/>
                      <w:bCs/>
                      <w:color w:val="000000"/>
                      <w:sz w:val="22"/>
                      <w:szCs w:val="22"/>
                      <w:u w:val="single"/>
                    </w:rPr>
                  </w:pPr>
                  <w:r w:rsidRPr="00103D56">
                    <w:rPr>
                      <w:rFonts w:ascii="Calibri" w:hAnsi="Calibri" w:cs="Calibri"/>
                      <w:b/>
                      <w:bCs/>
                      <w:color w:val="000000"/>
                      <w:sz w:val="22"/>
                      <w:szCs w:val="22"/>
                      <w:u w:val="single"/>
                    </w:rPr>
                    <w:t>Note</w:t>
                  </w:r>
                </w:p>
              </w:tc>
              <w:tc>
                <w:tcPr>
                  <w:tcW w:w="1132" w:type="dxa"/>
                  <w:gridSpan w:val="2"/>
                  <w:tcBorders>
                    <w:right w:val="single" w:sz="4" w:space="0" w:color="auto"/>
                  </w:tcBorders>
                  <w:shd w:val="clear" w:color="auto" w:fill="auto"/>
                </w:tcPr>
                <w:p w14:paraId="21C44D31" w14:textId="77777777" w:rsidR="003B0423" w:rsidRPr="00103D56" w:rsidRDefault="003B0423" w:rsidP="003B0423">
                  <w:pPr>
                    <w:autoSpaceDE w:val="0"/>
                    <w:autoSpaceDN w:val="0"/>
                    <w:adjustRightInd w:val="0"/>
                    <w:jc w:val="right"/>
                    <w:rPr>
                      <w:rFonts w:ascii="Calibri" w:hAnsi="Calibri" w:cs="Calibri"/>
                      <w:bCs/>
                      <w:color w:val="000000"/>
                      <w:sz w:val="22"/>
                      <w:szCs w:val="22"/>
                      <w:u w:val="single"/>
                    </w:rPr>
                  </w:pPr>
                  <w:r w:rsidRPr="00103D56">
                    <w:rPr>
                      <w:rFonts w:ascii="Calibri" w:hAnsi="Calibri" w:cs="Calibri"/>
                      <w:bCs/>
                      <w:color w:val="000000"/>
                      <w:sz w:val="22"/>
                      <w:szCs w:val="22"/>
                      <w:u w:val="single"/>
                    </w:rPr>
                    <w:t>%</w:t>
                  </w:r>
                </w:p>
              </w:tc>
              <w:tc>
                <w:tcPr>
                  <w:tcW w:w="1275" w:type="dxa"/>
                  <w:gridSpan w:val="2"/>
                  <w:tcBorders>
                    <w:left w:val="single" w:sz="4" w:space="0" w:color="auto"/>
                    <w:right w:val="single" w:sz="4" w:space="0" w:color="auto"/>
                  </w:tcBorders>
                  <w:shd w:val="clear" w:color="auto" w:fill="FFFF00"/>
                </w:tcPr>
                <w:p w14:paraId="02D21E21" w14:textId="77777777" w:rsidR="003B0423" w:rsidRPr="00103D56" w:rsidRDefault="003B0423" w:rsidP="003B0423">
                  <w:pPr>
                    <w:widowControl w:val="0"/>
                    <w:autoSpaceDE w:val="0"/>
                    <w:autoSpaceDN w:val="0"/>
                    <w:adjustRightInd w:val="0"/>
                    <w:jc w:val="right"/>
                    <w:rPr>
                      <w:rFonts w:ascii="Calibri" w:hAnsi="Calibri" w:cs="Calibri"/>
                      <w:b/>
                      <w:bCs/>
                      <w:color w:val="000000"/>
                      <w:sz w:val="22"/>
                      <w:szCs w:val="22"/>
                      <w:highlight w:val="yellow"/>
                      <w:u w:val="single"/>
                    </w:rPr>
                  </w:pPr>
                  <w:r w:rsidRPr="00103D56">
                    <w:rPr>
                      <w:rFonts w:ascii="Calibri" w:hAnsi="Calibri" w:cs="Calibri"/>
                      <w:b/>
                      <w:bCs/>
                      <w:color w:val="000000"/>
                      <w:sz w:val="22"/>
                      <w:szCs w:val="22"/>
                      <w:highlight w:val="yellow"/>
                      <w:u w:val="single"/>
                    </w:rPr>
                    <w:t>€M</w:t>
                  </w:r>
                </w:p>
              </w:tc>
              <w:tc>
                <w:tcPr>
                  <w:tcW w:w="1277" w:type="dxa"/>
                  <w:tcBorders>
                    <w:left w:val="single" w:sz="4" w:space="0" w:color="auto"/>
                    <w:right w:val="single" w:sz="4" w:space="0" w:color="auto"/>
                  </w:tcBorders>
                  <w:shd w:val="clear" w:color="auto" w:fill="auto"/>
                </w:tcPr>
                <w:p w14:paraId="51DA9CD9"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u w:val="single"/>
                    </w:rPr>
                  </w:pPr>
                  <w:r w:rsidRPr="00CA3F18">
                    <w:rPr>
                      <w:rFonts w:ascii="Calibri" w:hAnsi="Calibri" w:cs="Calibri"/>
                      <w:color w:val="000000"/>
                      <w:sz w:val="22"/>
                      <w:szCs w:val="22"/>
                      <w:u w:val="single"/>
                    </w:rPr>
                    <w:t>€M</w:t>
                  </w:r>
                </w:p>
              </w:tc>
              <w:tc>
                <w:tcPr>
                  <w:tcW w:w="1134" w:type="dxa"/>
                  <w:gridSpan w:val="2"/>
                  <w:tcBorders>
                    <w:left w:val="single" w:sz="4" w:space="0" w:color="auto"/>
                    <w:right w:val="single" w:sz="4" w:space="0" w:color="auto"/>
                  </w:tcBorders>
                  <w:shd w:val="clear" w:color="auto" w:fill="auto"/>
                </w:tcPr>
                <w:p w14:paraId="4AC007E7"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u w:val="single"/>
                    </w:rPr>
                  </w:pPr>
                  <w:r w:rsidRPr="00CA3F18">
                    <w:rPr>
                      <w:rFonts w:ascii="Calibri" w:hAnsi="Calibri" w:cs="Calibri"/>
                      <w:color w:val="000000"/>
                      <w:sz w:val="22"/>
                      <w:szCs w:val="22"/>
                      <w:u w:val="single"/>
                    </w:rPr>
                    <w:t>€M</w:t>
                  </w:r>
                </w:p>
              </w:tc>
              <w:tc>
                <w:tcPr>
                  <w:tcW w:w="1133" w:type="dxa"/>
                  <w:tcBorders>
                    <w:left w:val="single" w:sz="4" w:space="0" w:color="auto"/>
                    <w:right w:val="single" w:sz="4" w:space="0" w:color="auto"/>
                  </w:tcBorders>
                </w:tcPr>
                <w:p w14:paraId="43FBF5F2"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u w:val="single"/>
                    </w:rPr>
                  </w:pPr>
                  <w:r w:rsidRPr="00CA3F18">
                    <w:rPr>
                      <w:rFonts w:ascii="Calibri" w:hAnsi="Calibri" w:cs="Calibri"/>
                      <w:color w:val="000000"/>
                      <w:sz w:val="22"/>
                      <w:szCs w:val="22"/>
                      <w:u w:val="single"/>
                    </w:rPr>
                    <w:t>€M</w:t>
                  </w:r>
                </w:p>
              </w:tc>
            </w:tr>
            <w:tr w:rsidR="003B0423" w:rsidRPr="00C22F7C" w14:paraId="76AA8772" w14:textId="77777777" w:rsidTr="004C74E4">
              <w:trPr>
                <w:trHeight w:val="214"/>
              </w:trPr>
              <w:tc>
                <w:tcPr>
                  <w:tcW w:w="3969" w:type="dxa"/>
                  <w:gridSpan w:val="2"/>
                </w:tcPr>
                <w:p w14:paraId="747135E3" w14:textId="77777777" w:rsidR="003B0423" w:rsidRPr="00103D56" w:rsidRDefault="003B0423" w:rsidP="003B0423">
                  <w:pPr>
                    <w:autoSpaceDE w:val="0"/>
                    <w:autoSpaceDN w:val="0"/>
                    <w:adjustRightInd w:val="0"/>
                    <w:ind w:hanging="105"/>
                    <w:rPr>
                      <w:rFonts w:ascii="Calibri" w:hAnsi="Calibri" w:cs="Calibri"/>
                      <w:b/>
                      <w:bCs/>
                      <w:color w:val="000000"/>
                      <w:sz w:val="22"/>
                      <w:szCs w:val="22"/>
                    </w:rPr>
                  </w:pPr>
                  <w:r w:rsidRPr="00103D56">
                    <w:rPr>
                      <w:rFonts w:ascii="Calibri" w:hAnsi="Calibri" w:cs="Calibri"/>
                      <w:b/>
                      <w:bCs/>
                      <w:color w:val="000000"/>
                      <w:sz w:val="22"/>
                      <w:szCs w:val="22"/>
                    </w:rPr>
                    <w:t>Operating revenues</w:t>
                  </w:r>
                </w:p>
              </w:tc>
              <w:tc>
                <w:tcPr>
                  <w:tcW w:w="710" w:type="dxa"/>
                  <w:gridSpan w:val="2"/>
                </w:tcPr>
                <w:p w14:paraId="362D46B8" w14:textId="77777777" w:rsidR="003B0423" w:rsidRPr="00103D56" w:rsidRDefault="003B0423" w:rsidP="003B0423">
                  <w:pPr>
                    <w:autoSpaceDE w:val="0"/>
                    <w:autoSpaceDN w:val="0"/>
                    <w:adjustRightInd w:val="0"/>
                    <w:jc w:val="right"/>
                    <w:rPr>
                      <w:rFonts w:ascii="Calibri" w:hAnsi="Calibri" w:cs="Calibri"/>
                      <w:color w:val="000000"/>
                      <w:sz w:val="22"/>
                      <w:szCs w:val="22"/>
                    </w:rPr>
                  </w:pPr>
                </w:p>
              </w:tc>
              <w:tc>
                <w:tcPr>
                  <w:tcW w:w="1132" w:type="dxa"/>
                  <w:gridSpan w:val="2"/>
                  <w:tcBorders>
                    <w:right w:val="single" w:sz="4" w:space="0" w:color="auto"/>
                  </w:tcBorders>
                </w:tcPr>
                <w:p w14:paraId="01FEC110" w14:textId="77777777" w:rsidR="003B0423" w:rsidRPr="002554EF" w:rsidRDefault="003B0423" w:rsidP="003B0423">
                  <w:pPr>
                    <w:autoSpaceDE w:val="0"/>
                    <w:autoSpaceDN w:val="0"/>
                    <w:adjustRightInd w:val="0"/>
                    <w:jc w:val="right"/>
                    <w:rPr>
                      <w:rFonts w:ascii="Calibri" w:hAnsi="Calibri" w:cs="Calibri"/>
                      <w:color w:val="000000"/>
                      <w:sz w:val="22"/>
                      <w:szCs w:val="22"/>
                    </w:rPr>
                  </w:pPr>
                </w:p>
              </w:tc>
              <w:tc>
                <w:tcPr>
                  <w:tcW w:w="1275" w:type="dxa"/>
                  <w:gridSpan w:val="2"/>
                  <w:tcBorders>
                    <w:left w:val="single" w:sz="4" w:space="0" w:color="auto"/>
                    <w:right w:val="single" w:sz="4" w:space="0" w:color="auto"/>
                  </w:tcBorders>
                  <w:shd w:val="clear" w:color="auto" w:fill="FFFF00"/>
                </w:tcPr>
                <w:p w14:paraId="2541297A" w14:textId="77777777" w:rsidR="003B0423" w:rsidRPr="00103D56" w:rsidRDefault="003B0423" w:rsidP="003B0423">
                  <w:pPr>
                    <w:autoSpaceDE w:val="0"/>
                    <w:autoSpaceDN w:val="0"/>
                    <w:adjustRightInd w:val="0"/>
                    <w:ind w:left="-226"/>
                    <w:jc w:val="right"/>
                    <w:rPr>
                      <w:rFonts w:ascii="Calibri" w:hAnsi="Calibri" w:cs="Calibri"/>
                      <w:color w:val="000000"/>
                      <w:sz w:val="22"/>
                      <w:szCs w:val="22"/>
                    </w:rPr>
                  </w:pPr>
                </w:p>
              </w:tc>
              <w:tc>
                <w:tcPr>
                  <w:tcW w:w="1277" w:type="dxa"/>
                  <w:tcBorders>
                    <w:left w:val="single" w:sz="4" w:space="0" w:color="auto"/>
                    <w:right w:val="single" w:sz="4" w:space="0" w:color="auto"/>
                  </w:tcBorders>
                  <w:shd w:val="clear" w:color="auto" w:fill="auto"/>
                </w:tcPr>
                <w:p w14:paraId="4FE0FCAC" w14:textId="77777777" w:rsidR="003B0423" w:rsidRPr="00103D56" w:rsidRDefault="003B0423" w:rsidP="003B0423">
                  <w:pPr>
                    <w:autoSpaceDE w:val="0"/>
                    <w:autoSpaceDN w:val="0"/>
                    <w:adjustRightInd w:val="0"/>
                    <w:ind w:left="-226"/>
                    <w:jc w:val="right"/>
                    <w:rPr>
                      <w:rFonts w:ascii="Calibri" w:hAnsi="Calibri" w:cs="Calibri"/>
                      <w:color w:val="000000"/>
                      <w:sz w:val="22"/>
                      <w:szCs w:val="22"/>
                    </w:rPr>
                  </w:pPr>
                </w:p>
              </w:tc>
              <w:tc>
                <w:tcPr>
                  <w:tcW w:w="1134" w:type="dxa"/>
                  <w:gridSpan w:val="2"/>
                  <w:tcBorders>
                    <w:left w:val="single" w:sz="4" w:space="0" w:color="auto"/>
                    <w:right w:val="single" w:sz="4" w:space="0" w:color="auto"/>
                  </w:tcBorders>
                  <w:shd w:val="clear" w:color="auto" w:fill="auto"/>
                </w:tcPr>
                <w:p w14:paraId="054A2AAE" w14:textId="77777777" w:rsidR="003B0423" w:rsidRPr="00103D56" w:rsidRDefault="003B0423" w:rsidP="003B0423">
                  <w:pPr>
                    <w:autoSpaceDE w:val="0"/>
                    <w:autoSpaceDN w:val="0"/>
                    <w:adjustRightInd w:val="0"/>
                    <w:ind w:left="-226"/>
                    <w:jc w:val="right"/>
                    <w:rPr>
                      <w:rFonts w:ascii="Calibri" w:hAnsi="Calibri" w:cs="Calibri"/>
                      <w:color w:val="000000"/>
                      <w:sz w:val="22"/>
                      <w:szCs w:val="22"/>
                    </w:rPr>
                  </w:pPr>
                </w:p>
              </w:tc>
              <w:tc>
                <w:tcPr>
                  <w:tcW w:w="1133" w:type="dxa"/>
                  <w:tcBorders>
                    <w:left w:val="single" w:sz="4" w:space="0" w:color="auto"/>
                    <w:right w:val="single" w:sz="4" w:space="0" w:color="auto"/>
                  </w:tcBorders>
                </w:tcPr>
                <w:p w14:paraId="095400AC" w14:textId="77777777" w:rsidR="003B0423" w:rsidRPr="00103D56" w:rsidRDefault="003B0423" w:rsidP="003B0423">
                  <w:pPr>
                    <w:autoSpaceDE w:val="0"/>
                    <w:autoSpaceDN w:val="0"/>
                    <w:adjustRightInd w:val="0"/>
                    <w:ind w:left="-226"/>
                    <w:jc w:val="right"/>
                    <w:rPr>
                      <w:rFonts w:ascii="Calibri" w:hAnsi="Calibri" w:cs="Calibri"/>
                      <w:color w:val="000000"/>
                      <w:sz w:val="22"/>
                      <w:szCs w:val="22"/>
                    </w:rPr>
                  </w:pPr>
                </w:p>
              </w:tc>
            </w:tr>
            <w:tr w:rsidR="003B0423" w:rsidRPr="00C22F7C" w14:paraId="20831137" w14:textId="77777777" w:rsidTr="004C74E4">
              <w:trPr>
                <w:trHeight w:val="214"/>
              </w:trPr>
              <w:tc>
                <w:tcPr>
                  <w:tcW w:w="265" w:type="dxa"/>
                </w:tcPr>
                <w:p w14:paraId="071B0CC4" w14:textId="77777777" w:rsidR="003B0423" w:rsidRPr="00C22F7C" w:rsidRDefault="003B0423" w:rsidP="003B0423">
                  <w:pPr>
                    <w:autoSpaceDE w:val="0"/>
                    <w:autoSpaceDN w:val="0"/>
                    <w:adjustRightInd w:val="0"/>
                    <w:jc w:val="right"/>
                    <w:rPr>
                      <w:rFonts w:ascii="Calibri" w:hAnsi="Calibri" w:cs="Calibri"/>
                      <w:color w:val="000000"/>
                      <w:sz w:val="22"/>
                      <w:szCs w:val="22"/>
                    </w:rPr>
                  </w:pPr>
                </w:p>
              </w:tc>
              <w:tc>
                <w:tcPr>
                  <w:tcW w:w="3704" w:type="dxa"/>
                </w:tcPr>
                <w:p w14:paraId="33C5617E" w14:textId="77777777" w:rsidR="003B0423" w:rsidRPr="00103D56" w:rsidRDefault="003B0423" w:rsidP="003B0423">
                  <w:pPr>
                    <w:autoSpaceDE w:val="0"/>
                    <w:autoSpaceDN w:val="0"/>
                    <w:adjustRightInd w:val="0"/>
                    <w:ind w:right="-818"/>
                    <w:rPr>
                      <w:rFonts w:ascii="Calibri" w:hAnsi="Calibri" w:cs="Calibri"/>
                      <w:color w:val="000000"/>
                      <w:sz w:val="22"/>
                      <w:szCs w:val="22"/>
                    </w:rPr>
                  </w:pPr>
                  <w:r w:rsidRPr="00103D56">
                    <w:rPr>
                      <w:rFonts w:ascii="Calibri" w:hAnsi="Calibri" w:cs="Calibri"/>
                      <w:color w:val="000000"/>
                      <w:sz w:val="22"/>
                      <w:szCs w:val="22"/>
                    </w:rPr>
                    <w:t xml:space="preserve">Scheduled revenues </w:t>
                  </w:r>
                </w:p>
              </w:tc>
              <w:tc>
                <w:tcPr>
                  <w:tcW w:w="710" w:type="dxa"/>
                  <w:gridSpan w:val="2"/>
                </w:tcPr>
                <w:p w14:paraId="3639F1A5"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67F81CBB" w14:textId="77777777" w:rsidR="003B0423" w:rsidRPr="00103D56" w:rsidRDefault="003B0423" w:rsidP="003B0423">
                  <w:pPr>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+37%</w:t>
                  </w:r>
                </w:p>
              </w:tc>
              <w:tc>
                <w:tcPr>
                  <w:tcW w:w="1275" w:type="dxa"/>
                  <w:gridSpan w:val="2"/>
                  <w:tcBorders>
                    <w:left w:val="single" w:sz="4" w:space="0" w:color="auto"/>
                    <w:right w:val="single" w:sz="4" w:space="0" w:color="auto"/>
                  </w:tcBorders>
                  <w:shd w:val="clear" w:color="auto" w:fill="FFFF00"/>
                </w:tcPr>
                <w:p w14:paraId="34733150" w14:textId="77777777" w:rsidR="003B0423" w:rsidRPr="00103D56" w:rsidRDefault="003B0423" w:rsidP="003B0423">
                  <w:pPr>
                    <w:widowControl w:val="0"/>
                    <w:autoSpaceDE w:val="0"/>
                    <w:autoSpaceDN w:val="0"/>
                    <w:adjustRightInd w:val="0"/>
                    <w:jc w:val="right"/>
                    <w:rPr>
                      <w:rFonts w:ascii="Calibri" w:hAnsi="Calibri" w:cs="Calibri"/>
                      <w:b/>
                      <w:color w:val="000000"/>
                      <w:sz w:val="22"/>
                      <w:szCs w:val="22"/>
                    </w:rPr>
                  </w:pPr>
                  <w:r w:rsidRPr="00103D56">
                    <w:rPr>
                      <w:rFonts w:ascii="Calibri" w:hAnsi="Calibri" w:cs="Calibri"/>
                      <w:b/>
                      <w:color w:val="000000"/>
                      <w:sz w:val="22"/>
                      <w:szCs w:val="22"/>
                    </w:rPr>
                    <w:t>6,073.9</w:t>
                  </w:r>
                </w:p>
              </w:tc>
              <w:tc>
                <w:tcPr>
                  <w:tcW w:w="1277" w:type="dxa"/>
                  <w:tcBorders>
                    <w:left w:val="single" w:sz="4" w:space="0" w:color="auto"/>
                    <w:right w:val="single" w:sz="4" w:space="0" w:color="auto"/>
                  </w:tcBorders>
                  <w:shd w:val="clear" w:color="auto" w:fill="auto"/>
                </w:tcPr>
                <w:p w14:paraId="42379BCF"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4,424.8</w:t>
                  </w:r>
                </w:p>
              </w:tc>
              <w:tc>
                <w:tcPr>
                  <w:tcW w:w="1134" w:type="dxa"/>
                  <w:gridSpan w:val="2"/>
                  <w:tcBorders>
                    <w:left w:val="single" w:sz="4" w:space="0" w:color="auto"/>
                    <w:right w:val="single" w:sz="4" w:space="0" w:color="auto"/>
                  </w:tcBorders>
                  <w:shd w:val="clear" w:color="auto" w:fill="auto"/>
                </w:tcPr>
                <w:p w14:paraId="6A61348E"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w:t>
                  </w:r>
                </w:p>
              </w:tc>
              <w:tc>
                <w:tcPr>
                  <w:tcW w:w="1133" w:type="dxa"/>
                  <w:tcBorders>
                    <w:left w:val="single" w:sz="4" w:space="0" w:color="auto"/>
                    <w:right w:val="single" w:sz="4" w:space="0" w:color="auto"/>
                  </w:tcBorders>
                  <w:shd w:val="clear" w:color="auto" w:fill="auto"/>
                </w:tcPr>
                <w:p w14:paraId="2E2A1C0E"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4,424.8</w:t>
                  </w:r>
                </w:p>
              </w:tc>
            </w:tr>
            <w:tr w:rsidR="003B0423" w:rsidRPr="00C22F7C" w14:paraId="1150FB67" w14:textId="77777777" w:rsidTr="004C74E4">
              <w:trPr>
                <w:trHeight w:val="214"/>
              </w:trPr>
              <w:tc>
                <w:tcPr>
                  <w:tcW w:w="265" w:type="dxa"/>
                </w:tcPr>
                <w:p w14:paraId="5F38336F" w14:textId="77777777" w:rsidR="003B0423" w:rsidRPr="00C22F7C" w:rsidRDefault="003B0423" w:rsidP="003B0423">
                  <w:pPr>
                    <w:autoSpaceDE w:val="0"/>
                    <w:autoSpaceDN w:val="0"/>
                    <w:adjustRightInd w:val="0"/>
                    <w:jc w:val="right"/>
                    <w:rPr>
                      <w:rFonts w:ascii="Calibri" w:hAnsi="Calibri" w:cs="Calibri"/>
                      <w:color w:val="000000"/>
                      <w:sz w:val="22"/>
                      <w:szCs w:val="22"/>
                    </w:rPr>
                  </w:pPr>
                </w:p>
              </w:tc>
              <w:tc>
                <w:tcPr>
                  <w:tcW w:w="3704" w:type="dxa"/>
                </w:tcPr>
                <w:p w14:paraId="0A1A1BF8" w14:textId="77777777" w:rsidR="003B0423" w:rsidRPr="00103D56" w:rsidRDefault="003B0423" w:rsidP="003B0423">
                  <w:pPr>
                    <w:autoSpaceDE w:val="0"/>
                    <w:autoSpaceDN w:val="0"/>
                    <w:adjustRightInd w:val="0"/>
                    <w:ind w:right="-818"/>
                    <w:rPr>
                      <w:rFonts w:ascii="Calibri" w:hAnsi="Calibri" w:cs="Calibri"/>
                      <w:color w:val="000000"/>
                      <w:sz w:val="22"/>
                      <w:szCs w:val="22"/>
                    </w:rPr>
                  </w:pPr>
                  <w:r w:rsidRPr="00103D56">
                    <w:rPr>
                      <w:rFonts w:ascii="Calibri" w:hAnsi="Calibri" w:cs="Calibri"/>
                      <w:color w:val="000000"/>
                      <w:sz w:val="22"/>
                      <w:szCs w:val="22"/>
                    </w:rPr>
                    <w:t>Ancillary revenues</w:t>
                  </w:r>
                </w:p>
              </w:tc>
              <w:tc>
                <w:tcPr>
                  <w:tcW w:w="710" w:type="dxa"/>
                  <w:gridSpan w:val="2"/>
                </w:tcPr>
                <w:p w14:paraId="26AFA920"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bottom w:val="single" w:sz="4" w:space="0" w:color="auto"/>
                    <w:right w:val="single" w:sz="4" w:space="0" w:color="auto"/>
                  </w:tcBorders>
                </w:tcPr>
                <w:p w14:paraId="3BF7F4A9" w14:textId="77777777" w:rsidR="003B0423" w:rsidRPr="00103D56" w:rsidRDefault="003B0423" w:rsidP="003B0423">
                  <w:pPr>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+14%</w:t>
                  </w:r>
                </w:p>
              </w:tc>
              <w:tc>
                <w:tcPr>
                  <w:tcW w:w="1275" w:type="dxa"/>
                  <w:gridSpan w:val="2"/>
                  <w:tcBorders>
                    <w:left w:val="single" w:sz="4" w:space="0" w:color="auto"/>
                    <w:bottom w:val="single" w:sz="4" w:space="0" w:color="auto"/>
                    <w:right w:val="single" w:sz="4" w:space="0" w:color="auto"/>
                  </w:tcBorders>
                  <w:shd w:val="clear" w:color="auto" w:fill="FFFF00"/>
                </w:tcPr>
                <w:p w14:paraId="3271CE8A" w14:textId="77777777" w:rsidR="003B0423" w:rsidRPr="00103D56" w:rsidRDefault="003B0423" w:rsidP="003B0423">
                  <w:pPr>
                    <w:widowControl w:val="0"/>
                    <w:autoSpaceDE w:val="0"/>
                    <w:autoSpaceDN w:val="0"/>
                    <w:adjustRightInd w:val="0"/>
                    <w:jc w:val="right"/>
                    <w:rPr>
                      <w:rFonts w:ascii="Calibri" w:hAnsi="Calibri" w:cs="Calibri"/>
                      <w:b/>
                      <w:color w:val="000000"/>
                      <w:sz w:val="22"/>
                      <w:szCs w:val="22"/>
                    </w:rPr>
                  </w:pPr>
                  <w:r w:rsidRPr="00103D56">
                    <w:rPr>
                      <w:rFonts w:ascii="Calibri" w:hAnsi="Calibri" w:cs="Calibri"/>
                      <w:b/>
                      <w:color w:val="000000"/>
                      <w:sz w:val="22"/>
                      <w:szCs w:val="22"/>
                    </w:rPr>
                    <w:t>2,501.3</w:t>
                  </w:r>
                </w:p>
              </w:tc>
              <w:tc>
                <w:tcPr>
                  <w:tcW w:w="1277" w:type="dxa"/>
                  <w:tcBorders>
                    <w:left w:val="single" w:sz="4" w:space="0" w:color="auto"/>
                    <w:bottom w:val="single" w:sz="4" w:space="0" w:color="auto"/>
                    <w:right w:val="single" w:sz="4" w:space="0" w:color="auto"/>
                  </w:tcBorders>
                  <w:shd w:val="clear" w:color="auto" w:fill="auto"/>
                </w:tcPr>
                <w:p w14:paraId="530D4120"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2,191.3</w:t>
                  </w:r>
                </w:p>
              </w:tc>
              <w:tc>
                <w:tcPr>
                  <w:tcW w:w="1134" w:type="dxa"/>
                  <w:gridSpan w:val="2"/>
                  <w:tcBorders>
                    <w:left w:val="single" w:sz="4" w:space="0" w:color="auto"/>
                    <w:bottom w:val="single" w:sz="4" w:space="0" w:color="auto"/>
                    <w:right w:val="single" w:sz="4" w:space="0" w:color="auto"/>
                  </w:tcBorders>
                  <w:shd w:val="clear" w:color="auto" w:fill="auto"/>
                </w:tcPr>
                <w:p w14:paraId="3E883CEB"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w:t>
                  </w:r>
                </w:p>
              </w:tc>
              <w:tc>
                <w:tcPr>
                  <w:tcW w:w="1133" w:type="dxa"/>
                  <w:tcBorders>
                    <w:left w:val="single" w:sz="4" w:space="0" w:color="auto"/>
                    <w:bottom w:val="single" w:sz="4" w:space="0" w:color="auto"/>
                    <w:right w:val="single" w:sz="4" w:space="0" w:color="auto"/>
                  </w:tcBorders>
                  <w:shd w:val="clear" w:color="auto" w:fill="auto"/>
                </w:tcPr>
                <w:p w14:paraId="0B95EA7A"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2,191.3</w:t>
                  </w:r>
                </w:p>
              </w:tc>
            </w:tr>
            <w:tr w:rsidR="003B0423" w:rsidRPr="00C22F7C" w14:paraId="54D40B19" w14:textId="77777777" w:rsidTr="004C74E4">
              <w:trPr>
                <w:trHeight w:val="214"/>
              </w:trPr>
              <w:tc>
                <w:tcPr>
                  <w:tcW w:w="3969" w:type="dxa"/>
                  <w:gridSpan w:val="2"/>
                </w:tcPr>
                <w:p w14:paraId="6AC950EB" w14:textId="77777777" w:rsidR="003B0423" w:rsidRPr="00103D56" w:rsidRDefault="003B0423" w:rsidP="003B0423">
                  <w:pPr>
                    <w:autoSpaceDE w:val="0"/>
                    <w:autoSpaceDN w:val="0"/>
                    <w:adjustRightInd w:val="0"/>
                    <w:ind w:right="-818" w:hanging="105"/>
                    <w:rPr>
                      <w:rFonts w:ascii="Calibri" w:hAnsi="Calibri" w:cs="Calibri"/>
                      <w:b/>
                      <w:color w:val="000000"/>
                      <w:sz w:val="22"/>
                      <w:szCs w:val="22"/>
                    </w:rPr>
                  </w:pPr>
                  <w:r w:rsidRPr="00103D56">
                    <w:rPr>
                      <w:rFonts w:ascii="Calibri" w:hAnsi="Calibri" w:cs="Calibri"/>
                      <w:b/>
                      <w:bCs/>
                      <w:color w:val="000000"/>
                      <w:sz w:val="22"/>
                      <w:szCs w:val="22"/>
                    </w:rPr>
                    <w:t xml:space="preserve">Total operating revenues </w:t>
                  </w:r>
                </w:p>
              </w:tc>
              <w:tc>
                <w:tcPr>
                  <w:tcW w:w="710" w:type="dxa"/>
                  <w:gridSpan w:val="2"/>
                </w:tcPr>
                <w:p w14:paraId="4832318B" w14:textId="77777777" w:rsidR="003B0423" w:rsidRPr="00103D56" w:rsidRDefault="003B0423" w:rsidP="003B0423">
                  <w:pPr>
                    <w:autoSpaceDE w:val="0"/>
                    <w:autoSpaceDN w:val="0"/>
                    <w:adjustRightInd w:val="0"/>
                    <w:jc w:val="right"/>
                    <w:rPr>
                      <w:rFonts w:ascii="Calibri" w:hAnsi="Calibri" w:cs="Calibri"/>
                      <w:b/>
                      <w:color w:val="000000"/>
                      <w:sz w:val="22"/>
                      <w:szCs w:val="22"/>
                    </w:rPr>
                  </w:pPr>
                  <w:r w:rsidRPr="00103D56">
                    <w:rPr>
                      <w:rFonts w:ascii="Calibri" w:hAnsi="Calibri" w:cs="Calibri"/>
                      <w:b/>
                      <w:color w:val="000000"/>
                      <w:sz w:val="22"/>
                      <w:szCs w:val="22"/>
                    </w:rPr>
                    <w:t>7</w:t>
                  </w:r>
                </w:p>
              </w:tc>
              <w:tc>
                <w:tcPr>
                  <w:tcW w:w="1132" w:type="dxa"/>
                  <w:gridSpan w:val="2"/>
                  <w:tcBorders>
                    <w:top w:val="single" w:sz="4" w:space="0" w:color="auto"/>
                    <w:bottom w:val="single" w:sz="4" w:space="0" w:color="auto"/>
                    <w:right w:val="single" w:sz="4" w:space="0" w:color="auto"/>
                  </w:tcBorders>
                </w:tcPr>
                <w:p w14:paraId="48A38A2C" w14:textId="77777777" w:rsidR="003B0423" w:rsidRPr="00103D56" w:rsidRDefault="003B0423" w:rsidP="003B0423">
                  <w:pPr>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00"/>
                </w:tcPr>
                <w:p w14:paraId="44F88A4F" w14:textId="77777777" w:rsidR="003B0423" w:rsidRPr="00103D56" w:rsidRDefault="003B0423" w:rsidP="003B0423">
                  <w:pPr>
                    <w:widowControl w:val="0"/>
                    <w:autoSpaceDE w:val="0"/>
                    <w:autoSpaceDN w:val="0"/>
                    <w:adjustRightInd w:val="0"/>
                    <w:ind w:left="-226"/>
                    <w:jc w:val="right"/>
                    <w:rPr>
                      <w:rFonts w:ascii="Calibri" w:hAnsi="Calibri" w:cs="Calibri"/>
                      <w:b/>
                      <w:color w:val="000000"/>
                      <w:sz w:val="22"/>
                      <w:szCs w:val="22"/>
                    </w:rPr>
                  </w:pPr>
                  <w:r w:rsidRPr="00103D56">
                    <w:rPr>
                      <w:rFonts w:ascii="Calibri" w:hAnsi="Calibri" w:cs="Calibri"/>
                      <w:b/>
                      <w:color w:val="000000"/>
                      <w:sz w:val="22"/>
                      <w:szCs w:val="22"/>
                    </w:rPr>
                    <w:t>8,575.2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DDEC7C1" w14:textId="77777777" w:rsidR="003B0423" w:rsidRPr="00103D56" w:rsidRDefault="003B0423" w:rsidP="003B0423">
                  <w:pPr>
                    <w:widowControl w:val="0"/>
                    <w:autoSpaceDE w:val="0"/>
                    <w:autoSpaceDN w:val="0"/>
                    <w:adjustRightInd w:val="0"/>
                    <w:ind w:left="-226"/>
                    <w:jc w:val="right"/>
                    <w:rPr>
                      <w:rFonts w:ascii="Calibri" w:hAnsi="Calibri" w:cs="Calibri"/>
                      <w:bCs/>
                      <w:color w:val="000000"/>
                      <w:sz w:val="22"/>
                      <w:szCs w:val="22"/>
                    </w:rPr>
                  </w:pPr>
                  <w:r w:rsidRPr="00103D56">
                    <w:rPr>
                      <w:rFonts w:ascii="Calibri" w:hAnsi="Calibri" w:cs="Calibri"/>
                      <w:bCs/>
                      <w:color w:val="000000"/>
                      <w:sz w:val="22"/>
                      <w:szCs w:val="22"/>
                    </w:rPr>
                    <w:t>6,616.1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6A1DC6E" w14:textId="77777777" w:rsidR="003B0423" w:rsidRPr="00103D56" w:rsidRDefault="003B0423" w:rsidP="003B0423">
                  <w:pPr>
                    <w:widowControl w:val="0"/>
                    <w:autoSpaceDE w:val="0"/>
                    <w:autoSpaceDN w:val="0"/>
                    <w:adjustRightInd w:val="0"/>
                    <w:ind w:left="-226"/>
                    <w:jc w:val="right"/>
                    <w:rPr>
                      <w:rFonts w:ascii="Calibri" w:hAnsi="Calibri" w:cs="Calibri"/>
                      <w:bCs/>
                      <w:color w:val="000000"/>
                      <w:sz w:val="22"/>
                      <w:szCs w:val="22"/>
                    </w:rPr>
                  </w:pPr>
                  <w:r w:rsidRPr="00103D56">
                    <w:rPr>
                      <w:rFonts w:ascii="Calibri" w:hAnsi="Calibri" w:cs="Calibri"/>
                      <w:bCs/>
                      <w:color w:val="000000"/>
                      <w:sz w:val="22"/>
                      <w:szCs w:val="22"/>
                    </w:rPr>
                    <w:t>-</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A922CF7" w14:textId="77777777" w:rsidR="003B0423" w:rsidRPr="00103D56" w:rsidRDefault="003B0423" w:rsidP="003B0423">
                  <w:pPr>
                    <w:widowControl w:val="0"/>
                    <w:autoSpaceDE w:val="0"/>
                    <w:autoSpaceDN w:val="0"/>
                    <w:adjustRightInd w:val="0"/>
                    <w:ind w:left="-226"/>
                    <w:jc w:val="right"/>
                    <w:rPr>
                      <w:rFonts w:ascii="Calibri" w:hAnsi="Calibri" w:cs="Calibri"/>
                      <w:bCs/>
                      <w:color w:val="000000"/>
                      <w:sz w:val="22"/>
                      <w:szCs w:val="22"/>
                    </w:rPr>
                  </w:pPr>
                  <w:r w:rsidRPr="00103D56">
                    <w:rPr>
                      <w:rFonts w:ascii="Calibri" w:hAnsi="Calibri" w:cs="Calibri"/>
                      <w:bCs/>
                      <w:color w:val="000000"/>
                      <w:sz w:val="22"/>
                      <w:szCs w:val="22"/>
                    </w:rPr>
                    <w:t>6,616.1</w:t>
                  </w:r>
                </w:p>
              </w:tc>
            </w:tr>
            <w:tr w:rsidR="003B0423" w:rsidRPr="00C22F7C" w14:paraId="4079219C" w14:textId="77777777" w:rsidTr="004C74E4">
              <w:trPr>
                <w:trHeight w:val="214"/>
              </w:trPr>
              <w:tc>
                <w:tcPr>
                  <w:tcW w:w="3969" w:type="dxa"/>
                  <w:gridSpan w:val="2"/>
                </w:tcPr>
                <w:p w14:paraId="65BA9239" w14:textId="77777777" w:rsidR="003B0423" w:rsidRPr="00103D56" w:rsidRDefault="003B0423" w:rsidP="003B0423">
                  <w:pPr>
                    <w:autoSpaceDE w:val="0"/>
                    <w:autoSpaceDN w:val="0"/>
                    <w:adjustRightInd w:val="0"/>
                    <w:ind w:hanging="105"/>
                    <w:rPr>
                      <w:rFonts w:ascii="Calibri" w:hAnsi="Calibri" w:cs="Calibri"/>
                      <w:b/>
                      <w:color w:val="000000"/>
                      <w:sz w:val="22"/>
                      <w:szCs w:val="22"/>
                    </w:rPr>
                  </w:pPr>
                </w:p>
              </w:tc>
              <w:tc>
                <w:tcPr>
                  <w:tcW w:w="710" w:type="dxa"/>
                  <w:gridSpan w:val="2"/>
                </w:tcPr>
                <w:p w14:paraId="4188943C"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2FABA17B"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275" w:type="dxa"/>
                  <w:gridSpan w:val="2"/>
                  <w:tcBorders>
                    <w:top w:val="single" w:sz="4" w:space="0" w:color="auto"/>
                    <w:left w:val="single" w:sz="4" w:space="0" w:color="auto"/>
                    <w:right w:val="single" w:sz="4" w:space="0" w:color="auto"/>
                  </w:tcBorders>
                  <w:shd w:val="clear" w:color="auto" w:fill="FFFF00"/>
                </w:tcPr>
                <w:p w14:paraId="665EC3CC" w14:textId="77777777" w:rsidR="003B0423" w:rsidRPr="00103D56" w:rsidRDefault="003B0423" w:rsidP="003B0423">
                  <w:pPr>
                    <w:autoSpaceDE w:val="0"/>
                    <w:autoSpaceDN w:val="0"/>
                    <w:adjustRightInd w:val="0"/>
                    <w:ind w:left="-226"/>
                    <w:jc w:val="right"/>
                    <w:rPr>
                      <w:rFonts w:ascii="Calibri" w:hAnsi="Calibri" w:cs="Calibri"/>
                      <w:b/>
                      <w:color w:val="000000"/>
                      <w:sz w:val="22"/>
                      <w:szCs w:val="22"/>
                    </w:rPr>
                  </w:pPr>
                </w:p>
              </w:tc>
              <w:tc>
                <w:tcPr>
                  <w:tcW w:w="1277" w:type="dxa"/>
                  <w:tcBorders>
                    <w:top w:val="single" w:sz="4" w:space="0" w:color="auto"/>
                    <w:left w:val="single" w:sz="4" w:space="0" w:color="auto"/>
                    <w:right w:val="single" w:sz="4" w:space="0" w:color="auto"/>
                  </w:tcBorders>
                  <w:shd w:val="clear" w:color="auto" w:fill="auto"/>
                </w:tcPr>
                <w:p w14:paraId="5C8A5A53" w14:textId="77777777" w:rsidR="003B0423" w:rsidRPr="00103D56" w:rsidRDefault="003B0423" w:rsidP="003B0423">
                  <w:pPr>
                    <w:autoSpaceDE w:val="0"/>
                    <w:autoSpaceDN w:val="0"/>
                    <w:adjustRightInd w:val="0"/>
                    <w:ind w:left="-226"/>
                    <w:jc w:val="right"/>
                    <w:rPr>
                      <w:rFonts w:ascii="Calibri" w:hAnsi="Calibri" w:cs="Calibri"/>
                      <w:bCs/>
                      <w:color w:val="000000"/>
                      <w:sz w:val="22"/>
                      <w:szCs w:val="22"/>
                    </w:rPr>
                  </w:pPr>
                </w:p>
              </w:tc>
              <w:tc>
                <w:tcPr>
                  <w:tcW w:w="1134" w:type="dxa"/>
                  <w:gridSpan w:val="2"/>
                  <w:tcBorders>
                    <w:top w:val="single" w:sz="4" w:space="0" w:color="auto"/>
                    <w:left w:val="single" w:sz="4" w:space="0" w:color="auto"/>
                    <w:right w:val="single" w:sz="4" w:space="0" w:color="auto"/>
                  </w:tcBorders>
                  <w:shd w:val="clear" w:color="auto" w:fill="auto"/>
                </w:tcPr>
                <w:p w14:paraId="42B80D9A" w14:textId="77777777" w:rsidR="003B0423" w:rsidRPr="00103D56" w:rsidRDefault="003B0423" w:rsidP="003B0423">
                  <w:pPr>
                    <w:autoSpaceDE w:val="0"/>
                    <w:autoSpaceDN w:val="0"/>
                    <w:adjustRightInd w:val="0"/>
                    <w:ind w:left="-226"/>
                    <w:jc w:val="right"/>
                    <w:rPr>
                      <w:rFonts w:ascii="Calibri" w:hAnsi="Calibri" w:cs="Calibri"/>
                      <w:bCs/>
                      <w:color w:val="000000"/>
                      <w:sz w:val="22"/>
                      <w:szCs w:val="22"/>
                    </w:rPr>
                  </w:pPr>
                </w:p>
              </w:tc>
              <w:tc>
                <w:tcPr>
                  <w:tcW w:w="1133" w:type="dxa"/>
                  <w:tcBorders>
                    <w:top w:val="single" w:sz="4" w:space="0" w:color="auto"/>
                    <w:left w:val="single" w:sz="4" w:space="0" w:color="auto"/>
                    <w:right w:val="single" w:sz="4" w:space="0" w:color="auto"/>
                  </w:tcBorders>
                  <w:shd w:val="clear" w:color="auto" w:fill="auto"/>
                </w:tcPr>
                <w:p w14:paraId="29EE928E" w14:textId="77777777" w:rsidR="003B0423" w:rsidRPr="00103D56" w:rsidRDefault="003B0423" w:rsidP="003B0423">
                  <w:pPr>
                    <w:autoSpaceDE w:val="0"/>
                    <w:autoSpaceDN w:val="0"/>
                    <w:adjustRightInd w:val="0"/>
                    <w:ind w:left="-226"/>
                    <w:jc w:val="right"/>
                    <w:rPr>
                      <w:rFonts w:ascii="Calibri" w:hAnsi="Calibri" w:cs="Calibri"/>
                      <w:bCs/>
                      <w:color w:val="000000"/>
                      <w:sz w:val="22"/>
                      <w:szCs w:val="22"/>
                    </w:rPr>
                  </w:pPr>
                </w:p>
              </w:tc>
            </w:tr>
            <w:tr w:rsidR="003B0423" w:rsidRPr="00C22F7C" w14:paraId="06AB1857" w14:textId="77777777" w:rsidTr="004C74E4">
              <w:trPr>
                <w:trHeight w:val="214"/>
              </w:trPr>
              <w:tc>
                <w:tcPr>
                  <w:tcW w:w="3969" w:type="dxa"/>
                  <w:gridSpan w:val="2"/>
                </w:tcPr>
                <w:p w14:paraId="020B3737" w14:textId="77777777" w:rsidR="003B0423" w:rsidRPr="00103D56" w:rsidRDefault="003B0423" w:rsidP="003B0423">
                  <w:pPr>
                    <w:autoSpaceDE w:val="0"/>
                    <w:autoSpaceDN w:val="0"/>
                    <w:adjustRightInd w:val="0"/>
                    <w:ind w:hanging="105"/>
                    <w:rPr>
                      <w:rFonts w:ascii="Calibri" w:hAnsi="Calibri" w:cs="Calibri"/>
                      <w:color w:val="000000"/>
                      <w:sz w:val="22"/>
                      <w:szCs w:val="22"/>
                    </w:rPr>
                  </w:pPr>
                  <w:r w:rsidRPr="00103D56">
                    <w:rPr>
                      <w:rFonts w:ascii="Calibri" w:hAnsi="Calibri" w:cs="Calibri"/>
                      <w:b/>
                      <w:color w:val="000000"/>
                      <w:sz w:val="22"/>
                      <w:szCs w:val="22"/>
                    </w:rPr>
                    <w:t>Operating expenses</w:t>
                  </w:r>
                </w:p>
              </w:tc>
              <w:tc>
                <w:tcPr>
                  <w:tcW w:w="710" w:type="dxa"/>
                  <w:gridSpan w:val="2"/>
                </w:tcPr>
                <w:p w14:paraId="0351EEC8"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7942322A"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275" w:type="dxa"/>
                  <w:gridSpan w:val="2"/>
                  <w:tcBorders>
                    <w:left w:val="single" w:sz="4" w:space="0" w:color="auto"/>
                    <w:right w:val="single" w:sz="4" w:space="0" w:color="auto"/>
                  </w:tcBorders>
                  <w:shd w:val="clear" w:color="auto" w:fill="FFFF00"/>
                </w:tcPr>
                <w:p w14:paraId="7B8B7F58" w14:textId="77777777" w:rsidR="003B0423" w:rsidRPr="00103D56" w:rsidRDefault="003B0423" w:rsidP="003B0423">
                  <w:pPr>
                    <w:autoSpaceDE w:val="0"/>
                    <w:autoSpaceDN w:val="0"/>
                    <w:adjustRightInd w:val="0"/>
                    <w:ind w:left="-226"/>
                    <w:jc w:val="right"/>
                    <w:rPr>
                      <w:rFonts w:ascii="Calibri" w:hAnsi="Calibri" w:cs="Calibri"/>
                      <w:b/>
                      <w:color w:val="000000"/>
                      <w:sz w:val="22"/>
                      <w:szCs w:val="22"/>
                    </w:rPr>
                  </w:pPr>
                </w:p>
              </w:tc>
              <w:tc>
                <w:tcPr>
                  <w:tcW w:w="1277" w:type="dxa"/>
                  <w:tcBorders>
                    <w:left w:val="single" w:sz="4" w:space="0" w:color="auto"/>
                    <w:right w:val="single" w:sz="4" w:space="0" w:color="auto"/>
                  </w:tcBorders>
                  <w:shd w:val="clear" w:color="auto" w:fill="auto"/>
                </w:tcPr>
                <w:p w14:paraId="31A1428A" w14:textId="77777777" w:rsidR="003B0423" w:rsidRPr="00103D56" w:rsidRDefault="003B0423" w:rsidP="003B0423">
                  <w:pPr>
                    <w:autoSpaceDE w:val="0"/>
                    <w:autoSpaceDN w:val="0"/>
                    <w:adjustRightInd w:val="0"/>
                    <w:ind w:left="-226"/>
                    <w:jc w:val="right"/>
                    <w:rPr>
                      <w:rFonts w:ascii="Calibri" w:hAnsi="Calibri" w:cs="Calibri"/>
                      <w:bCs/>
                      <w:color w:val="000000"/>
                      <w:sz w:val="22"/>
                      <w:szCs w:val="22"/>
                    </w:rPr>
                  </w:pPr>
                </w:p>
              </w:tc>
              <w:tc>
                <w:tcPr>
                  <w:tcW w:w="1134" w:type="dxa"/>
                  <w:gridSpan w:val="2"/>
                  <w:tcBorders>
                    <w:left w:val="single" w:sz="4" w:space="0" w:color="auto"/>
                    <w:right w:val="single" w:sz="4" w:space="0" w:color="auto"/>
                  </w:tcBorders>
                  <w:shd w:val="clear" w:color="auto" w:fill="auto"/>
                </w:tcPr>
                <w:p w14:paraId="12826D72" w14:textId="77777777" w:rsidR="003B0423" w:rsidRPr="00103D56" w:rsidRDefault="003B0423" w:rsidP="003B0423">
                  <w:pPr>
                    <w:autoSpaceDE w:val="0"/>
                    <w:autoSpaceDN w:val="0"/>
                    <w:adjustRightInd w:val="0"/>
                    <w:ind w:left="-226"/>
                    <w:jc w:val="right"/>
                    <w:rPr>
                      <w:rFonts w:ascii="Calibri" w:hAnsi="Calibri" w:cs="Calibri"/>
                      <w:bCs/>
                      <w:color w:val="000000"/>
                      <w:sz w:val="22"/>
                      <w:szCs w:val="22"/>
                    </w:rPr>
                  </w:pPr>
                </w:p>
              </w:tc>
              <w:tc>
                <w:tcPr>
                  <w:tcW w:w="1133" w:type="dxa"/>
                  <w:tcBorders>
                    <w:left w:val="single" w:sz="4" w:space="0" w:color="auto"/>
                    <w:right w:val="single" w:sz="4" w:space="0" w:color="auto"/>
                  </w:tcBorders>
                  <w:shd w:val="clear" w:color="auto" w:fill="auto"/>
                </w:tcPr>
                <w:p w14:paraId="30AD6291" w14:textId="77777777" w:rsidR="003B0423" w:rsidRPr="00103D56" w:rsidRDefault="003B0423" w:rsidP="003B0423">
                  <w:pPr>
                    <w:autoSpaceDE w:val="0"/>
                    <w:autoSpaceDN w:val="0"/>
                    <w:adjustRightInd w:val="0"/>
                    <w:ind w:left="-226"/>
                    <w:jc w:val="right"/>
                    <w:rPr>
                      <w:rFonts w:ascii="Calibri" w:hAnsi="Calibri" w:cs="Calibri"/>
                      <w:bCs/>
                      <w:color w:val="000000"/>
                      <w:sz w:val="22"/>
                      <w:szCs w:val="22"/>
                    </w:rPr>
                  </w:pPr>
                </w:p>
              </w:tc>
            </w:tr>
            <w:tr w:rsidR="003B0423" w:rsidRPr="00C22F7C" w14:paraId="5EF19E6E" w14:textId="77777777" w:rsidTr="004C74E4">
              <w:trPr>
                <w:trHeight w:val="214"/>
              </w:trPr>
              <w:tc>
                <w:tcPr>
                  <w:tcW w:w="265" w:type="dxa"/>
                </w:tcPr>
                <w:p w14:paraId="6CD175E7" w14:textId="77777777" w:rsidR="003B0423" w:rsidRPr="00C22F7C" w:rsidRDefault="003B0423" w:rsidP="003B0423">
                  <w:pPr>
                    <w:autoSpaceDE w:val="0"/>
                    <w:autoSpaceDN w:val="0"/>
                    <w:adjustRightInd w:val="0"/>
                    <w:jc w:val="right"/>
                    <w:rPr>
                      <w:rFonts w:ascii="Calibri" w:hAnsi="Calibri" w:cs="Calibri"/>
                      <w:color w:val="000000"/>
                      <w:sz w:val="22"/>
                      <w:szCs w:val="22"/>
                    </w:rPr>
                  </w:pPr>
                </w:p>
              </w:tc>
              <w:tc>
                <w:tcPr>
                  <w:tcW w:w="3704" w:type="dxa"/>
                </w:tcPr>
                <w:p w14:paraId="3AA516E1" w14:textId="77777777" w:rsidR="003B0423" w:rsidRPr="00103D56" w:rsidRDefault="003B0423" w:rsidP="003B0423">
                  <w:pPr>
                    <w:autoSpaceDE w:val="0"/>
                    <w:autoSpaceDN w:val="0"/>
                    <w:adjustRightInd w:val="0"/>
                    <w:rPr>
                      <w:rFonts w:ascii="Calibri" w:hAnsi="Calibri" w:cs="Calibri"/>
                      <w:color w:val="000000"/>
                      <w:sz w:val="22"/>
                      <w:szCs w:val="22"/>
                    </w:rPr>
                  </w:pPr>
                  <w:r w:rsidRPr="00103D56">
                    <w:rPr>
                      <w:rFonts w:ascii="Calibri" w:hAnsi="Calibri" w:cs="Calibri"/>
                      <w:color w:val="000000"/>
                      <w:sz w:val="22"/>
                      <w:szCs w:val="22"/>
                    </w:rPr>
                    <w:t>Fuel and oil</w:t>
                  </w:r>
                </w:p>
              </w:tc>
              <w:tc>
                <w:tcPr>
                  <w:tcW w:w="710" w:type="dxa"/>
                  <w:gridSpan w:val="2"/>
                </w:tcPr>
                <w:p w14:paraId="6A6B883B"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vAlign w:val="center"/>
                </w:tcPr>
                <w:p w14:paraId="3A563F1D"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color w:val="000000"/>
                      <w:sz w:val="22"/>
                      <w:szCs w:val="22"/>
                    </w:rPr>
                    <w:t>-29%</w:t>
                  </w:r>
                </w:p>
              </w:tc>
              <w:tc>
                <w:tcPr>
                  <w:tcW w:w="1275" w:type="dxa"/>
                  <w:gridSpan w:val="2"/>
                  <w:tcBorders>
                    <w:left w:val="single" w:sz="4" w:space="0" w:color="auto"/>
                    <w:right w:val="single" w:sz="4" w:space="0" w:color="auto"/>
                  </w:tcBorders>
                  <w:shd w:val="clear" w:color="auto" w:fill="FFFF00"/>
                  <w:vAlign w:val="center"/>
                </w:tcPr>
                <w:p w14:paraId="19C002CB" w14:textId="77777777" w:rsidR="003B0423" w:rsidRPr="00103D56" w:rsidRDefault="003B0423" w:rsidP="003B0423">
                  <w:pPr>
                    <w:widowControl w:val="0"/>
                    <w:autoSpaceDE w:val="0"/>
                    <w:autoSpaceDN w:val="0"/>
                    <w:adjustRightInd w:val="0"/>
                    <w:jc w:val="right"/>
                    <w:rPr>
                      <w:rFonts w:ascii="Calibri" w:hAnsi="Calibri" w:cs="Calibri"/>
                      <w:b/>
                      <w:color w:val="000000"/>
                      <w:sz w:val="22"/>
                      <w:szCs w:val="22"/>
                    </w:rPr>
                  </w:pPr>
                  <w:r w:rsidRPr="00103D56">
                    <w:rPr>
                      <w:rFonts w:ascii="Calibri" w:hAnsi="Calibri" w:cs="Calibri"/>
                      <w:b/>
                      <w:bCs/>
                      <w:sz w:val="22"/>
                      <w:szCs w:val="22"/>
                    </w:rPr>
                    <w:t xml:space="preserve">       2,814.6 </w:t>
                  </w:r>
                </w:p>
              </w:tc>
              <w:tc>
                <w:tcPr>
                  <w:tcW w:w="1277" w:type="dxa"/>
                  <w:tcBorders>
                    <w:left w:val="single" w:sz="4" w:space="0" w:color="auto"/>
                    <w:right w:val="single" w:sz="4" w:space="0" w:color="auto"/>
                  </w:tcBorders>
                  <w:shd w:val="clear" w:color="auto" w:fill="auto"/>
                </w:tcPr>
                <w:p w14:paraId="7637F59E"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 xml:space="preserve"> 2,177.1 </w:t>
                  </w:r>
                </w:p>
              </w:tc>
              <w:tc>
                <w:tcPr>
                  <w:tcW w:w="1134" w:type="dxa"/>
                  <w:gridSpan w:val="2"/>
                  <w:tcBorders>
                    <w:left w:val="single" w:sz="4" w:space="0" w:color="auto"/>
                    <w:right w:val="single" w:sz="4" w:space="0" w:color="auto"/>
                  </w:tcBorders>
                  <w:shd w:val="clear" w:color="auto" w:fill="auto"/>
                </w:tcPr>
                <w:p w14:paraId="5BD6A05D"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122.8</w:t>
                  </w:r>
                </w:p>
              </w:tc>
              <w:tc>
                <w:tcPr>
                  <w:tcW w:w="1133" w:type="dxa"/>
                  <w:tcBorders>
                    <w:left w:val="single" w:sz="4" w:space="0" w:color="auto"/>
                    <w:right w:val="single" w:sz="4" w:space="0" w:color="auto"/>
                  </w:tcBorders>
                  <w:shd w:val="clear" w:color="auto" w:fill="auto"/>
                </w:tcPr>
                <w:p w14:paraId="53D2F443"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 xml:space="preserve"> 2,299.9 </w:t>
                  </w:r>
                </w:p>
              </w:tc>
            </w:tr>
            <w:tr w:rsidR="003B0423" w:rsidRPr="00C22F7C" w14:paraId="40D92CD8" w14:textId="77777777" w:rsidTr="004C74E4">
              <w:trPr>
                <w:trHeight w:val="214"/>
              </w:trPr>
              <w:tc>
                <w:tcPr>
                  <w:tcW w:w="265" w:type="dxa"/>
                </w:tcPr>
                <w:p w14:paraId="7657D7F8" w14:textId="77777777" w:rsidR="003B0423" w:rsidRPr="00C22F7C" w:rsidRDefault="003B0423" w:rsidP="003B0423">
                  <w:pPr>
                    <w:autoSpaceDE w:val="0"/>
                    <w:autoSpaceDN w:val="0"/>
                    <w:adjustRightInd w:val="0"/>
                    <w:jc w:val="right"/>
                    <w:rPr>
                      <w:rFonts w:ascii="Calibri" w:hAnsi="Calibri" w:cs="Calibri"/>
                      <w:color w:val="000000"/>
                      <w:sz w:val="22"/>
                      <w:szCs w:val="22"/>
                    </w:rPr>
                  </w:pPr>
                </w:p>
              </w:tc>
              <w:tc>
                <w:tcPr>
                  <w:tcW w:w="3704" w:type="dxa"/>
                </w:tcPr>
                <w:p w14:paraId="23054885" w14:textId="77777777" w:rsidR="003B0423" w:rsidRPr="00103D56" w:rsidRDefault="003B0423" w:rsidP="003B0423">
                  <w:pPr>
                    <w:autoSpaceDE w:val="0"/>
                    <w:autoSpaceDN w:val="0"/>
                    <w:adjustRightInd w:val="0"/>
                    <w:rPr>
                      <w:rFonts w:ascii="Calibri" w:hAnsi="Calibri" w:cs="Calibri"/>
                      <w:color w:val="000000"/>
                      <w:sz w:val="22"/>
                      <w:szCs w:val="22"/>
                    </w:rPr>
                  </w:pPr>
                  <w:r w:rsidRPr="00103D56">
                    <w:rPr>
                      <w:rFonts w:ascii="Calibri" w:hAnsi="Calibri" w:cs="Calibri"/>
                      <w:color w:val="000000"/>
                      <w:sz w:val="22"/>
                      <w:szCs w:val="22"/>
                    </w:rPr>
                    <w:t>Airport and handling charges</w:t>
                  </w:r>
                </w:p>
              </w:tc>
              <w:tc>
                <w:tcPr>
                  <w:tcW w:w="710" w:type="dxa"/>
                  <w:gridSpan w:val="2"/>
                </w:tcPr>
                <w:p w14:paraId="1CBBE0DF"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vAlign w:val="center"/>
                </w:tcPr>
                <w:p w14:paraId="6EAE9A95"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color w:val="000000"/>
                      <w:sz w:val="22"/>
                      <w:szCs w:val="22"/>
                    </w:rPr>
                    <w:t>-24%</w:t>
                  </w:r>
                </w:p>
              </w:tc>
              <w:tc>
                <w:tcPr>
                  <w:tcW w:w="1275" w:type="dxa"/>
                  <w:gridSpan w:val="2"/>
                  <w:tcBorders>
                    <w:left w:val="single" w:sz="4" w:space="0" w:color="auto"/>
                    <w:right w:val="single" w:sz="4" w:space="0" w:color="auto"/>
                  </w:tcBorders>
                  <w:shd w:val="clear" w:color="auto" w:fill="FFFF00"/>
                  <w:vAlign w:val="center"/>
                </w:tcPr>
                <w:p w14:paraId="3B6D4296" w14:textId="77777777" w:rsidR="003B0423" w:rsidRPr="00103D56" w:rsidRDefault="003B0423" w:rsidP="003B0423">
                  <w:pPr>
                    <w:widowControl w:val="0"/>
                    <w:autoSpaceDE w:val="0"/>
                    <w:autoSpaceDN w:val="0"/>
                    <w:adjustRightInd w:val="0"/>
                    <w:jc w:val="right"/>
                    <w:rPr>
                      <w:rFonts w:ascii="Calibri" w:hAnsi="Calibri" w:cs="Calibri"/>
                      <w:b/>
                      <w:color w:val="000000"/>
                      <w:sz w:val="22"/>
                      <w:szCs w:val="22"/>
                    </w:rPr>
                  </w:pPr>
                  <w:r w:rsidRPr="00103D56">
                    <w:rPr>
                      <w:rFonts w:ascii="Calibri" w:hAnsi="Calibri" w:cs="Calibri"/>
                      <w:b/>
                      <w:bCs/>
                      <w:sz w:val="22"/>
                      <w:szCs w:val="22"/>
                    </w:rPr>
                    <w:t>858.2</w:t>
                  </w:r>
                </w:p>
              </w:tc>
              <w:tc>
                <w:tcPr>
                  <w:tcW w:w="1277" w:type="dxa"/>
                  <w:tcBorders>
                    <w:left w:val="single" w:sz="4" w:space="0" w:color="auto"/>
                    <w:right w:val="single" w:sz="4" w:space="0" w:color="auto"/>
                  </w:tcBorders>
                  <w:shd w:val="clear" w:color="auto" w:fill="auto"/>
                </w:tcPr>
                <w:p w14:paraId="69A04317"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692.9</w:t>
                  </w:r>
                </w:p>
              </w:tc>
              <w:tc>
                <w:tcPr>
                  <w:tcW w:w="1134" w:type="dxa"/>
                  <w:gridSpan w:val="2"/>
                  <w:tcBorders>
                    <w:left w:val="single" w:sz="4" w:space="0" w:color="auto"/>
                    <w:right w:val="single" w:sz="4" w:space="0" w:color="auto"/>
                  </w:tcBorders>
                  <w:shd w:val="clear" w:color="auto" w:fill="auto"/>
                </w:tcPr>
                <w:p w14:paraId="443AB7F3"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w:t>
                  </w:r>
                </w:p>
              </w:tc>
              <w:tc>
                <w:tcPr>
                  <w:tcW w:w="1133" w:type="dxa"/>
                  <w:tcBorders>
                    <w:left w:val="single" w:sz="4" w:space="0" w:color="auto"/>
                    <w:right w:val="single" w:sz="4" w:space="0" w:color="auto"/>
                  </w:tcBorders>
                  <w:shd w:val="clear" w:color="auto" w:fill="auto"/>
                </w:tcPr>
                <w:p w14:paraId="1BAFC304"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692.9</w:t>
                  </w:r>
                </w:p>
              </w:tc>
            </w:tr>
            <w:tr w:rsidR="003B0423" w:rsidRPr="00C22F7C" w14:paraId="6C631C54" w14:textId="77777777" w:rsidTr="004C74E4">
              <w:trPr>
                <w:trHeight w:val="214"/>
              </w:trPr>
              <w:tc>
                <w:tcPr>
                  <w:tcW w:w="265" w:type="dxa"/>
                </w:tcPr>
                <w:p w14:paraId="669A43BE" w14:textId="77777777" w:rsidR="003B0423" w:rsidRPr="00C22F7C" w:rsidRDefault="003B0423" w:rsidP="003B0423">
                  <w:pPr>
                    <w:autoSpaceDE w:val="0"/>
                    <w:autoSpaceDN w:val="0"/>
                    <w:adjustRightInd w:val="0"/>
                    <w:jc w:val="right"/>
                    <w:rPr>
                      <w:rFonts w:ascii="Calibri" w:hAnsi="Calibri" w:cs="Calibri"/>
                      <w:color w:val="000000"/>
                      <w:sz w:val="22"/>
                      <w:szCs w:val="22"/>
                    </w:rPr>
                  </w:pPr>
                </w:p>
              </w:tc>
              <w:tc>
                <w:tcPr>
                  <w:tcW w:w="3704" w:type="dxa"/>
                </w:tcPr>
                <w:p w14:paraId="4725B1BB" w14:textId="77777777" w:rsidR="003B0423" w:rsidRPr="00103D56" w:rsidRDefault="003B0423" w:rsidP="003B0423">
                  <w:pPr>
                    <w:autoSpaceDE w:val="0"/>
                    <w:autoSpaceDN w:val="0"/>
                    <w:adjustRightInd w:val="0"/>
                    <w:rPr>
                      <w:rFonts w:ascii="Calibri" w:hAnsi="Calibri" w:cs="Calibri"/>
                      <w:color w:val="000000"/>
                      <w:sz w:val="22"/>
                      <w:szCs w:val="22"/>
                    </w:rPr>
                  </w:pPr>
                  <w:r w:rsidRPr="00103D56">
                    <w:rPr>
                      <w:rFonts w:ascii="Calibri" w:hAnsi="Calibri" w:cs="Calibri"/>
                      <w:color w:val="000000"/>
                      <w:sz w:val="22"/>
                      <w:szCs w:val="22"/>
                    </w:rPr>
                    <w:t>Staff costs</w:t>
                  </w:r>
                </w:p>
              </w:tc>
              <w:tc>
                <w:tcPr>
                  <w:tcW w:w="710" w:type="dxa"/>
                  <w:gridSpan w:val="2"/>
                </w:tcPr>
                <w:p w14:paraId="0C202762"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vAlign w:val="center"/>
                </w:tcPr>
                <w:p w14:paraId="489382EA"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color w:val="000000"/>
                      <w:sz w:val="22"/>
                      <w:szCs w:val="22"/>
                    </w:rPr>
                    <w:t>-27%</w:t>
                  </w:r>
                </w:p>
              </w:tc>
              <w:tc>
                <w:tcPr>
                  <w:tcW w:w="1275" w:type="dxa"/>
                  <w:gridSpan w:val="2"/>
                  <w:tcBorders>
                    <w:left w:val="single" w:sz="4" w:space="0" w:color="auto"/>
                    <w:right w:val="single" w:sz="4" w:space="0" w:color="auto"/>
                  </w:tcBorders>
                  <w:shd w:val="clear" w:color="auto" w:fill="FFFF00"/>
                  <w:vAlign w:val="center"/>
                </w:tcPr>
                <w:p w14:paraId="5E121A35" w14:textId="77777777" w:rsidR="003B0423" w:rsidRPr="00103D56" w:rsidRDefault="003B0423" w:rsidP="003B0423">
                  <w:pPr>
                    <w:widowControl w:val="0"/>
                    <w:autoSpaceDE w:val="0"/>
                    <w:autoSpaceDN w:val="0"/>
                    <w:adjustRightInd w:val="0"/>
                    <w:jc w:val="right"/>
                    <w:rPr>
                      <w:rFonts w:ascii="Calibri" w:hAnsi="Calibri" w:cs="Calibri"/>
                      <w:b/>
                      <w:color w:val="000000"/>
                      <w:sz w:val="22"/>
                      <w:szCs w:val="22"/>
                    </w:rPr>
                  </w:pPr>
                  <w:r w:rsidRPr="00103D56">
                    <w:rPr>
                      <w:rFonts w:ascii="Calibri" w:hAnsi="Calibri" w:cs="Calibri"/>
                      <w:b/>
                      <w:bCs/>
                      <w:sz w:val="22"/>
                      <w:szCs w:val="22"/>
                    </w:rPr>
                    <w:t>742.9</w:t>
                  </w:r>
                </w:p>
              </w:tc>
              <w:tc>
                <w:tcPr>
                  <w:tcW w:w="1277" w:type="dxa"/>
                  <w:tcBorders>
                    <w:left w:val="single" w:sz="4" w:space="0" w:color="auto"/>
                    <w:right w:val="single" w:sz="4" w:space="0" w:color="auto"/>
                  </w:tcBorders>
                  <w:shd w:val="clear" w:color="auto" w:fill="auto"/>
                </w:tcPr>
                <w:p w14:paraId="77843CDD"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583.7</w:t>
                  </w:r>
                </w:p>
              </w:tc>
              <w:tc>
                <w:tcPr>
                  <w:tcW w:w="1134" w:type="dxa"/>
                  <w:gridSpan w:val="2"/>
                  <w:tcBorders>
                    <w:left w:val="single" w:sz="4" w:space="0" w:color="auto"/>
                    <w:right w:val="single" w:sz="4" w:space="0" w:color="auto"/>
                  </w:tcBorders>
                  <w:shd w:val="clear" w:color="auto" w:fill="auto"/>
                </w:tcPr>
                <w:p w14:paraId="271FF3C8"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w:t>
                  </w:r>
                </w:p>
              </w:tc>
              <w:tc>
                <w:tcPr>
                  <w:tcW w:w="1133" w:type="dxa"/>
                  <w:tcBorders>
                    <w:left w:val="single" w:sz="4" w:space="0" w:color="auto"/>
                    <w:right w:val="single" w:sz="4" w:space="0" w:color="auto"/>
                  </w:tcBorders>
                  <w:shd w:val="clear" w:color="auto" w:fill="auto"/>
                </w:tcPr>
                <w:p w14:paraId="0FD7FF20"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583.7</w:t>
                  </w:r>
                </w:p>
              </w:tc>
            </w:tr>
            <w:tr w:rsidR="003B0423" w:rsidRPr="00C22F7C" w14:paraId="4D5697B0" w14:textId="77777777" w:rsidTr="004C74E4">
              <w:trPr>
                <w:trHeight w:val="214"/>
              </w:trPr>
              <w:tc>
                <w:tcPr>
                  <w:tcW w:w="265" w:type="dxa"/>
                </w:tcPr>
                <w:p w14:paraId="3142BB14" w14:textId="77777777" w:rsidR="003B0423" w:rsidRPr="00C22F7C" w:rsidRDefault="003B0423" w:rsidP="003B0423">
                  <w:pPr>
                    <w:autoSpaceDE w:val="0"/>
                    <w:autoSpaceDN w:val="0"/>
                    <w:adjustRightInd w:val="0"/>
                    <w:jc w:val="right"/>
                    <w:rPr>
                      <w:rFonts w:ascii="Calibri" w:hAnsi="Calibri" w:cs="Calibri"/>
                      <w:color w:val="000000"/>
                      <w:sz w:val="22"/>
                      <w:szCs w:val="22"/>
                    </w:rPr>
                  </w:pPr>
                </w:p>
              </w:tc>
              <w:tc>
                <w:tcPr>
                  <w:tcW w:w="3704" w:type="dxa"/>
                </w:tcPr>
                <w:p w14:paraId="680FABC8" w14:textId="77777777" w:rsidR="003B0423" w:rsidRPr="00103D56" w:rsidRDefault="003B0423" w:rsidP="003B0423">
                  <w:pPr>
                    <w:autoSpaceDE w:val="0"/>
                    <w:autoSpaceDN w:val="0"/>
                    <w:adjustRightInd w:val="0"/>
                    <w:rPr>
                      <w:rFonts w:ascii="Calibri" w:hAnsi="Calibri" w:cs="Calibri"/>
                      <w:color w:val="000000"/>
                      <w:sz w:val="22"/>
                      <w:szCs w:val="22"/>
                    </w:rPr>
                  </w:pPr>
                  <w:r w:rsidRPr="00103D56">
                    <w:rPr>
                      <w:rFonts w:ascii="Calibri" w:hAnsi="Calibri" w:cs="Calibri"/>
                      <w:color w:val="000000"/>
                      <w:sz w:val="22"/>
                      <w:szCs w:val="22"/>
                    </w:rPr>
                    <w:t>Route charges</w:t>
                  </w:r>
                </w:p>
              </w:tc>
              <w:tc>
                <w:tcPr>
                  <w:tcW w:w="710" w:type="dxa"/>
                  <w:gridSpan w:val="2"/>
                </w:tcPr>
                <w:p w14:paraId="3C3DF65E"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vAlign w:val="center"/>
                </w:tcPr>
                <w:p w14:paraId="30213E67"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color w:val="000000"/>
                      <w:sz w:val="22"/>
                      <w:szCs w:val="22"/>
                    </w:rPr>
                    <w:t>-12%</w:t>
                  </w:r>
                </w:p>
              </w:tc>
              <w:tc>
                <w:tcPr>
                  <w:tcW w:w="1275" w:type="dxa"/>
                  <w:gridSpan w:val="2"/>
                  <w:tcBorders>
                    <w:left w:val="single" w:sz="4" w:space="0" w:color="auto"/>
                    <w:right w:val="single" w:sz="4" w:space="0" w:color="auto"/>
                  </w:tcBorders>
                  <w:shd w:val="clear" w:color="auto" w:fill="FFFF00"/>
                  <w:vAlign w:val="center"/>
                </w:tcPr>
                <w:p w14:paraId="0663CF7C" w14:textId="77777777" w:rsidR="003B0423" w:rsidRPr="00103D56" w:rsidRDefault="003B0423" w:rsidP="003B0423">
                  <w:pPr>
                    <w:widowControl w:val="0"/>
                    <w:autoSpaceDE w:val="0"/>
                    <w:autoSpaceDN w:val="0"/>
                    <w:adjustRightInd w:val="0"/>
                    <w:jc w:val="right"/>
                    <w:rPr>
                      <w:rFonts w:ascii="Calibri" w:hAnsi="Calibri" w:cs="Calibri"/>
                      <w:b/>
                      <w:color w:val="000000"/>
                      <w:sz w:val="22"/>
                      <w:szCs w:val="22"/>
                    </w:rPr>
                  </w:pPr>
                  <w:r w:rsidRPr="00103D56">
                    <w:rPr>
                      <w:rFonts w:ascii="Calibri" w:hAnsi="Calibri" w:cs="Calibri"/>
                      <w:b/>
                      <w:bCs/>
                      <w:sz w:val="22"/>
                      <w:szCs w:val="22"/>
                    </w:rPr>
                    <w:t>561.9</w:t>
                  </w:r>
                </w:p>
              </w:tc>
              <w:tc>
                <w:tcPr>
                  <w:tcW w:w="1277" w:type="dxa"/>
                  <w:tcBorders>
                    <w:left w:val="single" w:sz="4" w:space="0" w:color="auto"/>
                    <w:right w:val="single" w:sz="4" w:space="0" w:color="auto"/>
                  </w:tcBorders>
                  <w:shd w:val="clear" w:color="auto" w:fill="auto"/>
                </w:tcPr>
                <w:p w14:paraId="3E1B8843"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503.4</w:t>
                  </w:r>
                </w:p>
              </w:tc>
              <w:tc>
                <w:tcPr>
                  <w:tcW w:w="1134" w:type="dxa"/>
                  <w:gridSpan w:val="2"/>
                  <w:tcBorders>
                    <w:left w:val="single" w:sz="4" w:space="0" w:color="auto"/>
                    <w:right w:val="single" w:sz="4" w:space="0" w:color="auto"/>
                  </w:tcBorders>
                  <w:shd w:val="clear" w:color="auto" w:fill="auto"/>
                </w:tcPr>
                <w:p w14:paraId="41473F5E"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w:t>
                  </w:r>
                </w:p>
              </w:tc>
              <w:tc>
                <w:tcPr>
                  <w:tcW w:w="1133" w:type="dxa"/>
                  <w:tcBorders>
                    <w:left w:val="single" w:sz="4" w:space="0" w:color="auto"/>
                    <w:right w:val="single" w:sz="4" w:space="0" w:color="auto"/>
                  </w:tcBorders>
                  <w:shd w:val="clear" w:color="auto" w:fill="auto"/>
                </w:tcPr>
                <w:p w14:paraId="6556C87F"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503.4</w:t>
                  </w:r>
                </w:p>
              </w:tc>
            </w:tr>
            <w:tr w:rsidR="003B0423" w:rsidRPr="00C22F7C" w14:paraId="0BF59EF4" w14:textId="77777777" w:rsidTr="004C74E4">
              <w:trPr>
                <w:trHeight w:val="214"/>
              </w:trPr>
              <w:tc>
                <w:tcPr>
                  <w:tcW w:w="265" w:type="dxa"/>
                </w:tcPr>
                <w:p w14:paraId="0E0615D4" w14:textId="77777777" w:rsidR="003B0423" w:rsidRPr="00C22F7C" w:rsidRDefault="003B0423" w:rsidP="003B0423">
                  <w:pPr>
                    <w:autoSpaceDE w:val="0"/>
                    <w:autoSpaceDN w:val="0"/>
                    <w:adjustRightInd w:val="0"/>
                    <w:jc w:val="right"/>
                    <w:rPr>
                      <w:rFonts w:ascii="Calibri" w:hAnsi="Calibri" w:cs="Calibri"/>
                      <w:color w:val="000000"/>
                      <w:sz w:val="22"/>
                      <w:szCs w:val="22"/>
                    </w:rPr>
                  </w:pPr>
                </w:p>
              </w:tc>
              <w:tc>
                <w:tcPr>
                  <w:tcW w:w="3704" w:type="dxa"/>
                </w:tcPr>
                <w:p w14:paraId="1A802628" w14:textId="77777777" w:rsidR="003B0423" w:rsidRPr="00103D56" w:rsidRDefault="003B0423" w:rsidP="003B0423">
                  <w:pPr>
                    <w:autoSpaceDE w:val="0"/>
                    <w:autoSpaceDN w:val="0"/>
                    <w:adjustRightInd w:val="0"/>
                    <w:rPr>
                      <w:rFonts w:ascii="Calibri" w:hAnsi="Calibri" w:cs="Calibri"/>
                      <w:color w:val="000000"/>
                      <w:sz w:val="22"/>
                      <w:szCs w:val="22"/>
                    </w:rPr>
                  </w:pPr>
                  <w:r w:rsidRPr="00103D56">
                    <w:rPr>
                      <w:rFonts w:ascii="Calibri" w:hAnsi="Calibri" w:cs="Calibri"/>
                      <w:color w:val="000000"/>
                      <w:sz w:val="22"/>
                      <w:szCs w:val="22"/>
                    </w:rPr>
                    <w:t>Depreciation</w:t>
                  </w:r>
                </w:p>
              </w:tc>
              <w:tc>
                <w:tcPr>
                  <w:tcW w:w="710" w:type="dxa"/>
                  <w:gridSpan w:val="2"/>
                </w:tcPr>
                <w:p w14:paraId="41449297"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vAlign w:val="center"/>
                </w:tcPr>
                <w:p w14:paraId="7EB87E52"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color w:val="000000"/>
                      <w:sz w:val="22"/>
                      <w:szCs w:val="22"/>
                    </w:rPr>
                    <w:t>-23%</w:t>
                  </w:r>
                </w:p>
              </w:tc>
              <w:tc>
                <w:tcPr>
                  <w:tcW w:w="1275" w:type="dxa"/>
                  <w:gridSpan w:val="2"/>
                  <w:tcBorders>
                    <w:left w:val="single" w:sz="4" w:space="0" w:color="auto"/>
                    <w:right w:val="single" w:sz="4" w:space="0" w:color="auto"/>
                  </w:tcBorders>
                  <w:shd w:val="clear" w:color="auto" w:fill="FFFF00"/>
                  <w:vAlign w:val="center"/>
                </w:tcPr>
                <w:p w14:paraId="06D31D55" w14:textId="77777777" w:rsidR="003B0423" w:rsidRPr="00103D56" w:rsidRDefault="003B0423" w:rsidP="003B0423">
                  <w:pPr>
                    <w:widowControl w:val="0"/>
                    <w:autoSpaceDE w:val="0"/>
                    <w:autoSpaceDN w:val="0"/>
                    <w:adjustRightInd w:val="0"/>
                    <w:jc w:val="right"/>
                    <w:rPr>
                      <w:rFonts w:ascii="Calibri" w:hAnsi="Calibri" w:cs="Calibri"/>
                      <w:b/>
                      <w:color w:val="000000"/>
                      <w:sz w:val="22"/>
                      <w:szCs w:val="22"/>
                    </w:rPr>
                  </w:pPr>
                  <w:r w:rsidRPr="00103D56">
                    <w:rPr>
                      <w:rFonts w:ascii="Calibri" w:hAnsi="Calibri" w:cs="Calibri"/>
                      <w:b/>
                      <w:bCs/>
                      <w:sz w:val="22"/>
                      <w:szCs w:val="22"/>
                    </w:rPr>
                    <w:t>558.8</w:t>
                  </w:r>
                </w:p>
              </w:tc>
              <w:tc>
                <w:tcPr>
                  <w:tcW w:w="1277" w:type="dxa"/>
                  <w:tcBorders>
                    <w:left w:val="single" w:sz="4" w:space="0" w:color="auto"/>
                    <w:right w:val="single" w:sz="4" w:space="0" w:color="auto"/>
                  </w:tcBorders>
                  <w:shd w:val="clear" w:color="auto" w:fill="auto"/>
                </w:tcPr>
                <w:p w14:paraId="6C18FDFF"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453.1</w:t>
                  </w:r>
                </w:p>
              </w:tc>
              <w:tc>
                <w:tcPr>
                  <w:tcW w:w="1134" w:type="dxa"/>
                  <w:gridSpan w:val="2"/>
                  <w:tcBorders>
                    <w:left w:val="single" w:sz="4" w:space="0" w:color="auto"/>
                    <w:right w:val="single" w:sz="4" w:space="0" w:color="auto"/>
                  </w:tcBorders>
                  <w:shd w:val="clear" w:color="auto" w:fill="auto"/>
                </w:tcPr>
                <w:p w14:paraId="15D521B7"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w:t>
                  </w:r>
                </w:p>
              </w:tc>
              <w:tc>
                <w:tcPr>
                  <w:tcW w:w="1133" w:type="dxa"/>
                  <w:tcBorders>
                    <w:left w:val="single" w:sz="4" w:space="0" w:color="auto"/>
                    <w:right w:val="single" w:sz="4" w:space="0" w:color="auto"/>
                  </w:tcBorders>
                  <w:shd w:val="clear" w:color="auto" w:fill="auto"/>
                </w:tcPr>
                <w:p w14:paraId="2C7B298C"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453.1</w:t>
                  </w:r>
                </w:p>
              </w:tc>
            </w:tr>
            <w:tr w:rsidR="003B0423" w:rsidRPr="00C22F7C" w14:paraId="05CC033B" w14:textId="77777777" w:rsidTr="004C74E4">
              <w:trPr>
                <w:trHeight w:val="214"/>
              </w:trPr>
              <w:tc>
                <w:tcPr>
                  <w:tcW w:w="265" w:type="dxa"/>
                </w:tcPr>
                <w:p w14:paraId="68DFA7DE" w14:textId="77777777" w:rsidR="003B0423" w:rsidRPr="00C22F7C" w:rsidRDefault="003B0423" w:rsidP="003B0423">
                  <w:pPr>
                    <w:autoSpaceDE w:val="0"/>
                    <w:autoSpaceDN w:val="0"/>
                    <w:adjustRightInd w:val="0"/>
                    <w:jc w:val="right"/>
                    <w:rPr>
                      <w:rFonts w:ascii="Calibri" w:hAnsi="Calibri" w:cs="Calibri"/>
                      <w:color w:val="000000"/>
                      <w:sz w:val="22"/>
                      <w:szCs w:val="22"/>
                    </w:rPr>
                  </w:pPr>
                </w:p>
              </w:tc>
              <w:tc>
                <w:tcPr>
                  <w:tcW w:w="3704" w:type="dxa"/>
                </w:tcPr>
                <w:p w14:paraId="6737D673" w14:textId="77777777" w:rsidR="003B0423" w:rsidRPr="00103D56" w:rsidRDefault="003B0423" w:rsidP="003B0423">
                  <w:pPr>
                    <w:autoSpaceDE w:val="0"/>
                    <w:autoSpaceDN w:val="0"/>
                    <w:adjustRightInd w:val="0"/>
                    <w:rPr>
                      <w:rFonts w:ascii="Calibri" w:hAnsi="Calibri" w:cs="Calibri"/>
                      <w:color w:val="000000"/>
                      <w:sz w:val="22"/>
                      <w:szCs w:val="22"/>
                    </w:rPr>
                  </w:pPr>
                  <w:r w:rsidRPr="00103D56">
                    <w:rPr>
                      <w:rFonts w:ascii="Calibri" w:hAnsi="Calibri" w:cs="Calibri"/>
                      <w:color w:val="000000"/>
                      <w:sz w:val="22"/>
                      <w:szCs w:val="22"/>
                    </w:rPr>
                    <w:t>Marketing, distribution and other</w:t>
                  </w:r>
                </w:p>
              </w:tc>
              <w:tc>
                <w:tcPr>
                  <w:tcW w:w="710" w:type="dxa"/>
                  <w:gridSpan w:val="2"/>
                </w:tcPr>
                <w:p w14:paraId="642ADBB5"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vAlign w:val="center"/>
                </w:tcPr>
                <w:p w14:paraId="5B3B981A"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color w:val="000000"/>
                      <w:sz w:val="22"/>
                      <w:szCs w:val="22"/>
                    </w:rPr>
                    <w:t>-20%</w:t>
                  </w:r>
                </w:p>
              </w:tc>
              <w:tc>
                <w:tcPr>
                  <w:tcW w:w="1275" w:type="dxa"/>
                  <w:gridSpan w:val="2"/>
                  <w:tcBorders>
                    <w:left w:val="single" w:sz="4" w:space="0" w:color="auto"/>
                    <w:right w:val="single" w:sz="4" w:space="0" w:color="auto"/>
                  </w:tcBorders>
                  <w:shd w:val="clear" w:color="auto" w:fill="FFFF00"/>
                  <w:vAlign w:val="center"/>
                </w:tcPr>
                <w:p w14:paraId="1847061F" w14:textId="77777777" w:rsidR="003B0423" w:rsidRPr="00103D56" w:rsidRDefault="003B0423" w:rsidP="003B0423">
                  <w:pPr>
                    <w:widowControl w:val="0"/>
                    <w:autoSpaceDE w:val="0"/>
                    <w:autoSpaceDN w:val="0"/>
                    <w:adjustRightInd w:val="0"/>
                    <w:jc w:val="right"/>
                    <w:rPr>
                      <w:rFonts w:ascii="Calibri" w:hAnsi="Calibri" w:cs="Calibri"/>
                      <w:b/>
                      <w:color w:val="000000"/>
                      <w:sz w:val="22"/>
                      <w:szCs w:val="22"/>
                    </w:rPr>
                  </w:pPr>
                  <w:r w:rsidRPr="00103D56">
                    <w:rPr>
                      <w:rFonts w:ascii="Calibri" w:hAnsi="Calibri" w:cs="Calibri"/>
                      <w:b/>
                      <w:bCs/>
                      <w:sz w:val="22"/>
                      <w:szCs w:val="22"/>
                    </w:rPr>
                    <w:t>440.5</w:t>
                  </w:r>
                </w:p>
              </w:tc>
              <w:tc>
                <w:tcPr>
                  <w:tcW w:w="1277" w:type="dxa"/>
                  <w:tcBorders>
                    <w:left w:val="single" w:sz="4" w:space="0" w:color="auto"/>
                    <w:right w:val="single" w:sz="4" w:space="0" w:color="auto"/>
                  </w:tcBorders>
                  <w:shd w:val="clear" w:color="auto" w:fill="auto"/>
                </w:tcPr>
                <w:p w14:paraId="77C2A395"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367.4</w:t>
                  </w:r>
                </w:p>
              </w:tc>
              <w:tc>
                <w:tcPr>
                  <w:tcW w:w="1134" w:type="dxa"/>
                  <w:gridSpan w:val="2"/>
                  <w:tcBorders>
                    <w:left w:val="single" w:sz="4" w:space="0" w:color="auto"/>
                    <w:right w:val="single" w:sz="4" w:space="0" w:color="auto"/>
                  </w:tcBorders>
                  <w:shd w:val="clear" w:color="auto" w:fill="auto"/>
                </w:tcPr>
                <w:p w14:paraId="010A808C"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w:t>
                  </w:r>
                </w:p>
              </w:tc>
              <w:tc>
                <w:tcPr>
                  <w:tcW w:w="1133" w:type="dxa"/>
                  <w:tcBorders>
                    <w:left w:val="single" w:sz="4" w:space="0" w:color="auto"/>
                    <w:right w:val="single" w:sz="4" w:space="0" w:color="auto"/>
                  </w:tcBorders>
                  <w:shd w:val="clear" w:color="auto" w:fill="auto"/>
                </w:tcPr>
                <w:p w14:paraId="0AF22041"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367.4</w:t>
                  </w:r>
                </w:p>
              </w:tc>
            </w:tr>
            <w:tr w:rsidR="003B0423" w:rsidRPr="00C22F7C" w14:paraId="251C6EA7" w14:textId="77777777" w:rsidTr="004C74E4">
              <w:trPr>
                <w:trHeight w:val="214"/>
              </w:trPr>
              <w:tc>
                <w:tcPr>
                  <w:tcW w:w="265" w:type="dxa"/>
                </w:tcPr>
                <w:p w14:paraId="7EA4B473" w14:textId="77777777" w:rsidR="003B0423" w:rsidRPr="00C22F7C" w:rsidRDefault="003B0423" w:rsidP="003B0423">
                  <w:pPr>
                    <w:autoSpaceDE w:val="0"/>
                    <w:autoSpaceDN w:val="0"/>
                    <w:adjustRightInd w:val="0"/>
                    <w:jc w:val="right"/>
                    <w:rPr>
                      <w:rFonts w:ascii="Calibri" w:hAnsi="Calibri" w:cs="Calibri"/>
                      <w:color w:val="000000"/>
                      <w:sz w:val="22"/>
                      <w:szCs w:val="22"/>
                    </w:rPr>
                  </w:pPr>
                </w:p>
              </w:tc>
              <w:tc>
                <w:tcPr>
                  <w:tcW w:w="3704" w:type="dxa"/>
                </w:tcPr>
                <w:p w14:paraId="0FABA950" w14:textId="77777777" w:rsidR="003B0423" w:rsidRPr="00103D56" w:rsidRDefault="003B0423" w:rsidP="003B0423">
                  <w:pPr>
                    <w:autoSpaceDE w:val="0"/>
                    <w:autoSpaceDN w:val="0"/>
                    <w:adjustRightInd w:val="0"/>
                    <w:rPr>
                      <w:rFonts w:ascii="Calibri" w:hAnsi="Calibri" w:cs="Calibri"/>
                      <w:color w:val="000000"/>
                      <w:sz w:val="22"/>
                      <w:szCs w:val="22"/>
                    </w:rPr>
                  </w:pPr>
                  <w:r w:rsidRPr="00103D56">
                    <w:rPr>
                      <w:rFonts w:ascii="Calibri" w:hAnsi="Calibri" w:cs="Calibri"/>
                      <w:color w:val="000000"/>
                      <w:sz w:val="22"/>
                      <w:szCs w:val="22"/>
                    </w:rPr>
                    <w:t xml:space="preserve">Maintenance, </w:t>
                  </w:r>
                  <w:proofErr w:type="gramStart"/>
                  <w:r w:rsidRPr="00103D56">
                    <w:rPr>
                      <w:rFonts w:ascii="Calibri" w:hAnsi="Calibri" w:cs="Calibri"/>
                      <w:color w:val="000000"/>
                      <w:sz w:val="22"/>
                      <w:szCs w:val="22"/>
                    </w:rPr>
                    <w:t>materials</w:t>
                  </w:r>
                  <w:proofErr w:type="gramEnd"/>
                  <w:r w:rsidRPr="00103D56">
                    <w:rPr>
                      <w:rFonts w:ascii="Calibri" w:hAnsi="Calibri" w:cs="Calibri"/>
                      <w:color w:val="000000"/>
                      <w:sz w:val="22"/>
                      <w:szCs w:val="22"/>
                    </w:rPr>
                    <w:t xml:space="preserve"> and repairs</w:t>
                  </w:r>
                </w:p>
              </w:tc>
              <w:tc>
                <w:tcPr>
                  <w:tcW w:w="710" w:type="dxa"/>
                  <w:gridSpan w:val="2"/>
                </w:tcPr>
                <w:p w14:paraId="478B11CB"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vAlign w:val="center"/>
                </w:tcPr>
                <w:p w14:paraId="3D366745"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color w:val="000000"/>
                      <w:sz w:val="22"/>
                      <w:szCs w:val="22"/>
                    </w:rPr>
                    <w:t xml:space="preserve">+9% </w:t>
                  </w:r>
                </w:p>
              </w:tc>
              <w:tc>
                <w:tcPr>
                  <w:tcW w:w="1275" w:type="dxa"/>
                  <w:gridSpan w:val="2"/>
                  <w:tcBorders>
                    <w:left w:val="single" w:sz="4" w:space="0" w:color="auto"/>
                    <w:right w:val="single" w:sz="4" w:space="0" w:color="auto"/>
                  </w:tcBorders>
                  <w:shd w:val="clear" w:color="auto" w:fill="FFFF00"/>
                  <w:vAlign w:val="center"/>
                </w:tcPr>
                <w:p w14:paraId="6B24A9B1" w14:textId="77777777" w:rsidR="003B0423" w:rsidRPr="00103D56" w:rsidRDefault="003B0423" w:rsidP="003B0423">
                  <w:pPr>
                    <w:widowControl w:val="0"/>
                    <w:autoSpaceDE w:val="0"/>
                    <w:autoSpaceDN w:val="0"/>
                    <w:adjustRightInd w:val="0"/>
                    <w:jc w:val="right"/>
                    <w:rPr>
                      <w:rFonts w:ascii="Calibri" w:hAnsi="Calibri" w:cs="Calibri"/>
                      <w:b/>
                      <w:color w:val="000000"/>
                      <w:sz w:val="22"/>
                      <w:szCs w:val="22"/>
                    </w:rPr>
                  </w:pPr>
                  <w:r w:rsidRPr="00103D56">
                    <w:rPr>
                      <w:rFonts w:ascii="Calibri" w:hAnsi="Calibri" w:cs="Calibri"/>
                      <w:b/>
                      <w:bCs/>
                      <w:sz w:val="22"/>
                      <w:szCs w:val="22"/>
                    </w:rPr>
                    <w:t>182.5</w:t>
                  </w:r>
                </w:p>
              </w:tc>
              <w:tc>
                <w:tcPr>
                  <w:tcW w:w="1277" w:type="dxa"/>
                  <w:tcBorders>
                    <w:left w:val="single" w:sz="4" w:space="0" w:color="auto"/>
                    <w:right w:val="single" w:sz="4" w:space="0" w:color="auto"/>
                  </w:tcBorders>
                  <w:shd w:val="clear" w:color="auto" w:fill="auto"/>
                </w:tcPr>
                <w:p w14:paraId="788ECD27"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200.3</w:t>
                  </w:r>
                </w:p>
              </w:tc>
              <w:tc>
                <w:tcPr>
                  <w:tcW w:w="1134" w:type="dxa"/>
                  <w:gridSpan w:val="2"/>
                  <w:tcBorders>
                    <w:left w:val="single" w:sz="4" w:space="0" w:color="auto"/>
                    <w:right w:val="single" w:sz="4" w:space="0" w:color="auto"/>
                  </w:tcBorders>
                  <w:shd w:val="clear" w:color="auto" w:fill="auto"/>
                </w:tcPr>
                <w:p w14:paraId="19615A11"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w:t>
                  </w:r>
                </w:p>
              </w:tc>
              <w:tc>
                <w:tcPr>
                  <w:tcW w:w="1133" w:type="dxa"/>
                  <w:tcBorders>
                    <w:left w:val="single" w:sz="4" w:space="0" w:color="auto"/>
                    <w:right w:val="single" w:sz="4" w:space="0" w:color="auto"/>
                  </w:tcBorders>
                  <w:shd w:val="clear" w:color="auto" w:fill="auto"/>
                </w:tcPr>
                <w:p w14:paraId="46C8EC42"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200.3</w:t>
                  </w:r>
                </w:p>
              </w:tc>
            </w:tr>
            <w:tr w:rsidR="003B0423" w:rsidRPr="00C22F7C" w14:paraId="4652F8FD" w14:textId="77777777" w:rsidTr="004C74E4">
              <w:trPr>
                <w:trHeight w:val="215"/>
              </w:trPr>
              <w:tc>
                <w:tcPr>
                  <w:tcW w:w="3969" w:type="dxa"/>
                  <w:gridSpan w:val="2"/>
                </w:tcPr>
                <w:p w14:paraId="4ECDCBDE" w14:textId="77777777" w:rsidR="003B0423" w:rsidRPr="00103D56" w:rsidRDefault="003B0423" w:rsidP="003B0423">
                  <w:pPr>
                    <w:autoSpaceDE w:val="0"/>
                    <w:autoSpaceDN w:val="0"/>
                    <w:adjustRightInd w:val="0"/>
                    <w:ind w:hanging="105"/>
                    <w:rPr>
                      <w:rFonts w:ascii="Calibri" w:hAnsi="Calibri" w:cs="Calibri"/>
                      <w:b/>
                      <w:color w:val="000000"/>
                      <w:sz w:val="22"/>
                      <w:szCs w:val="22"/>
                    </w:rPr>
                  </w:pPr>
                  <w:r w:rsidRPr="00103D56">
                    <w:rPr>
                      <w:rFonts w:ascii="Calibri" w:hAnsi="Calibri" w:cs="Calibri"/>
                      <w:b/>
                      <w:bCs/>
                      <w:color w:val="000000"/>
                      <w:sz w:val="22"/>
                      <w:szCs w:val="22"/>
                    </w:rPr>
                    <w:t>Total operating expenses</w:t>
                  </w:r>
                </w:p>
              </w:tc>
              <w:tc>
                <w:tcPr>
                  <w:tcW w:w="710" w:type="dxa"/>
                  <w:gridSpan w:val="2"/>
                </w:tcPr>
                <w:p w14:paraId="4812DD43"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top w:val="single" w:sz="4" w:space="0" w:color="auto"/>
                    <w:bottom w:val="single" w:sz="4" w:space="0" w:color="auto"/>
                    <w:right w:val="single" w:sz="4" w:space="0" w:color="auto"/>
                  </w:tcBorders>
                </w:tcPr>
                <w:p w14:paraId="16BF3679" w14:textId="77777777" w:rsidR="003B0423" w:rsidRPr="00103D56" w:rsidRDefault="003B0423" w:rsidP="003B0423">
                  <w:pPr>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-24%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00"/>
                </w:tcPr>
                <w:p w14:paraId="40997F59" w14:textId="77777777" w:rsidR="003B0423" w:rsidRPr="00103D56" w:rsidRDefault="003B0423" w:rsidP="003B0423">
                  <w:pPr>
                    <w:widowControl w:val="0"/>
                    <w:autoSpaceDE w:val="0"/>
                    <w:autoSpaceDN w:val="0"/>
                    <w:adjustRightInd w:val="0"/>
                    <w:ind w:left="-226"/>
                    <w:jc w:val="right"/>
                    <w:rPr>
                      <w:rFonts w:ascii="Calibri" w:hAnsi="Calibri" w:cs="Calibri"/>
                      <w:b/>
                      <w:color w:val="000000"/>
                      <w:sz w:val="22"/>
                      <w:szCs w:val="22"/>
                    </w:rPr>
                  </w:pPr>
                  <w:r w:rsidRPr="00103D56">
                    <w:rPr>
                      <w:rFonts w:ascii="Calibri" w:hAnsi="Calibri" w:cs="Calibri"/>
                      <w:b/>
                      <w:color w:val="000000"/>
                      <w:sz w:val="22"/>
                      <w:szCs w:val="22"/>
                    </w:rPr>
                    <w:t>6,159.4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BB7466F" w14:textId="77777777" w:rsidR="003B0423" w:rsidRPr="00103D56" w:rsidRDefault="003B0423" w:rsidP="003B0423">
                  <w:pPr>
                    <w:widowControl w:val="0"/>
                    <w:autoSpaceDE w:val="0"/>
                    <w:autoSpaceDN w:val="0"/>
                    <w:adjustRightInd w:val="0"/>
                    <w:ind w:left="-226"/>
                    <w:jc w:val="right"/>
                    <w:rPr>
                      <w:rFonts w:ascii="Calibri" w:hAnsi="Calibri" w:cs="Calibri"/>
                      <w:bCs/>
                      <w:color w:val="000000"/>
                      <w:sz w:val="22"/>
                      <w:szCs w:val="22"/>
                    </w:rPr>
                  </w:pPr>
                  <w:r w:rsidRPr="00103D56">
                    <w:rPr>
                      <w:rFonts w:ascii="Calibri" w:hAnsi="Calibri" w:cs="Calibri"/>
                      <w:bCs/>
                      <w:color w:val="000000"/>
                      <w:sz w:val="22"/>
                      <w:szCs w:val="22"/>
                    </w:rPr>
                    <w:t>4,977.9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115E6A5" w14:textId="77777777" w:rsidR="003B0423" w:rsidRPr="00103D56" w:rsidRDefault="003B0423" w:rsidP="003B0423">
                  <w:pPr>
                    <w:widowControl w:val="0"/>
                    <w:autoSpaceDE w:val="0"/>
                    <w:autoSpaceDN w:val="0"/>
                    <w:adjustRightInd w:val="0"/>
                    <w:ind w:left="-226"/>
                    <w:jc w:val="right"/>
                    <w:rPr>
                      <w:rFonts w:ascii="Calibri" w:hAnsi="Calibri" w:cs="Calibri"/>
                      <w:bCs/>
                      <w:color w:val="000000"/>
                      <w:sz w:val="22"/>
                      <w:szCs w:val="22"/>
                    </w:rPr>
                  </w:pPr>
                  <w:r w:rsidRPr="00103D56">
                    <w:rPr>
                      <w:rFonts w:ascii="Calibri" w:hAnsi="Calibri" w:cs="Calibri"/>
                      <w:bCs/>
                      <w:color w:val="000000"/>
                      <w:sz w:val="22"/>
                      <w:szCs w:val="22"/>
                    </w:rPr>
                    <w:t>122.8</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03E0502" w14:textId="77777777" w:rsidR="003B0423" w:rsidRPr="00103D56" w:rsidRDefault="003B0423" w:rsidP="003B0423">
                  <w:pPr>
                    <w:widowControl w:val="0"/>
                    <w:autoSpaceDE w:val="0"/>
                    <w:autoSpaceDN w:val="0"/>
                    <w:adjustRightInd w:val="0"/>
                    <w:ind w:left="-226"/>
                    <w:jc w:val="right"/>
                    <w:rPr>
                      <w:rFonts w:ascii="Calibri" w:hAnsi="Calibri" w:cs="Calibri"/>
                      <w:bCs/>
                      <w:color w:val="000000"/>
                      <w:sz w:val="22"/>
                      <w:szCs w:val="22"/>
                    </w:rPr>
                  </w:pPr>
                  <w:r w:rsidRPr="00103D56">
                    <w:rPr>
                      <w:rFonts w:ascii="Calibri" w:hAnsi="Calibri" w:cs="Calibri"/>
                      <w:bCs/>
                      <w:color w:val="000000"/>
                      <w:sz w:val="22"/>
                      <w:szCs w:val="22"/>
                    </w:rPr>
                    <w:t>5,100.7</w:t>
                  </w:r>
                </w:p>
              </w:tc>
            </w:tr>
            <w:tr w:rsidR="003B0423" w:rsidRPr="00C22F7C" w14:paraId="09EA7B83" w14:textId="77777777" w:rsidTr="004C74E4">
              <w:trPr>
                <w:trHeight w:val="215"/>
              </w:trPr>
              <w:tc>
                <w:tcPr>
                  <w:tcW w:w="265" w:type="dxa"/>
                </w:tcPr>
                <w:p w14:paraId="7826E4E3" w14:textId="77777777" w:rsidR="003B0423" w:rsidRPr="00C22F7C" w:rsidRDefault="003B0423" w:rsidP="003B0423">
                  <w:pPr>
                    <w:autoSpaceDE w:val="0"/>
                    <w:autoSpaceDN w:val="0"/>
                    <w:adjustRightInd w:val="0"/>
                    <w:ind w:hanging="105"/>
                    <w:jc w:val="right"/>
                    <w:rPr>
                      <w:rFonts w:ascii="Calibri" w:hAnsi="Calibri" w:cs="Calibri"/>
                      <w:color w:val="000000"/>
                      <w:sz w:val="22"/>
                      <w:szCs w:val="22"/>
                    </w:rPr>
                  </w:pPr>
                </w:p>
              </w:tc>
              <w:tc>
                <w:tcPr>
                  <w:tcW w:w="3704" w:type="dxa"/>
                </w:tcPr>
                <w:p w14:paraId="0727D6A6" w14:textId="77777777" w:rsidR="003B0423" w:rsidRPr="00103D56" w:rsidRDefault="003B0423" w:rsidP="003B0423">
                  <w:pPr>
                    <w:autoSpaceDE w:val="0"/>
                    <w:autoSpaceDN w:val="0"/>
                    <w:adjustRightInd w:val="0"/>
                    <w:ind w:hanging="105"/>
                    <w:rPr>
                      <w:rFonts w:ascii="Calibri" w:hAnsi="Calibri" w:cs="Calibri"/>
                      <w:color w:val="000000"/>
                      <w:sz w:val="22"/>
                      <w:szCs w:val="22"/>
                    </w:rPr>
                  </w:pPr>
                </w:p>
              </w:tc>
              <w:tc>
                <w:tcPr>
                  <w:tcW w:w="710" w:type="dxa"/>
                  <w:gridSpan w:val="2"/>
                </w:tcPr>
                <w:p w14:paraId="1E624D49"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3C3BBF17"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275" w:type="dxa"/>
                  <w:gridSpan w:val="2"/>
                  <w:tcBorders>
                    <w:top w:val="single" w:sz="4" w:space="0" w:color="auto"/>
                    <w:left w:val="single" w:sz="4" w:space="0" w:color="auto"/>
                    <w:right w:val="single" w:sz="4" w:space="0" w:color="auto"/>
                  </w:tcBorders>
                  <w:shd w:val="clear" w:color="auto" w:fill="FFFF00"/>
                </w:tcPr>
                <w:p w14:paraId="5B1E9977" w14:textId="77777777" w:rsidR="003B0423" w:rsidRPr="00103D56" w:rsidRDefault="003B0423" w:rsidP="003B0423">
                  <w:pPr>
                    <w:autoSpaceDE w:val="0"/>
                    <w:autoSpaceDN w:val="0"/>
                    <w:adjustRightInd w:val="0"/>
                    <w:rPr>
                      <w:rFonts w:ascii="Calibri" w:hAnsi="Calibri" w:cs="Calibri"/>
                      <w:b/>
                      <w:color w:val="000000"/>
                      <w:sz w:val="22"/>
                      <w:szCs w:val="22"/>
                    </w:rPr>
                  </w:pPr>
                </w:p>
              </w:tc>
              <w:tc>
                <w:tcPr>
                  <w:tcW w:w="1277" w:type="dxa"/>
                  <w:tcBorders>
                    <w:top w:val="single" w:sz="4" w:space="0" w:color="auto"/>
                    <w:left w:val="single" w:sz="4" w:space="0" w:color="auto"/>
                    <w:right w:val="single" w:sz="4" w:space="0" w:color="auto"/>
                  </w:tcBorders>
                  <w:shd w:val="clear" w:color="auto" w:fill="auto"/>
                </w:tcPr>
                <w:p w14:paraId="3FF24857" w14:textId="77777777" w:rsidR="003B0423" w:rsidRPr="00103D56" w:rsidRDefault="003B0423" w:rsidP="003B0423">
                  <w:pPr>
                    <w:autoSpaceDE w:val="0"/>
                    <w:autoSpaceDN w:val="0"/>
                    <w:adjustRightInd w:val="0"/>
                    <w:rPr>
                      <w:rFonts w:ascii="Calibri" w:hAnsi="Calibri" w:cs="Calibri"/>
                      <w:bCs/>
                      <w:color w:val="000000"/>
                      <w:sz w:val="22"/>
                      <w:szCs w:val="22"/>
                    </w:rPr>
                  </w:pPr>
                </w:p>
              </w:tc>
              <w:tc>
                <w:tcPr>
                  <w:tcW w:w="1134" w:type="dxa"/>
                  <w:gridSpan w:val="2"/>
                  <w:tcBorders>
                    <w:top w:val="single" w:sz="4" w:space="0" w:color="auto"/>
                    <w:left w:val="single" w:sz="4" w:space="0" w:color="auto"/>
                    <w:right w:val="single" w:sz="4" w:space="0" w:color="auto"/>
                  </w:tcBorders>
                  <w:shd w:val="clear" w:color="auto" w:fill="auto"/>
                </w:tcPr>
                <w:p w14:paraId="4CCE10D7" w14:textId="77777777" w:rsidR="003B0423" w:rsidRPr="00103D56" w:rsidRDefault="003B0423" w:rsidP="003B0423">
                  <w:pPr>
                    <w:autoSpaceDE w:val="0"/>
                    <w:autoSpaceDN w:val="0"/>
                    <w:adjustRightInd w:val="0"/>
                    <w:rPr>
                      <w:rFonts w:ascii="Calibri" w:hAnsi="Calibri" w:cs="Calibri"/>
                      <w:bCs/>
                      <w:color w:val="000000"/>
                      <w:sz w:val="22"/>
                      <w:szCs w:val="22"/>
                    </w:rPr>
                  </w:pPr>
                </w:p>
              </w:tc>
              <w:tc>
                <w:tcPr>
                  <w:tcW w:w="1133" w:type="dxa"/>
                  <w:tcBorders>
                    <w:top w:val="single" w:sz="4" w:space="0" w:color="auto"/>
                    <w:left w:val="single" w:sz="4" w:space="0" w:color="auto"/>
                    <w:right w:val="single" w:sz="4" w:space="0" w:color="auto"/>
                  </w:tcBorders>
                  <w:shd w:val="clear" w:color="auto" w:fill="auto"/>
                </w:tcPr>
                <w:p w14:paraId="1868DCC7" w14:textId="77777777" w:rsidR="003B0423" w:rsidRPr="00103D56" w:rsidRDefault="003B0423" w:rsidP="003B0423">
                  <w:pPr>
                    <w:autoSpaceDE w:val="0"/>
                    <w:autoSpaceDN w:val="0"/>
                    <w:adjustRightInd w:val="0"/>
                    <w:rPr>
                      <w:rFonts w:ascii="Calibri" w:hAnsi="Calibri" w:cs="Calibri"/>
                      <w:bCs/>
                      <w:color w:val="000000"/>
                      <w:sz w:val="22"/>
                      <w:szCs w:val="22"/>
                    </w:rPr>
                  </w:pPr>
                </w:p>
              </w:tc>
            </w:tr>
            <w:tr w:rsidR="003B0423" w:rsidRPr="00C22F7C" w14:paraId="2BF2BD8F" w14:textId="77777777" w:rsidTr="004C74E4">
              <w:trPr>
                <w:trHeight w:val="215"/>
              </w:trPr>
              <w:tc>
                <w:tcPr>
                  <w:tcW w:w="3969" w:type="dxa"/>
                  <w:gridSpan w:val="2"/>
                </w:tcPr>
                <w:p w14:paraId="0391136E" w14:textId="77777777" w:rsidR="003B0423" w:rsidRPr="00103D56" w:rsidRDefault="003B0423" w:rsidP="003B0423">
                  <w:pPr>
                    <w:autoSpaceDE w:val="0"/>
                    <w:autoSpaceDN w:val="0"/>
                    <w:adjustRightInd w:val="0"/>
                    <w:ind w:hanging="105"/>
                    <w:rPr>
                      <w:rFonts w:ascii="Calibri" w:hAnsi="Calibri" w:cs="Calibri"/>
                      <w:b/>
                      <w:color w:val="000000"/>
                      <w:sz w:val="22"/>
                      <w:szCs w:val="22"/>
                    </w:rPr>
                  </w:pPr>
                  <w:r w:rsidRPr="00103D56">
                    <w:rPr>
                      <w:rFonts w:ascii="Calibri" w:hAnsi="Calibri" w:cs="Calibri"/>
                      <w:b/>
                      <w:bCs/>
                      <w:color w:val="000000"/>
                      <w:sz w:val="22"/>
                      <w:szCs w:val="22"/>
                    </w:rPr>
                    <w:t>Operating profit/(loss)</w:t>
                  </w:r>
                </w:p>
              </w:tc>
              <w:tc>
                <w:tcPr>
                  <w:tcW w:w="710" w:type="dxa"/>
                  <w:gridSpan w:val="2"/>
                </w:tcPr>
                <w:p w14:paraId="6FA31755"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5EC316CE" w14:textId="77777777" w:rsidR="003B0423" w:rsidRPr="00103D56" w:rsidRDefault="003B0423" w:rsidP="003B0423">
                  <w:pPr>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+47%</w:t>
                  </w:r>
                </w:p>
              </w:tc>
              <w:tc>
                <w:tcPr>
                  <w:tcW w:w="1275" w:type="dxa"/>
                  <w:gridSpan w:val="2"/>
                  <w:tcBorders>
                    <w:left w:val="single" w:sz="4" w:space="0" w:color="auto"/>
                    <w:right w:val="single" w:sz="4" w:space="0" w:color="auto"/>
                  </w:tcBorders>
                  <w:shd w:val="clear" w:color="auto" w:fill="FFFF00"/>
                </w:tcPr>
                <w:p w14:paraId="7D4ED1A5" w14:textId="77777777" w:rsidR="003B0423" w:rsidRPr="00103D56" w:rsidRDefault="003B0423" w:rsidP="003B0423">
                  <w:pPr>
                    <w:widowControl w:val="0"/>
                    <w:autoSpaceDE w:val="0"/>
                    <w:autoSpaceDN w:val="0"/>
                    <w:adjustRightInd w:val="0"/>
                    <w:ind w:left="-226"/>
                    <w:jc w:val="right"/>
                    <w:rPr>
                      <w:rFonts w:ascii="Calibri" w:hAnsi="Calibri" w:cs="Calibri"/>
                      <w:b/>
                      <w:color w:val="000000"/>
                      <w:sz w:val="22"/>
                      <w:szCs w:val="22"/>
                    </w:rPr>
                  </w:pPr>
                  <w:r w:rsidRPr="00103D56">
                    <w:rPr>
                      <w:rFonts w:ascii="Calibri" w:hAnsi="Calibri" w:cs="Calibri"/>
                      <w:b/>
                      <w:color w:val="000000"/>
                      <w:sz w:val="22"/>
                      <w:szCs w:val="22"/>
                    </w:rPr>
                    <w:t>2,415.8</w:t>
                  </w:r>
                </w:p>
              </w:tc>
              <w:tc>
                <w:tcPr>
                  <w:tcW w:w="1277" w:type="dxa"/>
                  <w:tcBorders>
                    <w:left w:val="single" w:sz="4" w:space="0" w:color="auto"/>
                    <w:right w:val="single" w:sz="4" w:space="0" w:color="auto"/>
                  </w:tcBorders>
                  <w:shd w:val="clear" w:color="auto" w:fill="auto"/>
                </w:tcPr>
                <w:p w14:paraId="53CDADF6" w14:textId="77777777" w:rsidR="003B0423" w:rsidRPr="00103D56" w:rsidRDefault="003B0423" w:rsidP="003B0423">
                  <w:pPr>
                    <w:widowControl w:val="0"/>
                    <w:autoSpaceDE w:val="0"/>
                    <w:autoSpaceDN w:val="0"/>
                    <w:adjustRightInd w:val="0"/>
                    <w:ind w:left="-226"/>
                    <w:jc w:val="right"/>
                    <w:rPr>
                      <w:rFonts w:ascii="Calibri" w:hAnsi="Calibri" w:cs="Calibri"/>
                      <w:bCs/>
                      <w:color w:val="000000"/>
                      <w:sz w:val="22"/>
                      <w:szCs w:val="22"/>
                    </w:rPr>
                  </w:pPr>
                  <w:r w:rsidRPr="00103D56">
                    <w:rPr>
                      <w:rFonts w:ascii="Calibri" w:hAnsi="Calibri" w:cs="Calibri"/>
                      <w:bCs/>
                      <w:color w:val="000000"/>
                      <w:sz w:val="22"/>
                      <w:szCs w:val="22"/>
                    </w:rPr>
                    <w:t>1,638.2</w:t>
                  </w:r>
                </w:p>
              </w:tc>
              <w:tc>
                <w:tcPr>
                  <w:tcW w:w="1134" w:type="dxa"/>
                  <w:gridSpan w:val="2"/>
                  <w:tcBorders>
                    <w:left w:val="single" w:sz="4" w:space="0" w:color="auto"/>
                    <w:right w:val="single" w:sz="4" w:space="0" w:color="auto"/>
                  </w:tcBorders>
                  <w:shd w:val="clear" w:color="auto" w:fill="auto"/>
                </w:tcPr>
                <w:p w14:paraId="14979C7F" w14:textId="77777777" w:rsidR="003B0423" w:rsidRPr="00103D56" w:rsidRDefault="003B0423" w:rsidP="003B0423">
                  <w:pPr>
                    <w:widowControl w:val="0"/>
                    <w:autoSpaceDE w:val="0"/>
                    <w:autoSpaceDN w:val="0"/>
                    <w:adjustRightInd w:val="0"/>
                    <w:ind w:left="-226"/>
                    <w:jc w:val="right"/>
                    <w:rPr>
                      <w:rFonts w:ascii="Calibri" w:hAnsi="Calibri" w:cs="Calibri"/>
                      <w:bCs/>
                      <w:color w:val="000000"/>
                      <w:sz w:val="22"/>
                      <w:szCs w:val="22"/>
                    </w:rPr>
                  </w:pPr>
                  <w:r w:rsidRPr="00103D56">
                    <w:rPr>
                      <w:rFonts w:ascii="Calibri" w:hAnsi="Calibri" w:cs="Calibri"/>
                      <w:bCs/>
                      <w:color w:val="000000"/>
                      <w:sz w:val="22"/>
                      <w:szCs w:val="22"/>
                    </w:rPr>
                    <w:t>(122.8)</w:t>
                  </w:r>
                </w:p>
              </w:tc>
              <w:tc>
                <w:tcPr>
                  <w:tcW w:w="1133" w:type="dxa"/>
                  <w:tcBorders>
                    <w:left w:val="single" w:sz="4" w:space="0" w:color="auto"/>
                    <w:right w:val="single" w:sz="4" w:space="0" w:color="auto"/>
                  </w:tcBorders>
                  <w:shd w:val="clear" w:color="auto" w:fill="auto"/>
                </w:tcPr>
                <w:p w14:paraId="175B7DB8" w14:textId="77777777" w:rsidR="003B0423" w:rsidRPr="00103D56" w:rsidRDefault="003B0423" w:rsidP="003B0423">
                  <w:pPr>
                    <w:widowControl w:val="0"/>
                    <w:autoSpaceDE w:val="0"/>
                    <w:autoSpaceDN w:val="0"/>
                    <w:adjustRightInd w:val="0"/>
                    <w:ind w:left="-226"/>
                    <w:jc w:val="right"/>
                    <w:rPr>
                      <w:rFonts w:ascii="Calibri" w:hAnsi="Calibri" w:cs="Calibri"/>
                      <w:bCs/>
                      <w:color w:val="000000"/>
                      <w:sz w:val="22"/>
                      <w:szCs w:val="22"/>
                    </w:rPr>
                  </w:pPr>
                  <w:r w:rsidRPr="00103D56">
                    <w:rPr>
                      <w:rFonts w:ascii="Calibri" w:hAnsi="Calibri" w:cs="Calibri"/>
                      <w:bCs/>
                      <w:color w:val="000000"/>
                      <w:sz w:val="22"/>
                      <w:szCs w:val="22"/>
                    </w:rPr>
                    <w:t>1,515.4</w:t>
                  </w:r>
                </w:p>
              </w:tc>
            </w:tr>
            <w:tr w:rsidR="003B0423" w:rsidRPr="00C22F7C" w14:paraId="4C0FA487" w14:textId="77777777" w:rsidTr="004C74E4">
              <w:trPr>
                <w:trHeight w:val="214"/>
              </w:trPr>
              <w:tc>
                <w:tcPr>
                  <w:tcW w:w="3969" w:type="dxa"/>
                  <w:gridSpan w:val="2"/>
                </w:tcPr>
                <w:p w14:paraId="1A5ED5E4" w14:textId="77777777" w:rsidR="003B0423" w:rsidRPr="00103D56" w:rsidRDefault="003B0423" w:rsidP="003B0423">
                  <w:pPr>
                    <w:autoSpaceDE w:val="0"/>
                    <w:autoSpaceDN w:val="0"/>
                    <w:adjustRightInd w:val="0"/>
                    <w:ind w:hanging="105"/>
                    <w:rPr>
                      <w:rFonts w:ascii="Calibri" w:hAnsi="Calibri" w:cs="Calibri"/>
                      <w:b/>
                      <w:bCs/>
                      <w:color w:val="000000"/>
                      <w:sz w:val="22"/>
                      <w:szCs w:val="22"/>
                    </w:rPr>
                  </w:pPr>
                </w:p>
              </w:tc>
              <w:tc>
                <w:tcPr>
                  <w:tcW w:w="710" w:type="dxa"/>
                  <w:gridSpan w:val="2"/>
                </w:tcPr>
                <w:p w14:paraId="4340557C"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161C3EBB"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275" w:type="dxa"/>
                  <w:gridSpan w:val="2"/>
                  <w:tcBorders>
                    <w:left w:val="single" w:sz="4" w:space="0" w:color="auto"/>
                    <w:right w:val="single" w:sz="4" w:space="0" w:color="auto"/>
                  </w:tcBorders>
                  <w:shd w:val="clear" w:color="auto" w:fill="FFFF00"/>
                </w:tcPr>
                <w:p w14:paraId="549F46C0" w14:textId="77777777" w:rsidR="003B0423" w:rsidRPr="00103D56" w:rsidRDefault="003B0423" w:rsidP="003B0423">
                  <w:pPr>
                    <w:widowControl w:val="0"/>
                    <w:autoSpaceDE w:val="0"/>
                    <w:autoSpaceDN w:val="0"/>
                    <w:adjustRightInd w:val="0"/>
                    <w:ind w:left="-226"/>
                    <w:jc w:val="right"/>
                    <w:rPr>
                      <w:rFonts w:ascii="Calibri" w:hAnsi="Calibri" w:cs="Calibri"/>
                      <w:b/>
                      <w:color w:val="000000"/>
                      <w:sz w:val="22"/>
                      <w:szCs w:val="22"/>
                    </w:rPr>
                  </w:pPr>
                </w:p>
              </w:tc>
              <w:tc>
                <w:tcPr>
                  <w:tcW w:w="1277" w:type="dxa"/>
                  <w:tcBorders>
                    <w:left w:val="single" w:sz="4" w:space="0" w:color="auto"/>
                    <w:right w:val="single" w:sz="4" w:space="0" w:color="auto"/>
                  </w:tcBorders>
                  <w:shd w:val="clear" w:color="auto" w:fill="auto"/>
                </w:tcPr>
                <w:p w14:paraId="7D6A2424" w14:textId="77777777" w:rsidR="003B0423" w:rsidRPr="00103D56" w:rsidRDefault="003B0423" w:rsidP="003B0423">
                  <w:pPr>
                    <w:widowControl w:val="0"/>
                    <w:autoSpaceDE w:val="0"/>
                    <w:autoSpaceDN w:val="0"/>
                    <w:adjustRightInd w:val="0"/>
                    <w:ind w:left="-226"/>
                    <w:jc w:val="right"/>
                    <w:rPr>
                      <w:rFonts w:ascii="Calibri" w:hAnsi="Calibri" w:cs="Calibri"/>
                      <w:bCs/>
                      <w:color w:val="000000"/>
                      <w:sz w:val="22"/>
                      <w:szCs w:val="22"/>
                    </w:rPr>
                  </w:pPr>
                </w:p>
              </w:tc>
              <w:tc>
                <w:tcPr>
                  <w:tcW w:w="1134" w:type="dxa"/>
                  <w:gridSpan w:val="2"/>
                  <w:tcBorders>
                    <w:left w:val="single" w:sz="4" w:space="0" w:color="auto"/>
                    <w:right w:val="single" w:sz="4" w:space="0" w:color="auto"/>
                  </w:tcBorders>
                  <w:shd w:val="clear" w:color="auto" w:fill="auto"/>
                </w:tcPr>
                <w:p w14:paraId="6BF96499" w14:textId="77777777" w:rsidR="003B0423" w:rsidRPr="00103D56" w:rsidRDefault="003B0423" w:rsidP="003B0423">
                  <w:pPr>
                    <w:widowControl w:val="0"/>
                    <w:autoSpaceDE w:val="0"/>
                    <w:autoSpaceDN w:val="0"/>
                    <w:adjustRightInd w:val="0"/>
                    <w:ind w:left="-226"/>
                    <w:jc w:val="right"/>
                    <w:rPr>
                      <w:rFonts w:ascii="Calibri" w:hAnsi="Calibri" w:cs="Calibri"/>
                      <w:bCs/>
                      <w:color w:val="000000"/>
                      <w:sz w:val="22"/>
                      <w:szCs w:val="22"/>
                    </w:rPr>
                  </w:pPr>
                </w:p>
              </w:tc>
              <w:tc>
                <w:tcPr>
                  <w:tcW w:w="1133" w:type="dxa"/>
                  <w:tcBorders>
                    <w:left w:val="single" w:sz="4" w:space="0" w:color="auto"/>
                    <w:right w:val="single" w:sz="4" w:space="0" w:color="auto"/>
                  </w:tcBorders>
                  <w:shd w:val="clear" w:color="auto" w:fill="auto"/>
                </w:tcPr>
                <w:p w14:paraId="59953499" w14:textId="77777777" w:rsidR="003B0423" w:rsidRPr="00103D56" w:rsidRDefault="003B0423" w:rsidP="003B0423">
                  <w:pPr>
                    <w:widowControl w:val="0"/>
                    <w:autoSpaceDE w:val="0"/>
                    <w:autoSpaceDN w:val="0"/>
                    <w:adjustRightInd w:val="0"/>
                    <w:ind w:left="-226"/>
                    <w:jc w:val="right"/>
                    <w:rPr>
                      <w:rFonts w:ascii="Calibri" w:hAnsi="Calibri" w:cs="Calibri"/>
                      <w:bCs/>
                      <w:color w:val="000000"/>
                      <w:sz w:val="22"/>
                      <w:szCs w:val="22"/>
                    </w:rPr>
                  </w:pPr>
                </w:p>
              </w:tc>
            </w:tr>
            <w:tr w:rsidR="003B0423" w:rsidRPr="00C22F7C" w14:paraId="67B21DF2" w14:textId="77777777" w:rsidTr="004C74E4">
              <w:trPr>
                <w:trHeight w:val="214"/>
              </w:trPr>
              <w:tc>
                <w:tcPr>
                  <w:tcW w:w="3969" w:type="dxa"/>
                  <w:gridSpan w:val="2"/>
                </w:tcPr>
                <w:p w14:paraId="0F27ABCF" w14:textId="77777777" w:rsidR="003B0423" w:rsidRPr="00103D56" w:rsidRDefault="003B0423" w:rsidP="003B0423">
                  <w:pPr>
                    <w:autoSpaceDE w:val="0"/>
                    <w:autoSpaceDN w:val="0"/>
                    <w:adjustRightInd w:val="0"/>
                    <w:ind w:hanging="105"/>
                    <w:rPr>
                      <w:rFonts w:ascii="Calibri" w:hAnsi="Calibri" w:cs="Calibri"/>
                      <w:b/>
                      <w:bCs/>
                      <w:color w:val="000000"/>
                      <w:sz w:val="22"/>
                      <w:szCs w:val="22"/>
                    </w:rPr>
                  </w:pPr>
                  <w:r w:rsidRPr="00103D56">
                    <w:rPr>
                      <w:rFonts w:ascii="Calibri" w:hAnsi="Calibri" w:cs="Calibri"/>
                      <w:b/>
                      <w:bCs/>
                      <w:color w:val="000000"/>
                      <w:sz w:val="22"/>
                      <w:szCs w:val="22"/>
                    </w:rPr>
                    <w:t>Other income/(expenses)</w:t>
                  </w:r>
                </w:p>
              </w:tc>
              <w:tc>
                <w:tcPr>
                  <w:tcW w:w="710" w:type="dxa"/>
                  <w:gridSpan w:val="2"/>
                </w:tcPr>
                <w:p w14:paraId="7FF6D2BA"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3AFF220E" w14:textId="77777777" w:rsidR="003B0423" w:rsidRPr="00103D56" w:rsidRDefault="003B0423" w:rsidP="003B0423">
                  <w:pPr>
                    <w:autoSpaceDE w:val="0"/>
                    <w:autoSpaceDN w:val="0"/>
                    <w:adjustRightInd w:val="0"/>
                    <w:jc w:val="right"/>
                    <w:rPr>
                      <w:rFonts w:ascii="Calibri" w:hAnsi="Calibri" w:cs="Calibri"/>
                      <w:bCs/>
                      <w:color w:val="000000"/>
                      <w:sz w:val="22"/>
                      <w:szCs w:val="22"/>
                      <w:highlight w:val="green"/>
                    </w:rPr>
                  </w:pPr>
                </w:p>
              </w:tc>
              <w:tc>
                <w:tcPr>
                  <w:tcW w:w="1275" w:type="dxa"/>
                  <w:gridSpan w:val="2"/>
                  <w:tcBorders>
                    <w:left w:val="single" w:sz="4" w:space="0" w:color="auto"/>
                    <w:right w:val="single" w:sz="4" w:space="0" w:color="auto"/>
                  </w:tcBorders>
                  <w:shd w:val="clear" w:color="auto" w:fill="FFFF00"/>
                </w:tcPr>
                <w:p w14:paraId="68CA4FEC" w14:textId="77777777" w:rsidR="003B0423" w:rsidRPr="00103D56" w:rsidRDefault="003B0423" w:rsidP="003B0423">
                  <w:pPr>
                    <w:autoSpaceDE w:val="0"/>
                    <w:autoSpaceDN w:val="0"/>
                    <w:adjustRightInd w:val="0"/>
                    <w:ind w:left="-226"/>
                    <w:jc w:val="right"/>
                    <w:rPr>
                      <w:rFonts w:ascii="Calibri" w:hAnsi="Calibri" w:cs="Calibri"/>
                      <w:b/>
                      <w:color w:val="000000"/>
                      <w:sz w:val="22"/>
                      <w:szCs w:val="22"/>
                    </w:rPr>
                  </w:pPr>
                </w:p>
              </w:tc>
              <w:tc>
                <w:tcPr>
                  <w:tcW w:w="1277" w:type="dxa"/>
                  <w:tcBorders>
                    <w:left w:val="single" w:sz="4" w:space="0" w:color="auto"/>
                    <w:right w:val="single" w:sz="4" w:space="0" w:color="auto"/>
                  </w:tcBorders>
                  <w:shd w:val="clear" w:color="auto" w:fill="auto"/>
                </w:tcPr>
                <w:p w14:paraId="3468EC99" w14:textId="77777777" w:rsidR="003B0423" w:rsidRPr="00103D56" w:rsidRDefault="003B0423" w:rsidP="003B0423">
                  <w:pPr>
                    <w:autoSpaceDE w:val="0"/>
                    <w:autoSpaceDN w:val="0"/>
                    <w:adjustRightInd w:val="0"/>
                    <w:ind w:left="-226"/>
                    <w:jc w:val="right"/>
                    <w:rPr>
                      <w:rFonts w:ascii="Calibri" w:hAnsi="Calibri" w:cs="Calibri"/>
                      <w:bCs/>
                      <w:color w:val="000000"/>
                      <w:sz w:val="22"/>
                      <w:szCs w:val="22"/>
                    </w:rPr>
                  </w:pPr>
                </w:p>
              </w:tc>
              <w:tc>
                <w:tcPr>
                  <w:tcW w:w="1134" w:type="dxa"/>
                  <w:gridSpan w:val="2"/>
                  <w:tcBorders>
                    <w:left w:val="single" w:sz="4" w:space="0" w:color="auto"/>
                    <w:right w:val="single" w:sz="4" w:space="0" w:color="auto"/>
                  </w:tcBorders>
                  <w:shd w:val="clear" w:color="auto" w:fill="auto"/>
                </w:tcPr>
                <w:p w14:paraId="38497795" w14:textId="77777777" w:rsidR="003B0423" w:rsidRPr="00103D56" w:rsidRDefault="003B0423" w:rsidP="003B0423">
                  <w:pPr>
                    <w:autoSpaceDE w:val="0"/>
                    <w:autoSpaceDN w:val="0"/>
                    <w:adjustRightInd w:val="0"/>
                    <w:ind w:left="-226"/>
                    <w:jc w:val="right"/>
                    <w:rPr>
                      <w:rFonts w:ascii="Calibri" w:hAnsi="Calibri" w:cs="Calibri"/>
                      <w:bCs/>
                      <w:color w:val="000000"/>
                      <w:sz w:val="22"/>
                      <w:szCs w:val="22"/>
                    </w:rPr>
                  </w:pPr>
                </w:p>
              </w:tc>
              <w:tc>
                <w:tcPr>
                  <w:tcW w:w="1133" w:type="dxa"/>
                  <w:tcBorders>
                    <w:left w:val="single" w:sz="4" w:space="0" w:color="auto"/>
                    <w:right w:val="single" w:sz="4" w:space="0" w:color="auto"/>
                  </w:tcBorders>
                  <w:shd w:val="clear" w:color="auto" w:fill="auto"/>
                </w:tcPr>
                <w:p w14:paraId="757D6C56" w14:textId="77777777" w:rsidR="003B0423" w:rsidRPr="00103D56" w:rsidRDefault="003B0423" w:rsidP="003B0423">
                  <w:pPr>
                    <w:autoSpaceDE w:val="0"/>
                    <w:autoSpaceDN w:val="0"/>
                    <w:adjustRightInd w:val="0"/>
                    <w:ind w:left="-226"/>
                    <w:jc w:val="right"/>
                    <w:rPr>
                      <w:rFonts w:ascii="Calibri" w:hAnsi="Calibri" w:cs="Calibri"/>
                      <w:bCs/>
                      <w:color w:val="000000"/>
                      <w:sz w:val="22"/>
                      <w:szCs w:val="22"/>
                    </w:rPr>
                  </w:pPr>
                </w:p>
              </w:tc>
            </w:tr>
            <w:tr w:rsidR="003B0423" w:rsidRPr="00C22F7C" w14:paraId="2F5A4BA1" w14:textId="77777777" w:rsidTr="004C74E4">
              <w:trPr>
                <w:trHeight w:val="214"/>
              </w:trPr>
              <w:tc>
                <w:tcPr>
                  <w:tcW w:w="265" w:type="dxa"/>
                </w:tcPr>
                <w:p w14:paraId="3733ACC0" w14:textId="77777777" w:rsidR="003B0423" w:rsidRPr="009C28D2" w:rsidRDefault="003B0423" w:rsidP="003B0423">
                  <w:pPr>
                    <w:autoSpaceDE w:val="0"/>
                    <w:autoSpaceDN w:val="0"/>
                    <w:adjustRightInd w:val="0"/>
                    <w:jc w:val="right"/>
                    <w:rPr>
                      <w:rFonts w:ascii="Calibri" w:hAnsi="Calibri" w:cs="Calibri"/>
                      <w:color w:val="000000"/>
                      <w:sz w:val="22"/>
                      <w:szCs w:val="22"/>
                    </w:rPr>
                  </w:pPr>
                </w:p>
              </w:tc>
              <w:tc>
                <w:tcPr>
                  <w:tcW w:w="3704" w:type="dxa"/>
                </w:tcPr>
                <w:p w14:paraId="54770170" w14:textId="77777777" w:rsidR="003B0423" w:rsidRPr="00103D56" w:rsidRDefault="003B0423" w:rsidP="003B0423">
                  <w:pPr>
                    <w:autoSpaceDE w:val="0"/>
                    <w:autoSpaceDN w:val="0"/>
                    <w:adjustRightInd w:val="0"/>
                    <w:rPr>
                      <w:rFonts w:ascii="Calibri" w:hAnsi="Calibri" w:cs="Calibri"/>
                      <w:color w:val="000000"/>
                      <w:sz w:val="22"/>
                      <w:szCs w:val="22"/>
                    </w:rPr>
                  </w:pPr>
                  <w:r w:rsidRPr="00103D56">
                    <w:rPr>
                      <w:rFonts w:ascii="Calibri" w:hAnsi="Calibri" w:cs="Calibri"/>
                      <w:color w:val="000000"/>
                      <w:sz w:val="22"/>
                      <w:szCs w:val="22"/>
                    </w:rPr>
                    <w:t>Net finance income/(expense)</w:t>
                  </w:r>
                </w:p>
              </w:tc>
              <w:tc>
                <w:tcPr>
                  <w:tcW w:w="710" w:type="dxa"/>
                  <w:gridSpan w:val="2"/>
                </w:tcPr>
                <w:p w14:paraId="747F0EA9" w14:textId="77777777" w:rsidR="003B0423" w:rsidRPr="00103D56" w:rsidRDefault="003B0423" w:rsidP="003B0423">
                  <w:pPr>
                    <w:autoSpaceDE w:val="0"/>
                    <w:autoSpaceDN w:val="0"/>
                    <w:adjustRightInd w:val="0"/>
                    <w:jc w:val="right"/>
                    <w:rPr>
                      <w:rFonts w:ascii="Calibri" w:hAnsi="Calibri" w:cs="Calibri"/>
                      <w:b/>
                      <w:color w:val="000000"/>
                      <w:sz w:val="22"/>
                      <w:szCs w:val="22"/>
                    </w:rPr>
                  </w:pPr>
                </w:p>
              </w:tc>
              <w:tc>
                <w:tcPr>
                  <w:tcW w:w="1132" w:type="dxa"/>
                  <w:gridSpan w:val="2"/>
                  <w:tcBorders>
                    <w:right w:val="single" w:sz="4" w:space="0" w:color="auto"/>
                  </w:tcBorders>
                </w:tcPr>
                <w:p w14:paraId="49625597"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p>
              </w:tc>
              <w:tc>
                <w:tcPr>
                  <w:tcW w:w="1275" w:type="dxa"/>
                  <w:gridSpan w:val="2"/>
                  <w:tcBorders>
                    <w:left w:val="single" w:sz="4" w:space="0" w:color="auto"/>
                    <w:right w:val="single" w:sz="4" w:space="0" w:color="auto"/>
                  </w:tcBorders>
                  <w:shd w:val="clear" w:color="auto" w:fill="FFFF00"/>
                </w:tcPr>
                <w:p w14:paraId="5C7A66C8" w14:textId="77777777" w:rsidR="003B0423" w:rsidRPr="00103D56" w:rsidRDefault="003B0423" w:rsidP="003B0423">
                  <w:pPr>
                    <w:widowControl w:val="0"/>
                    <w:autoSpaceDE w:val="0"/>
                    <w:autoSpaceDN w:val="0"/>
                    <w:adjustRightInd w:val="0"/>
                    <w:jc w:val="right"/>
                    <w:rPr>
                      <w:rFonts w:ascii="Calibri" w:hAnsi="Calibri" w:cs="Calibri"/>
                      <w:b/>
                      <w:color w:val="000000"/>
                      <w:sz w:val="22"/>
                      <w:szCs w:val="22"/>
                    </w:rPr>
                  </w:pPr>
                  <w:r w:rsidRPr="00103D56">
                    <w:rPr>
                      <w:rFonts w:ascii="Calibri" w:hAnsi="Calibri" w:cs="Calibri"/>
                      <w:b/>
                      <w:color w:val="000000"/>
                      <w:sz w:val="22"/>
                      <w:szCs w:val="22"/>
                    </w:rPr>
                    <w:t>31.8</w:t>
                  </w:r>
                </w:p>
              </w:tc>
              <w:tc>
                <w:tcPr>
                  <w:tcW w:w="1277" w:type="dxa"/>
                  <w:tcBorders>
                    <w:left w:val="single" w:sz="4" w:space="0" w:color="auto"/>
                    <w:right w:val="single" w:sz="4" w:space="0" w:color="auto"/>
                  </w:tcBorders>
                  <w:shd w:val="clear" w:color="auto" w:fill="auto"/>
                </w:tcPr>
                <w:p w14:paraId="5EC5FA32"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(36.2)</w:t>
                  </w:r>
                </w:p>
              </w:tc>
              <w:tc>
                <w:tcPr>
                  <w:tcW w:w="1134" w:type="dxa"/>
                  <w:gridSpan w:val="2"/>
                  <w:tcBorders>
                    <w:left w:val="single" w:sz="4" w:space="0" w:color="auto"/>
                    <w:right w:val="single" w:sz="4" w:space="0" w:color="auto"/>
                  </w:tcBorders>
                  <w:shd w:val="clear" w:color="auto" w:fill="auto"/>
                </w:tcPr>
                <w:p w14:paraId="6C1C2D73"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w:t>
                  </w:r>
                </w:p>
              </w:tc>
              <w:tc>
                <w:tcPr>
                  <w:tcW w:w="1133" w:type="dxa"/>
                  <w:tcBorders>
                    <w:left w:val="single" w:sz="4" w:space="0" w:color="auto"/>
                    <w:right w:val="single" w:sz="4" w:space="0" w:color="auto"/>
                  </w:tcBorders>
                  <w:shd w:val="clear" w:color="auto" w:fill="auto"/>
                </w:tcPr>
                <w:p w14:paraId="10087417"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(36.2)</w:t>
                  </w:r>
                </w:p>
              </w:tc>
            </w:tr>
            <w:tr w:rsidR="003B0423" w:rsidRPr="00C22F7C" w14:paraId="452DDC75" w14:textId="77777777" w:rsidTr="004C74E4">
              <w:trPr>
                <w:trHeight w:val="214"/>
              </w:trPr>
              <w:tc>
                <w:tcPr>
                  <w:tcW w:w="265" w:type="dxa"/>
                </w:tcPr>
                <w:p w14:paraId="36143EF3" w14:textId="77777777" w:rsidR="003B0423" w:rsidRPr="009C28D2" w:rsidRDefault="003B0423" w:rsidP="003B0423">
                  <w:pPr>
                    <w:autoSpaceDE w:val="0"/>
                    <w:autoSpaceDN w:val="0"/>
                    <w:adjustRightInd w:val="0"/>
                    <w:jc w:val="right"/>
                    <w:rPr>
                      <w:rFonts w:ascii="Calibri" w:hAnsi="Calibri" w:cs="Calibri"/>
                      <w:color w:val="000000"/>
                      <w:sz w:val="22"/>
                      <w:szCs w:val="22"/>
                    </w:rPr>
                  </w:pPr>
                </w:p>
              </w:tc>
              <w:tc>
                <w:tcPr>
                  <w:tcW w:w="3704" w:type="dxa"/>
                </w:tcPr>
                <w:p w14:paraId="41BFB37D" w14:textId="77777777" w:rsidR="003B0423" w:rsidRPr="00103D56" w:rsidRDefault="003B0423" w:rsidP="003B0423">
                  <w:pPr>
                    <w:autoSpaceDE w:val="0"/>
                    <w:autoSpaceDN w:val="0"/>
                    <w:adjustRightInd w:val="0"/>
                    <w:rPr>
                      <w:rFonts w:ascii="Calibri" w:hAnsi="Calibri" w:cs="Calibri"/>
                      <w:color w:val="000000"/>
                      <w:sz w:val="22"/>
                      <w:szCs w:val="22"/>
                    </w:rPr>
                  </w:pPr>
                  <w:r w:rsidRPr="00103D56">
                    <w:rPr>
                      <w:rFonts w:ascii="Calibri" w:hAnsi="Calibri" w:cs="Calibri"/>
                      <w:color w:val="000000"/>
                      <w:sz w:val="22"/>
                      <w:szCs w:val="22"/>
                    </w:rPr>
                    <w:t>Foreign exchange</w:t>
                  </w:r>
                </w:p>
              </w:tc>
              <w:tc>
                <w:tcPr>
                  <w:tcW w:w="710" w:type="dxa"/>
                  <w:gridSpan w:val="2"/>
                </w:tcPr>
                <w:p w14:paraId="725599A0"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58F37972" w14:textId="77777777" w:rsidR="003B0423" w:rsidRPr="00103D56" w:rsidRDefault="003B0423" w:rsidP="003B0423">
                  <w:pPr>
                    <w:widowControl w:val="0"/>
                    <w:autoSpaceDE w:val="0"/>
                    <w:autoSpaceDN w:val="0"/>
                    <w:adjustRightInd w:val="0"/>
                    <w:jc w:val="right"/>
                    <w:rPr>
                      <w:rFonts w:ascii="Calibri" w:hAnsi="Calibri" w:cs="Calibri"/>
                      <w:bCs/>
                      <w:sz w:val="22"/>
                      <w:szCs w:val="22"/>
                      <w:highlight w:val="green"/>
                    </w:rPr>
                  </w:pPr>
                </w:p>
              </w:tc>
              <w:tc>
                <w:tcPr>
                  <w:tcW w:w="1275" w:type="dxa"/>
                  <w:gridSpan w:val="2"/>
                  <w:tcBorders>
                    <w:left w:val="single" w:sz="4" w:space="0" w:color="auto"/>
                    <w:bottom w:val="single" w:sz="4" w:space="0" w:color="auto"/>
                    <w:right w:val="single" w:sz="4" w:space="0" w:color="auto"/>
                  </w:tcBorders>
                  <w:shd w:val="clear" w:color="auto" w:fill="FFFF00"/>
                </w:tcPr>
                <w:p w14:paraId="0F870107" w14:textId="77777777" w:rsidR="003B0423" w:rsidRPr="00103D56" w:rsidRDefault="003B0423" w:rsidP="003B0423">
                  <w:pPr>
                    <w:widowControl w:val="0"/>
                    <w:autoSpaceDE w:val="0"/>
                    <w:autoSpaceDN w:val="0"/>
                    <w:adjustRightInd w:val="0"/>
                    <w:jc w:val="right"/>
                    <w:rPr>
                      <w:rFonts w:ascii="Calibri" w:hAnsi="Calibri" w:cs="Calibri"/>
                      <w:b/>
                      <w:color w:val="000000"/>
                      <w:sz w:val="22"/>
                      <w:szCs w:val="22"/>
                    </w:rPr>
                  </w:pPr>
                  <w:r w:rsidRPr="00103D56">
                    <w:rPr>
                      <w:rFonts w:ascii="Calibri" w:hAnsi="Calibri" w:cs="Calibri"/>
                      <w:b/>
                      <w:color w:val="000000"/>
                      <w:sz w:val="22"/>
                      <w:szCs w:val="22"/>
                    </w:rPr>
                    <w:t>10.9</w:t>
                  </w:r>
                </w:p>
              </w:tc>
              <w:tc>
                <w:tcPr>
                  <w:tcW w:w="1277" w:type="dxa"/>
                  <w:tcBorders>
                    <w:left w:val="single" w:sz="4" w:space="0" w:color="auto"/>
                    <w:bottom w:val="single" w:sz="4" w:space="0" w:color="auto"/>
                    <w:right w:val="single" w:sz="4" w:space="0" w:color="auto"/>
                  </w:tcBorders>
                  <w:shd w:val="clear" w:color="auto" w:fill="auto"/>
                </w:tcPr>
                <w:p w14:paraId="493F31A0"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(56.5)</w:t>
                  </w:r>
                </w:p>
              </w:tc>
              <w:tc>
                <w:tcPr>
                  <w:tcW w:w="1134" w:type="dxa"/>
                  <w:gridSpan w:val="2"/>
                  <w:tcBorders>
                    <w:left w:val="single" w:sz="4" w:space="0" w:color="auto"/>
                    <w:bottom w:val="single" w:sz="4" w:space="0" w:color="auto"/>
                    <w:right w:val="single" w:sz="4" w:space="0" w:color="auto"/>
                  </w:tcBorders>
                  <w:shd w:val="clear" w:color="auto" w:fill="auto"/>
                </w:tcPr>
                <w:p w14:paraId="185F96ED"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w:t>
                  </w:r>
                </w:p>
              </w:tc>
              <w:tc>
                <w:tcPr>
                  <w:tcW w:w="1133" w:type="dxa"/>
                  <w:tcBorders>
                    <w:left w:val="single" w:sz="4" w:space="0" w:color="auto"/>
                    <w:bottom w:val="single" w:sz="4" w:space="0" w:color="auto"/>
                    <w:right w:val="single" w:sz="4" w:space="0" w:color="auto"/>
                  </w:tcBorders>
                  <w:shd w:val="clear" w:color="auto" w:fill="auto"/>
                </w:tcPr>
                <w:p w14:paraId="262DC6BC"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(56.5)</w:t>
                  </w:r>
                </w:p>
              </w:tc>
            </w:tr>
            <w:tr w:rsidR="003B0423" w:rsidRPr="00C22F7C" w14:paraId="406E2E53" w14:textId="77777777" w:rsidTr="004C74E4">
              <w:trPr>
                <w:trHeight w:val="214"/>
              </w:trPr>
              <w:tc>
                <w:tcPr>
                  <w:tcW w:w="3969" w:type="dxa"/>
                  <w:gridSpan w:val="2"/>
                </w:tcPr>
                <w:p w14:paraId="0B6F5D42" w14:textId="77777777" w:rsidR="003B0423" w:rsidRPr="00103D56" w:rsidRDefault="003B0423" w:rsidP="003B0423">
                  <w:pPr>
                    <w:autoSpaceDE w:val="0"/>
                    <w:autoSpaceDN w:val="0"/>
                    <w:adjustRightInd w:val="0"/>
                    <w:ind w:hanging="105"/>
                    <w:rPr>
                      <w:rFonts w:ascii="Calibri" w:hAnsi="Calibri" w:cs="Calibri"/>
                      <w:b/>
                      <w:color w:val="000000"/>
                      <w:sz w:val="22"/>
                      <w:szCs w:val="22"/>
                    </w:rPr>
                  </w:pPr>
                  <w:r w:rsidRPr="00103D56">
                    <w:rPr>
                      <w:rFonts w:ascii="Calibri" w:hAnsi="Calibri" w:cs="Calibri"/>
                      <w:b/>
                      <w:color w:val="000000"/>
                      <w:sz w:val="22"/>
                      <w:szCs w:val="22"/>
                    </w:rPr>
                    <w:t>Total other income/(expenses)</w:t>
                  </w:r>
                </w:p>
              </w:tc>
              <w:tc>
                <w:tcPr>
                  <w:tcW w:w="710" w:type="dxa"/>
                  <w:gridSpan w:val="2"/>
                </w:tcPr>
                <w:p w14:paraId="4A595DE8"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61745835"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highlight w:val="green"/>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00"/>
                </w:tcPr>
                <w:p w14:paraId="4768DBAB" w14:textId="77777777" w:rsidR="003B0423" w:rsidRPr="00103D56" w:rsidRDefault="003B0423" w:rsidP="003B0423">
                  <w:pPr>
                    <w:widowControl w:val="0"/>
                    <w:autoSpaceDE w:val="0"/>
                    <w:autoSpaceDN w:val="0"/>
                    <w:adjustRightInd w:val="0"/>
                    <w:ind w:left="-226"/>
                    <w:jc w:val="right"/>
                    <w:rPr>
                      <w:rFonts w:ascii="Calibri" w:hAnsi="Calibri" w:cs="Calibri"/>
                      <w:b/>
                      <w:color w:val="000000"/>
                      <w:sz w:val="22"/>
                      <w:szCs w:val="22"/>
                    </w:rPr>
                  </w:pPr>
                  <w:r w:rsidRPr="00103D56">
                    <w:rPr>
                      <w:rFonts w:ascii="Calibri" w:hAnsi="Calibri" w:cs="Calibri"/>
                      <w:b/>
                      <w:color w:val="000000"/>
                      <w:sz w:val="22"/>
                      <w:szCs w:val="22"/>
                    </w:rPr>
                    <w:t>42.7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CC016F9" w14:textId="77777777" w:rsidR="003B0423" w:rsidRPr="00103D56" w:rsidRDefault="003B0423" w:rsidP="003B0423">
                  <w:pPr>
                    <w:widowControl w:val="0"/>
                    <w:autoSpaceDE w:val="0"/>
                    <w:autoSpaceDN w:val="0"/>
                    <w:adjustRightInd w:val="0"/>
                    <w:ind w:left="-226"/>
                    <w:jc w:val="right"/>
                    <w:rPr>
                      <w:rFonts w:ascii="Calibri" w:hAnsi="Calibri" w:cs="Calibri"/>
                      <w:bCs/>
                      <w:color w:val="000000"/>
                      <w:sz w:val="22"/>
                      <w:szCs w:val="22"/>
                    </w:rPr>
                  </w:pPr>
                  <w:r w:rsidRPr="00103D56">
                    <w:rPr>
                      <w:rFonts w:ascii="Calibri" w:hAnsi="Calibri" w:cs="Calibri"/>
                      <w:bCs/>
                      <w:color w:val="000000"/>
                      <w:sz w:val="22"/>
                      <w:szCs w:val="22"/>
                    </w:rPr>
                    <w:t>(92.7)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03E1EDC" w14:textId="77777777" w:rsidR="003B0423" w:rsidRPr="00103D56" w:rsidRDefault="003B0423" w:rsidP="003B0423">
                  <w:pPr>
                    <w:widowControl w:val="0"/>
                    <w:autoSpaceDE w:val="0"/>
                    <w:autoSpaceDN w:val="0"/>
                    <w:adjustRightInd w:val="0"/>
                    <w:ind w:left="-226"/>
                    <w:jc w:val="right"/>
                    <w:rPr>
                      <w:rFonts w:ascii="Calibri" w:hAnsi="Calibri" w:cs="Calibri"/>
                      <w:bCs/>
                      <w:color w:val="000000"/>
                      <w:sz w:val="22"/>
                      <w:szCs w:val="22"/>
                    </w:rPr>
                  </w:pPr>
                  <w:r w:rsidRPr="00103D56">
                    <w:rPr>
                      <w:rFonts w:ascii="Calibri" w:hAnsi="Calibri" w:cs="Calibri"/>
                      <w:bCs/>
                      <w:color w:val="000000"/>
                      <w:sz w:val="22"/>
                      <w:szCs w:val="22"/>
                    </w:rPr>
                    <w:t>-</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A328D94" w14:textId="77777777" w:rsidR="003B0423" w:rsidRPr="00103D56" w:rsidRDefault="003B0423" w:rsidP="003B0423">
                  <w:pPr>
                    <w:widowControl w:val="0"/>
                    <w:autoSpaceDE w:val="0"/>
                    <w:autoSpaceDN w:val="0"/>
                    <w:adjustRightInd w:val="0"/>
                    <w:ind w:left="-226"/>
                    <w:jc w:val="right"/>
                    <w:rPr>
                      <w:rFonts w:ascii="Calibri" w:hAnsi="Calibri" w:cs="Calibri"/>
                      <w:bCs/>
                      <w:color w:val="000000"/>
                      <w:sz w:val="22"/>
                      <w:szCs w:val="22"/>
                    </w:rPr>
                  </w:pPr>
                  <w:r w:rsidRPr="00103D56">
                    <w:rPr>
                      <w:rFonts w:ascii="Calibri" w:hAnsi="Calibri" w:cs="Calibri"/>
                      <w:bCs/>
                      <w:color w:val="000000"/>
                      <w:sz w:val="22"/>
                      <w:szCs w:val="22"/>
                    </w:rPr>
                    <w:t>(92.7)</w:t>
                  </w:r>
                </w:p>
              </w:tc>
            </w:tr>
            <w:tr w:rsidR="003B0423" w:rsidRPr="00C22F7C" w14:paraId="2ABA045C" w14:textId="77777777" w:rsidTr="004C74E4">
              <w:trPr>
                <w:trHeight w:val="214"/>
              </w:trPr>
              <w:tc>
                <w:tcPr>
                  <w:tcW w:w="265" w:type="dxa"/>
                </w:tcPr>
                <w:p w14:paraId="5DF3EB89" w14:textId="77777777" w:rsidR="003B0423" w:rsidRPr="009C28D2" w:rsidRDefault="003B0423" w:rsidP="003B0423">
                  <w:pPr>
                    <w:autoSpaceDE w:val="0"/>
                    <w:autoSpaceDN w:val="0"/>
                    <w:adjustRightInd w:val="0"/>
                    <w:ind w:hanging="105"/>
                    <w:jc w:val="right"/>
                    <w:rPr>
                      <w:rFonts w:ascii="Calibri" w:hAnsi="Calibri" w:cs="Calibri"/>
                      <w:color w:val="000000"/>
                      <w:sz w:val="22"/>
                      <w:szCs w:val="22"/>
                    </w:rPr>
                  </w:pPr>
                </w:p>
              </w:tc>
              <w:tc>
                <w:tcPr>
                  <w:tcW w:w="3704" w:type="dxa"/>
                </w:tcPr>
                <w:p w14:paraId="719FC840" w14:textId="77777777" w:rsidR="003B0423" w:rsidRPr="00103D56" w:rsidRDefault="003B0423" w:rsidP="003B0423">
                  <w:pPr>
                    <w:autoSpaceDE w:val="0"/>
                    <w:autoSpaceDN w:val="0"/>
                    <w:adjustRightInd w:val="0"/>
                    <w:ind w:hanging="105"/>
                    <w:rPr>
                      <w:rFonts w:ascii="Calibri" w:hAnsi="Calibri" w:cs="Calibri"/>
                      <w:color w:val="000000"/>
                      <w:sz w:val="22"/>
                      <w:szCs w:val="22"/>
                    </w:rPr>
                  </w:pPr>
                </w:p>
              </w:tc>
              <w:tc>
                <w:tcPr>
                  <w:tcW w:w="710" w:type="dxa"/>
                  <w:gridSpan w:val="2"/>
                </w:tcPr>
                <w:p w14:paraId="19D22528"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2DE82435"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275" w:type="dxa"/>
                  <w:gridSpan w:val="2"/>
                  <w:tcBorders>
                    <w:top w:val="single" w:sz="4" w:space="0" w:color="auto"/>
                    <w:left w:val="single" w:sz="4" w:space="0" w:color="auto"/>
                    <w:right w:val="single" w:sz="4" w:space="0" w:color="auto"/>
                  </w:tcBorders>
                  <w:shd w:val="clear" w:color="auto" w:fill="FFFF00"/>
                </w:tcPr>
                <w:p w14:paraId="3DC1D354" w14:textId="77777777" w:rsidR="003B0423" w:rsidRPr="00103D56" w:rsidRDefault="003B0423" w:rsidP="003B0423">
                  <w:pPr>
                    <w:autoSpaceDE w:val="0"/>
                    <w:autoSpaceDN w:val="0"/>
                    <w:adjustRightInd w:val="0"/>
                    <w:jc w:val="right"/>
                    <w:rPr>
                      <w:rFonts w:ascii="Calibri" w:hAnsi="Calibri" w:cs="Calibri"/>
                      <w:b/>
                      <w:color w:val="000000"/>
                      <w:sz w:val="22"/>
                      <w:szCs w:val="22"/>
                    </w:rPr>
                  </w:pPr>
                </w:p>
              </w:tc>
              <w:tc>
                <w:tcPr>
                  <w:tcW w:w="1277" w:type="dxa"/>
                  <w:tcBorders>
                    <w:top w:val="single" w:sz="4" w:space="0" w:color="auto"/>
                    <w:left w:val="single" w:sz="4" w:space="0" w:color="auto"/>
                    <w:right w:val="single" w:sz="4" w:space="0" w:color="auto"/>
                  </w:tcBorders>
                  <w:shd w:val="clear" w:color="auto" w:fill="auto"/>
                </w:tcPr>
                <w:p w14:paraId="4FD521B2"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4" w:type="dxa"/>
                  <w:gridSpan w:val="2"/>
                  <w:tcBorders>
                    <w:top w:val="single" w:sz="4" w:space="0" w:color="auto"/>
                    <w:left w:val="single" w:sz="4" w:space="0" w:color="auto"/>
                    <w:right w:val="single" w:sz="4" w:space="0" w:color="auto"/>
                  </w:tcBorders>
                  <w:shd w:val="clear" w:color="auto" w:fill="auto"/>
                </w:tcPr>
                <w:p w14:paraId="3E7A7DE2"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3" w:type="dxa"/>
                  <w:tcBorders>
                    <w:top w:val="single" w:sz="4" w:space="0" w:color="auto"/>
                    <w:left w:val="single" w:sz="4" w:space="0" w:color="auto"/>
                    <w:right w:val="single" w:sz="4" w:space="0" w:color="auto"/>
                  </w:tcBorders>
                  <w:shd w:val="clear" w:color="auto" w:fill="auto"/>
                </w:tcPr>
                <w:p w14:paraId="7C3C273B"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r>
            <w:tr w:rsidR="003B0423" w:rsidRPr="00C22F7C" w14:paraId="2D62F422" w14:textId="77777777" w:rsidTr="004C74E4">
              <w:trPr>
                <w:trHeight w:val="214"/>
              </w:trPr>
              <w:tc>
                <w:tcPr>
                  <w:tcW w:w="3969" w:type="dxa"/>
                  <w:gridSpan w:val="2"/>
                </w:tcPr>
                <w:p w14:paraId="3D461610" w14:textId="77777777" w:rsidR="003B0423" w:rsidRPr="00103D56" w:rsidRDefault="003B0423" w:rsidP="003B0423">
                  <w:pPr>
                    <w:autoSpaceDE w:val="0"/>
                    <w:autoSpaceDN w:val="0"/>
                    <w:adjustRightInd w:val="0"/>
                    <w:ind w:hanging="105"/>
                    <w:rPr>
                      <w:rFonts w:ascii="Calibri" w:hAnsi="Calibri" w:cs="Calibri"/>
                      <w:b/>
                      <w:color w:val="000000"/>
                      <w:sz w:val="22"/>
                      <w:szCs w:val="22"/>
                    </w:rPr>
                  </w:pPr>
                  <w:r w:rsidRPr="00103D56">
                    <w:rPr>
                      <w:rFonts w:ascii="Calibri" w:hAnsi="Calibri" w:cs="Calibri"/>
                      <w:b/>
                      <w:color w:val="000000"/>
                      <w:sz w:val="22"/>
                      <w:szCs w:val="22"/>
                    </w:rPr>
                    <w:t>Profit/(loss) before tax</w:t>
                  </w:r>
                </w:p>
              </w:tc>
              <w:tc>
                <w:tcPr>
                  <w:tcW w:w="710" w:type="dxa"/>
                  <w:gridSpan w:val="2"/>
                </w:tcPr>
                <w:p w14:paraId="44C93915"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769FA93A" w14:textId="77777777" w:rsidR="003B0423" w:rsidRPr="00103D56" w:rsidRDefault="003B0423" w:rsidP="003B0423">
                  <w:pPr>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+59%</w:t>
                  </w:r>
                </w:p>
              </w:tc>
              <w:tc>
                <w:tcPr>
                  <w:tcW w:w="1275" w:type="dxa"/>
                  <w:gridSpan w:val="2"/>
                  <w:tcBorders>
                    <w:left w:val="single" w:sz="4" w:space="0" w:color="auto"/>
                    <w:right w:val="single" w:sz="4" w:space="0" w:color="auto"/>
                  </w:tcBorders>
                  <w:shd w:val="clear" w:color="auto" w:fill="FFFF00"/>
                </w:tcPr>
                <w:p w14:paraId="662C04AA" w14:textId="77777777" w:rsidR="003B0423" w:rsidRPr="00103D56" w:rsidRDefault="003B0423" w:rsidP="003B0423">
                  <w:pPr>
                    <w:widowControl w:val="0"/>
                    <w:autoSpaceDE w:val="0"/>
                    <w:autoSpaceDN w:val="0"/>
                    <w:adjustRightInd w:val="0"/>
                    <w:ind w:left="-226"/>
                    <w:jc w:val="right"/>
                    <w:rPr>
                      <w:rFonts w:ascii="Calibri" w:hAnsi="Calibri" w:cs="Calibri"/>
                      <w:b/>
                      <w:color w:val="000000"/>
                      <w:sz w:val="22"/>
                      <w:szCs w:val="22"/>
                    </w:rPr>
                  </w:pPr>
                  <w:r w:rsidRPr="00103D56">
                    <w:rPr>
                      <w:rFonts w:ascii="Calibri" w:hAnsi="Calibri" w:cs="Calibri"/>
                      <w:b/>
                      <w:color w:val="000000"/>
                      <w:sz w:val="22"/>
                      <w:szCs w:val="22"/>
                    </w:rPr>
                    <w:t>2,458.5</w:t>
                  </w:r>
                </w:p>
              </w:tc>
              <w:tc>
                <w:tcPr>
                  <w:tcW w:w="1277" w:type="dxa"/>
                  <w:tcBorders>
                    <w:left w:val="single" w:sz="4" w:space="0" w:color="auto"/>
                    <w:right w:val="single" w:sz="4" w:space="0" w:color="auto"/>
                  </w:tcBorders>
                  <w:shd w:val="clear" w:color="auto" w:fill="auto"/>
                </w:tcPr>
                <w:p w14:paraId="41BBCB7E" w14:textId="77777777" w:rsidR="003B0423" w:rsidRPr="00103D56" w:rsidRDefault="003B0423" w:rsidP="003B0423">
                  <w:pPr>
                    <w:widowControl w:val="0"/>
                    <w:autoSpaceDE w:val="0"/>
                    <w:autoSpaceDN w:val="0"/>
                    <w:adjustRightInd w:val="0"/>
                    <w:ind w:left="-226"/>
                    <w:jc w:val="right"/>
                    <w:rPr>
                      <w:rFonts w:ascii="Calibri" w:hAnsi="Calibri" w:cs="Calibri"/>
                      <w:bCs/>
                      <w:color w:val="000000"/>
                      <w:sz w:val="22"/>
                      <w:szCs w:val="22"/>
                    </w:rPr>
                  </w:pPr>
                  <w:r w:rsidRPr="00103D56">
                    <w:rPr>
                      <w:rFonts w:ascii="Calibri" w:hAnsi="Calibri" w:cs="Calibri"/>
                      <w:bCs/>
                      <w:color w:val="000000"/>
                      <w:sz w:val="22"/>
                      <w:szCs w:val="22"/>
                    </w:rPr>
                    <w:t>1,545.5</w:t>
                  </w:r>
                </w:p>
              </w:tc>
              <w:tc>
                <w:tcPr>
                  <w:tcW w:w="1134" w:type="dxa"/>
                  <w:gridSpan w:val="2"/>
                  <w:tcBorders>
                    <w:left w:val="single" w:sz="4" w:space="0" w:color="auto"/>
                    <w:right w:val="single" w:sz="4" w:space="0" w:color="auto"/>
                  </w:tcBorders>
                  <w:shd w:val="clear" w:color="auto" w:fill="auto"/>
                </w:tcPr>
                <w:p w14:paraId="5C7A8387" w14:textId="77777777" w:rsidR="003B0423" w:rsidRPr="00103D56" w:rsidRDefault="003B0423" w:rsidP="003B0423">
                  <w:pPr>
                    <w:widowControl w:val="0"/>
                    <w:autoSpaceDE w:val="0"/>
                    <w:autoSpaceDN w:val="0"/>
                    <w:adjustRightInd w:val="0"/>
                    <w:ind w:left="-226"/>
                    <w:jc w:val="right"/>
                    <w:rPr>
                      <w:rFonts w:ascii="Calibri" w:hAnsi="Calibri" w:cs="Calibri"/>
                      <w:bCs/>
                      <w:color w:val="000000"/>
                      <w:sz w:val="22"/>
                      <w:szCs w:val="22"/>
                    </w:rPr>
                  </w:pPr>
                  <w:r w:rsidRPr="00103D56">
                    <w:rPr>
                      <w:rFonts w:ascii="Calibri" w:hAnsi="Calibri" w:cs="Calibri"/>
                      <w:bCs/>
                      <w:color w:val="000000"/>
                      <w:sz w:val="22"/>
                      <w:szCs w:val="22"/>
                    </w:rPr>
                    <w:t>(122.8)</w:t>
                  </w:r>
                </w:p>
              </w:tc>
              <w:tc>
                <w:tcPr>
                  <w:tcW w:w="1133" w:type="dxa"/>
                  <w:tcBorders>
                    <w:left w:val="single" w:sz="4" w:space="0" w:color="auto"/>
                    <w:right w:val="single" w:sz="4" w:space="0" w:color="auto"/>
                  </w:tcBorders>
                  <w:shd w:val="clear" w:color="auto" w:fill="auto"/>
                </w:tcPr>
                <w:p w14:paraId="6314BB51" w14:textId="77777777" w:rsidR="003B0423" w:rsidRPr="00103D56" w:rsidRDefault="003B0423" w:rsidP="003B0423">
                  <w:pPr>
                    <w:widowControl w:val="0"/>
                    <w:autoSpaceDE w:val="0"/>
                    <w:autoSpaceDN w:val="0"/>
                    <w:adjustRightInd w:val="0"/>
                    <w:ind w:left="-226"/>
                    <w:jc w:val="right"/>
                    <w:rPr>
                      <w:rFonts w:ascii="Calibri" w:hAnsi="Calibri" w:cs="Calibri"/>
                      <w:bCs/>
                      <w:color w:val="000000"/>
                      <w:sz w:val="22"/>
                      <w:szCs w:val="22"/>
                    </w:rPr>
                  </w:pPr>
                  <w:r w:rsidRPr="00103D56">
                    <w:rPr>
                      <w:rFonts w:ascii="Calibri" w:hAnsi="Calibri" w:cs="Calibri"/>
                      <w:bCs/>
                      <w:color w:val="000000"/>
                      <w:sz w:val="22"/>
                      <w:szCs w:val="22"/>
                    </w:rPr>
                    <w:t>1,422.7</w:t>
                  </w:r>
                </w:p>
              </w:tc>
            </w:tr>
            <w:tr w:rsidR="003B0423" w:rsidRPr="00C22F7C" w14:paraId="46C6EFCC" w14:textId="77777777" w:rsidTr="004C74E4">
              <w:trPr>
                <w:trHeight w:val="214"/>
              </w:trPr>
              <w:tc>
                <w:tcPr>
                  <w:tcW w:w="265" w:type="dxa"/>
                </w:tcPr>
                <w:p w14:paraId="483C90CC" w14:textId="77777777" w:rsidR="003B0423" w:rsidRPr="009C28D2" w:rsidRDefault="003B0423" w:rsidP="003B0423">
                  <w:pPr>
                    <w:autoSpaceDE w:val="0"/>
                    <w:autoSpaceDN w:val="0"/>
                    <w:adjustRightInd w:val="0"/>
                    <w:jc w:val="right"/>
                    <w:rPr>
                      <w:rFonts w:ascii="Calibri" w:hAnsi="Calibri" w:cs="Calibri"/>
                      <w:color w:val="000000"/>
                      <w:sz w:val="22"/>
                      <w:szCs w:val="22"/>
                    </w:rPr>
                  </w:pPr>
                </w:p>
              </w:tc>
              <w:tc>
                <w:tcPr>
                  <w:tcW w:w="3704" w:type="dxa"/>
                </w:tcPr>
                <w:p w14:paraId="568BB0C8" w14:textId="77777777" w:rsidR="003B0423" w:rsidRPr="00103D56" w:rsidRDefault="003B0423" w:rsidP="003B0423">
                  <w:pPr>
                    <w:autoSpaceDE w:val="0"/>
                    <w:autoSpaceDN w:val="0"/>
                    <w:adjustRightInd w:val="0"/>
                    <w:rPr>
                      <w:rFonts w:ascii="Calibri" w:hAnsi="Calibri" w:cs="Calibri"/>
                      <w:color w:val="000000"/>
                      <w:sz w:val="22"/>
                      <w:szCs w:val="22"/>
                    </w:rPr>
                  </w:pPr>
                </w:p>
              </w:tc>
              <w:tc>
                <w:tcPr>
                  <w:tcW w:w="710" w:type="dxa"/>
                  <w:gridSpan w:val="2"/>
                </w:tcPr>
                <w:p w14:paraId="4809DE38"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3D9EE3F5"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275" w:type="dxa"/>
                  <w:gridSpan w:val="2"/>
                  <w:tcBorders>
                    <w:left w:val="single" w:sz="4" w:space="0" w:color="auto"/>
                    <w:right w:val="single" w:sz="4" w:space="0" w:color="auto"/>
                  </w:tcBorders>
                  <w:shd w:val="clear" w:color="auto" w:fill="FFFF00"/>
                </w:tcPr>
                <w:p w14:paraId="139C1123" w14:textId="77777777" w:rsidR="003B0423" w:rsidRPr="00103D56" w:rsidRDefault="003B0423" w:rsidP="003B0423">
                  <w:pPr>
                    <w:autoSpaceDE w:val="0"/>
                    <w:autoSpaceDN w:val="0"/>
                    <w:adjustRightInd w:val="0"/>
                    <w:jc w:val="right"/>
                    <w:rPr>
                      <w:rFonts w:ascii="Calibri" w:hAnsi="Calibri" w:cs="Calibri"/>
                      <w:b/>
                      <w:color w:val="000000"/>
                      <w:sz w:val="22"/>
                      <w:szCs w:val="22"/>
                    </w:rPr>
                  </w:pPr>
                </w:p>
              </w:tc>
              <w:tc>
                <w:tcPr>
                  <w:tcW w:w="1277" w:type="dxa"/>
                  <w:tcBorders>
                    <w:left w:val="single" w:sz="4" w:space="0" w:color="auto"/>
                    <w:right w:val="single" w:sz="4" w:space="0" w:color="auto"/>
                  </w:tcBorders>
                  <w:shd w:val="clear" w:color="auto" w:fill="auto"/>
                </w:tcPr>
                <w:p w14:paraId="654A2B1A"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4" w:type="dxa"/>
                  <w:gridSpan w:val="2"/>
                  <w:tcBorders>
                    <w:left w:val="single" w:sz="4" w:space="0" w:color="auto"/>
                    <w:right w:val="single" w:sz="4" w:space="0" w:color="auto"/>
                  </w:tcBorders>
                  <w:shd w:val="clear" w:color="auto" w:fill="auto"/>
                </w:tcPr>
                <w:p w14:paraId="696477E8"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3" w:type="dxa"/>
                  <w:tcBorders>
                    <w:left w:val="single" w:sz="4" w:space="0" w:color="auto"/>
                    <w:right w:val="single" w:sz="4" w:space="0" w:color="auto"/>
                  </w:tcBorders>
                  <w:shd w:val="clear" w:color="auto" w:fill="auto"/>
                </w:tcPr>
                <w:p w14:paraId="4E58FBF6"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r>
            <w:tr w:rsidR="003B0423" w:rsidRPr="00C22F7C" w14:paraId="237A48C7" w14:textId="77777777" w:rsidTr="004C74E4">
              <w:trPr>
                <w:trHeight w:val="214"/>
              </w:trPr>
              <w:tc>
                <w:tcPr>
                  <w:tcW w:w="265" w:type="dxa"/>
                </w:tcPr>
                <w:p w14:paraId="58EA405F" w14:textId="77777777" w:rsidR="003B0423" w:rsidRPr="009C28D2" w:rsidRDefault="003B0423" w:rsidP="003B0423">
                  <w:pPr>
                    <w:autoSpaceDE w:val="0"/>
                    <w:autoSpaceDN w:val="0"/>
                    <w:adjustRightInd w:val="0"/>
                    <w:jc w:val="right"/>
                    <w:rPr>
                      <w:rFonts w:ascii="Calibri" w:hAnsi="Calibri" w:cs="Calibri"/>
                      <w:color w:val="000000"/>
                      <w:sz w:val="22"/>
                      <w:szCs w:val="22"/>
                    </w:rPr>
                  </w:pPr>
                </w:p>
              </w:tc>
              <w:tc>
                <w:tcPr>
                  <w:tcW w:w="3704" w:type="dxa"/>
                </w:tcPr>
                <w:p w14:paraId="2DB45F7E" w14:textId="77777777" w:rsidR="003B0423" w:rsidRPr="00103D56" w:rsidRDefault="003B0423" w:rsidP="003B0423">
                  <w:pPr>
                    <w:autoSpaceDE w:val="0"/>
                    <w:autoSpaceDN w:val="0"/>
                    <w:adjustRightInd w:val="0"/>
                    <w:rPr>
                      <w:rFonts w:ascii="Calibri" w:hAnsi="Calibri" w:cs="Calibri"/>
                      <w:color w:val="000000"/>
                      <w:sz w:val="22"/>
                      <w:szCs w:val="22"/>
                    </w:rPr>
                  </w:pPr>
                  <w:r w:rsidRPr="00103D56">
                    <w:rPr>
                      <w:rFonts w:ascii="Calibri" w:hAnsi="Calibri" w:cs="Calibri"/>
                      <w:color w:val="000000"/>
                      <w:sz w:val="22"/>
                      <w:szCs w:val="22"/>
                    </w:rPr>
                    <w:t xml:space="preserve">Tax (expense)/credit </w:t>
                  </w:r>
                </w:p>
              </w:tc>
              <w:tc>
                <w:tcPr>
                  <w:tcW w:w="710" w:type="dxa"/>
                  <w:gridSpan w:val="2"/>
                </w:tcPr>
                <w:p w14:paraId="7BC03C96" w14:textId="77777777" w:rsidR="003B0423" w:rsidRPr="00103D56" w:rsidRDefault="003B0423" w:rsidP="003B0423">
                  <w:pPr>
                    <w:autoSpaceDE w:val="0"/>
                    <w:autoSpaceDN w:val="0"/>
                    <w:adjustRightInd w:val="0"/>
                    <w:jc w:val="right"/>
                    <w:rPr>
                      <w:rFonts w:ascii="Calibri" w:hAnsi="Calibri" w:cs="Calibri"/>
                      <w:b/>
                      <w:bCs/>
                      <w:color w:val="000000"/>
                      <w:sz w:val="22"/>
                      <w:szCs w:val="22"/>
                    </w:rPr>
                  </w:pPr>
                  <w:r w:rsidRPr="00103D56">
                    <w:rPr>
                      <w:rFonts w:ascii="Calibri" w:hAnsi="Calibri" w:cs="Calibri"/>
                      <w:b/>
                      <w:bCs/>
                      <w:color w:val="000000"/>
                      <w:sz w:val="22"/>
                      <w:szCs w:val="22"/>
                    </w:rPr>
                    <w:t>4</w:t>
                  </w:r>
                </w:p>
              </w:tc>
              <w:tc>
                <w:tcPr>
                  <w:tcW w:w="1132" w:type="dxa"/>
                  <w:gridSpan w:val="2"/>
                  <w:tcBorders>
                    <w:right w:val="single" w:sz="4" w:space="0" w:color="auto"/>
                  </w:tcBorders>
                </w:tcPr>
                <w:p w14:paraId="18E14234" w14:textId="77777777" w:rsidR="003B0423" w:rsidRPr="00103D56" w:rsidRDefault="003B0423" w:rsidP="003B0423">
                  <w:pPr>
                    <w:autoSpaceDE w:val="0"/>
                    <w:autoSpaceDN w:val="0"/>
                    <w:adjustRightInd w:val="0"/>
                    <w:jc w:val="right"/>
                    <w:rPr>
                      <w:rFonts w:ascii="Calibri" w:hAnsi="Calibri" w:cs="Calibri"/>
                      <w:bCs/>
                      <w:sz w:val="22"/>
                      <w:szCs w:val="22"/>
                    </w:rPr>
                  </w:pPr>
                </w:p>
              </w:tc>
              <w:tc>
                <w:tcPr>
                  <w:tcW w:w="1275" w:type="dxa"/>
                  <w:gridSpan w:val="2"/>
                  <w:tcBorders>
                    <w:left w:val="single" w:sz="4" w:space="0" w:color="auto"/>
                    <w:right w:val="single" w:sz="4" w:space="0" w:color="auto"/>
                  </w:tcBorders>
                  <w:shd w:val="clear" w:color="auto" w:fill="FFFF00"/>
                </w:tcPr>
                <w:p w14:paraId="14B5742C" w14:textId="77777777" w:rsidR="003B0423" w:rsidRPr="00103D56" w:rsidRDefault="003B0423" w:rsidP="003B0423">
                  <w:pPr>
                    <w:widowControl w:val="0"/>
                    <w:autoSpaceDE w:val="0"/>
                    <w:autoSpaceDN w:val="0"/>
                    <w:adjustRightInd w:val="0"/>
                    <w:jc w:val="right"/>
                    <w:rPr>
                      <w:rFonts w:ascii="Calibri" w:hAnsi="Calibri" w:cs="Calibri"/>
                      <w:b/>
                      <w:color w:val="000000"/>
                      <w:sz w:val="22"/>
                      <w:szCs w:val="22"/>
                    </w:rPr>
                  </w:pPr>
                  <w:r w:rsidRPr="00103D56">
                    <w:rPr>
                      <w:rFonts w:ascii="Calibri" w:hAnsi="Calibri" w:cs="Calibri"/>
                      <w:b/>
                      <w:color w:val="000000"/>
                      <w:sz w:val="22"/>
                      <w:szCs w:val="22"/>
                    </w:rPr>
                    <w:t>(280.4)</w:t>
                  </w:r>
                </w:p>
              </w:tc>
              <w:tc>
                <w:tcPr>
                  <w:tcW w:w="1277" w:type="dxa"/>
                  <w:tcBorders>
                    <w:left w:val="single" w:sz="4" w:space="0" w:color="auto"/>
                    <w:right w:val="single" w:sz="4" w:space="0" w:color="auto"/>
                  </w:tcBorders>
                  <w:shd w:val="clear" w:color="auto" w:fill="auto"/>
                </w:tcPr>
                <w:p w14:paraId="10368711"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(174.7)</w:t>
                  </w:r>
                </w:p>
              </w:tc>
              <w:tc>
                <w:tcPr>
                  <w:tcW w:w="1134" w:type="dxa"/>
                  <w:gridSpan w:val="2"/>
                  <w:tcBorders>
                    <w:left w:val="single" w:sz="4" w:space="0" w:color="auto"/>
                    <w:right w:val="single" w:sz="4" w:space="0" w:color="auto"/>
                  </w:tcBorders>
                  <w:shd w:val="clear" w:color="auto" w:fill="auto"/>
                </w:tcPr>
                <w:p w14:paraId="16E84ACE"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15.4</w:t>
                  </w:r>
                </w:p>
              </w:tc>
              <w:tc>
                <w:tcPr>
                  <w:tcW w:w="1133" w:type="dxa"/>
                  <w:tcBorders>
                    <w:left w:val="single" w:sz="4" w:space="0" w:color="auto"/>
                    <w:right w:val="single" w:sz="4" w:space="0" w:color="auto"/>
                  </w:tcBorders>
                  <w:shd w:val="clear" w:color="auto" w:fill="auto"/>
                </w:tcPr>
                <w:p w14:paraId="688A7A14"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(159.3)</w:t>
                  </w:r>
                </w:p>
              </w:tc>
            </w:tr>
            <w:tr w:rsidR="003B0423" w:rsidRPr="00C22F7C" w14:paraId="3A5F559A" w14:textId="77777777" w:rsidTr="004C74E4">
              <w:trPr>
                <w:trHeight w:val="214"/>
              </w:trPr>
              <w:tc>
                <w:tcPr>
                  <w:tcW w:w="265" w:type="dxa"/>
                </w:tcPr>
                <w:p w14:paraId="2546C945" w14:textId="77777777" w:rsidR="003B0423" w:rsidRPr="009C28D2" w:rsidRDefault="003B0423" w:rsidP="003B0423">
                  <w:pPr>
                    <w:autoSpaceDE w:val="0"/>
                    <w:autoSpaceDN w:val="0"/>
                    <w:adjustRightInd w:val="0"/>
                    <w:jc w:val="right"/>
                    <w:rPr>
                      <w:rFonts w:ascii="Calibri" w:hAnsi="Calibri" w:cs="Calibri"/>
                      <w:color w:val="000000"/>
                      <w:sz w:val="22"/>
                      <w:szCs w:val="22"/>
                    </w:rPr>
                  </w:pPr>
                </w:p>
              </w:tc>
              <w:tc>
                <w:tcPr>
                  <w:tcW w:w="3704" w:type="dxa"/>
                </w:tcPr>
                <w:p w14:paraId="27A420C7" w14:textId="77777777" w:rsidR="003B0423" w:rsidRPr="00103D56" w:rsidRDefault="003B0423" w:rsidP="003B0423">
                  <w:pPr>
                    <w:autoSpaceDE w:val="0"/>
                    <w:autoSpaceDN w:val="0"/>
                    <w:adjustRightInd w:val="0"/>
                    <w:rPr>
                      <w:rFonts w:ascii="Calibri" w:hAnsi="Calibri" w:cs="Calibri"/>
                      <w:color w:val="000000"/>
                      <w:sz w:val="22"/>
                      <w:szCs w:val="22"/>
                    </w:rPr>
                  </w:pPr>
                </w:p>
              </w:tc>
              <w:tc>
                <w:tcPr>
                  <w:tcW w:w="710" w:type="dxa"/>
                  <w:gridSpan w:val="2"/>
                </w:tcPr>
                <w:p w14:paraId="5E8A3B6C" w14:textId="77777777" w:rsidR="003B0423" w:rsidRPr="00103D56" w:rsidRDefault="003B0423" w:rsidP="003B0423">
                  <w:pPr>
                    <w:autoSpaceDE w:val="0"/>
                    <w:autoSpaceDN w:val="0"/>
                    <w:adjustRightInd w:val="0"/>
                    <w:jc w:val="right"/>
                    <w:rPr>
                      <w:rFonts w:ascii="Calibri" w:hAnsi="Calibri" w:cs="Calibri"/>
                      <w:b/>
                      <w:bCs/>
                      <w:color w:val="000000"/>
                      <w:sz w:val="22"/>
                      <w:szCs w:val="22"/>
                    </w:rPr>
                  </w:pPr>
                </w:p>
              </w:tc>
              <w:tc>
                <w:tcPr>
                  <w:tcW w:w="1132" w:type="dxa"/>
                  <w:gridSpan w:val="2"/>
                  <w:tcBorders>
                    <w:right w:val="single" w:sz="4" w:space="0" w:color="auto"/>
                  </w:tcBorders>
                </w:tcPr>
                <w:p w14:paraId="781682DC"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275" w:type="dxa"/>
                  <w:gridSpan w:val="2"/>
                  <w:tcBorders>
                    <w:left w:val="single" w:sz="4" w:space="0" w:color="auto"/>
                    <w:bottom w:val="single" w:sz="4" w:space="0" w:color="auto"/>
                    <w:right w:val="single" w:sz="4" w:space="0" w:color="auto"/>
                  </w:tcBorders>
                  <w:shd w:val="clear" w:color="auto" w:fill="FFFF00"/>
                </w:tcPr>
                <w:p w14:paraId="12A72FF4" w14:textId="77777777" w:rsidR="003B0423" w:rsidRPr="00103D56" w:rsidRDefault="003B0423" w:rsidP="003B0423">
                  <w:pPr>
                    <w:autoSpaceDE w:val="0"/>
                    <w:autoSpaceDN w:val="0"/>
                    <w:adjustRightInd w:val="0"/>
                    <w:jc w:val="right"/>
                    <w:rPr>
                      <w:rFonts w:ascii="Calibri" w:hAnsi="Calibri" w:cs="Calibri"/>
                      <w:b/>
                      <w:color w:val="000000"/>
                      <w:sz w:val="22"/>
                      <w:szCs w:val="22"/>
                    </w:rPr>
                  </w:pPr>
                </w:p>
              </w:tc>
              <w:tc>
                <w:tcPr>
                  <w:tcW w:w="1277" w:type="dxa"/>
                  <w:tcBorders>
                    <w:left w:val="single" w:sz="4" w:space="0" w:color="auto"/>
                    <w:bottom w:val="single" w:sz="4" w:space="0" w:color="auto"/>
                    <w:right w:val="single" w:sz="4" w:space="0" w:color="auto"/>
                  </w:tcBorders>
                  <w:shd w:val="clear" w:color="auto" w:fill="auto"/>
                </w:tcPr>
                <w:p w14:paraId="32E76B33"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4" w:type="dxa"/>
                  <w:gridSpan w:val="2"/>
                  <w:tcBorders>
                    <w:left w:val="single" w:sz="4" w:space="0" w:color="auto"/>
                    <w:bottom w:val="single" w:sz="4" w:space="0" w:color="auto"/>
                    <w:right w:val="single" w:sz="4" w:space="0" w:color="auto"/>
                  </w:tcBorders>
                  <w:shd w:val="clear" w:color="auto" w:fill="auto"/>
                </w:tcPr>
                <w:p w14:paraId="730848E8"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3" w:type="dxa"/>
                  <w:tcBorders>
                    <w:left w:val="single" w:sz="4" w:space="0" w:color="auto"/>
                    <w:bottom w:val="single" w:sz="4" w:space="0" w:color="auto"/>
                    <w:right w:val="single" w:sz="4" w:space="0" w:color="auto"/>
                  </w:tcBorders>
                  <w:shd w:val="clear" w:color="auto" w:fill="auto"/>
                </w:tcPr>
                <w:p w14:paraId="1FE1F421"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r>
            <w:tr w:rsidR="003B0423" w:rsidRPr="00C22F7C" w14:paraId="3ABB563D" w14:textId="77777777" w:rsidTr="004C74E4">
              <w:trPr>
                <w:trHeight w:val="245"/>
              </w:trPr>
              <w:tc>
                <w:tcPr>
                  <w:tcW w:w="4673" w:type="dxa"/>
                  <w:gridSpan w:val="3"/>
                </w:tcPr>
                <w:p w14:paraId="7663D6F3" w14:textId="77777777" w:rsidR="00103D56" w:rsidRDefault="003B0423" w:rsidP="003B0423">
                  <w:pPr>
                    <w:autoSpaceDE w:val="0"/>
                    <w:autoSpaceDN w:val="0"/>
                    <w:adjustRightInd w:val="0"/>
                    <w:ind w:left="-105"/>
                    <w:rPr>
                      <w:rFonts w:ascii="Calibri" w:hAnsi="Calibri" w:cs="Calibri"/>
                      <w:b/>
                      <w:bCs/>
                      <w:color w:val="000000"/>
                      <w:sz w:val="22"/>
                      <w:szCs w:val="22"/>
                    </w:rPr>
                  </w:pPr>
                  <w:r w:rsidRPr="00103D56">
                    <w:rPr>
                      <w:rFonts w:ascii="Calibri" w:hAnsi="Calibri" w:cs="Calibri"/>
                      <w:b/>
                      <w:bCs/>
                      <w:color w:val="000000"/>
                      <w:sz w:val="22"/>
                      <w:szCs w:val="22"/>
                    </w:rPr>
                    <w:t>Profit/(loss) for the half-year – all attributable</w:t>
                  </w:r>
                </w:p>
                <w:p w14:paraId="6F3A1898" w14:textId="77777777" w:rsidR="003B0423" w:rsidRPr="00103D56" w:rsidRDefault="003B0423" w:rsidP="003B0423">
                  <w:pPr>
                    <w:autoSpaceDE w:val="0"/>
                    <w:autoSpaceDN w:val="0"/>
                    <w:adjustRightInd w:val="0"/>
                    <w:ind w:left="-105"/>
                    <w:rPr>
                      <w:rFonts w:ascii="Calibri" w:hAnsi="Calibri" w:cs="Calibri"/>
                      <w:b/>
                      <w:bCs/>
                      <w:color w:val="000000"/>
                      <w:sz w:val="22"/>
                      <w:szCs w:val="22"/>
                    </w:rPr>
                  </w:pPr>
                  <w:r w:rsidRPr="00103D56">
                    <w:rPr>
                      <w:rFonts w:ascii="Calibri" w:hAnsi="Calibri" w:cs="Calibri"/>
                      <w:b/>
                      <w:bCs/>
                      <w:color w:val="000000"/>
                      <w:sz w:val="22"/>
                      <w:szCs w:val="22"/>
                    </w:rPr>
                    <w:t>to equity holders of parent</w:t>
                  </w:r>
                </w:p>
              </w:tc>
              <w:tc>
                <w:tcPr>
                  <w:tcW w:w="1132" w:type="dxa"/>
                  <w:gridSpan w:val="2"/>
                  <w:tcBorders>
                    <w:right w:val="single" w:sz="4" w:space="0" w:color="auto"/>
                  </w:tcBorders>
                </w:tcPr>
                <w:p w14:paraId="22CE63D9"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p>
                <w:p w14:paraId="62D95392"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+59%</w:t>
                  </w:r>
                </w:p>
              </w:tc>
              <w:tc>
                <w:tcPr>
                  <w:tcW w:w="1275" w:type="dxa"/>
                  <w:gridSpan w:val="2"/>
                  <w:tcBorders>
                    <w:top w:val="single" w:sz="4" w:space="0" w:color="auto"/>
                    <w:left w:val="single" w:sz="4" w:space="0" w:color="auto"/>
                    <w:bottom w:val="single" w:sz="12" w:space="0" w:color="auto"/>
                    <w:right w:val="single" w:sz="4" w:space="0" w:color="auto"/>
                  </w:tcBorders>
                  <w:shd w:val="clear" w:color="auto" w:fill="FFFF00"/>
                </w:tcPr>
                <w:p w14:paraId="4667FCC7" w14:textId="77777777" w:rsidR="003B0423" w:rsidRPr="00103D56" w:rsidRDefault="003B0423" w:rsidP="003B0423">
                  <w:pPr>
                    <w:widowControl w:val="0"/>
                    <w:autoSpaceDE w:val="0"/>
                    <w:autoSpaceDN w:val="0"/>
                    <w:adjustRightInd w:val="0"/>
                    <w:jc w:val="right"/>
                    <w:rPr>
                      <w:rFonts w:ascii="Calibri" w:hAnsi="Calibri" w:cs="Calibri"/>
                      <w:b/>
                      <w:color w:val="000000"/>
                      <w:sz w:val="22"/>
                      <w:szCs w:val="22"/>
                    </w:rPr>
                  </w:pPr>
                </w:p>
                <w:p w14:paraId="1E5937FC" w14:textId="77777777" w:rsidR="003B0423" w:rsidRPr="00103D56" w:rsidRDefault="003B0423" w:rsidP="003B0423">
                  <w:pPr>
                    <w:widowControl w:val="0"/>
                    <w:autoSpaceDE w:val="0"/>
                    <w:autoSpaceDN w:val="0"/>
                    <w:adjustRightInd w:val="0"/>
                    <w:jc w:val="right"/>
                    <w:rPr>
                      <w:rFonts w:ascii="Calibri" w:hAnsi="Calibri" w:cs="Calibri"/>
                      <w:b/>
                      <w:color w:val="000000"/>
                      <w:sz w:val="22"/>
                      <w:szCs w:val="22"/>
                    </w:rPr>
                  </w:pPr>
                  <w:r w:rsidRPr="00103D56">
                    <w:rPr>
                      <w:rFonts w:ascii="Calibri" w:hAnsi="Calibri" w:cs="Calibri"/>
                      <w:b/>
                      <w:color w:val="000000"/>
                      <w:sz w:val="22"/>
                      <w:szCs w:val="22"/>
                    </w:rPr>
                    <w:t>2,178.1</w:t>
                  </w:r>
                </w:p>
              </w:tc>
              <w:tc>
                <w:tcPr>
                  <w:tcW w:w="1283" w:type="dxa"/>
                  <w:gridSpan w:val="2"/>
                  <w:tcBorders>
                    <w:top w:val="single" w:sz="4" w:space="0" w:color="auto"/>
                    <w:left w:val="single" w:sz="4" w:space="0" w:color="auto"/>
                    <w:bottom w:val="single" w:sz="12" w:space="0" w:color="auto"/>
                    <w:right w:val="single" w:sz="4" w:space="0" w:color="auto"/>
                  </w:tcBorders>
                  <w:shd w:val="clear" w:color="auto" w:fill="auto"/>
                </w:tcPr>
                <w:p w14:paraId="5FC58248"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p>
                <w:p w14:paraId="3723E5CA"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1,370.8</w:t>
                  </w:r>
                </w:p>
              </w:tc>
              <w:tc>
                <w:tcPr>
                  <w:tcW w:w="1128" w:type="dxa"/>
                  <w:tcBorders>
                    <w:top w:val="single" w:sz="4" w:space="0" w:color="auto"/>
                    <w:left w:val="single" w:sz="4" w:space="0" w:color="auto"/>
                    <w:bottom w:val="single" w:sz="12" w:space="0" w:color="auto"/>
                    <w:right w:val="single" w:sz="4" w:space="0" w:color="auto"/>
                  </w:tcBorders>
                  <w:shd w:val="clear" w:color="auto" w:fill="auto"/>
                </w:tcPr>
                <w:p w14:paraId="773343DB"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p>
                <w:p w14:paraId="04BF21B9"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(107.4)</w:t>
                  </w:r>
                </w:p>
              </w:tc>
              <w:tc>
                <w:tcPr>
                  <w:tcW w:w="1139" w:type="dxa"/>
                  <w:gridSpan w:val="2"/>
                  <w:tcBorders>
                    <w:top w:val="single" w:sz="4" w:space="0" w:color="auto"/>
                    <w:left w:val="single" w:sz="4" w:space="0" w:color="auto"/>
                    <w:bottom w:val="single" w:sz="12" w:space="0" w:color="auto"/>
                    <w:right w:val="single" w:sz="4" w:space="0" w:color="auto"/>
                  </w:tcBorders>
                  <w:shd w:val="clear" w:color="auto" w:fill="auto"/>
                </w:tcPr>
                <w:p w14:paraId="337D5EBF"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p>
                <w:p w14:paraId="6BA88320"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1,263.4</w:t>
                  </w:r>
                </w:p>
              </w:tc>
            </w:tr>
            <w:tr w:rsidR="003B0423" w:rsidRPr="00C22F7C" w14:paraId="40890BFE" w14:textId="77777777" w:rsidTr="004C74E4">
              <w:trPr>
                <w:trHeight w:val="46"/>
              </w:trPr>
              <w:tc>
                <w:tcPr>
                  <w:tcW w:w="265" w:type="dxa"/>
                </w:tcPr>
                <w:p w14:paraId="3FE8467D" w14:textId="77777777" w:rsidR="003B0423" w:rsidRPr="009C28D2" w:rsidRDefault="003B0423" w:rsidP="003B0423">
                  <w:pPr>
                    <w:autoSpaceDE w:val="0"/>
                    <w:autoSpaceDN w:val="0"/>
                    <w:adjustRightInd w:val="0"/>
                    <w:jc w:val="right"/>
                    <w:rPr>
                      <w:rFonts w:ascii="Calibri" w:hAnsi="Calibri" w:cs="Calibri"/>
                      <w:color w:val="000000"/>
                      <w:sz w:val="22"/>
                      <w:szCs w:val="22"/>
                    </w:rPr>
                  </w:pPr>
                </w:p>
              </w:tc>
              <w:tc>
                <w:tcPr>
                  <w:tcW w:w="3704" w:type="dxa"/>
                </w:tcPr>
                <w:p w14:paraId="4CE50B91" w14:textId="77777777" w:rsidR="003B0423" w:rsidRPr="00103D56" w:rsidRDefault="003B0423" w:rsidP="003B0423">
                  <w:pPr>
                    <w:autoSpaceDE w:val="0"/>
                    <w:autoSpaceDN w:val="0"/>
                    <w:adjustRightInd w:val="0"/>
                    <w:rPr>
                      <w:rFonts w:ascii="Calibri" w:hAnsi="Calibri" w:cs="Calibri"/>
                      <w:color w:val="000000"/>
                      <w:sz w:val="22"/>
                      <w:szCs w:val="22"/>
                    </w:rPr>
                  </w:pPr>
                </w:p>
              </w:tc>
              <w:tc>
                <w:tcPr>
                  <w:tcW w:w="710" w:type="dxa"/>
                  <w:gridSpan w:val="2"/>
                </w:tcPr>
                <w:p w14:paraId="09F99192" w14:textId="77777777" w:rsidR="003B0423" w:rsidRPr="00103D56" w:rsidRDefault="003B0423" w:rsidP="003B0423">
                  <w:pPr>
                    <w:autoSpaceDE w:val="0"/>
                    <w:autoSpaceDN w:val="0"/>
                    <w:adjustRightInd w:val="0"/>
                    <w:jc w:val="right"/>
                    <w:rPr>
                      <w:rFonts w:ascii="Calibri" w:hAnsi="Calibri" w:cs="Calibri"/>
                      <w:b/>
                      <w:bCs/>
                      <w:color w:val="000000"/>
                      <w:sz w:val="22"/>
                      <w:szCs w:val="22"/>
                    </w:rPr>
                  </w:pPr>
                </w:p>
              </w:tc>
              <w:tc>
                <w:tcPr>
                  <w:tcW w:w="1132" w:type="dxa"/>
                  <w:gridSpan w:val="2"/>
                  <w:tcBorders>
                    <w:right w:val="single" w:sz="4" w:space="0" w:color="auto"/>
                  </w:tcBorders>
                </w:tcPr>
                <w:p w14:paraId="465243FD" w14:textId="77777777" w:rsidR="003B0423" w:rsidRPr="00103D56" w:rsidRDefault="003B0423" w:rsidP="003B0423">
                  <w:pPr>
                    <w:autoSpaceDE w:val="0"/>
                    <w:autoSpaceDN w:val="0"/>
                    <w:adjustRightInd w:val="0"/>
                    <w:jc w:val="right"/>
                    <w:rPr>
                      <w:rFonts w:ascii="Calibri" w:hAnsi="Calibri" w:cs="Calibri"/>
                      <w:bCs/>
                      <w:color w:val="000000"/>
                      <w:sz w:val="22"/>
                      <w:szCs w:val="22"/>
                      <w:highlight w:val="yellow"/>
                    </w:rPr>
                  </w:pPr>
                </w:p>
              </w:tc>
              <w:tc>
                <w:tcPr>
                  <w:tcW w:w="1275" w:type="dxa"/>
                  <w:gridSpan w:val="2"/>
                  <w:tcBorders>
                    <w:left w:val="single" w:sz="4" w:space="0" w:color="auto"/>
                    <w:right w:val="single" w:sz="4" w:space="0" w:color="auto"/>
                  </w:tcBorders>
                  <w:shd w:val="clear" w:color="auto" w:fill="FFFF00"/>
                </w:tcPr>
                <w:p w14:paraId="5D07125B" w14:textId="77777777" w:rsidR="003B0423" w:rsidRPr="00E80E5B" w:rsidRDefault="003B0423" w:rsidP="003B0423">
                  <w:pPr>
                    <w:autoSpaceDE w:val="0"/>
                    <w:autoSpaceDN w:val="0"/>
                    <w:adjustRightInd w:val="0"/>
                    <w:rPr>
                      <w:rFonts w:ascii="Calibri" w:hAnsi="Calibri" w:cs="Calibri"/>
                      <w:b/>
                      <w:color w:val="000000"/>
                      <w:sz w:val="22"/>
                      <w:szCs w:val="22"/>
                    </w:rPr>
                  </w:pPr>
                </w:p>
              </w:tc>
              <w:tc>
                <w:tcPr>
                  <w:tcW w:w="1277" w:type="dxa"/>
                  <w:tcBorders>
                    <w:left w:val="single" w:sz="4" w:space="0" w:color="auto"/>
                    <w:right w:val="single" w:sz="4" w:space="0" w:color="auto"/>
                  </w:tcBorders>
                  <w:shd w:val="clear" w:color="auto" w:fill="auto"/>
                </w:tcPr>
                <w:p w14:paraId="735817E7" w14:textId="77777777" w:rsidR="003B0423" w:rsidRPr="001D5902" w:rsidRDefault="003B0423" w:rsidP="003B0423">
                  <w:pPr>
                    <w:autoSpaceDE w:val="0"/>
                    <w:autoSpaceDN w:val="0"/>
                    <w:adjustRightInd w:val="0"/>
                    <w:rPr>
                      <w:rFonts w:ascii="Calibri" w:hAnsi="Calibri" w:cs="Calibri"/>
                      <w:bCs/>
                      <w:color w:val="000000"/>
                      <w:sz w:val="22"/>
                      <w:szCs w:val="22"/>
                    </w:rPr>
                  </w:pPr>
                </w:p>
              </w:tc>
              <w:tc>
                <w:tcPr>
                  <w:tcW w:w="1134" w:type="dxa"/>
                  <w:gridSpan w:val="2"/>
                  <w:tcBorders>
                    <w:top w:val="single" w:sz="12" w:space="0" w:color="auto"/>
                    <w:left w:val="single" w:sz="4" w:space="0" w:color="auto"/>
                    <w:right w:val="single" w:sz="4" w:space="0" w:color="auto"/>
                  </w:tcBorders>
                  <w:shd w:val="clear" w:color="auto" w:fill="auto"/>
                </w:tcPr>
                <w:p w14:paraId="1599F9DF" w14:textId="77777777" w:rsidR="003B0423" w:rsidRPr="001D5902" w:rsidRDefault="003B0423" w:rsidP="003B0423">
                  <w:pPr>
                    <w:autoSpaceDE w:val="0"/>
                    <w:autoSpaceDN w:val="0"/>
                    <w:adjustRightInd w:val="0"/>
                    <w:rPr>
                      <w:rFonts w:ascii="Calibri" w:hAnsi="Calibri" w:cs="Calibri"/>
                      <w:bCs/>
                      <w:color w:val="000000"/>
                      <w:sz w:val="22"/>
                      <w:szCs w:val="22"/>
                    </w:rPr>
                  </w:pPr>
                </w:p>
              </w:tc>
              <w:tc>
                <w:tcPr>
                  <w:tcW w:w="1133" w:type="dxa"/>
                  <w:tcBorders>
                    <w:top w:val="single" w:sz="12" w:space="0" w:color="auto"/>
                    <w:left w:val="single" w:sz="4" w:space="0" w:color="auto"/>
                    <w:right w:val="single" w:sz="4" w:space="0" w:color="auto"/>
                  </w:tcBorders>
                  <w:shd w:val="clear" w:color="auto" w:fill="auto"/>
                </w:tcPr>
                <w:p w14:paraId="4F13AAB7" w14:textId="77777777" w:rsidR="003B0423" w:rsidRPr="001D5902" w:rsidRDefault="003B0423" w:rsidP="003B0423">
                  <w:pPr>
                    <w:autoSpaceDE w:val="0"/>
                    <w:autoSpaceDN w:val="0"/>
                    <w:adjustRightInd w:val="0"/>
                    <w:jc w:val="right"/>
                    <w:rPr>
                      <w:rFonts w:ascii="Calibri" w:hAnsi="Calibri" w:cs="Calibri"/>
                      <w:bCs/>
                      <w:color w:val="000000"/>
                      <w:sz w:val="22"/>
                      <w:szCs w:val="22"/>
                    </w:rPr>
                  </w:pPr>
                </w:p>
              </w:tc>
            </w:tr>
            <w:tr w:rsidR="003B0423" w:rsidRPr="00C22F7C" w14:paraId="46103803" w14:textId="77777777" w:rsidTr="004C74E4">
              <w:trPr>
                <w:trHeight w:val="214"/>
              </w:trPr>
              <w:tc>
                <w:tcPr>
                  <w:tcW w:w="265" w:type="dxa"/>
                </w:tcPr>
                <w:p w14:paraId="649DDD1F" w14:textId="77777777" w:rsidR="003B0423" w:rsidRPr="009C28D2" w:rsidRDefault="003B0423" w:rsidP="003B0423">
                  <w:pPr>
                    <w:autoSpaceDE w:val="0"/>
                    <w:autoSpaceDN w:val="0"/>
                    <w:adjustRightInd w:val="0"/>
                    <w:rPr>
                      <w:rFonts w:ascii="Calibri" w:hAnsi="Calibri" w:cs="Calibri"/>
                      <w:bCs/>
                      <w:color w:val="000000"/>
                      <w:sz w:val="22"/>
                      <w:szCs w:val="22"/>
                    </w:rPr>
                  </w:pPr>
                </w:p>
              </w:tc>
              <w:tc>
                <w:tcPr>
                  <w:tcW w:w="3704" w:type="dxa"/>
                </w:tcPr>
                <w:p w14:paraId="1738E3E7" w14:textId="77777777" w:rsidR="003B0423" w:rsidRPr="00103D56" w:rsidRDefault="003B0423" w:rsidP="003B0423">
                  <w:pPr>
                    <w:autoSpaceDE w:val="0"/>
                    <w:autoSpaceDN w:val="0"/>
                    <w:adjustRightInd w:val="0"/>
                    <w:rPr>
                      <w:rFonts w:ascii="Calibri" w:hAnsi="Calibri" w:cs="Calibri"/>
                      <w:color w:val="000000"/>
                      <w:sz w:val="22"/>
                      <w:szCs w:val="22"/>
                    </w:rPr>
                  </w:pPr>
                  <w:r w:rsidRPr="00103D56">
                    <w:rPr>
                      <w:rFonts w:ascii="Calibri" w:hAnsi="Calibri" w:cs="Calibri"/>
                      <w:color w:val="000000"/>
                      <w:sz w:val="22"/>
                      <w:szCs w:val="22"/>
                    </w:rPr>
                    <w:t>Earnings per ordinary share (€)</w:t>
                  </w:r>
                </w:p>
              </w:tc>
              <w:tc>
                <w:tcPr>
                  <w:tcW w:w="710" w:type="dxa"/>
                  <w:gridSpan w:val="2"/>
                </w:tcPr>
                <w:p w14:paraId="7C8BCF22" w14:textId="77777777" w:rsidR="003B0423" w:rsidRPr="00103D56" w:rsidRDefault="003B0423" w:rsidP="003B0423">
                  <w:pPr>
                    <w:autoSpaceDE w:val="0"/>
                    <w:autoSpaceDN w:val="0"/>
                    <w:adjustRightInd w:val="0"/>
                    <w:jc w:val="right"/>
                    <w:rPr>
                      <w:rFonts w:ascii="Calibri" w:hAnsi="Calibri" w:cs="Calibri"/>
                      <w:b/>
                      <w:color w:val="000000"/>
                      <w:sz w:val="22"/>
                      <w:szCs w:val="22"/>
                    </w:rPr>
                  </w:pPr>
                </w:p>
              </w:tc>
              <w:tc>
                <w:tcPr>
                  <w:tcW w:w="1132" w:type="dxa"/>
                  <w:gridSpan w:val="2"/>
                  <w:tcBorders>
                    <w:right w:val="single" w:sz="4" w:space="0" w:color="auto"/>
                  </w:tcBorders>
                </w:tcPr>
                <w:p w14:paraId="1A9650BA" w14:textId="77777777" w:rsidR="003B0423" w:rsidRPr="00103D56" w:rsidRDefault="003B0423" w:rsidP="003B0423">
                  <w:pPr>
                    <w:autoSpaceDE w:val="0"/>
                    <w:autoSpaceDN w:val="0"/>
                    <w:adjustRightInd w:val="0"/>
                    <w:jc w:val="right"/>
                    <w:rPr>
                      <w:rFonts w:ascii="Calibri" w:hAnsi="Calibri" w:cs="Calibri"/>
                      <w:color w:val="000000"/>
                      <w:sz w:val="22"/>
                      <w:szCs w:val="22"/>
                      <w:highlight w:val="yellow"/>
                    </w:rPr>
                  </w:pPr>
                </w:p>
              </w:tc>
              <w:tc>
                <w:tcPr>
                  <w:tcW w:w="1275" w:type="dxa"/>
                  <w:gridSpan w:val="2"/>
                  <w:tcBorders>
                    <w:left w:val="single" w:sz="4" w:space="0" w:color="auto"/>
                    <w:right w:val="single" w:sz="4" w:space="0" w:color="auto"/>
                  </w:tcBorders>
                  <w:shd w:val="clear" w:color="auto" w:fill="FFFF00"/>
                </w:tcPr>
                <w:p w14:paraId="13A3AF56" w14:textId="77777777" w:rsidR="003B0423" w:rsidRPr="00E80E5B" w:rsidRDefault="003B0423" w:rsidP="003B0423">
                  <w:pPr>
                    <w:autoSpaceDE w:val="0"/>
                    <w:autoSpaceDN w:val="0"/>
                    <w:adjustRightInd w:val="0"/>
                    <w:jc w:val="right"/>
                    <w:rPr>
                      <w:rFonts w:ascii="Calibri" w:hAnsi="Calibri" w:cs="Calibri"/>
                      <w:b/>
                      <w:color w:val="000000"/>
                      <w:sz w:val="22"/>
                      <w:szCs w:val="22"/>
                    </w:rPr>
                  </w:pPr>
                </w:p>
              </w:tc>
              <w:tc>
                <w:tcPr>
                  <w:tcW w:w="1277" w:type="dxa"/>
                  <w:tcBorders>
                    <w:left w:val="single" w:sz="4" w:space="0" w:color="auto"/>
                    <w:right w:val="single" w:sz="4" w:space="0" w:color="auto"/>
                  </w:tcBorders>
                  <w:shd w:val="clear" w:color="auto" w:fill="auto"/>
                </w:tcPr>
                <w:p w14:paraId="098A3FD3" w14:textId="77777777" w:rsidR="003B0423" w:rsidRPr="001D5902" w:rsidRDefault="003B0423" w:rsidP="003B0423">
                  <w:pPr>
                    <w:autoSpaceDE w:val="0"/>
                    <w:autoSpaceDN w:val="0"/>
                    <w:adjustRightInd w:val="0"/>
                    <w:jc w:val="right"/>
                    <w:rPr>
                      <w:rFonts w:ascii="Calibri" w:hAnsi="Calibri" w:cs="Calibri"/>
                      <w:bCs/>
                      <w:color w:val="000000"/>
                      <w:sz w:val="22"/>
                      <w:szCs w:val="22"/>
                    </w:rPr>
                  </w:pPr>
                </w:p>
              </w:tc>
              <w:tc>
                <w:tcPr>
                  <w:tcW w:w="1134" w:type="dxa"/>
                  <w:gridSpan w:val="2"/>
                  <w:tcBorders>
                    <w:left w:val="single" w:sz="4" w:space="0" w:color="auto"/>
                    <w:right w:val="single" w:sz="4" w:space="0" w:color="auto"/>
                  </w:tcBorders>
                  <w:shd w:val="clear" w:color="auto" w:fill="auto"/>
                </w:tcPr>
                <w:p w14:paraId="17BF435E" w14:textId="77777777" w:rsidR="003B0423" w:rsidRPr="001D5902" w:rsidRDefault="003B0423" w:rsidP="003B0423">
                  <w:pPr>
                    <w:autoSpaceDE w:val="0"/>
                    <w:autoSpaceDN w:val="0"/>
                    <w:adjustRightInd w:val="0"/>
                    <w:jc w:val="right"/>
                    <w:rPr>
                      <w:rFonts w:ascii="Calibri" w:hAnsi="Calibri" w:cs="Calibri"/>
                      <w:bCs/>
                      <w:color w:val="000000"/>
                      <w:sz w:val="22"/>
                      <w:szCs w:val="22"/>
                    </w:rPr>
                  </w:pPr>
                </w:p>
              </w:tc>
              <w:tc>
                <w:tcPr>
                  <w:tcW w:w="1133" w:type="dxa"/>
                  <w:tcBorders>
                    <w:left w:val="single" w:sz="4" w:space="0" w:color="auto"/>
                    <w:right w:val="single" w:sz="4" w:space="0" w:color="auto"/>
                  </w:tcBorders>
                  <w:shd w:val="clear" w:color="auto" w:fill="auto"/>
                </w:tcPr>
                <w:p w14:paraId="1F882C17" w14:textId="77777777" w:rsidR="003B0423" w:rsidRPr="001D5902" w:rsidRDefault="003B0423" w:rsidP="003B0423">
                  <w:pPr>
                    <w:autoSpaceDE w:val="0"/>
                    <w:autoSpaceDN w:val="0"/>
                    <w:adjustRightInd w:val="0"/>
                    <w:jc w:val="right"/>
                    <w:rPr>
                      <w:rFonts w:ascii="Calibri" w:hAnsi="Calibri" w:cs="Calibri"/>
                      <w:bCs/>
                      <w:color w:val="000000"/>
                      <w:sz w:val="22"/>
                      <w:szCs w:val="22"/>
                    </w:rPr>
                  </w:pPr>
                </w:p>
              </w:tc>
            </w:tr>
            <w:tr w:rsidR="003B0423" w:rsidRPr="00C22F7C" w14:paraId="2A357E8F" w14:textId="77777777" w:rsidTr="004C74E4">
              <w:trPr>
                <w:trHeight w:val="214"/>
              </w:trPr>
              <w:tc>
                <w:tcPr>
                  <w:tcW w:w="265" w:type="dxa"/>
                </w:tcPr>
                <w:p w14:paraId="774193C4" w14:textId="77777777" w:rsidR="003B0423" w:rsidRPr="009C28D2" w:rsidRDefault="003B0423" w:rsidP="003B0423">
                  <w:pPr>
                    <w:autoSpaceDE w:val="0"/>
                    <w:autoSpaceDN w:val="0"/>
                    <w:adjustRightInd w:val="0"/>
                    <w:rPr>
                      <w:rFonts w:ascii="Calibri" w:hAnsi="Calibri" w:cs="Calibri"/>
                      <w:color w:val="000000"/>
                      <w:sz w:val="22"/>
                      <w:szCs w:val="22"/>
                    </w:rPr>
                  </w:pPr>
                </w:p>
              </w:tc>
              <w:tc>
                <w:tcPr>
                  <w:tcW w:w="3704" w:type="dxa"/>
                </w:tcPr>
                <w:p w14:paraId="29CECDC0" w14:textId="77777777" w:rsidR="003B0423" w:rsidRPr="00103D56" w:rsidRDefault="003B0423" w:rsidP="003B0423">
                  <w:pPr>
                    <w:autoSpaceDE w:val="0"/>
                    <w:autoSpaceDN w:val="0"/>
                    <w:adjustRightInd w:val="0"/>
                    <w:rPr>
                      <w:rFonts w:ascii="Calibri" w:hAnsi="Calibri" w:cs="Calibri"/>
                      <w:color w:val="000000"/>
                      <w:sz w:val="22"/>
                      <w:szCs w:val="22"/>
                    </w:rPr>
                  </w:pPr>
                  <w:r w:rsidRPr="00103D56">
                    <w:rPr>
                      <w:rFonts w:ascii="Calibri" w:hAnsi="Calibri" w:cs="Calibri"/>
                      <w:color w:val="000000"/>
                      <w:sz w:val="22"/>
                      <w:szCs w:val="22"/>
                    </w:rPr>
                    <w:t>Basic</w:t>
                  </w:r>
                </w:p>
              </w:tc>
              <w:tc>
                <w:tcPr>
                  <w:tcW w:w="710" w:type="dxa"/>
                  <w:gridSpan w:val="2"/>
                </w:tcPr>
                <w:p w14:paraId="7DB808DA" w14:textId="77777777" w:rsidR="003B0423" w:rsidRPr="00103D56" w:rsidRDefault="003B0423" w:rsidP="003B0423">
                  <w:pPr>
                    <w:autoSpaceDE w:val="0"/>
                    <w:autoSpaceDN w:val="0"/>
                    <w:adjustRightInd w:val="0"/>
                    <w:jc w:val="right"/>
                    <w:rPr>
                      <w:rFonts w:ascii="Calibri" w:hAnsi="Calibri" w:cs="Calibri"/>
                      <w:b/>
                      <w:bCs/>
                      <w:color w:val="000000"/>
                      <w:sz w:val="22"/>
                      <w:szCs w:val="22"/>
                    </w:rPr>
                  </w:pPr>
                </w:p>
              </w:tc>
              <w:tc>
                <w:tcPr>
                  <w:tcW w:w="1132" w:type="dxa"/>
                  <w:gridSpan w:val="2"/>
                  <w:tcBorders>
                    <w:right w:val="single" w:sz="4" w:space="0" w:color="auto"/>
                  </w:tcBorders>
                </w:tcPr>
                <w:p w14:paraId="183885B0"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highlight w:val="green"/>
                    </w:rPr>
                  </w:pPr>
                </w:p>
              </w:tc>
              <w:tc>
                <w:tcPr>
                  <w:tcW w:w="1275" w:type="dxa"/>
                  <w:gridSpan w:val="2"/>
                  <w:tcBorders>
                    <w:left w:val="single" w:sz="4" w:space="0" w:color="auto"/>
                    <w:right w:val="single" w:sz="4" w:space="0" w:color="auto"/>
                  </w:tcBorders>
                  <w:shd w:val="clear" w:color="auto" w:fill="FFFF00"/>
                </w:tcPr>
                <w:p w14:paraId="4B6D7965" w14:textId="77777777" w:rsidR="003B0423" w:rsidRPr="00103D56" w:rsidRDefault="003B0423" w:rsidP="003B0423">
                  <w:pPr>
                    <w:widowControl w:val="0"/>
                    <w:autoSpaceDE w:val="0"/>
                    <w:autoSpaceDN w:val="0"/>
                    <w:adjustRightInd w:val="0"/>
                    <w:jc w:val="right"/>
                    <w:rPr>
                      <w:rFonts w:ascii="Calibri" w:hAnsi="Calibri" w:cs="Calibri"/>
                      <w:b/>
                      <w:color w:val="000000"/>
                      <w:sz w:val="22"/>
                      <w:szCs w:val="22"/>
                    </w:rPr>
                  </w:pPr>
                  <w:r w:rsidRPr="00103D56">
                    <w:rPr>
                      <w:rFonts w:ascii="Calibri" w:hAnsi="Calibri" w:cs="Calibri"/>
                      <w:b/>
                      <w:color w:val="000000"/>
                      <w:sz w:val="22"/>
                      <w:szCs w:val="22"/>
                    </w:rPr>
                    <w:t>1.9126</w:t>
                  </w:r>
                </w:p>
              </w:tc>
              <w:tc>
                <w:tcPr>
                  <w:tcW w:w="1277" w:type="dxa"/>
                  <w:tcBorders>
                    <w:left w:val="single" w:sz="4" w:space="0" w:color="auto"/>
                    <w:right w:val="single" w:sz="4" w:space="0" w:color="auto"/>
                  </w:tcBorders>
                  <w:shd w:val="clear" w:color="auto" w:fill="auto"/>
                </w:tcPr>
                <w:p w14:paraId="41D6E3F8"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p>
              </w:tc>
              <w:tc>
                <w:tcPr>
                  <w:tcW w:w="1134" w:type="dxa"/>
                  <w:gridSpan w:val="2"/>
                  <w:tcBorders>
                    <w:left w:val="single" w:sz="4" w:space="0" w:color="auto"/>
                    <w:right w:val="single" w:sz="4" w:space="0" w:color="auto"/>
                  </w:tcBorders>
                  <w:shd w:val="clear" w:color="auto" w:fill="auto"/>
                </w:tcPr>
                <w:p w14:paraId="6BF4777C"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p>
              </w:tc>
              <w:tc>
                <w:tcPr>
                  <w:tcW w:w="1133" w:type="dxa"/>
                  <w:tcBorders>
                    <w:left w:val="single" w:sz="4" w:space="0" w:color="auto"/>
                    <w:right w:val="single" w:sz="4" w:space="0" w:color="auto"/>
                  </w:tcBorders>
                  <w:shd w:val="clear" w:color="auto" w:fill="auto"/>
                </w:tcPr>
                <w:p w14:paraId="1C98BA73"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1.1129</w:t>
                  </w:r>
                </w:p>
              </w:tc>
            </w:tr>
            <w:tr w:rsidR="003B0423" w:rsidRPr="00C22F7C" w14:paraId="7B9F484C" w14:textId="77777777" w:rsidTr="004C74E4">
              <w:trPr>
                <w:trHeight w:val="214"/>
              </w:trPr>
              <w:tc>
                <w:tcPr>
                  <w:tcW w:w="265" w:type="dxa"/>
                </w:tcPr>
                <w:p w14:paraId="6144F0F0" w14:textId="77777777" w:rsidR="003B0423" w:rsidRPr="009C28D2" w:rsidRDefault="003B0423" w:rsidP="003B0423">
                  <w:pPr>
                    <w:autoSpaceDE w:val="0"/>
                    <w:autoSpaceDN w:val="0"/>
                    <w:adjustRightInd w:val="0"/>
                    <w:rPr>
                      <w:rFonts w:ascii="Calibri" w:hAnsi="Calibri" w:cs="Calibri"/>
                      <w:color w:val="000000"/>
                      <w:sz w:val="22"/>
                      <w:szCs w:val="22"/>
                    </w:rPr>
                  </w:pPr>
                </w:p>
              </w:tc>
              <w:tc>
                <w:tcPr>
                  <w:tcW w:w="3704" w:type="dxa"/>
                </w:tcPr>
                <w:p w14:paraId="2CDC21D9" w14:textId="77777777" w:rsidR="003B0423" w:rsidRPr="00103D56" w:rsidRDefault="003B0423" w:rsidP="003B0423">
                  <w:pPr>
                    <w:autoSpaceDE w:val="0"/>
                    <w:autoSpaceDN w:val="0"/>
                    <w:adjustRightInd w:val="0"/>
                    <w:rPr>
                      <w:rFonts w:ascii="Calibri" w:hAnsi="Calibri" w:cs="Calibri"/>
                      <w:color w:val="000000"/>
                      <w:sz w:val="22"/>
                      <w:szCs w:val="22"/>
                    </w:rPr>
                  </w:pPr>
                  <w:r w:rsidRPr="00103D56">
                    <w:rPr>
                      <w:rFonts w:ascii="Calibri" w:hAnsi="Calibri" w:cs="Calibri"/>
                      <w:color w:val="000000"/>
                      <w:sz w:val="22"/>
                      <w:szCs w:val="22"/>
                    </w:rPr>
                    <w:t>Diluted</w:t>
                  </w:r>
                </w:p>
              </w:tc>
              <w:tc>
                <w:tcPr>
                  <w:tcW w:w="710" w:type="dxa"/>
                  <w:gridSpan w:val="2"/>
                </w:tcPr>
                <w:p w14:paraId="140B4293" w14:textId="77777777" w:rsidR="003B0423" w:rsidRPr="00103D56" w:rsidRDefault="003B0423" w:rsidP="003B0423">
                  <w:pPr>
                    <w:autoSpaceDE w:val="0"/>
                    <w:autoSpaceDN w:val="0"/>
                    <w:adjustRightInd w:val="0"/>
                    <w:jc w:val="right"/>
                    <w:rPr>
                      <w:rFonts w:ascii="Calibri" w:hAnsi="Calibri" w:cs="Calibri"/>
                      <w:b/>
                      <w:bCs/>
                      <w:color w:val="000000"/>
                      <w:sz w:val="22"/>
                      <w:szCs w:val="22"/>
                    </w:rPr>
                  </w:pPr>
                </w:p>
              </w:tc>
              <w:tc>
                <w:tcPr>
                  <w:tcW w:w="1132" w:type="dxa"/>
                  <w:gridSpan w:val="2"/>
                  <w:tcBorders>
                    <w:right w:val="single" w:sz="4" w:space="0" w:color="auto"/>
                  </w:tcBorders>
                </w:tcPr>
                <w:p w14:paraId="0F05B27C"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highlight w:val="green"/>
                    </w:rPr>
                  </w:pPr>
                </w:p>
              </w:tc>
              <w:tc>
                <w:tcPr>
                  <w:tcW w:w="1275" w:type="dxa"/>
                  <w:gridSpan w:val="2"/>
                  <w:tcBorders>
                    <w:left w:val="single" w:sz="4" w:space="0" w:color="auto"/>
                    <w:right w:val="single" w:sz="4" w:space="0" w:color="auto"/>
                  </w:tcBorders>
                  <w:shd w:val="clear" w:color="auto" w:fill="FFFF00"/>
                </w:tcPr>
                <w:p w14:paraId="689CF18C" w14:textId="77777777" w:rsidR="003B0423" w:rsidRPr="00103D56" w:rsidRDefault="003B0423" w:rsidP="003B0423">
                  <w:pPr>
                    <w:widowControl w:val="0"/>
                    <w:autoSpaceDE w:val="0"/>
                    <w:autoSpaceDN w:val="0"/>
                    <w:adjustRightInd w:val="0"/>
                    <w:jc w:val="right"/>
                    <w:rPr>
                      <w:rFonts w:ascii="Calibri" w:hAnsi="Calibri" w:cs="Calibri"/>
                      <w:b/>
                      <w:color w:val="000000"/>
                      <w:sz w:val="22"/>
                      <w:szCs w:val="22"/>
                    </w:rPr>
                  </w:pPr>
                  <w:r w:rsidRPr="00103D56">
                    <w:rPr>
                      <w:rFonts w:ascii="Calibri" w:hAnsi="Calibri" w:cs="Calibri"/>
                      <w:b/>
                      <w:color w:val="000000"/>
                      <w:sz w:val="22"/>
                      <w:szCs w:val="22"/>
                    </w:rPr>
                    <w:t>1.9034</w:t>
                  </w:r>
                </w:p>
              </w:tc>
              <w:tc>
                <w:tcPr>
                  <w:tcW w:w="1277" w:type="dxa"/>
                  <w:tcBorders>
                    <w:left w:val="single" w:sz="4" w:space="0" w:color="auto"/>
                    <w:right w:val="single" w:sz="4" w:space="0" w:color="auto"/>
                  </w:tcBorders>
                  <w:shd w:val="clear" w:color="auto" w:fill="auto"/>
                </w:tcPr>
                <w:p w14:paraId="67EB7208"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p>
              </w:tc>
              <w:tc>
                <w:tcPr>
                  <w:tcW w:w="1134" w:type="dxa"/>
                  <w:gridSpan w:val="2"/>
                  <w:tcBorders>
                    <w:left w:val="single" w:sz="4" w:space="0" w:color="auto"/>
                    <w:right w:val="single" w:sz="4" w:space="0" w:color="auto"/>
                  </w:tcBorders>
                  <w:shd w:val="clear" w:color="auto" w:fill="auto"/>
                </w:tcPr>
                <w:p w14:paraId="4E828581"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p>
              </w:tc>
              <w:tc>
                <w:tcPr>
                  <w:tcW w:w="1133" w:type="dxa"/>
                  <w:tcBorders>
                    <w:left w:val="single" w:sz="4" w:space="0" w:color="auto"/>
                    <w:right w:val="single" w:sz="4" w:space="0" w:color="auto"/>
                  </w:tcBorders>
                  <w:shd w:val="clear" w:color="auto" w:fill="auto"/>
                </w:tcPr>
                <w:p w14:paraId="00489596"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1.1101</w:t>
                  </w:r>
                </w:p>
              </w:tc>
            </w:tr>
            <w:tr w:rsidR="003B0423" w:rsidRPr="00C22F7C" w14:paraId="17DA6B9F" w14:textId="77777777" w:rsidTr="004C74E4">
              <w:trPr>
                <w:trHeight w:val="214"/>
              </w:trPr>
              <w:tc>
                <w:tcPr>
                  <w:tcW w:w="265" w:type="dxa"/>
                </w:tcPr>
                <w:p w14:paraId="28A57D47" w14:textId="77777777" w:rsidR="003B0423" w:rsidRPr="009C28D2" w:rsidRDefault="003B0423" w:rsidP="003B0423">
                  <w:pPr>
                    <w:autoSpaceDE w:val="0"/>
                    <w:autoSpaceDN w:val="0"/>
                    <w:adjustRightInd w:val="0"/>
                    <w:rPr>
                      <w:rFonts w:ascii="Calibri" w:hAnsi="Calibri" w:cs="Calibri"/>
                      <w:color w:val="000000"/>
                      <w:sz w:val="22"/>
                      <w:szCs w:val="22"/>
                    </w:rPr>
                  </w:pPr>
                </w:p>
              </w:tc>
              <w:tc>
                <w:tcPr>
                  <w:tcW w:w="3704" w:type="dxa"/>
                </w:tcPr>
                <w:p w14:paraId="6FC3E3C8" w14:textId="77777777" w:rsidR="003B0423" w:rsidRPr="00103D56" w:rsidRDefault="003B0423" w:rsidP="003B0423">
                  <w:pPr>
                    <w:autoSpaceDE w:val="0"/>
                    <w:autoSpaceDN w:val="0"/>
                    <w:adjustRightInd w:val="0"/>
                    <w:ind w:right="-128"/>
                    <w:rPr>
                      <w:rFonts w:ascii="Calibri" w:hAnsi="Calibri" w:cs="Calibri"/>
                      <w:color w:val="000000"/>
                      <w:sz w:val="22"/>
                      <w:szCs w:val="22"/>
                    </w:rPr>
                  </w:pPr>
                  <w:r w:rsidRPr="00103D56">
                    <w:rPr>
                      <w:rFonts w:ascii="Calibri" w:hAnsi="Calibri" w:cs="Calibri"/>
                      <w:color w:val="000000"/>
                      <w:sz w:val="22"/>
                      <w:szCs w:val="22"/>
                    </w:rPr>
                    <w:t>Weighted avg. no. of ord. shares (in Ms)</w:t>
                  </w:r>
                </w:p>
              </w:tc>
              <w:tc>
                <w:tcPr>
                  <w:tcW w:w="710" w:type="dxa"/>
                  <w:gridSpan w:val="2"/>
                </w:tcPr>
                <w:p w14:paraId="49066B70" w14:textId="77777777" w:rsidR="003B0423" w:rsidRPr="00103D56" w:rsidRDefault="003B0423" w:rsidP="003B0423">
                  <w:pPr>
                    <w:autoSpaceDE w:val="0"/>
                    <w:autoSpaceDN w:val="0"/>
                    <w:adjustRightInd w:val="0"/>
                    <w:jc w:val="center"/>
                    <w:rPr>
                      <w:rFonts w:ascii="Calibri" w:hAnsi="Calibri" w:cs="Calibri"/>
                      <w:b/>
                      <w:bCs/>
                      <w:color w:val="000000"/>
                      <w:sz w:val="22"/>
                      <w:szCs w:val="22"/>
                    </w:rPr>
                  </w:pPr>
                </w:p>
              </w:tc>
              <w:tc>
                <w:tcPr>
                  <w:tcW w:w="1132" w:type="dxa"/>
                  <w:gridSpan w:val="2"/>
                  <w:tcBorders>
                    <w:right w:val="single" w:sz="4" w:space="0" w:color="auto"/>
                  </w:tcBorders>
                </w:tcPr>
                <w:p w14:paraId="1654843A" w14:textId="77777777" w:rsidR="003B0423" w:rsidRPr="00103D56" w:rsidRDefault="003B0423" w:rsidP="003B0423">
                  <w:pPr>
                    <w:autoSpaceDE w:val="0"/>
                    <w:autoSpaceDN w:val="0"/>
                    <w:adjustRightInd w:val="0"/>
                    <w:jc w:val="right"/>
                    <w:rPr>
                      <w:rFonts w:ascii="Calibri" w:hAnsi="Calibri" w:cs="Calibri"/>
                      <w:bCs/>
                      <w:color w:val="000000"/>
                      <w:sz w:val="22"/>
                      <w:szCs w:val="22"/>
                      <w:highlight w:val="green"/>
                    </w:rPr>
                  </w:pPr>
                </w:p>
              </w:tc>
              <w:tc>
                <w:tcPr>
                  <w:tcW w:w="1275" w:type="dxa"/>
                  <w:gridSpan w:val="2"/>
                  <w:tcBorders>
                    <w:left w:val="single" w:sz="4" w:space="0" w:color="auto"/>
                    <w:right w:val="single" w:sz="4" w:space="0" w:color="auto"/>
                  </w:tcBorders>
                  <w:shd w:val="clear" w:color="auto" w:fill="FFFF00"/>
                </w:tcPr>
                <w:p w14:paraId="4361650F" w14:textId="77777777" w:rsidR="003B0423" w:rsidRPr="00103D56" w:rsidRDefault="003B0423" w:rsidP="003B0423">
                  <w:pPr>
                    <w:autoSpaceDE w:val="0"/>
                    <w:autoSpaceDN w:val="0"/>
                    <w:adjustRightInd w:val="0"/>
                    <w:jc w:val="right"/>
                    <w:rPr>
                      <w:rFonts w:ascii="Calibri" w:hAnsi="Calibri" w:cs="Calibri"/>
                      <w:b/>
                      <w:color w:val="000000"/>
                      <w:sz w:val="22"/>
                      <w:szCs w:val="22"/>
                    </w:rPr>
                  </w:pPr>
                </w:p>
              </w:tc>
              <w:tc>
                <w:tcPr>
                  <w:tcW w:w="1277" w:type="dxa"/>
                  <w:tcBorders>
                    <w:left w:val="single" w:sz="4" w:space="0" w:color="auto"/>
                    <w:right w:val="single" w:sz="4" w:space="0" w:color="auto"/>
                  </w:tcBorders>
                  <w:shd w:val="clear" w:color="auto" w:fill="auto"/>
                </w:tcPr>
                <w:p w14:paraId="0A6ECEF0"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4" w:type="dxa"/>
                  <w:gridSpan w:val="2"/>
                  <w:tcBorders>
                    <w:left w:val="single" w:sz="4" w:space="0" w:color="auto"/>
                    <w:right w:val="single" w:sz="4" w:space="0" w:color="auto"/>
                  </w:tcBorders>
                  <w:shd w:val="clear" w:color="auto" w:fill="auto"/>
                </w:tcPr>
                <w:p w14:paraId="58058289"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3" w:type="dxa"/>
                  <w:tcBorders>
                    <w:left w:val="single" w:sz="4" w:space="0" w:color="auto"/>
                    <w:right w:val="single" w:sz="4" w:space="0" w:color="auto"/>
                  </w:tcBorders>
                  <w:shd w:val="clear" w:color="auto" w:fill="auto"/>
                </w:tcPr>
                <w:p w14:paraId="666DA832"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r>
            <w:tr w:rsidR="003B0423" w:rsidRPr="00C22F7C" w14:paraId="0C9F9ADB" w14:textId="77777777" w:rsidTr="004C74E4">
              <w:trPr>
                <w:trHeight w:val="80"/>
              </w:trPr>
              <w:tc>
                <w:tcPr>
                  <w:tcW w:w="265" w:type="dxa"/>
                </w:tcPr>
                <w:p w14:paraId="315F63FE" w14:textId="77777777" w:rsidR="003B0423" w:rsidRPr="00C22F7C" w:rsidRDefault="003B0423" w:rsidP="003B0423">
                  <w:pPr>
                    <w:autoSpaceDE w:val="0"/>
                    <w:autoSpaceDN w:val="0"/>
                    <w:adjustRightInd w:val="0"/>
                    <w:rPr>
                      <w:rFonts w:ascii="Calibri" w:hAnsi="Calibri" w:cs="Calibri"/>
                      <w:color w:val="000000"/>
                      <w:sz w:val="22"/>
                      <w:szCs w:val="22"/>
                    </w:rPr>
                  </w:pPr>
                </w:p>
              </w:tc>
              <w:tc>
                <w:tcPr>
                  <w:tcW w:w="3704" w:type="dxa"/>
                </w:tcPr>
                <w:p w14:paraId="338BC7B6" w14:textId="77777777" w:rsidR="003B0423" w:rsidRPr="00103D56" w:rsidRDefault="003B0423" w:rsidP="003B0423">
                  <w:pPr>
                    <w:autoSpaceDE w:val="0"/>
                    <w:autoSpaceDN w:val="0"/>
                    <w:adjustRightInd w:val="0"/>
                    <w:rPr>
                      <w:rFonts w:ascii="Calibri" w:hAnsi="Calibri" w:cs="Calibri"/>
                      <w:color w:val="000000"/>
                      <w:sz w:val="22"/>
                      <w:szCs w:val="22"/>
                    </w:rPr>
                  </w:pPr>
                  <w:r w:rsidRPr="00103D56">
                    <w:rPr>
                      <w:rFonts w:ascii="Calibri" w:hAnsi="Calibri" w:cs="Calibri"/>
                      <w:color w:val="000000"/>
                      <w:sz w:val="22"/>
                      <w:szCs w:val="22"/>
                    </w:rPr>
                    <w:t>Basic</w:t>
                  </w:r>
                </w:p>
              </w:tc>
              <w:tc>
                <w:tcPr>
                  <w:tcW w:w="710" w:type="dxa"/>
                  <w:gridSpan w:val="2"/>
                </w:tcPr>
                <w:p w14:paraId="1479730D" w14:textId="77777777" w:rsidR="003B0423" w:rsidRPr="00103D56" w:rsidRDefault="003B0423" w:rsidP="003B0423">
                  <w:pPr>
                    <w:autoSpaceDE w:val="0"/>
                    <w:autoSpaceDN w:val="0"/>
                    <w:adjustRightInd w:val="0"/>
                    <w:jc w:val="right"/>
                    <w:rPr>
                      <w:rFonts w:ascii="Calibri" w:hAnsi="Calibri" w:cs="Calibri"/>
                      <w:b/>
                      <w:bCs/>
                      <w:color w:val="000000"/>
                      <w:sz w:val="22"/>
                      <w:szCs w:val="22"/>
                    </w:rPr>
                  </w:pPr>
                </w:p>
              </w:tc>
              <w:tc>
                <w:tcPr>
                  <w:tcW w:w="1132" w:type="dxa"/>
                  <w:gridSpan w:val="2"/>
                  <w:tcBorders>
                    <w:right w:val="single" w:sz="4" w:space="0" w:color="auto"/>
                  </w:tcBorders>
                </w:tcPr>
                <w:p w14:paraId="123F7CB6" w14:textId="77777777" w:rsidR="003B0423" w:rsidRPr="00103D56" w:rsidRDefault="003B0423" w:rsidP="003B0423">
                  <w:pPr>
                    <w:autoSpaceDE w:val="0"/>
                    <w:autoSpaceDN w:val="0"/>
                    <w:adjustRightInd w:val="0"/>
                    <w:jc w:val="right"/>
                    <w:rPr>
                      <w:rFonts w:ascii="Calibri" w:hAnsi="Calibri" w:cs="Calibri"/>
                      <w:bCs/>
                      <w:color w:val="000000"/>
                      <w:sz w:val="22"/>
                      <w:szCs w:val="22"/>
                      <w:highlight w:val="yellow"/>
                    </w:rPr>
                  </w:pPr>
                </w:p>
              </w:tc>
              <w:tc>
                <w:tcPr>
                  <w:tcW w:w="1275" w:type="dxa"/>
                  <w:gridSpan w:val="2"/>
                  <w:tcBorders>
                    <w:left w:val="single" w:sz="4" w:space="0" w:color="auto"/>
                    <w:right w:val="single" w:sz="4" w:space="0" w:color="auto"/>
                  </w:tcBorders>
                  <w:shd w:val="clear" w:color="auto" w:fill="FFFF00"/>
                </w:tcPr>
                <w:p w14:paraId="28A0146E" w14:textId="77777777" w:rsidR="003B0423" w:rsidRPr="00103D56" w:rsidRDefault="003B0423" w:rsidP="003B0423">
                  <w:pPr>
                    <w:widowControl w:val="0"/>
                    <w:autoSpaceDE w:val="0"/>
                    <w:autoSpaceDN w:val="0"/>
                    <w:adjustRightInd w:val="0"/>
                    <w:jc w:val="right"/>
                    <w:rPr>
                      <w:rFonts w:ascii="Calibri" w:hAnsi="Calibri" w:cs="Calibri"/>
                      <w:b/>
                      <w:color w:val="000000"/>
                      <w:sz w:val="22"/>
                      <w:szCs w:val="22"/>
                    </w:rPr>
                  </w:pPr>
                  <w:r w:rsidRPr="00103D56">
                    <w:rPr>
                      <w:rFonts w:ascii="Calibri" w:hAnsi="Calibri" w:cs="Calibri"/>
                      <w:b/>
                      <w:color w:val="000000"/>
                      <w:sz w:val="22"/>
                      <w:szCs w:val="22"/>
                    </w:rPr>
                    <w:t>1,138.8</w:t>
                  </w:r>
                </w:p>
              </w:tc>
              <w:tc>
                <w:tcPr>
                  <w:tcW w:w="1277" w:type="dxa"/>
                  <w:tcBorders>
                    <w:left w:val="single" w:sz="4" w:space="0" w:color="auto"/>
                    <w:right w:val="single" w:sz="4" w:space="0" w:color="auto"/>
                  </w:tcBorders>
                  <w:shd w:val="clear" w:color="auto" w:fill="auto"/>
                </w:tcPr>
                <w:p w14:paraId="203C9049"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p>
              </w:tc>
              <w:tc>
                <w:tcPr>
                  <w:tcW w:w="1134" w:type="dxa"/>
                  <w:gridSpan w:val="2"/>
                  <w:tcBorders>
                    <w:left w:val="single" w:sz="4" w:space="0" w:color="auto"/>
                    <w:right w:val="single" w:sz="4" w:space="0" w:color="auto"/>
                  </w:tcBorders>
                  <w:shd w:val="clear" w:color="auto" w:fill="auto"/>
                </w:tcPr>
                <w:p w14:paraId="4E780F91"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p>
              </w:tc>
              <w:tc>
                <w:tcPr>
                  <w:tcW w:w="1133" w:type="dxa"/>
                  <w:tcBorders>
                    <w:left w:val="single" w:sz="4" w:space="0" w:color="auto"/>
                    <w:right w:val="single" w:sz="4" w:space="0" w:color="auto"/>
                  </w:tcBorders>
                  <w:shd w:val="clear" w:color="auto" w:fill="auto"/>
                </w:tcPr>
                <w:p w14:paraId="6EFA1FB7"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1,135.2</w:t>
                  </w:r>
                </w:p>
              </w:tc>
            </w:tr>
            <w:tr w:rsidR="003B0423" w:rsidRPr="00C22F7C" w14:paraId="16DBBEA2" w14:textId="77777777" w:rsidTr="004C74E4">
              <w:trPr>
                <w:trHeight w:val="214"/>
              </w:trPr>
              <w:tc>
                <w:tcPr>
                  <w:tcW w:w="265" w:type="dxa"/>
                </w:tcPr>
                <w:p w14:paraId="62048246" w14:textId="77777777" w:rsidR="003B0423" w:rsidRPr="00C22F7C" w:rsidRDefault="003B0423" w:rsidP="003B0423">
                  <w:pPr>
                    <w:autoSpaceDE w:val="0"/>
                    <w:autoSpaceDN w:val="0"/>
                    <w:adjustRightInd w:val="0"/>
                    <w:rPr>
                      <w:rFonts w:ascii="Calibri" w:hAnsi="Calibri" w:cs="Calibri"/>
                      <w:color w:val="000000"/>
                      <w:sz w:val="22"/>
                      <w:szCs w:val="22"/>
                    </w:rPr>
                  </w:pPr>
                </w:p>
              </w:tc>
              <w:tc>
                <w:tcPr>
                  <w:tcW w:w="3704" w:type="dxa"/>
                </w:tcPr>
                <w:p w14:paraId="6206928A" w14:textId="77777777" w:rsidR="003B0423" w:rsidRPr="00103D56" w:rsidRDefault="003B0423" w:rsidP="003B0423">
                  <w:pPr>
                    <w:autoSpaceDE w:val="0"/>
                    <w:autoSpaceDN w:val="0"/>
                    <w:adjustRightInd w:val="0"/>
                    <w:rPr>
                      <w:rFonts w:ascii="Calibri" w:hAnsi="Calibri" w:cs="Calibri"/>
                      <w:color w:val="000000"/>
                      <w:sz w:val="22"/>
                      <w:szCs w:val="22"/>
                    </w:rPr>
                  </w:pPr>
                  <w:r w:rsidRPr="00103D56">
                    <w:rPr>
                      <w:rFonts w:ascii="Calibri" w:hAnsi="Calibri" w:cs="Calibri"/>
                      <w:color w:val="000000"/>
                      <w:sz w:val="22"/>
                      <w:szCs w:val="22"/>
                    </w:rPr>
                    <w:t>Diluted</w:t>
                  </w:r>
                </w:p>
              </w:tc>
              <w:tc>
                <w:tcPr>
                  <w:tcW w:w="710" w:type="dxa"/>
                  <w:gridSpan w:val="2"/>
                </w:tcPr>
                <w:p w14:paraId="3130B38A" w14:textId="77777777" w:rsidR="003B0423" w:rsidRPr="00103D56" w:rsidRDefault="003B0423" w:rsidP="003B0423">
                  <w:pPr>
                    <w:autoSpaceDE w:val="0"/>
                    <w:autoSpaceDN w:val="0"/>
                    <w:adjustRightInd w:val="0"/>
                    <w:jc w:val="right"/>
                    <w:rPr>
                      <w:rFonts w:ascii="Calibri" w:hAnsi="Calibri" w:cs="Calibri"/>
                      <w:b/>
                      <w:bCs/>
                      <w:color w:val="000000"/>
                      <w:sz w:val="22"/>
                      <w:szCs w:val="22"/>
                    </w:rPr>
                  </w:pPr>
                </w:p>
              </w:tc>
              <w:tc>
                <w:tcPr>
                  <w:tcW w:w="1132" w:type="dxa"/>
                  <w:gridSpan w:val="2"/>
                  <w:tcBorders>
                    <w:right w:val="single" w:sz="4" w:space="0" w:color="auto"/>
                  </w:tcBorders>
                </w:tcPr>
                <w:p w14:paraId="34649531" w14:textId="77777777" w:rsidR="003B0423" w:rsidRPr="00103D56" w:rsidRDefault="003B0423" w:rsidP="003B0423">
                  <w:pPr>
                    <w:autoSpaceDE w:val="0"/>
                    <w:autoSpaceDN w:val="0"/>
                    <w:adjustRightInd w:val="0"/>
                    <w:jc w:val="right"/>
                    <w:rPr>
                      <w:rFonts w:ascii="Calibri" w:hAnsi="Calibri" w:cs="Calibri"/>
                      <w:bCs/>
                      <w:color w:val="000000"/>
                      <w:sz w:val="22"/>
                      <w:szCs w:val="22"/>
                      <w:highlight w:val="yellow"/>
                    </w:rPr>
                  </w:pPr>
                </w:p>
              </w:tc>
              <w:tc>
                <w:tcPr>
                  <w:tcW w:w="1275" w:type="dxa"/>
                  <w:gridSpan w:val="2"/>
                  <w:tcBorders>
                    <w:left w:val="single" w:sz="4" w:space="0" w:color="auto"/>
                    <w:bottom w:val="single" w:sz="4" w:space="0" w:color="auto"/>
                    <w:right w:val="single" w:sz="4" w:space="0" w:color="auto"/>
                  </w:tcBorders>
                  <w:shd w:val="clear" w:color="auto" w:fill="FFFF00"/>
                </w:tcPr>
                <w:p w14:paraId="11BC4D66" w14:textId="77777777" w:rsidR="003B0423" w:rsidRPr="00103D56" w:rsidRDefault="003B0423" w:rsidP="003B0423">
                  <w:pPr>
                    <w:widowControl w:val="0"/>
                    <w:autoSpaceDE w:val="0"/>
                    <w:autoSpaceDN w:val="0"/>
                    <w:adjustRightInd w:val="0"/>
                    <w:jc w:val="right"/>
                    <w:rPr>
                      <w:rFonts w:ascii="Calibri" w:hAnsi="Calibri" w:cs="Calibri"/>
                      <w:b/>
                      <w:color w:val="000000"/>
                      <w:sz w:val="22"/>
                      <w:szCs w:val="22"/>
                    </w:rPr>
                  </w:pPr>
                  <w:r w:rsidRPr="00103D56">
                    <w:rPr>
                      <w:rFonts w:ascii="Calibri" w:hAnsi="Calibri" w:cs="Calibri"/>
                      <w:b/>
                      <w:color w:val="000000"/>
                      <w:sz w:val="22"/>
                      <w:szCs w:val="22"/>
                    </w:rPr>
                    <w:t>1,144.3</w:t>
                  </w:r>
                </w:p>
              </w:tc>
              <w:tc>
                <w:tcPr>
                  <w:tcW w:w="1277" w:type="dxa"/>
                  <w:tcBorders>
                    <w:left w:val="single" w:sz="4" w:space="0" w:color="auto"/>
                    <w:bottom w:val="single" w:sz="4" w:space="0" w:color="auto"/>
                    <w:right w:val="single" w:sz="4" w:space="0" w:color="auto"/>
                  </w:tcBorders>
                  <w:shd w:val="clear" w:color="auto" w:fill="auto"/>
                </w:tcPr>
                <w:p w14:paraId="7FF1F84D"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p>
              </w:tc>
              <w:tc>
                <w:tcPr>
                  <w:tcW w:w="1134" w:type="dxa"/>
                  <w:gridSpan w:val="2"/>
                  <w:tcBorders>
                    <w:left w:val="single" w:sz="4" w:space="0" w:color="auto"/>
                    <w:bottom w:val="single" w:sz="4" w:space="0" w:color="auto"/>
                    <w:right w:val="single" w:sz="4" w:space="0" w:color="auto"/>
                  </w:tcBorders>
                  <w:shd w:val="clear" w:color="auto" w:fill="auto"/>
                </w:tcPr>
                <w:p w14:paraId="00CF8F4C"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p>
              </w:tc>
              <w:tc>
                <w:tcPr>
                  <w:tcW w:w="1133" w:type="dxa"/>
                  <w:tcBorders>
                    <w:left w:val="single" w:sz="4" w:space="0" w:color="auto"/>
                    <w:bottom w:val="single" w:sz="4" w:space="0" w:color="auto"/>
                    <w:right w:val="single" w:sz="4" w:space="0" w:color="auto"/>
                  </w:tcBorders>
                  <w:shd w:val="clear" w:color="auto" w:fill="auto"/>
                </w:tcPr>
                <w:p w14:paraId="35B90AAF" w14:textId="77777777" w:rsidR="003B0423" w:rsidRPr="00103D56" w:rsidRDefault="003B0423" w:rsidP="003B0423">
                  <w:pPr>
                    <w:widowControl w:val="0"/>
                    <w:autoSpaceDE w:val="0"/>
                    <w:autoSpaceDN w:val="0"/>
                    <w:adjustRightInd w:val="0"/>
                    <w:jc w:val="right"/>
                    <w:rPr>
                      <w:rFonts w:ascii="Calibri" w:hAnsi="Calibri" w:cs="Calibri"/>
                      <w:bCs/>
                      <w:color w:val="000000"/>
                      <w:sz w:val="22"/>
                      <w:szCs w:val="22"/>
                    </w:rPr>
                  </w:pPr>
                  <w:r w:rsidRPr="00103D56">
                    <w:rPr>
                      <w:rFonts w:ascii="Calibri" w:hAnsi="Calibri" w:cs="Calibri"/>
                      <w:bCs/>
                      <w:color w:val="000000"/>
                      <w:sz w:val="22"/>
                      <w:szCs w:val="22"/>
                    </w:rPr>
                    <w:t>1,138.1</w:t>
                  </w:r>
                </w:p>
              </w:tc>
            </w:tr>
          </w:tbl>
          <w:p w14:paraId="072D10BE" w14:textId="77777777" w:rsidR="003B0423" w:rsidRPr="00C22F7C" w:rsidRDefault="003B0423" w:rsidP="003B0423">
            <w:pPr>
              <w:tabs>
                <w:tab w:val="left" w:pos="6096"/>
                <w:tab w:val="left" w:pos="7655"/>
              </w:tabs>
              <w:autoSpaceDE w:val="0"/>
              <w:autoSpaceDN w:val="0"/>
              <w:adjustRightInd w:val="0"/>
              <w:ind w:left="32"/>
              <w:rPr>
                <w:rFonts w:ascii="Calibri" w:hAnsi="Calibri" w:cs="Calibri"/>
                <w:b/>
                <w:bCs/>
                <w:i/>
                <w:color w:val="000000"/>
                <w:sz w:val="20"/>
                <w:szCs w:val="20"/>
              </w:rPr>
            </w:pPr>
          </w:p>
        </w:tc>
      </w:tr>
    </w:tbl>
    <w:p w14:paraId="6A5068E1" w14:textId="77777777" w:rsidR="00BE4C6F" w:rsidRPr="00C22F7C" w:rsidRDefault="00BE4C6F" w:rsidP="00BE4C6F">
      <w:pPr>
        <w:autoSpaceDE w:val="0"/>
        <w:autoSpaceDN w:val="0"/>
        <w:adjustRightInd w:val="0"/>
        <w:spacing w:before="120"/>
        <w:rPr>
          <w:rFonts w:ascii="Calibri" w:hAnsi="Calibri" w:cs="Calibri"/>
          <w:b/>
          <w:bCs/>
          <w:i/>
          <w:color w:val="000000"/>
          <w:sz w:val="18"/>
          <w:szCs w:val="18"/>
        </w:rPr>
      </w:pPr>
    </w:p>
    <w:p w14:paraId="29D479A6" w14:textId="77777777" w:rsidR="00E512D3" w:rsidRPr="009A1446" w:rsidRDefault="00E512D3" w:rsidP="00D5642A">
      <w:pPr>
        <w:autoSpaceDE w:val="0"/>
        <w:autoSpaceDN w:val="0"/>
        <w:adjustRightInd w:val="0"/>
        <w:ind w:left="34" w:firstLine="108"/>
        <w:rPr>
          <w:rFonts w:ascii="Calibri" w:hAnsi="Calibri" w:cs="Calibri"/>
          <w:i/>
          <w:color w:val="000000"/>
          <w:sz w:val="22"/>
          <w:szCs w:val="22"/>
        </w:rPr>
      </w:pPr>
      <w:r w:rsidRPr="009A1446">
        <w:rPr>
          <w:rFonts w:ascii="Calibri" w:hAnsi="Calibri" w:cs="Calibri"/>
          <w:i/>
          <w:color w:val="000000"/>
          <w:sz w:val="22"/>
          <w:szCs w:val="22"/>
        </w:rPr>
        <w:t>*’+’ is favourable and ‘</w:t>
      </w:r>
      <w:proofErr w:type="gramStart"/>
      <w:r w:rsidRPr="009A1446">
        <w:rPr>
          <w:rFonts w:ascii="Calibri" w:hAnsi="Calibri" w:cs="Calibri"/>
          <w:i/>
          <w:color w:val="000000"/>
          <w:sz w:val="22"/>
          <w:szCs w:val="22"/>
        </w:rPr>
        <w:t>-‘ is</w:t>
      </w:r>
      <w:proofErr w:type="gramEnd"/>
      <w:r w:rsidRPr="009A1446">
        <w:rPr>
          <w:rFonts w:ascii="Calibri" w:hAnsi="Calibri" w:cs="Calibri"/>
          <w:i/>
          <w:color w:val="000000"/>
          <w:sz w:val="22"/>
          <w:szCs w:val="22"/>
        </w:rPr>
        <w:t xml:space="preserve"> adverse </w:t>
      </w:r>
      <w:r w:rsidR="00FB56F1" w:rsidRPr="009A1446">
        <w:rPr>
          <w:rFonts w:ascii="Calibri" w:hAnsi="Calibri" w:cs="Calibri"/>
          <w:i/>
          <w:color w:val="000000"/>
          <w:sz w:val="22"/>
          <w:szCs w:val="22"/>
        </w:rPr>
        <w:t>period</w:t>
      </w:r>
      <w:r w:rsidRPr="009A1446">
        <w:rPr>
          <w:rFonts w:ascii="Calibri" w:hAnsi="Calibri" w:cs="Calibri"/>
          <w:i/>
          <w:color w:val="000000"/>
          <w:sz w:val="22"/>
          <w:szCs w:val="22"/>
        </w:rPr>
        <w:t>-on-</w:t>
      </w:r>
      <w:r w:rsidR="00FB56F1" w:rsidRPr="009A1446">
        <w:rPr>
          <w:rFonts w:ascii="Calibri" w:hAnsi="Calibri" w:cs="Calibri"/>
          <w:i/>
          <w:color w:val="000000"/>
          <w:sz w:val="22"/>
          <w:szCs w:val="22"/>
        </w:rPr>
        <w:t>period</w:t>
      </w:r>
      <w:r w:rsidRPr="009A1446">
        <w:rPr>
          <w:rFonts w:ascii="Calibri" w:hAnsi="Calibri" w:cs="Calibri"/>
          <w:i/>
          <w:color w:val="000000"/>
          <w:sz w:val="22"/>
          <w:szCs w:val="22"/>
        </w:rPr>
        <w:t>.</w:t>
      </w:r>
    </w:p>
    <w:p w14:paraId="574B9D16" w14:textId="77777777" w:rsidR="00E512D3" w:rsidRPr="00C22F7C" w:rsidRDefault="00E512D3" w:rsidP="00BE4C6F">
      <w:pPr>
        <w:autoSpaceDE w:val="0"/>
        <w:autoSpaceDN w:val="0"/>
        <w:adjustRightInd w:val="0"/>
        <w:spacing w:before="120"/>
        <w:rPr>
          <w:rFonts w:ascii="Calibri" w:hAnsi="Calibri" w:cs="Calibri"/>
          <w:b/>
          <w:bCs/>
          <w:i/>
          <w:color w:val="000000"/>
          <w:sz w:val="18"/>
          <w:szCs w:val="18"/>
        </w:rPr>
      </w:pPr>
    </w:p>
    <w:p w14:paraId="0AD62F49" w14:textId="77777777" w:rsidR="00BE4C6F" w:rsidRPr="00C22F7C" w:rsidRDefault="00BE4C6F">
      <w:pPr>
        <w:rPr>
          <w:rFonts w:ascii="Calibri" w:hAnsi="Calibri" w:cs="Calibri"/>
        </w:rPr>
      </w:pPr>
    </w:p>
    <w:tbl>
      <w:tblPr>
        <w:tblW w:w="8408" w:type="pct"/>
        <w:tblLayout w:type="fixed"/>
        <w:tblLook w:val="0000" w:firstRow="0" w:lastRow="0" w:firstColumn="0" w:lastColumn="0" w:noHBand="0" w:noVBand="0"/>
      </w:tblPr>
      <w:tblGrid>
        <w:gridCol w:w="11935"/>
        <w:gridCol w:w="5591"/>
      </w:tblGrid>
      <w:tr w:rsidR="004A178D" w:rsidRPr="00C22F7C" w14:paraId="0A4B6EFB" w14:textId="77777777" w:rsidTr="00FC2520">
        <w:trPr>
          <w:trHeight w:val="556"/>
        </w:trPr>
        <w:tc>
          <w:tcPr>
            <w:tcW w:w="5000" w:type="pct"/>
            <w:gridSpan w:val="2"/>
            <w:tcBorders>
              <w:top w:val="nil"/>
              <w:left w:val="nil"/>
              <w:bottom w:val="nil"/>
              <w:right w:val="nil"/>
            </w:tcBorders>
          </w:tcPr>
          <w:p w14:paraId="55E0B246" w14:textId="77777777" w:rsidR="004A178D" w:rsidRPr="00C22F7C" w:rsidRDefault="004A178D" w:rsidP="00754232">
            <w:pPr>
              <w:keepNext/>
              <w:pageBreakBefore/>
              <w:autoSpaceDE w:val="0"/>
              <w:autoSpaceDN w:val="0"/>
              <w:adjustRightInd w:val="0"/>
              <w:ind w:left="34"/>
              <w:rPr>
                <w:rFonts w:ascii="Calibri" w:hAnsi="Calibri" w:cs="Calibri"/>
                <w:b/>
                <w:bCs/>
                <w:color w:val="000000"/>
              </w:rPr>
            </w:pPr>
            <w:r w:rsidRPr="00C22F7C">
              <w:rPr>
                <w:rFonts w:ascii="Calibri" w:hAnsi="Calibri" w:cs="Calibri"/>
                <w:b/>
                <w:bCs/>
                <w:color w:val="000000"/>
              </w:rPr>
              <w:lastRenderedPageBreak/>
              <w:t xml:space="preserve">Ryanair Holdings plc and Subsidiaries </w:t>
            </w:r>
          </w:p>
          <w:p w14:paraId="28240E75" w14:textId="77777777" w:rsidR="004A178D" w:rsidRPr="00C22F7C" w:rsidRDefault="004A178D" w:rsidP="00260973">
            <w:pPr>
              <w:keepNext/>
              <w:pageBreakBefore/>
              <w:autoSpaceDE w:val="0"/>
              <w:autoSpaceDN w:val="0"/>
              <w:adjustRightInd w:val="0"/>
              <w:ind w:left="34"/>
              <w:rPr>
                <w:rFonts w:ascii="Calibri" w:hAnsi="Calibri" w:cs="Calibri"/>
                <w:b/>
                <w:bCs/>
                <w:i/>
                <w:color w:val="000000"/>
              </w:rPr>
            </w:pPr>
            <w:r w:rsidRPr="00C22F7C">
              <w:rPr>
                <w:rFonts w:ascii="Calibri" w:hAnsi="Calibri" w:cs="Calibri"/>
                <w:b/>
                <w:bCs/>
                <w:i/>
                <w:color w:val="000000"/>
              </w:rPr>
              <w:t xml:space="preserve">Condensed Consolidated </w:t>
            </w:r>
            <w:r w:rsidR="0085042F" w:rsidRPr="00C22F7C">
              <w:rPr>
                <w:rFonts w:ascii="Calibri" w:hAnsi="Calibri" w:cs="Calibri"/>
                <w:b/>
                <w:bCs/>
                <w:i/>
                <w:color w:val="000000"/>
              </w:rPr>
              <w:t xml:space="preserve">Interim </w:t>
            </w:r>
            <w:r w:rsidRPr="00C22F7C">
              <w:rPr>
                <w:rFonts w:ascii="Calibri" w:hAnsi="Calibri" w:cs="Calibri"/>
                <w:b/>
                <w:bCs/>
                <w:i/>
                <w:color w:val="000000"/>
              </w:rPr>
              <w:t>Income Statement for the</w:t>
            </w:r>
            <w:r w:rsidR="00FC2520" w:rsidRPr="00C22F7C">
              <w:rPr>
                <w:rFonts w:ascii="Calibri" w:hAnsi="Calibri" w:cs="Calibri"/>
                <w:b/>
                <w:bCs/>
                <w:i/>
                <w:color w:val="000000"/>
              </w:rPr>
              <w:t xml:space="preserve"> </w:t>
            </w:r>
            <w:r w:rsidR="00063A4D" w:rsidRPr="00C22F7C">
              <w:rPr>
                <w:rFonts w:ascii="Calibri" w:hAnsi="Calibri" w:cs="Calibri"/>
                <w:b/>
                <w:bCs/>
                <w:i/>
                <w:color w:val="000000"/>
              </w:rPr>
              <w:t>Q</w:t>
            </w:r>
            <w:r w:rsidR="0085042F" w:rsidRPr="00C22F7C">
              <w:rPr>
                <w:rFonts w:ascii="Calibri" w:hAnsi="Calibri" w:cs="Calibri"/>
                <w:b/>
                <w:bCs/>
                <w:i/>
                <w:color w:val="000000"/>
              </w:rPr>
              <w:t>uarter</w:t>
            </w:r>
            <w:r w:rsidRPr="00C22F7C">
              <w:rPr>
                <w:rFonts w:ascii="Calibri" w:hAnsi="Calibri" w:cs="Calibri"/>
                <w:b/>
                <w:bCs/>
                <w:i/>
                <w:color w:val="000000"/>
              </w:rPr>
              <w:t xml:space="preserve"> </w:t>
            </w:r>
            <w:r w:rsidR="007A1281">
              <w:rPr>
                <w:rFonts w:ascii="Calibri" w:hAnsi="Calibri" w:cs="Calibri"/>
                <w:b/>
                <w:bCs/>
                <w:i/>
                <w:color w:val="000000"/>
              </w:rPr>
              <w:t>E</w:t>
            </w:r>
            <w:r w:rsidRPr="00C22F7C">
              <w:rPr>
                <w:rFonts w:ascii="Calibri" w:hAnsi="Calibri" w:cs="Calibri"/>
                <w:b/>
                <w:bCs/>
                <w:i/>
                <w:color w:val="000000"/>
              </w:rPr>
              <w:t xml:space="preserve">nded </w:t>
            </w:r>
            <w:r w:rsidR="001E40E9" w:rsidRPr="00C22F7C">
              <w:rPr>
                <w:rFonts w:ascii="Calibri" w:hAnsi="Calibri" w:cs="Calibri"/>
                <w:b/>
                <w:bCs/>
                <w:i/>
                <w:color w:val="000000"/>
              </w:rPr>
              <w:t>September</w:t>
            </w:r>
            <w:r w:rsidRPr="00C22F7C">
              <w:rPr>
                <w:rFonts w:ascii="Calibri" w:hAnsi="Calibri" w:cs="Calibri"/>
                <w:b/>
                <w:bCs/>
                <w:i/>
                <w:color w:val="000000"/>
              </w:rPr>
              <w:t xml:space="preserve"> 3</w:t>
            </w:r>
            <w:r w:rsidR="0085042F" w:rsidRPr="00C22F7C">
              <w:rPr>
                <w:rFonts w:ascii="Calibri" w:hAnsi="Calibri" w:cs="Calibri"/>
                <w:b/>
                <w:bCs/>
                <w:i/>
                <w:color w:val="000000"/>
              </w:rPr>
              <w:t>0</w:t>
            </w:r>
            <w:r w:rsidRPr="00C22F7C">
              <w:rPr>
                <w:rFonts w:ascii="Calibri" w:hAnsi="Calibri" w:cs="Calibri"/>
                <w:b/>
                <w:bCs/>
                <w:i/>
                <w:color w:val="000000"/>
              </w:rPr>
              <w:t>, 20</w:t>
            </w:r>
            <w:r w:rsidR="00D04F2D" w:rsidRPr="00C22F7C">
              <w:rPr>
                <w:rFonts w:ascii="Calibri" w:hAnsi="Calibri" w:cs="Calibri"/>
                <w:b/>
                <w:bCs/>
                <w:i/>
                <w:color w:val="000000"/>
              </w:rPr>
              <w:t>2</w:t>
            </w:r>
            <w:r w:rsidR="00622BA6">
              <w:rPr>
                <w:rFonts w:ascii="Calibri" w:hAnsi="Calibri" w:cs="Calibri"/>
                <w:b/>
                <w:bCs/>
                <w:i/>
                <w:color w:val="000000"/>
              </w:rPr>
              <w:t>3</w:t>
            </w:r>
            <w:r w:rsidRPr="00C22F7C">
              <w:rPr>
                <w:rFonts w:ascii="Calibri" w:hAnsi="Calibri" w:cs="Calibri"/>
                <w:b/>
                <w:bCs/>
                <w:i/>
                <w:color w:val="000000"/>
              </w:rPr>
              <w:t xml:space="preserve"> (unaudited)</w:t>
            </w:r>
          </w:p>
        </w:tc>
      </w:tr>
      <w:tr w:rsidR="004A178D" w:rsidRPr="00F72676" w14:paraId="6589B469" w14:textId="77777777" w:rsidTr="0085042F">
        <w:trPr>
          <w:gridAfter w:val="1"/>
          <w:wAfter w:w="1595" w:type="pct"/>
          <w:trHeight w:val="223"/>
        </w:trPr>
        <w:tc>
          <w:tcPr>
            <w:tcW w:w="3405" w:type="pct"/>
            <w:tcBorders>
              <w:top w:val="nil"/>
              <w:left w:val="nil"/>
              <w:bottom w:val="nil"/>
              <w:right w:val="nil"/>
            </w:tcBorders>
            <w:shd w:val="clear" w:color="auto" w:fill="auto"/>
          </w:tcPr>
          <w:p w14:paraId="0AED49CF" w14:textId="77777777" w:rsidR="004A178D" w:rsidRPr="00F72676" w:rsidRDefault="004A178D" w:rsidP="00754232">
            <w:pPr>
              <w:rPr>
                <w:rFonts w:ascii="Calibri" w:hAnsi="Calibri" w:cs="Calibri"/>
                <w:b/>
                <w:bCs/>
                <w:i/>
                <w:iCs/>
                <w:color w:val="000000"/>
                <w:sz w:val="22"/>
                <w:szCs w:val="22"/>
              </w:rPr>
            </w:pPr>
          </w:p>
          <w:tbl>
            <w:tblPr>
              <w:tblW w:w="10657" w:type="dxa"/>
              <w:tblLayout w:type="fixed"/>
              <w:tblLook w:val="0000" w:firstRow="0" w:lastRow="0" w:firstColumn="0" w:lastColumn="0" w:noHBand="0" w:noVBand="0"/>
            </w:tblPr>
            <w:tblGrid>
              <w:gridCol w:w="260"/>
              <w:gridCol w:w="3993"/>
              <w:gridCol w:w="709"/>
              <w:gridCol w:w="851"/>
              <w:gridCol w:w="1275"/>
              <w:gridCol w:w="1276"/>
              <w:gridCol w:w="1134"/>
              <w:gridCol w:w="1159"/>
            </w:tblGrid>
            <w:tr w:rsidR="00AD45BD" w:rsidRPr="00F72676" w14:paraId="7100B929" w14:textId="77777777" w:rsidTr="004C74E4">
              <w:trPr>
                <w:trHeight w:val="229"/>
              </w:trPr>
              <w:tc>
                <w:tcPr>
                  <w:tcW w:w="260" w:type="dxa"/>
                  <w:tcBorders>
                    <w:top w:val="nil"/>
                    <w:left w:val="nil"/>
                    <w:bottom w:val="nil"/>
                    <w:right w:val="nil"/>
                  </w:tcBorders>
                </w:tcPr>
                <w:p w14:paraId="4C354DA2" w14:textId="77777777" w:rsidR="00AD45BD" w:rsidRPr="00F72676" w:rsidRDefault="00AD45BD" w:rsidP="00AD45BD">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33F02BF9" w14:textId="77777777" w:rsidR="00AD45BD" w:rsidRPr="00F72676" w:rsidRDefault="00AD45BD" w:rsidP="00AD45BD">
                  <w:pPr>
                    <w:autoSpaceDE w:val="0"/>
                    <w:autoSpaceDN w:val="0"/>
                    <w:adjustRightInd w:val="0"/>
                    <w:jc w:val="right"/>
                    <w:rPr>
                      <w:rFonts w:ascii="Calibri" w:hAnsi="Calibri" w:cs="Calibri"/>
                      <w:color w:val="000000"/>
                      <w:sz w:val="22"/>
                      <w:szCs w:val="22"/>
                    </w:rPr>
                  </w:pPr>
                </w:p>
              </w:tc>
              <w:tc>
                <w:tcPr>
                  <w:tcW w:w="709" w:type="dxa"/>
                  <w:tcBorders>
                    <w:top w:val="nil"/>
                    <w:bottom w:val="nil"/>
                  </w:tcBorders>
                </w:tcPr>
                <w:p w14:paraId="1FD3CD6B" w14:textId="77777777" w:rsidR="00AD45BD" w:rsidRPr="00F72676" w:rsidRDefault="00AD45BD" w:rsidP="00AD45BD">
                  <w:pPr>
                    <w:autoSpaceDE w:val="0"/>
                    <w:autoSpaceDN w:val="0"/>
                    <w:adjustRightInd w:val="0"/>
                    <w:jc w:val="right"/>
                    <w:rPr>
                      <w:rFonts w:ascii="Calibri" w:hAnsi="Calibri" w:cs="Calibri"/>
                      <w:bCs/>
                      <w:color w:val="000000"/>
                      <w:sz w:val="22"/>
                      <w:szCs w:val="22"/>
                    </w:rPr>
                  </w:pPr>
                </w:p>
              </w:tc>
              <w:tc>
                <w:tcPr>
                  <w:tcW w:w="851" w:type="dxa"/>
                  <w:tcBorders>
                    <w:top w:val="nil"/>
                    <w:bottom w:val="nil"/>
                    <w:right w:val="single" w:sz="4" w:space="0" w:color="auto"/>
                  </w:tcBorders>
                </w:tcPr>
                <w:p w14:paraId="1B7C532C" w14:textId="77777777" w:rsidR="00AD45BD" w:rsidRPr="00F72676" w:rsidRDefault="00AD45BD" w:rsidP="00AD45BD">
                  <w:pPr>
                    <w:autoSpaceDE w:val="0"/>
                    <w:autoSpaceDN w:val="0"/>
                    <w:adjustRightInd w:val="0"/>
                    <w:ind w:left="-247" w:firstLine="247"/>
                    <w:jc w:val="right"/>
                    <w:rPr>
                      <w:rFonts w:ascii="Calibri" w:hAnsi="Calibri" w:cs="Calibri"/>
                      <w:bCs/>
                      <w:color w:val="000000"/>
                      <w:sz w:val="22"/>
                      <w:szCs w:val="22"/>
                    </w:rPr>
                  </w:pPr>
                </w:p>
              </w:tc>
              <w:tc>
                <w:tcPr>
                  <w:tcW w:w="1275" w:type="dxa"/>
                  <w:tcBorders>
                    <w:top w:val="single" w:sz="4" w:space="0" w:color="auto"/>
                    <w:bottom w:val="nil"/>
                    <w:right w:val="single" w:sz="4" w:space="0" w:color="auto"/>
                  </w:tcBorders>
                  <w:shd w:val="clear" w:color="auto" w:fill="FFFF00"/>
                </w:tcPr>
                <w:p w14:paraId="0B8F7589" w14:textId="77777777" w:rsidR="00AD45BD" w:rsidRPr="00F72676" w:rsidRDefault="00622BA6" w:rsidP="00AD45BD">
                  <w:pPr>
                    <w:widowControl w:val="0"/>
                    <w:autoSpaceDE w:val="0"/>
                    <w:autoSpaceDN w:val="0"/>
                    <w:adjustRightInd w:val="0"/>
                    <w:ind w:left="-226" w:firstLine="140"/>
                    <w:jc w:val="right"/>
                    <w:rPr>
                      <w:rFonts w:ascii="Calibri" w:hAnsi="Calibri" w:cs="Calibri"/>
                      <w:b/>
                      <w:color w:val="000000"/>
                      <w:sz w:val="22"/>
                      <w:szCs w:val="22"/>
                    </w:rPr>
                  </w:pPr>
                  <w:r w:rsidRPr="00F72676">
                    <w:rPr>
                      <w:rFonts w:ascii="Calibri" w:hAnsi="Calibri" w:cs="Calibri"/>
                      <w:b/>
                      <w:color w:val="000000"/>
                      <w:sz w:val="22"/>
                      <w:szCs w:val="22"/>
                    </w:rPr>
                    <w:t>IFRS</w:t>
                  </w:r>
                </w:p>
              </w:tc>
              <w:tc>
                <w:tcPr>
                  <w:tcW w:w="1276" w:type="dxa"/>
                  <w:tcBorders>
                    <w:top w:val="single" w:sz="4" w:space="0" w:color="auto"/>
                    <w:bottom w:val="nil"/>
                    <w:right w:val="single" w:sz="4" w:space="0" w:color="auto"/>
                  </w:tcBorders>
                  <w:shd w:val="clear" w:color="auto" w:fill="auto"/>
                </w:tcPr>
                <w:p w14:paraId="199CC53D" w14:textId="77777777" w:rsidR="00AD45BD" w:rsidRPr="00CA3F18" w:rsidRDefault="00AD45BD" w:rsidP="004C74E4">
                  <w:pPr>
                    <w:widowControl w:val="0"/>
                    <w:autoSpaceDE w:val="0"/>
                    <w:autoSpaceDN w:val="0"/>
                    <w:adjustRightInd w:val="0"/>
                    <w:ind w:left="-74" w:hanging="12"/>
                    <w:jc w:val="right"/>
                    <w:rPr>
                      <w:rFonts w:ascii="Calibri" w:hAnsi="Calibri" w:cs="Calibri"/>
                      <w:bCs/>
                      <w:color w:val="000000"/>
                      <w:sz w:val="22"/>
                      <w:szCs w:val="22"/>
                    </w:rPr>
                  </w:pPr>
                  <w:r w:rsidRPr="00CA3F18">
                    <w:rPr>
                      <w:rFonts w:ascii="Calibri" w:hAnsi="Calibri" w:cs="Calibri"/>
                      <w:bCs/>
                      <w:color w:val="000000"/>
                      <w:sz w:val="22"/>
                      <w:szCs w:val="22"/>
                    </w:rPr>
                    <w:t>Pre</w:t>
                  </w:r>
                  <w:r w:rsidR="004C74E4" w:rsidRPr="00CA3F18">
                    <w:rPr>
                      <w:rFonts w:ascii="Calibri" w:hAnsi="Calibri" w:cs="Calibri"/>
                      <w:bCs/>
                      <w:color w:val="000000"/>
                      <w:sz w:val="22"/>
                      <w:szCs w:val="22"/>
                    </w:rPr>
                    <w:t>-</w:t>
                  </w:r>
                  <w:r w:rsidRPr="00CA3F18">
                    <w:rPr>
                      <w:rFonts w:ascii="Calibri" w:hAnsi="Calibri" w:cs="Calibri"/>
                      <w:bCs/>
                      <w:color w:val="000000"/>
                      <w:sz w:val="22"/>
                      <w:szCs w:val="22"/>
                    </w:rPr>
                    <w:t>Except.</w:t>
                  </w:r>
                </w:p>
              </w:tc>
              <w:tc>
                <w:tcPr>
                  <w:tcW w:w="1134" w:type="dxa"/>
                  <w:tcBorders>
                    <w:top w:val="single" w:sz="4" w:space="0" w:color="auto"/>
                    <w:left w:val="single" w:sz="4" w:space="0" w:color="auto"/>
                    <w:bottom w:val="nil"/>
                    <w:right w:val="single" w:sz="4" w:space="0" w:color="auto"/>
                  </w:tcBorders>
                  <w:shd w:val="clear" w:color="auto" w:fill="auto"/>
                </w:tcPr>
                <w:p w14:paraId="2E477F0A" w14:textId="77777777" w:rsidR="00AD45BD" w:rsidRPr="00CA3F18" w:rsidRDefault="00AD45BD" w:rsidP="00AD45BD">
                  <w:pPr>
                    <w:widowControl w:val="0"/>
                    <w:autoSpaceDE w:val="0"/>
                    <w:autoSpaceDN w:val="0"/>
                    <w:adjustRightInd w:val="0"/>
                    <w:ind w:left="-226" w:firstLine="140"/>
                    <w:jc w:val="right"/>
                    <w:rPr>
                      <w:rFonts w:ascii="Calibri" w:hAnsi="Calibri" w:cs="Calibri"/>
                      <w:bCs/>
                      <w:color w:val="000000"/>
                      <w:sz w:val="22"/>
                      <w:szCs w:val="22"/>
                    </w:rPr>
                  </w:pPr>
                  <w:r w:rsidRPr="00CA3F18">
                    <w:rPr>
                      <w:rFonts w:ascii="Calibri" w:hAnsi="Calibri" w:cs="Calibri"/>
                      <w:bCs/>
                      <w:color w:val="000000"/>
                      <w:sz w:val="22"/>
                      <w:szCs w:val="22"/>
                    </w:rPr>
                    <w:t>Except.</w:t>
                  </w:r>
                </w:p>
              </w:tc>
              <w:tc>
                <w:tcPr>
                  <w:tcW w:w="1159" w:type="dxa"/>
                  <w:tcBorders>
                    <w:top w:val="single" w:sz="4" w:space="0" w:color="auto"/>
                    <w:left w:val="single" w:sz="4" w:space="0" w:color="auto"/>
                    <w:bottom w:val="nil"/>
                    <w:right w:val="single" w:sz="4" w:space="0" w:color="auto"/>
                  </w:tcBorders>
                  <w:shd w:val="clear" w:color="auto" w:fill="auto"/>
                </w:tcPr>
                <w:p w14:paraId="07E18039" w14:textId="77777777" w:rsidR="00AD45BD" w:rsidRPr="00CA3F18" w:rsidRDefault="00AD45BD" w:rsidP="00AD45BD">
                  <w:pPr>
                    <w:widowControl w:val="0"/>
                    <w:autoSpaceDE w:val="0"/>
                    <w:autoSpaceDN w:val="0"/>
                    <w:adjustRightInd w:val="0"/>
                    <w:ind w:left="-226" w:firstLine="140"/>
                    <w:jc w:val="right"/>
                    <w:rPr>
                      <w:rFonts w:ascii="Calibri" w:hAnsi="Calibri" w:cs="Calibri"/>
                      <w:bCs/>
                      <w:color w:val="000000"/>
                      <w:sz w:val="22"/>
                      <w:szCs w:val="22"/>
                    </w:rPr>
                  </w:pPr>
                  <w:r w:rsidRPr="00CA3F18">
                    <w:rPr>
                      <w:rFonts w:ascii="Calibri" w:hAnsi="Calibri" w:cs="Calibri"/>
                      <w:bCs/>
                      <w:color w:val="000000"/>
                      <w:sz w:val="22"/>
                      <w:szCs w:val="22"/>
                    </w:rPr>
                    <w:t>IFRS</w:t>
                  </w:r>
                </w:p>
              </w:tc>
            </w:tr>
            <w:tr w:rsidR="00622BA6" w:rsidRPr="00F72676" w14:paraId="7B3542B1" w14:textId="77777777" w:rsidTr="004C74E4">
              <w:trPr>
                <w:trHeight w:val="229"/>
              </w:trPr>
              <w:tc>
                <w:tcPr>
                  <w:tcW w:w="260" w:type="dxa"/>
                  <w:tcBorders>
                    <w:top w:val="nil"/>
                    <w:left w:val="nil"/>
                    <w:bottom w:val="nil"/>
                    <w:right w:val="nil"/>
                  </w:tcBorders>
                </w:tcPr>
                <w:p w14:paraId="43CC4B69" w14:textId="77777777" w:rsidR="00622BA6" w:rsidRPr="00F72676" w:rsidRDefault="00622BA6" w:rsidP="00622BA6">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0F75DC2E" w14:textId="77777777" w:rsidR="00622BA6" w:rsidRPr="00F72676" w:rsidRDefault="00622BA6" w:rsidP="00622BA6">
                  <w:pPr>
                    <w:autoSpaceDE w:val="0"/>
                    <w:autoSpaceDN w:val="0"/>
                    <w:adjustRightInd w:val="0"/>
                    <w:jc w:val="right"/>
                    <w:rPr>
                      <w:rFonts w:ascii="Calibri" w:hAnsi="Calibri" w:cs="Calibri"/>
                      <w:color w:val="000000"/>
                      <w:sz w:val="22"/>
                      <w:szCs w:val="22"/>
                    </w:rPr>
                  </w:pPr>
                </w:p>
              </w:tc>
              <w:tc>
                <w:tcPr>
                  <w:tcW w:w="709" w:type="dxa"/>
                  <w:tcBorders>
                    <w:top w:val="nil"/>
                    <w:bottom w:val="nil"/>
                  </w:tcBorders>
                </w:tcPr>
                <w:p w14:paraId="378C8CCE" w14:textId="77777777" w:rsidR="00622BA6" w:rsidRPr="00F72676" w:rsidRDefault="00622BA6" w:rsidP="00622BA6">
                  <w:pPr>
                    <w:autoSpaceDE w:val="0"/>
                    <w:autoSpaceDN w:val="0"/>
                    <w:adjustRightInd w:val="0"/>
                    <w:jc w:val="right"/>
                    <w:rPr>
                      <w:rFonts w:ascii="Calibri" w:hAnsi="Calibri" w:cs="Calibri"/>
                      <w:bCs/>
                      <w:color w:val="000000"/>
                      <w:sz w:val="22"/>
                      <w:szCs w:val="22"/>
                    </w:rPr>
                  </w:pPr>
                </w:p>
              </w:tc>
              <w:tc>
                <w:tcPr>
                  <w:tcW w:w="851" w:type="dxa"/>
                  <w:tcBorders>
                    <w:top w:val="nil"/>
                    <w:bottom w:val="nil"/>
                    <w:right w:val="single" w:sz="4" w:space="0" w:color="auto"/>
                  </w:tcBorders>
                  <w:shd w:val="clear" w:color="auto" w:fill="auto"/>
                </w:tcPr>
                <w:p w14:paraId="2602883D" w14:textId="77777777" w:rsidR="00622BA6" w:rsidRPr="00F72676" w:rsidRDefault="00622BA6" w:rsidP="00622BA6">
                  <w:pPr>
                    <w:tabs>
                      <w:tab w:val="left" w:pos="-108"/>
                    </w:tabs>
                    <w:autoSpaceDE w:val="0"/>
                    <w:autoSpaceDN w:val="0"/>
                    <w:adjustRightInd w:val="0"/>
                    <w:ind w:left="-250"/>
                    <w:jc w:val="right"/>
                    <w:rPr>
                      <w:rFonts w:ascii="Calibri" w:hAnsi="Calibri" w:cs="Calibri"/>
                      <w:bCs/>
                      <w:color w:val="000000"/>
                      <w:sz w:val="22"/>
                      <w:szCs w:val="22"/>
                    </w:rPr>
                  </w:pPr>
                </w:p>
              </w:tc>
              <w:tc>
                <w:tcPr>
                  <w:tcW w:w="1275" w:type="dxa"/>
                  <w:tcBorders>
                    <w:top w:val="nil"/>
                    <w:bottom w:val="nil"/>
                    <w:right w:val="single" w:sz="4" w:space="0" w:color="auto"/>
                  </w:tcBorders>
                  <w:shd w:val="clear" w:color="auto" w:fill="FFFF00"/>
                </w:tcPr>
                <w:p w14:paraId="4A3157FD" w14:textId="77777777" w:rsidR="00622BA6" w:rsidRPr="00F72676" w:rsidRDefault="00906D7F" w:rsidP="00622BA6">
                  <w:pPr>
                    <w:widowControl w:val="0"/>
                    <w:autoSpaceDE w:val="0"/>
                    <w:autoSpaceDN w:val="0"/>
                    <w:adjustRightInd w:val="0"/>
                    <w:jc w:val="right"/>
                    <w:rPr>
                      <w:rFonts w:ascii="Calibri" w:hAnsi="Calibri" w:cs="Calibri"/>
                      <w:b/>
                      <w:bCs/>
                      <w:color w:val="000000"/>
                      <w:sz w:val="22"/>
                      <w:szCs w:val="22"/>
                    </w:rPr>
                  </w:pPr>
                  <w:r w:rsidRPr="00F72676">
                    <w:rPr>
                      <w:rFonts w:ascii="Calibri" w:hAnsi="Calibri" w:cs="Calibri"/>
                      <w:b/>
                      <w:bCs/>
                      <w:color w:val="000000"/>
                      <w:sz w:val="22"/>
                      <w:szCs w:val="22"/>
                    </w:rPr>
                    <w:t>Quarter</w:t>
                  </w:r>
                </w:p>
              </w:tc>
              <w:tc>
                <w:tcPr>
                  <w:tcW w:w="1276" w:type="dxa"/>
                  <w:tcBorders>
                    <w:top w:val="nil"/>
                    <w:bottom w:val="nil"/>
                    <w:right w:val="single" w:sz="4" w:space="0" w:color="auto"/>
                  </w:tcBorders>
                  <w:shd w:val="clear" w:color="auto" w:fill="auto"/>
                </w:tcPr>
                <w:p w14:paraId="620957DB" w14:textId="77777777" w:rsidR="00622BA6" w:rsidRPr="00CA3F18" w:rsidRDefault="004F0630" w:rsidP="004C74E4">
                  <w:pPr>
                    <w:widowControl w:val="0"/>
                    <w:autoSpaceDE w:val="0"/>
                    <w:autoSpaceDN w:val="0"/>
                    <w:adjustRightInd w:val="0"/>
                    <w:ind w:left="-74" w:hanging="12"/>
                    <w:jc w:val="right"/>
                    <w:rPr>
                      <w:rFonts w:ascii="Calibri" w:hAnsi="Calibri" w:cs="Calibri"/>
                      <w:bCs/>
                      <w:color w:val="000000"/>
                      <w:sz w:val="22"/>
                      <w:szCs w:val="22"/>
                    </w:rPr>
                  </w:pPr>
                  <w:r w:rsidRPr="00CA3F18">
                    <w:rPr>
                      <w:rFonts w:ascii="Calibri" w:hAnsi="Calibri" w:cs="Calibri"/>
                      <w:bCs/>
                      <w:color w:val="000000"/>
                      <w:sz w:val="22"/>
                      <w:szCs w:val="22"/>
                    </w:rPr>
                    <w:t>Quarter</w:t>
                  </w:r>
                </w:p>
              </w:tc>
              <w:tc>
                <w:tcPr>
                  <w:tcW w:w="1134" w:type="dxa"/>
                  <w:tcBorders>
                    <w:top w:val="nil"/>
                    <w:left w:val="single" w:sz="4" w:space="0" w:color="auto"/>
                    <w:bottom w:val="nil"/>
                    <w:right w:val="single" w:sz="4" w:space="0" w:color="auto"/>
                  </w:tcBorders>
                  <w:shd w:val="clear" w:color="auto" w:fill="auto"/>
                </w:tcPr>
                <w:p w14:paraId="1B7C4953" w14:textId="77777777" w:rsidR="00622BA6" w:rsidRPr="00CA3F18" w:rsidRDefault="004F0630" w:rsidP="00622BA6">
                  <w:pPr>
                    <w:widowControl w:val="0"/>
                    <w:autoSpaceDE w:val="0"/>
                    <w:autoSpaceDN w:val="0"/>
                    <w:adjustRightInd w:val="0"/>
                    <w:ind w:left="-226" w:firstLine="140"/>
                    <w:jc w:val="right"/>
                    <w:rPr>
                      <w:rFonts w:ascii="Calibri" w:hAnsi="Calibri" w:cs="Calibri"/>
                      <w:bCs/>
                      <w:color w:val="000000"/>
                      <w:sz w:val="22"/>
                      <w:szCs w:val="22"/>
                    </w:rPr>
                  </w:pPr>
                  <w:r w:rsidRPr="00CA3F18">
                    <w:rPr>
                      <w:rFonts w:ascii="Calibri" w:hAnsi="Calibri" w:cs="Calibri"/>
                      <w:bCs/>
                      <w:color w:val="000000"/>
                      <w:sz w:val="22"/>
                      <w:szCs w:val="22"/>
                    </w:rPr>
                    <w:t>Quarter</w:t>
                  </w:r>
                </w:p>
              </w:tc>
              <w:tc>
                <w:tcPr>
                  <w:tcW w:w="1159" w:type="dxa"/>
                  <w:tcBorders>
                    <w:top w:val="nil"/>
                    <w:left w:val="single" w:sz="4" w:space="0" w:color="auto"/>
                    <w:bottom w:val="nil"/>
                    <w:right w:val="single" w:sz="4" w:space="0" w:color="auto"/>
                  </w:tcBorders>
                  <w:shd w:val="clear" w:color="auto" w:fill="auto"/>
                </w:tcPr>
                <w:p w14:paraId="0A15A3B0" w14:textId="77777777" w:rsidR="00622BA6" w:rsidRPr="00CA3F18" w:rsidRDefault="004F0630" w:rsidP="00622BA6">
                  <w:pPr>
                    <w:widowControl w:val="0"/>
                    <w:autoSpaceDE w:val="0"/>
                    <w:autoSpaceDN w:val="0"/>
                    <w:adjustRightInd w:val="0"/>
                    <w:ind w:left="-226" w:firstLine="140"/>
                    <w:jc w:val="right"/>
                    <w:rPr>
                      <w:rFonts w:ascii="Calibri" w:hAnsi="Calibri" w:cs="Calibri"/>
                      <w:bCs/>
                      <w:color w:val="000000"/>
                      <w:sz w:val="22"/>
                      <w:szCs w:val="22"/>
                    </w:rPr>
                  </w:pPr>
                  <w:r w:rsidRPr="00CA3F18">
                    <w:rPr>
                      <w:rFonts w:ascii="Calibri" w:hAnsi="Calibri" w:cs="Calibri"/>
                      <w:bCs/>
                      <w:color w:val="000000"/>
                      <w:sz w:val="22"/>
                      <w:szCs w:val="22"/>
                    </w:rPr>
                    <w:t>Quarter</w:t>
                  </w:r>
                </w:p>
              </w:tc>
            </w:tr>
            <w:tr w:rsidR="00622BA6" w:rsidRPr="00F72676" w14:paraId="63476C47" w14:textId="77777777" w:rsidTr="004C74E4">
              <w:trPr>
                <w:trHeight w:val="229"/>
              </w:trPr>
              <w:tc>
                <w:tcPr>
                  <w:tcW w:w="260" w:type="dxa"/>
                  <w:tcBorders>
                    <w:top w:val="nil"/>
                    <w:left w:val="nil"/>
                    <w:bottom w:val="nil"/>
                    <w:right w:val="nil"/>
                  </w:tcBorders>
                </w:tcPr>
                <w:p w14:paraId="454C8380" w14:textId="77777777" w:rsidR="00622BA6" w:rsidRPr="00F72676" w:rsidRDefault="00622BA6" w:rsidP="00622BA6">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235DA170" w14:textId="77777777" w:rsidR="00622BA6" w:rsidRPr="00F72676" w:rsidRDefault="00622BA6" w:rsidP="00622BA6">
                  <w:pPr>
                    <w:autoSpaceDE w:val="0"/>
                    <w:autoSpaceDN w:val="0"/>
                    <w:adjustRightInd w:val="0"/>
                    <w:jc w:val="right"/>
                    <w:rPr>
                      <w:rFonts w:ascii="Calibri" w:hAnsi="Calibri" w:cs="Calibri"/>
                      <w:color w:val="000000"/>
                      <w:sz w:val="22"/>
                      <w:szCs w:val="22"/>
                    </w:rPr>
                  </w:pPr>
                </w:p>
              </w:tc>
              <w:tc>
                <w:tcPr>
                  <w:tcW w:w="709" w:type="dxa"/>
                  <w:tcBorders>
                    <w:top w:val="nil"/>
                    <w:bottom w:val="nil"/>
                  </w:tcBorders>
                </w:tcPr>
                <w:p w14:paraId="5A071AA8" w14:textId="77777777" w:rsidR="00622BA6" w:rsidRPr="00F72676" w:rsidRDefault="00622BA6" w:rsidP="00622BA6">
                  <w:pPr>
                    <w:autoSpaceDE w:val="0"/>
                    <w:autoSpaceDN w:val="0"/>
                    <w:adjustRightInd w:val="0"/>
                    <w:jc w:val="right"/>
                    <w:rPr>
                      <w:rFonts w:ascii="Calibri" w:hAnsi="Calibri" w:cs="Calibri"/>
                      <w:bCs/>
                      <w:color w:val="000000"/>
                      <w:sz w:val="22"/>
                      <w:szCs w:val="22"/>
                    </w:rPr>
                  </w:pPr>
                </w:p>
              </w:tc>
              <w:tc>
                <w:tcPr>
                  <w:tcW w:w="851" w:type="dxa"/>
                  <w:tcBorders>
                    <w:top w:val="nil"/>
                    <w:bottom w:val="nil"/>
                    <w:right w:val="single" w:sz="4" w:space="0" w:color="auto"/>
                  </w:tcBorders>
                  <w:shd w:val="clear" w:color="auto" w:fill="auto"/>
                  <w:vAlign w:val="bottom"/>
                </w:tcPr>
                <w:p w14:paraId="5D96781F" w14:textId="77777777" w:rsidR="00622BA6" w:rsidRPr="00F72676" w:rsidRDefault="00622BA6" w:rsidP="00622BA6">
                  <w:pPr>
                    <w:tabs>
                      <w:tab w:val="left" w:pos="-108"/>
                    </w:tabs>
                    <w:autoSpaceDE w:val="0"/>
                    <w:autoSpaceDN w:val="0"/>
                    <w:adjustRightInd w:val="0"/>
                    <w:ind w:left="-250"/>
                    <w:jc w:val="right"/>
                    <w:rPr>
                      <w:rFonts w:ascii="Calibri" w:hAnsi="Calibri" w:cs="Calibri"/>
                      <w:bCs/>
                      <w:color w:val="000000"/>
                      <w:sz w:val="22"/>
                      <w:szCs w:val="22"/>
                    </w:rPr>
                  </w:pPr>
                  <w:r w:rsidRPr="00F72676">
                    <w:rPr>
                      <w:rFonts w:ascii="Calibri" w:hAnsi="Calibri" w:cs="Calibri"/>
                      <w:bCs/>
                      <w:color w:val="000000"/>
                      <w:sz w:val="22"/>
                      <w:szCs w:val="22"/>
                    </w:rPr>
                    <w:t>Pre-</w:t>
                  </w:r>
                </w:p>
              </w:tc>
              <w:tc>
                <w:tcPr>
                  <w:tcW w:w="1275" w:type="dxa"/>
                  <w:tcBorders>
                    <w:top w:val="nil"/>
                    <w:bottom w:val="nil"/>
                    <w:right w:val="single" w:sz="4" w:space="0" w:color="auto"/>
                  </w:tcBorders>
                  <w:shd w:val="clear" w:color="auto" w:fill="FFFF00"/>
                </w:tcPr>
                <w:p w14:paraId="708B15F9" w14:textId="77777777" w:rsidR="00961EBD" w:rsidRPr="00F72676" w:rsidRDefault="00622BA6" w:rsidP="00906D7F">
                  <w:pPr>
                    <w:widowControl w:val="0"/>
                    <w:autoSpaceDE w:val="0"/>
                    <w:autoSpaceDN w:val="0"/>
                    <w:adjustRightInd w:val="0"/>
                    <w:ind w:left="-226" w:firstLine="140"/>
                    <w:jc w:val="right"/>
                    <w:rPr>
                      <w:rFonts w:ascii="Calibri" w:hAnsi="Calibri" w:cs="Calibri"/>
                      <w:b/>
                      <w:bCs/>
                      <w:color w:val="000000"/>
                      <w:sz w:val="22"/>
                      <w:szCs w:val="22"/>
                    </w:rPr>
                  </w:pPr>
                  <w:r w:rsidRPr="00F72676">
                    <w:rPr>
                      <w:rFonts w:ascii="Calibri" w:hAnsi="Calibri" w:cs="Calibri"/>
                      <w:b/>
                      <w:bCs/>
                      <w:color w:val="000000"/>
                      <w:sz w:val="22"/>
                      <w:szCs w:val="22"/>
                    </w:rPr>
                    <w:t>Ended</w:t>
                  </w:r>
                </w:p>
              </w:tc>
              <w:tc>
                <w:tcPr>
                  <w:tcW w:w="1276" w:type="dxa"/>
                  <w:tcBorders>
                    <w:top w:val="nil"/>
                    <w:bottom w:val="nil"/>
                    <w:right w:val="single" w:sz="4" w:space="0" w:color="auto"/>
                  </w:tcBorders>
                  <w:shd w:val="clear" w:color="auto" w:fill="auto"/>
                </w:tcPr>
                <w:p w14:paraId="22D6F40F" w14:textId="77777777" w:rsidR="00622BA6" w:rsidRPr="00CA3F18" w:rsidRDefault="00622BA6" w:rsidP="00622BA6">
                  <w:pPr>
                    <w:widowControl w:val="0"/>
                    <w:autoSpaceDE w:val="0"/>
                    <w:autoSpaceDN w:val="0"/>
                    <w:adjustRightInd w:val="0"/>
                    <w:ind w:left="-226" w:firstLine="140"/>
                    <w:jc w:val="right"/>
                    <w:rPr>
                      <w:rFonts w:ascii="Calibri" w:hAnsi="Calibri" w:cs="Calibri"/>
                      <w:bCs/>
                      <w:color w:val="000000"/>
                      <w:sz w:val="22"/>
                      <w:szCs w:val="22"/>
                    </w:rPr>
                  </w:pPr>
                  <w:r w:rsidRPr="00CA3F18">
                    <w:rPr>
                      <w:rFonts w:ascii="Calibri" w:hAnsi="Calibri" w:cs="Calibri"/>
                      <w:bCs/>
                      <w:color w:val="000000"/>
                      <w:sz w:val="22"/>
                      <w:szCs w:val="22"/>
                    </w:rPr>
                    <w:t>Ended</w:t>
                  </w:r>
                </w:p>
              </w:tc>
              <w:tc>
                <w:tcPr>
                  <w:tcW w:w="1134" w:type="dxa"/>
                  <w:tcBorders>
                    <w:top w:val="nil"/>
                    <w:left w:val="single" w:sz="4" w:space="0" w:color="auto"/>
                    <w:bottom w:val="nil"/>
                    <w:right w:val="single" w:sz="4" w:space="0" w:color="auto"/>
                  </w:tcBorders>
                  <w:shd w:val="clear" w:color="auto" w:fill="auto"/>
                </w:tcPr>
                <w:p w14:paraId="2B5DAE01" w14:textId="77777777" w:rsidR="00622BA6" w:rsidRPr="00CA3F18" w:rsidRDefault="00622BA6" w:rsidP="00622BA6">
                  <w:pPr>
                    <w:widowControl w:val="0"/>
                    <w:autoSpaceDE w:val="0"/>
                    <w:autoSpaceDN w:val="0"/>
                    <w:adjustRightInd w:val="0"/>
                    <w:ind w:left="-226" w:firstLine="140"/>
                    <w:jc w:val="right"/>
                    <w:rPr>
                      <w:rFonts w:ascii="Calibri" w:hAnsi="Calibri" w:cs="Calibri"/>
                      <w:bCs/>
                      <w:color w:val="000000"/>
                      <w:sz w:val="22"/>
                      <w:szCs w:val="22"/>
                    </w:rPr>
                  </w:pPr>
                  <w:r w:rsidRPr="00CA3F18">
                    <w:rPr>
                      <w:rFonts w:ascii="Calibri" w:hAnsi="Calibri" w:cs="Calibri"/>
                      <w:bCs/>
                      <w:color w:val="000000"/>
                      <w:sz w:val="22"/>
                      <w:szCs w:val="22"/>
                    </w:rPr>
                    <w:t>Ended</w:t>
                  </w:r>
                </w:p>
              </w:tc>
              <w:tc>
                <w:tcPr>
                  <w:tcW w:w="1159" w:type="dxa"/>
                  <w:tcBorders>
                    <w:top w:val="nil"/>
                    <w:left w:val="single" w:sz="4" w:space="0" w:color="auto"/>
                    <w:bottom w:val="nil"/>
                    <w:right w:val="single" w:sz="4" w:space="0" w:color="auto"/>
                  </w:tcBorders>
                  <w:shd w:val="clear" w:color="auto" w:fill="auto"/>
                </w:tcPr>
                <w:p w14:paraId="43E92BF0" w14:textId="77777777" w:rsidR="00622BA6" w:rsidRPr="00CA3F18" w:rsidRDefault="00622BA6" w:rsidP="00622BA6">
                  <w:pPr>
                    <w:widowControl w:val="0"/>
                    <w:autoSpaceDE w:val="0"/>
                    <w:autoSpaceDN w:val="0"/>
                    <w:adjustRightInd w:val="0"/>
                    <w:ind w:left="-226" w:firstLine="140"/>
                    <w:jc w:val="right"/>
                    <w:rPr>
                      <w:rFonts w:ascii="Calibri" w:hAnsi="Calibri" w:cs="Calibri"/>
                      <w:bCs/>
                      <w:color w:val="000000"/>
                      <w:sz w:val="22"/>
                      <w:szCs w:val="22"/>
                    </w:rPr>
                  </w:pPr>
                  <w:r w:rsidRPr="00CA3F18">
                    <w:rPr>
                      <w:rFonts w:ascii="Calibri" w:hAnsi="Calibri" w:cs="Calibri"/>
                      <w:bCs/>
                      <w:color w:val="000000"/>
                      <w:sz w:val="22"/>
                      <w:szCs w:val="22"/>
                    </w:rPr>
                    <w:t>Ended</w:t>
                  </w:r>
                </w:p>
              </w:tc>
            </w:tr>
            <w:tr w:rsidR="00622BA6" w:rsidRPr="00F72676" w14:paraId="7001CA09" w14:textId="77777777" w:rsidTr="004C74E4">
              <w:trPr>
                <w:trHeight w:val="229"/>
              </w:trPr>
              <w:tc>
                <w:tcPr>
                  <w:tcW w:w="260" w:type="dxa"/>
                  <w:tcBorders>
                    <w:top w:val="nil"/>
                    <w:left w:val="nil"/>
                    <w:bottom w:val="nil"/>
                    <w:right w:val="nil"/>
                  </w:tcBorders>
                </w:tcPr>
                <w:p w14:paraId="4611D4AE" w14:textId="77777777" w:rsidR="00622BA6" w:rsidRPr="00F72676" w:rsidRDefault="00622BA6" w:rsidP="00622BA6">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3518FED6" w14:textId="77777777" w:rsidR="00622BA6" w:rsidRPr="00F72676" w:rsidRDefault="00622BA6" w:rsidP="00622BA6">
                  <w:pPr>
                    <w:autoSpaceDE w:val="0"/>
                    <w:autoSpaceDN w:val="0"/>
                    <w:adjustRightInd w:val="0"/>
                    <w:jc w:val="right"/>
                    <w:rPr>
                      <w:rFonts w:ascii="Calibri" w:hAnsi="Calibri" w:cs="Calibri"/>
                      <w:color w:val="000000"/>
                      <w:sz w:val="22"/>
                      <w:szCs w:val="22"/>
                    </w:rPr>
                  </w:pPr>
                </w:p>
              </w:tc>
              <w:tc>
                <w:tcPr>
                  <w:tcW w:w="709" w:type="dxa"/>
                  <w:tcBorders>
                    <w:top w:val="nil"/>
                    <w:bottom w:val="nil"/>
                  </w:tcBorders>
                </w:tcPr>
                <w:p w14:paraId="1AF5399A" w14:textId="77777777" w:rsidR="00622BA6" w:rsidRPr="00F72676" w:rsidRDefault="00622BA6" w:rsidP="00622BA6">
                  <w:pPr>
                    <w:autoSpaceDE w:val="0"/>
                    <w:autoSpaceDN w:val="0"/>
                    <w:adjustRightInd w:val="0"/>
                    <w:jc w:val="right"/>
                    <w:rPr>
                      <w:rFonts w:ascii="Calibri" w:hAnsi="Calibri" w:cs="Calibri"/>
                      <w:bCs/>
                      <w:color w:val="000000"/>
                      <w:sz w:val="22"/>
                      <w:szCs w:val="22"/>
                      <w:highlight w:val="yellow"/>
                    </w:rPr>
                  </w:pPr>
                </w:p>
              </w:tc>
              <w:tc>
                <w:tcPr>
                  <w:tcW w:w="851" w:type="dxa"/>
                  <w:tcBorders>
                    <w:top w:val="nil"/>
                    <w:bottom w:val="nil"/>
                    <w:right w:val="single" w:sz="4" w:space="0" w:color="auto"/>
                  </w:tcBorders>
                  <w:shd w:val="clear" w:color="auto" w:fill="auto"/>
                  <w:vAlign w:val="bottom"/>
                </w:tcPr>
                <w:p w14:paraId="4CAF84F6" w14:textId="77777777" w:rsidR="00622BA6" w:rsidRPr="00F72676" w:rsidRDefault="00622BA6" w:rsidP="00622BA6">
                  <w:pPr>
                    <w:tabs>
                      <w:tab w:val="left" w:pos="-108"/>
                    </w:tabs>
                    <w:autoSpaceDE w:val="0"/>
                    <w:autoSpaceDN w:val="0"/>
                    <w:adjustRightInd w:val="0"/>
                    <w:ind w:left="-250"/>
                    <w:jc w:val="right"/>
                    <w:rPr>
                      <w:rFonts w:ascii="Calibri" w:hAnsi="Calibri" w:cs="Calibri"/>
                      <w:bCs/>
                      <w:color w:val="000000"/>
                      <w:sz w:val="22"/>
                      <w:szCs w:val="22"/>
                    </w:rPr>
                  </w:pPr>
                  <w:r w:rsidRPr="00F72676">
                    <w:rPr>
                      <w:rFonts w:ascii="Calibri" w:hAnsi="Calibri" w:cs="Calibri"/>
                      <w:bCs/>
                      <w:color w:val="000000"/>
                      <w:sz w:val="22"/>
                      <w:szCs w:val="22"/>
                    </w:rPr>
                    <w:t>Except.</w:t>
                  </w:r>
                </w:p>
                <w:p w14:paraId="048CBE2B" w14:textId="77777777" w:rsidR="00622BA6" w:rsidRPr="00F72676" w:rsidRDefault="00622BA6" w:rsidP="00622BA6">
                  <w:pPr>
                    <w:tabs>
                      <w:tab w:val="left" w:pos="-108"/>
                    </w:tabs>
                    <w:autoSpaceDE w:val="0"/>
                    <w:autoSpaceDN w:val="0"/>
                    <w:adjustRightInd w:val="0"/>
                    <w:ind w:left="-250"/>
                    <w:jc w:val="right"/>
                    <w:rPr>
                      <w:rFonts w:ascii="Calibri" w:hAnsi="Calibri" w:cs="Calibri"/>
                      <w:bCs/>
                      <w:color w:val="000000"/>
                      <w:sz w:val="22"/>
                      <w:szCs w:val="22"/>
                    </w:rPr>
                  </w:pPr>
                  <w:r w:rsidRPr="00F72676">
                    <w:rPr>
                      <w:rFonts w:ascii="Calibri" w:hAnsi="Calibri" w:cs="Calibri"/>
                      <w:bCs/>
                      <w:color w:val="000000"/>
                      <w:sz w:val="22"/>
                      <w:szCs w:val="22"/>
                    </w:rPr>
                    <w:t>Change</w:t>
                  </w:r>
                </w:p>
              </w:tc>
              <w:tc>
                <w:tcPr>
                  <w:tcW w:w="1275" w:type="dxa"/>
                  <w:tcBorders>
                    <w:top w:val="nil"/>
                    <w:bottom w:val="nil"/>
                    <w:right w:val="single" w:sz="4" w:space="0" w:color="auto"/>
                  </w:tcBorders>
                  <w:shd w:val="clear" w:color="auto" w:fill="FFFF00"/>
                </w:tcPr>
                <w:p w14:paraId="26682135" w14:textId="77777777" w:rsidR="00622BA6" w:rsidRPr="00F72676" w:rsidRDefault="00622BA6" w:rsidP="00622BA6">
                  <w:pPr>
                    <w:widowControl w:val="0"/>
                    <w:autoSpaceDE w:val="0"/>
                    <w:autoSpaceDN w:val="0"/>
                    <w:adjustRightInd w:val="0"/>
                    <w:jc w:val="right"/>
                    <w:rPr>
                      <w:rFonts w:ascii="Calibri" w:hAnsi="Calibri" w:cs="Calibri"/>
                      <w:b/>
                      <w:bCs/>
                      <w:color w:val="000000"/>
                      <w:sz w:val="22"/>
                      <w:szCs w:val="22"/>
                    </w:rPr>
                  </w:pPr>
                  <w:r w:rsidRPr="00F72676">
                    <w:rPr>
                      <w:rFonts w:ascii="Calibri" w:hAnsi="Calibri" w:cs="Calibri"/>
                      <w:b/>
                      <w:bCs/>
                      <w:color w:val="000000"/>
                      <w:sz w:val="22"/>
                      <w:szCs w:val="22"/>
                    </w:rPr>
                    <w:t xml:space="preserve">Sep 30, </w:t>
                  </w:r>
                </w:p>
                <w:p w14:paraId="03CEC0D4" w14:textId="77777777" w:rsidR="00622BA6" w:rsidRPr="00F72676" w:rsidRDefault="00622BA6" w:rsidP="00622BA6">
                  <w:pPr>
                    <w:widowControl w:val="0"/>
                    <w:autoSpaceDE w:val="0"/>
                    <w:autoSpaceDN w:val="0"/>
                    <w:adjustRightInd w:val="0"/>
                    <w:jc w:val="right"/>
                    <w:rPr>
                      <w:rFonts w:ascii="Calibri" w:hAnsi="Calibri" w:cs="Calibri"/>
                      <w:b/>
                      <w:bCs/>
                      <w:color w:val="000000"/>
                      <w:sz w:val="22"/>
                      <w:szCs w:val="22"/>
                    </w:rPr>
                  </w:pPr>
                  <w:r w:rsidRPr="00F72676">
                    <w:rPr>
                      <w:rFonts w:ascii="Calibri" w:hAnsi="Calibri" w:cs="Calibri"/>
                      <w:b/>
                      <w:bCs/>
                      <w:color w:val="000000"/>
                      <w:sz w:val="22"/>
                      <w:szCs w:val="22"/>
                    </w:rPr>
                    <w:t>2023</w:t>
                  </w:r>
                </w:p>
              </w:tc>
              <w:tc>
                <w:tcPr>
                  <w:tcW w:w="1276" w:type="dxa"/>
                  <w:tcBorders>
                    <w:top w:val="nil"/>
                    <w:bottom w:val="nil"/>
                    <w:right w:val="single" w:sz="4" w:space="0" w:color="auto"/>
                  </w:tcBorders>
                  <w:shd w:val="clear" w:color="auto" w:fill="auto"/>
                </w:tcPr>
                <w:p w14:paraId="2DC83EF0" w14:textId="77777777" w:rsidR="00622BA6" w:rsidRPr="00CA3F18" w:rsidRDefault="00622BA6" w:rsidP="00622BA6">
                  <w:pPr>
                    <w:widowControl w:val="0"/>
                    <w:autoSpaceDE w:val="0"/>
                    <w:autoSpaceDN w:val="0"/>
                    <w:adjustRightInd w:val="0"/>
                    <w:jc w:val="right"/>
                    <w:rPr>
                      <w:rFonts w:ascii="Calibri" w:hAnsi="Calibri" w:cs="Calibri"/>
                      <w:bCs/>
                      <w:color w:val="000000"/>
                      <w:sz w:val="22"/>
                      <w:szCs w:val="22"/>
                    </w:rPr>
                  </w:pPr>
                  <w:r w:rsidRPr="00CA3F18">
                    <w:rPr>
                      <w:rFonts w:ascii="Calibri" w:hAnsi="Calibri" w:cs="Calibri"/>
                      <w:bCs/>
                      <w:color w:val="000000"/>
                      <w:sz w:val="22"/>
                      <w:szCs w:val="22"/>
                    </w:rPr>
                    <w:t xml:space="preserve">Sep 30, </w:t>
                  </w:r>
                </w:p>
                <w:p w14:paraId="76234052" w14:textId="77777777" w:rsidR="00622BA6" w:rsidRPr="00CA3F18" w:rsidRDefault="00622BA6" w:rsidP="00622BA6">
                  <w:pPr>
                    <w:widowControl w:val="0"/>
                    <w:autoSpaceDE w:val="0"/>
                    <w:autoSpaceDN w:val="0"/>
                    <w:adjustRightInd w:val="0"/>
                    <w:jc w:val="right"/>
                    <w:rPr>
                      <w:rFonts w:ascii="Calibri" w:hAnsi="Calibri" w:cs="Calibri"/>
                      <w:bCs/>
                      <w:color w:val="000000"/>
                      <w:sz w:val="22"/>
                      <w:szCs w:val="22"/>
                    </w:rPr>
                  </w:pPr>
                  <w:r w:rsidRPr="00CA3F18">
                    <w:rPr>
                      <w:rFonts w:ascii="Calibri" w:hAnsi="Calibri" w:cs="Calibri"/>
                      <w:bCs/>
                      <w:color w:val="000000"/>
                      <w:sz w:val="22"/>
                      <w:szCs w:val="22"/>
                    </w:rPr>
                    <w:t>2022</w:t>
                  </w:r>
                </w:p>
              </w:tc>
              <w:tc>
                <w:tcPr>
                  <w:tcW w:w="1134" w:type="dxa"/>
                  <w:tcBorders>
                    <w:top w:val="nil"/>
                    <w:left w:val="single" w:sz="4" w:space="0" w:color="auto"/>
                    <w:bottom w:val="nil"/>
                    <w:right w:val="single" w:sz="4" w:space="0" w:color="auto"/>
                  </w:tcBorders>
                  <w:shd w:val="clear" w:color="auto" w:fill="auto"/>
                </w:tcPr>
                <w:p w14:paraId="41678067" w14:textId="77777777" w:rsidR="00622BA6" w:rsidRPr="00CA3F18" w:rsidRDefault="00622BA6" w:rsidP="00622BA6">
                  <w:pPr>
                    <w:widowControl w:val="0"/>
                    <w:autoSpaceDE w:val="0"/>
                    <w:autoSpaceDN w:val="0"/>
                    <w:adjustRightInd w:val="0"/>
                    <w:jc w:val="right"/>
                    <w:rPr>
                      <w:rFonts w:ascii="Calibri" w:hAnsi="Calibri" w:cs="Calibri"/>
                      <w:bCs/>
                      <w:color w:val="000000"/>
                      <w:sz w:val="22"/>
                      <w:szCs w:val="22"/>
                    </w:rPr>
                  </w:pPr>
                  <w:r w:rsidRPr="00CA3F18">
                    <w:rPr>
                      <w:rFonts w:ascii="Calibri" w:hAnsi="Calibri" w:cs="Calibri"/>
                      <w:bCs/>
                      <w:color w:val="000000"/>
                      <w:sz w:val="22"/>
                      <w:szCs w:val="22"/>
                    </w:rPr>
                    <w:t xml:space="preserve">Sep 30, </w:t>
                  </w:r>
                </w:p>
                <w:p w14:paraId="3AB5B793" w14:textId="77777777" w:rsidR="00622BA6" w:rsidRPr="00CA3F18" w:rsidRDefault="00622BA6" w:rsidP="00622BA6">
                  <w:pPr>
                    <w:widowControl w:val="0"/>
                    <w:autoSpaceDE w:val="0"/>
                    <w:autoSpaceDN w:val="0"/>
                    <w:adjustRightInd w:val="0"/>
                    <w:jc w:val="right"/>
                    <w:rPr>
                      <w:rFonts w:ascii="Calibri" w:hAnsi="Calibri" w:cs="Calibri"/>
                      <w:bCs/>
                      <w:color w:val="000000"/>
                      <w:sz w:val="22"/>
                      <w:szCs w:val="22"/>
                    </w:rPr>
                  </w:pPr>
                  <w:r w:rsidRPr="00CA3F18">
                    <w:rPr>
                      <w:rFonts w:ascii="Calibri" w:hAnsi="Calibri" w:cs="Calibri"/>
                      <w:bCs/>
                      <w:color w:val="000000"/>
                      <w:sz w:val="22"/>
                      <w:szCs w:val="22"/>
                    </w:rPr>
                    <w:t>2022</w:t>
                  </w:r>
                </w:p>
              </w:tc>
              <w:tc>
                <w:tcPr>
                  <w:tcW w:w="1159" w:type="dxa"/>
                  <w:tcBorders>
                    <w:top w:val="nil"/>
                    <w:left w:val="single" w:sz="4" w:space="0" w:color="auto"/>
                    <w:bottom w:val="nil"/>
                    <w:right w:val="single" w:sz="4" w:space="0" w:color="auto"/>
                  </w:tcBorders>
                  <w:shd w:val="clear" w:color="auto" w:fill="auto"/>
                </w:tcPr>
                <w:p w14:paraId="6850592B" w14:textId="77777777" w:rsidR="00622BA6" w:rsidRPr="00CA3F18" w:rsidRDefault="00622BA6" w:rsidP="00622BA6">
                  <w:pPr>
                    <w:widowControl w:val="0"/>
                    <w:autoSpaceDE w:val="0"/>
                    <w:autoSpaceDN w:val="0"/>
                    <w:adjustRightInd w:val="0"/>
                    <w:jc w:val="right"/>
                    <w:rPr>
                      <w:rFonts w:ascii="Calibri" w:hAnsi="Calibri" w:cs="Calibri"/>
                      <w:bCs/>
                      <w:color w:val="000000"/>
                      <w:sz w:val="22"/>
                      <w:szCs w:val="22"/>
                    </w:rPr>
                  </w:pPr>
                  <w:r w:rsidRPr="00CA3F18">
                    <w:rPr>
                      <w:rFonts w:ascii="Calibri" w:hAnsi="Calibri" w:cs="Calibri"/>
                      <w:bCs/>
                      <w:color w:val="000000"/>
                      <w:sz w:val="22"/>
                      <w:szCs w:val="22"/>
                    </w:rPr>
                    <w:t xml:space="preserve">Sep 30, </w:t>
                  </w:r>
                </w:p>
                <w:p w14:paraId="6D79AD7F" w14:textId="77777777" w:rsidR="00622BA6" w:rsidRPr="00CA3F18" w:rsidRDefault="00622BA6" w:rsidP="00622BA6">
                  <w:pPr>
                    <w:widowControl w:val="0"/>
                    <w:autoSpaceDE w:val="0"/>
                    <w:autoSpaceDN w:val="0"/>
                    <w:adjustRightInd w:val="0"/>
                    <w:jc w:val="right"/>
                    <w:rPr>
                      <w:rFonts w:ascii="Calibri" w:hAnsi="Calibri" w:cs="Calibri"/>
                      <w:bCs/>
                      <w:color w:val="000000"/>
                      <w:sz w:val="22"/>
                      <w:szCs w:val="22"/>
                    </w:rPr>
                  </w:pPr>
                  <w:r w:rsidRPr="00CA3F18">
                    <w:rPr>
                      <w:rFonts w:ascii="Calibri" w:hAnsi="Calibri" w:cs="Calibri"/>
                      <w:bCs/>
                      <w:color w:val="000000"/>
                      <w:sz w:val="22"/>
                      <w:szCs w:val="22"/>
                    </w:rPr>
                    <w:t>2022</w:t>
                  </w:r>
                </w:p>
              </w:tc>
            </w:tr>
            <w:tr w:rsidR="00AD45BD" w:rsidRPr="00F72676" w14:paraId="46DC493A" w14:textId="77777777" w:rsidTr="004C74E4">
              <w:trPr>
                <w:trHeight w:val="229"/>
              </w:trPr>
              <w:tc>
                <w:tcPr>
                  <w:tcW w:w="260" w:type="dxa"/>
                  <w:tcBorders>
                    <w:top w:val="nil"/>
                    <w:left w:val="nil"/>
                    <w:bottom w:val="nil"/>
                    <w:right w:val="nil"/>
                  </w:tcBorders>
                </w:tcPr>
                <w:p w14:paraId="0FB0A080" w14:textId="77777777" w:rsidR="00AD45BD" w:rsidRPr="00F72676" w:rsidRDefault="00AD45BD" w:rsidP="00AD45BD">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060A1144" w14:textId="77777777" w:rsidR="00AD45BD" w:rsidRPr="00F72676" w:rsidRDefault="00AD45BD" w:rsidP="00AD45BD">
                  <w:pPr>
                    <w:autoSpaceDE w:val="0"/>
                    <w:autoSpaceDN w:val="0"/>
                    <w:adjustRightInd w:val="0"/>
                    <w:jc w:val="right"/>
                    <w:rPr>
                      <w:rFonts w:ascii="Calibri" w:hAnsi="Calibri" w:cs="Calibri"/>
                      <w:color w:val="000000"/>
                      <w:sz w:val="22"/>
                      <w:szCs w:val="22"/>
                    </w:rPr>
                  </w:pPr>
                </w:p>
              </w:tc>
              <w:tc>
                <w:tcPr>
                  <w:tcW w:w="709" w:type="dxa"/>
                  <w:tcBorders>
                    <w:top w:val="nil"/>
                    <w:bottom w:val="nil"/>
                  </w:tcBorders>
                </w:tcPr>
                <w:p w14:paraId="4B450B1C" w14:textId="77777777" w:rsidR="00AD45BD" w:rsidRPr="00F72676" w:rsidRDefault="00AD45BD" w:rsidP="00AD45BD">
                  <w:pPr>
                    <w:autoSpaceDE w:val="0"/>
                    <w:autoSpaceDN w:val="0"/>
                    <w:adjustRightInd w:val="0"/>
                    <w:jc w:val="right"/>
                    <w:rPr>
                      <w:rFonts w:ascii="Calibri" w:hAnsi="Calibri" w:cs="Calibri"/>
                      <w:b/>
                      <w:bCs/>
                      <w:color w:val="000000"/>
                      <w:sz w:val="22"/>
                      <w:szCs w:val="22"/>
                      <w:u w:val="single"/>
                    </w:rPr>
                  </w:pPr>
                  <w:r w:rsidRPr="00F72676">
                    <w:rPr>
                      <w:rFonts w:ascii="Calibri" w:hAnsi="Calibri" w:cs="Calibri"/>
                      <w:b/>
                      <w:bCs/>
                      <w:color w:val="000000"/>
                      <w:sz w:val="22"/>
                      <w:szCs w:val="22"/>
                      <w:u w:val="single"/>
                    </w:rPr>
                    <w:t>Note</w:t>
                  </w:r>
                </w:p>
              </w:tc>
              <w:tc>
                <w:tcPr>
                  <w:tcW w:w="851" w:type="dxa"/>
                  <w:tcBorders>
                    <w:top w:val="nil"/>
                    <w:bottom w:val="nil"/>
                    <w:right w:val="single" w:sz="4" w:space="0" w:color="auto"/>
                  </w:tcBorders>
                  <w:shd w:val="clear" w:color="auto" w:fill="auto"/>
                </w:tcPr>
                <w:p w14:paraId="32C80DDC" w14:textId="77777777" w:rsidR="00AD45BD" w:rsidRPr="00F72676" w:rsidRDefault="00AD45BD" w:rsidP="00AD45BD">
                  <w:pPr>
                    <w:autoSpaceDE w:val="0"/>
                    <w:autoSpaceDN w:val="0"/>
                    <w:adjustRightInd w:val="0"/>
                    <w:jc w:val="right"/>
                    <w:rPr>
                      <w:rFonts w:ascii="Calibri" w:hAnsi="Calibri" w:cs="Calibri"/>
                      <w:bCs/>
                      <w:color w:val="000000"/>
                      <w:sz w:val="22"/>
                      <w:szCs w:val="22"/>
                      <w:u w:val="single"/>
                    </w:rPr>
                  </w:pPr>
                  <w:r w:rsidRPr="00F72676">
                    <w:rPr>
                      <w:rFonts w:ascii="Calibri" w:hAnsi="Calibri" w:cs="Calibri"/>
                      <w:bCs/>
                      <w:color w:val="000000"/>
                      <w:sz w:val="22"/>
                      <w:szCs w:val="22"/>
                      <w:u w:val="single"/>
                    </w:rPr>
                    <w:t>%</w:t>
                  </w:r>
                </w:p>
              </w:tc>
              <w:tc>
                <w:tcPr>
                  <w:tcW w:w="1275" w:type="dxa"/>
                  <w:tcBorders>
                    <w:top w:val="nil"/>
                    <w:bottom w:val="nil"/>
                    <w:right w:val="single" w:sz="4" w:space="0" w:color="auto"/>
                  </w:tcBorders>
                  <w:shd w:val="clear" w:color="auto" w:fill="FFFF00"/>
                </w:tcPr>
                <w:p w14:paraId="3FC87ED9" w14:textId="77777777" w:rsidR="00AD45BD" w:rsidRPr="00F72676" w:rsidRDefault="00AD45BD" w:rsidP="00AD45BD">
                  <w:pPr>
                    <w:widowControl w:val="0"/>
                    <w:autoSpaceDE w:val="0"/>
                    <w:autoSpaceDN w:val="0"/>
                    <w:adjustRightInd w:val="0"/>
                    <w:ind w:left="-226"/>
                    <w:jc w:val="right"/>
                    <w:rPr>
                      <w:rFonts w:ascii="Calibri" w:hAnsi="Calibri" w:cs="Calibri"/>
                      <w:b/>
                      <w:bCs/>
                      <w:color w:val="000000"/>
                      <w:sz w:val="22"/>
                      <w:szCs w:val="22"/>
                      <w:u w:val="single"/>
                    </w:rPr>
                  </w:pPr>
                  <w:r w:rsidRPr="00F72676">
                    <w:rPr>
                      <w:rFonts w:ascii="Calibri" w:hAnsi="Calibri" w:cs="Calibri"/>
                      <w:b/>
                      <w:bCs/>
                      <w:color w:val="000000"/>
                      <w:sz w:val="22"/>
                      <w:szCs w:val="22"/>
                      <w:u w:val="single"/>
                    </w:rPr>
                    <w:t>€M</w:t>
                  </w:r>
                </w:p>
              </w:tc>
              <w:tc>
                <w:tcPr>
                  <w:tcW w:w="1276" w:type="dxa"/>
                  <w:tcBorders>
                    <w:top w:val="nil"/>
                    <w:bottom w:val="nil"/>
                    <w:right w:val="single" w:sz="4" w:space="0" w:color="auto"/>
                  </w:tcBorders>
                  <w:shd w:val="clear" w:color="auto" w:fill="auto"/>
                </w:tcPr>
                <w:p w14:paraId="09B72114" w14:textId="77777777" w:rsidR="00AD45BD" w:rsidRPr="00CA3F18" w:rsidRDefault="00AD45BD" w:rsidP="00AD45BD">
                  <w:pPr>
                    <w:widowControl w:val="0"/>
                    <w:autoSpaceDE w:val="0"/>
                    <w:autoSpaceDN w:val="0"/>
                    <w:adjustRightInd w:val="0"/>
                    <w:ind w:left="-226"/>
                    <w:jc w:val="right"/>
                    <w:rPr>
                      <w:rFonts w:ascii="Calibri" w:hAnsi="Calibri" w:cs="Calibri"/>
                      <w:bCs/>
                      <w:color w:val="000000"/>
                      <w:sz w:val="22"/>
                      <w:szCs w:val="22"/>
                      <w:u w:val="single"/>
                    </w:rPr>
                  </w:pPr>
                  <w:r w:rsidRPr="00CA3F18">
                    <w:rPr>
                      <w:rFonts w:ascii="Calibri" w:hAnsi="Calibri" w:cs="Calibri"/>
                      <w:bCs/>
                      <w:color w:val="000000"/>
                      <w:sz w:val="22"/>
                      <w:szCs w:val="22"/>
                      <w:u w:val="single"/>
                    </w:rPr>
                    <w:t>€M</w:t>
                  </w:r>
                </w:p>
              </w:tc>
              <w:tc>
                <w:tcPr>
                  <w:tcW w:w="1134" w:type="dxa"/>
                  <w:tcBorders>
                    <w:top w:val="nil"/>
                    <w:left w:val="single" w:sz="4" w:space="0" w:color="auto"/>
                    <w:bottom w:val="nil"/>
                    <w:right w:val="single" w:sz="4" w:space="0" w:color="auto"/>
                  </w:tcBorders>
                  <w:shd w:val="clear" w:color="auto" w:fill="auto"/>
                </w:tcPr>
                <w:p w14:paraId="517CB25D" w14:textId="77777777" w:rsidR="00AD45BD" w:rsidRPr="00CA3F18" w:rsidRDefault="00AD45BD" w:rsidP="00AD45BD">
                  <w:pPr>
                    <w:widowControl w:val="0"/>
                    <w:autoSpaceDE w:val="0"/>
                    <w:autoSpaceDN w:val="0"/>
                    <w:adjustRightInd w:val="0"/>
                    <w:ind w:left="-226"/>
                    <w:jc w:val="right"/>
                    <w:rPr>
                      <w:rFonts w:ascii="Calibri" w:hAnsi="Calibri" w:cs="Calibri"/>
                      <w:bCs/>
                      <w:color w:val="000000"/>
                      <w:sz w:val="22"/>
                      <w:szCs w:val="22"/>
                      <w:u w:val="single"/>
                    </w:rPr>
                  </w:pPr>
                  <w:r w:rsidRPr="00CA3F18">
                    <w:rPr>
                      <w:rFonts w:ascii="Calibri" w:hAnsi="Calibri" w:cs="Calibri"/>
                      <w:bCs/>
                      <w:color w:val="000000"/>
                      <w:sz w:val="22"/>
                      <w:szCs w:val="22"/>
                      <w:u w:val="single"/>
                    </w:rPr>
                    <w:t>€M</w:t>
                  </w:r>
                </w:p>
              </w:tc>
              <w:tc>
                <w:tcPr>
                  <w:tcW w:w="1159" w:type="dxa"/>
                  <w:tcBorders>
                    <w:top w:val="nil"/>
                    <w:left w:val="single" w:sz="4" w:space="0" w:color="auto"/>
                    <w:bottom w:val="nil"/>
                    <w:right w:val="single" w:sz="4" w:space="0" w:color="auto"/>
                  </w:tcBorders>
                  <w:shd w:val="clear" w:color="auto" w:fill="auto"/>
                </w:tcPr>
                <w:p w14:paraId="37D3792B" w14:textId="77777777" w:rsidR="00AD45BD" w:rsidRPr="00CA3F18" w:rsidRDefault="00AD45BD" w:rsidP="00AD45BD">
                  <w:pPr>
                    <w:widowControl w:val="0"/>
                    <w:autoSpaceDE w:val="0"/>
                    <w:autoSpaceDN w:val="0"/>
                    <w:adjustRightInd w:val="0"/>
                    <w:ind w:left="-226"/>
                    <w:jc w:val="right"/>
                    <w:rPr>
                      <w:rFonts w:ascii="Calibri" w:hAnsi="Calibri" w:cs="Calibri"/>
                      <w:bCs/>
                      <w:color w:val="000000"/>
                      <w:sz w:val="22"/>
                      <w:szCs w:val="22"/>
                      <w:u w:val="single"/>
                    </w:rPr>
                  </w:pPr>
                  <w:r w:rsidRPr="00CA3F18">
                    <w:rPr>
                      <w:rFonts w:ascii="Calibri" w:hAnsi="Calibri" w:cs="Calibri"/>
                      <w:bCs/>
                      <w:color w:val="000000"/>
                      <w:sz w:val="22"/>
                      <w:szCs w:val="22"/>
                      <w:u w:val="single"/>
                    </w:rPr>
                    <w:t>€M</w:t>
                  </w:r>
                </w:p>
              </w:tc>
            </w:tr>
            <w:tr w:rsidR="00AD45BD" w:rsidRPr="00F72676" w14:paraId="18B44EE0" w14:textId="77777777" w:rsidTr="004C74E4">
              <w:trPr>
                <w:trHeight w:val="229"/>
              </w:trPr>
              <w:tc>
                <w:tcPr>
                  <w:tcW w:w="4253" w:type="dxa"/>
                  <w:gridSpan w:val="2"/>
                  <w:tcBorders>
                    <w:top w:val="nil"/>
                    <w:left w:val="nil"/>
                    <w:bottom w:val="nil"/>
                  </w:tcBorders>
                </w:tcPr>
                <w:p w14:paraId="0BF21169" w14:textId="77777777" w:rsidR="00AD45BD" w:rsidRPr="00F72676" w:rsidRDefault="00AD45BD" w:rsidP="00AD45BD">
                  <w:pPr>
                    <w:autoSpaceDE w:val="0"/>
                    <w:autoSpaceDN w:val="0"/>
                    <w:adjustRightInd w:val="0"/>
                    <w:rPr>
                      <w:rFonts w:ascii="Calibri" w:hAnsi="Calibri" w:cs="Calibri"/>
                      <w:b/>
                      <w:bCs/>
                      <w:color w:val="000000"/>
                      <w:sz w:val="22"/>
                      <w:szCs w:val="22"/>
                    </w:rPr>
                  </w:pPr>
                  <w:r w:rsidRPr="00F72676">
                    <w:rPr>
                      <w:rFonts w:ascii="Calibri" w:hAnsi="Calibri" w:cs="Calibri"/>
                      <w:b/>
                      <w:bCs/>
                      <w:color w:val="000000"/>
                      <w:sz w:val="22"/>
                      <w:szCs w:val="22"/>
                    </w:rPr>
                    <w:t>Operating revenues</w:t>
                  </w:r>
                </w:p>
              </w:tc>
              <w:tc>
                <w:tcPr>
                  <w:tcW w:w="709" w:type="dxa"/>
                  <w:tcBorders>
                    <w:top w:val="nil"/>
                    <w:bottom w:val="nil"/>
                  </w:tcBorders>
                </w:tcPr>
                <w:p w14:paraId="6092ACBA" w14:textId="77777777" w:rsidR="00AD45BD" w:rsidRPr="00F72676" w:rsidRDefault="00AD45BD" w:rsidP="00AD45BD">
                  <w:pPr>
                    <w:autoSpaceDE w:val="0"/>
                    <w:autoSpaceDN w:val="0"/>
                    <w:adjustRightInd w:val="0"/>
                    <w:jc w:val="right"/>
                    <w:rPr>
                      <w:rFonts w:ascii="Calibri" w:hAnsi="Calibri" w:cs="Calibri"/>
                      <w:color w:val="000000"/>
                      <w:sz w:val="22"/>
                      <w:szCs w:val="22"/>
                    </w:rPr>
                  </w:pPr>
                </w:p>
              </w:tc>
              <w:tc>
                <w:tcPr>
                  <w:tcW w:w="851" w:type="dxa"/>
                  <w:tcBorders>
                    <w:top w:val="nil"/>
                    <w:bottom w:val="nil"/>
                    <w:right w:val="single" w:sz="4" w:space="0" w:color="auto"/>
                  </w:tcBorders>
                </w:tcPr>
                <w:p w14:paraId="75F955A0" w14:textId="77777777" w:rsidR="00AD45BD" w:rsidRPr="00F72676" w:rsidRDefault="00AD45BD" w:rsidP="00AD45BD">
                  <w:pPr>
                    <w:autoSpaceDE w:val="0"/>
                    <w:autoSpaceDN w:val="0"/>
                    <w:adjustRightInd w:val="0"/>
                    <w:jc w:val="right"/>
                    <w:rPr>
                      <w:rFonts w:ascii="Calibri" w:hAnsi="Calibri" w:cs="Calibri"/>
                      <w:color w:val="000000"/>
                      <w:sz w:val="22"/>
                      <w:szCs w:val="22"/>
                    </w:rPr>
                  </w:pPr>
                </w:p>
              </w:tc>
              <w:tc>
                <w:tcPr>
                  <w:tcW w:w="1275" w:type="dxa"/>
                  <w:tcBorders>
                    <w:top w:val="nil"/>
                    <w:bottom w:val="nil"/>
                    <w:right w:val="single" w:sz="4" w:space="0" w:color="auto"/>
                  </w:tcBorders>
                  <w:shd w:val="clear" w:color="auto" w:fill="FFFF00"/>
                </w:tcPr>
                <w:p w14:paraId="7956D734"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276" w:type="dxa"/>
                  <w:tcBorders>
                    <w:top w:val="nil"/>
                    <w:bottom w:val="nil"/>
                    <w:right w:val="single" w:sz="4" w:space="0" w:color="auto"/>
                  </w:tcBorders>
                  <w:shd w:val="clear" w:color="auto" w:fill="auto"/>
                </w:tcPr>
                <w:p w14:paraId="138ADE4E"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tcPr>
                <w:p w14:paraId="517F05EA"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159" w:type="dxa"/>
                  <w:tcBorders>
                    <w:top w:val="nil"/>
                    <w:left w:val="single" w:sz="4" w:space="0" w:color="auto"/>
                    <w:bottom w:val="nil"/>
                    <w:right w:val="single" w:sz="4" w:space="0" w:color="auto"/>
                  </w:tcBorders>
                  <w:shd w:val="clear" w:color="auto" w:fill="auto"/>
                </w:tcPr>
                <w:p w14:paraId="1112C8F6"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r>
            <w:tr w:rsidR="00567192" w:rsidRPr="00F72676" w14:paraId="199329EB" w14:textId="77777777" w:rsidTr="004C74E4">
              <w:trPr>
                <w:trHeight w:val="229"/>
              </w:trPr>
              <w:tc>
                <w:tcPr>
                  <w:tcW w:w="260" w:type="dxa"/>
                  <w:tcBorders>
                    <w:top w:val="nil"/>
                    <w:left w:val="nil"/>
                    <w:bottom w:val="nil"/>
                    <w:right w:val="nil"/>
                  </w:tcBorders>
                </w:tcPr>
                <w:p w14:paraId="5842A21E" w14:textId="77777777" w:rsidR="00567192" w:rsidRPr="00F72676" w:rsidRDefault="00567192" w:rsidP="00567192">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0F524253" w14:textId="77777777" w:rsidR="00567192" w:rsidRPr="00F72676" w:rsidRDefault="00567192" w:rsidP="00567192">
                  <w:pPr>
                    <w:autoSpaceDE w:val="0"/>
                    <w:autoSpaceDN w:val="0"/>
                    <w:adjustRightInd w:val="0"/>
                    <w:ind w:right="-818"/>
                    <w:rPr>
                      <w:rFonts w:ascii="Calibri" w:hAnsi="Calibri" w:cs="Calibri"/>
                      <w:color w:val="000000"/>
                      <w:sz w:val="22"/>
                      <w:szCs w:val="22"/>
                    </w:rPr>
                  </w:pPr>
                  <w:r w:rsidRPr="00F72676">
                    <w:rPr>
                      <w:rFonts w:ascii="Calibri" w:hAnsi="Calibri" w:cs="Calibri"/>
                      <w:color w:val="000000"/>
                      <w:sz w:val="22"/>
                      <w:szCs w:val="22"/>
                    </w:rPr>
                    <w:t xml:space="preserve">Scheduled revenues </w:t>
                  </w:r>
                </w:p>
              </w:tc>
              <w:tc>
                <w:tcPr>
                  <w:tcW w:w="709" w:type="dxa"/>
                  <w:tcBorders>
                    <w:top w:val="nil"/>
                  </w:tcBorders>
                </w:tcPr>
                <w:p w14:paraId="61C7336E" w14:textId="77777777" w:rsidR="00567192" w:rsidRPr="00F72676" w:rsidRDefault="00567192" w:rsidP="00567192">
                  <w:pPr>
                    <w:autoSpaceDE w:val="0"/>
                    <w:autoSpaceDN w:val="0"/>
                    <w:adjustRightInd w:val="0"/>
                    <w:jc w:val="right"/>
                    <w:rPr>
                      <w:rFonts w:ascii="Calibri" w:hAnsi="Calibri" w:cs="Calibri"/>
                      <w:bCs/>
                      <w:color w:val="000000"/>
                      <w:sz w:val="22"/>
                      <w:szCs w:val="22"/>
                      <w:highlight w:val="green"/>
                    </w:rPr>
                  </w:pPr>
                </w:p>
              </w:tc>
              <w:tc>
                <w:tcPr>
                  <w:tcW w:w="851" w:type="dxa"/>
                  <w:tcBorders>
                    <w:top w:val="nil"/>
                    <w:right w:val="single" w:sz="4" w:space="0" w:color="auto"/>
                  </w:tcBorders>
                </w:tcPr>
                <w:p w14:paraId="320CF587" w14:textId="77777777" w:rsidR="00567192" w:rsidRPr="00F72676" w:rsidRDefault="00567192" w:rsidP="00567192">
                  <w:pPr>
                    <w:autoSpaceDE w:val="0"/>
                    <w:autoSpaceDN w:val="0"/>
                    <w:adjustRightInd w:val="0"/>
                    <w:jc w:val="right"/>
                    <w:rPr>
                      <w:rFonts w:ascii="Calibri" w:hAnsi="Calibri" w:cs="Calibri"/>
                      <w:bCs/>
                      <w:color w:val="000000"/>
                      <w:sz w:val="22"/>
                      <w:szCs w:val="22"/>
                    </w:rPr>
                  </w:pPr>
                  <w:r w:rsidRPr="00F72676">
                    <w:rPr>
                      <w:rFonts w:ascii="Calibri" w:hAnsi="Calibri" w:cs="Calibri"/>
                      <w:bCs/>
                      <w:color w:val="000000"/>
                      <w:sz w:val="22"/>
                      <w:szCs w:val="22"/>
                    </w:rPr>
                    <w:t>+26%</w:t>
                  </w:r>
                </w:p>
              </w:tc>
              <w:tc>
                <w:tcPr>
                  <w:tcW w:w="1275" w:type="dxa"/>
                  <w:tcBorders>
                    <w:top w:val="nil"/>
                    <w:right w:val="single" w:sz="4" w:space="0" w:color="auto"/>
                  </w:tcBorders>
                  <w:shd w:val="clear" w:color="auto" w:fill="FFFF00"/>
                  <w:vAlign w:val="center"/>
                </w:tcPr>
                <w:p w14:paraId="36340B78" w14:textId="77777777" w:rsidR="00567192" w:rsidRPr="00F72676" w:rsidRDefault="00567192" w:rsidP="00567192">
                  <w:pPr>
                    <w:widowControl w:val="0"/>
                    <w:autoSpaceDE w:val="0"/>
                    <w:autoSpaceDN w:val="0"/>
                    <w:adjustRightInd w:val="0"/>
                    <w:ind w:left="-226"/>
                    <w:jc w:val="right"/>
                    <w:rPr>
                      <w:rFonts w:ascii="Calibri" w:hAnsi="Calibri" w:cs="Calibri"/>
                      <w:b/>
                      <w:bCs/>
                      <w:color w:val="000000"/>
                      <w:sz w:val="22"/>
                      <w:szCs w:val="22"/>
                    </w:rPr>
                  </w:pPr>
                  <w:r w:rsidRPr="00F72676">
                    <w:rPr>
                      <w:rFonts w:ascii="Calibri" w:hAnsi="Calibri" w:cs="Calibri"/>
                      <w:b/>
                      <w:bCs/>
                      <w:color w:val="000000"/>
                      <w:sz w:val="22"/>
                      <w:szCs w:val="22"/>
                    </w:rPr>
                    <w:t>3,</w:t>
                  </w:r>
                  <w:r w:rsidR="00292095" w:rsidRPr="00F72676">
                    <w:rPr>
                      <w:rFonts w:ascii="Calibri" w:hAnsi="Calibri" w:cs="Calibri"/>
                      <w:b/>
                      <w:bCs/>
                      <w:color w:val="000000"/>
                      <w:sz w:val="22"/>
                      <w:szCs w:val="22"/>
                    </w:rPr>
                    <w:t>600</w:t>
                  </w:r>
                  <w:r w:rsidRPr="00F72676">
                    <w:rPr>
                      <w:rFonts w:ascii="Calibri" w:hAnsi="Calibri" w:cs="Calibri"/>
                      <w:b/>
                      <w:bCs/>
                      <w:color w:val="000000"/>
                      <w:sz w:val="22"/>
                      <w:szCs w:val="22"/>
                    </w:rPr>
                    <w:t>.</w:t>
                  </w:r>
                  <w:r w:rsidR="00292095" w:rsidRPr="00F72676">
                    <w:rPr>
                      <w:rFonts w:ascii="Calibri" w:hAnsi="Calibri" w:cs="Calibri"/>
                      <w:b/>
                      <w:bCs/>
                      <w:color w:val="000000"/>
                      <w:sz w:val="22"/>
                      <w:szCs w:val="22"/>
                    </w:rPr>
                    <w:t>2</w:t>
                  </w:r>
                </w:p>
              </w:tc>
              <w:tc>
                <w:tcPr>
                  <w:tcW w:w="1276" w:type="dxa"/>
                  <w:tcBorders>
                    <w:top w:val="nil"/>
                    <w:right w:val="single" w:sz="4" w:space="0" w:color="auto"/>
                  </w:tcBorders>
                  <w:shd w:val="clear" w:color="auto" w:fill="auto"/>
                </w:tcPr>
                <w:p w14:paraId="05A8C2C1"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2,848.4</w:t>
                  </w:r>
                </w:p>
              </w:tc>
              <w:tc>
                <w:tcPr>
                  <w:tcW w:w="1134" w:type="dxa"/>
                  <w:tcBorders>
                    <w:top w:val="nil"/>
                    <w:left w:val="single" w:sz="4" w:space="0" w:color="auto"/>
                    <w:right w:val="single" w:sz="4" w:space="0" w:color="auto"/>
                  </w:tcBorders>
                  <w:shd w:val="clear" w:color="auto" w:fill="auto"/>
                </w:tcPr>
                <w:p w14:paraId="36441685"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w:t>
                  </w:r>
                </w:p>
              </w:tc>
              <w:tc>
                <w:tcPr>
                  <w:tcW w:w="1159" w:type="dxa"/>
                  <w:tcBorders>
                    <w:top w:val="nil"/>
                    <w:left w:val="single" w:sz="4" w:space="0" w:color="auto"/>
                    <w:right w:val="single" w:sz="4" w:space="0" w:color="auto"/>
                  </w:tcBorders>
                  <w:shd w:val="clear" w:color="auto" w:fill="auto"/>
                </w:tcPr>
                <w:p w14:paraId="6D20ACD4"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2,848.4</w:t>
                  </w:r>
                </w:p>
              </w:tc>
            </w:tr>
            <w:tr w:rsidR="00567192" w:rsidRPr="00F72676" w14:paraId="01874814" w14:textId="77777777" w:rsidTr="004C74E4">
              <w:trPr>
                <w:trHeight w:val="229"/>
              </w:trPr>
              <w:tc>
                <w:tcPr>
                  <w:tcW w:w="260" w:type="dxa"/>
                  <w:tcBorders>
                    <w:top w:val="nil"/>
                    <w:left w:val="nil"/>
                    <w:bottom w:val="nil"/>
                    <w:right w:val="nil"/>
                  </w:tcBorders>
                </w:tcPr>
                <w:p w14:paraId="3DBBDB3D" w14:textId="77777777" w:rsidR="00567192" w:rsidRPr="00F72676" w:rsidRDefault="00567192" w:rsidP="00567192">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6AD675D8" w14:textId="77777777" w:rsidR="00567192" w:rsidRPr="00F72676" w:rsidRDefault="00567192" w:rsidP="00567192">
                  <w:pPr>
                    <w:autoSpaceDE w:val="0"/>
                    <w:autoSpaceDN w:val="0"/>
                    <w:adjustRightInd w:val="0"/>
                    <w:ind w:right="-818"/>
                    <w:rPr>
                      <w:rFonts w:ascii="Calibri" w:hAnsi="Calibri" w:cs="Calibri"/>
                      <w:color w:val="000000"/>
                      <w:sz w:val="22"/>
                      <w:szCs w:val="22"/>
                    </w:rPr>
                  </w:pPr>
                  <w:r w:rsidRPr="00F72676">
                    <w:rPr>
                      <w:rFonts w:ascii="Calibri" w:hAnsi="Calibri" w:cs="Calibri"/>
                      <w:color w:val="000000"/>
                      <w:sz w:val="22"/>
                      <w:szCs w:val="22"/>
                    </w:rPr>
                    <w:t>Ancillary revenues</w:t>
                  </w:r>
                </w:p>
              </w:tc>
              <w:tc>
                <w:tcPr>
                  <w:tcW w:w="709" w:type="dxa"/>
                  <w:tcBorders>
                    <w:top w:val="nil"/>
                  </w:tcBorders>
                </w:tcPr>
                <w:p w14:paraId="4073D2A2" w14:textId="77777777" w:rsidR="00567192" w:rsidRPr="00F72676" w:rsidRDefault="00567192" w:rsidP="00567192">
                  <w:pPr>
                    <w:autoSpaceDE w:val="0"/>
                    <w:autoSpaceDN w:val="0"/>
                    <w:adjustRightInd w:val="0"/>
                    <w:jc w:val="right"/>
                    <w:rPr>
                      <w:rFonts w:ascii="Calibri" w:hAnsi="Calibri" w:cs="Calibri"/>
                      <w:bCs/>
                      <w:color w:val="000000"/>
                      <w:sz w:val="22"/>
                      <w:szCs w:val="22"/>
                      <w:highlight w:val="green"/>
                    </w:rPr>
                  </w:pPr>
                </w:p>
              </w:tc>
              <w:tc>
                <w:tcPr>
                  <w:tcW w:w="851" w:type="dxa"/>
                  <w:tcBorders>
                    <w:top w:val="nil"/>
                    <w:right w:val="single" w:sz="4" w:space="0" w:color="auto"/>
                  </w:tcBorders>
                </w:tcPr>
                <w:p w14:paraId="366471BC" w14:textId="77777777" w:rsidR="00567192" w:rsidRPr="00F72676" w:rsidRDefault="00567192" w:rsidP="00567192">
                  <w:pPr>
                    <w:autoSpaceDE w:val="0"/>
                    <w:autoSpaceDN w:val="0"/>
                    <w:adjustRightInd w:val="0"/>
                    <w:jc w:val="right"/>
                    <w:rPr>
                      <w:rFonts w:ascii="Calibri" w:hAnsi="Calibri" w:cs="Calibri"/>
                      <w:bCs/>
                      <w:color w:val="000000"/>
                      <w:sz w:val="22"/>
                      <w:szCs w:val="22"/>
                    </w:rPr>
                  </w:pPr>
                  <w:r w:rsidRPr="00F72676">
                    <w:rPr>
                      <w:rFonts w:ascii="Calibri" w:hAnsi="Calibri" w:cs="Calibri"/>
                      <w:bCs/>
                      <w:color w:val="000000"/>
                      <w:sz w:val="22"/>
                      <w:szCs w:val="22"/>
                    </w:rPr>
                    <w:t>+14%</w:t>
                  </w:r>
                </w:p>
              </w:tc>
              <w:tc>
                <w:tcPr>
                  <w:tcW w:w="1275" w:type="dxa"/>
                  <w:tcBorders>
                    <w:top w:val="nil"/>
                    <w:right w:val="single" w:sz="4" w:space="0" w:color="auto"/>
                  </w:tcBorders>
                  <w:shd w:val="clear" w:color="auto" w:fill="FFFF00"/>
                  <w:vAlign w:val="center"/>
                </w:tcPr>
                <w:p w14:paraId="466C0DD1" w14:textId="77777777" w:rsidR="00567192" w:rsidRPr="00F72676" w:rsidRDefault="00567192" w:rsidP="00567192">
                  <w:pPr>
                    <w:widowControl w:val="0"/>
                    <w:autoSpaceDE w:val="0"/>
                    <w:autoSpaceDN w:val="0"/>
                    <w:adjustRightInd w:val="0"/>
                    <w:ind w:left="-226"/>
                    <w:jc w:val="right"/>
                    <w:rPr>
                      <w:rFonts w:ascii="Calibri" w:hAnsi="Calibri" w:cs="Calibri"/>
                      <w:b/>
                      <w:bCs/>
                      <w:color w:val="000000"/>
                      <w:sz w:val="22"/>
                      <w:szCs w:val="22"/>
                    </w:rPr>
                  </w:pPr>
                  <w:r w:rsidRPr="00F72676">
                    <w:rPr>
                      <w:rFonts w:ascii="Calibri" w:hAnsi="Calibri" w:cs="Calibri"/>
                      <w:b/>
                      <w:bCs/>
                      <w:color w:val="000000"/>
                      <w:sz w:val="22"/>
                      <w:szCs w:val="22"/>
                    </w:rPr>
                    <w:t>1,325.7</w:t>
                  </w:r>
                </w:p>
              </w:tc>
              <w:tc>
                <w:tcPr>
                  <w:tcW w:w="1276" w:type="dxa"/>
                  <w:tcBorders>
                    <w:top w:val="nil"/>
                    <w:right w:val="single" w:sz="4" w:space="0" w:color="auto"/>
                  </w:tcBorders>
                  <w:shd w:val="clear" w:color="auto" w:fill="auto"/>
                </w:tcPr>
                <w:p w14:paraId="3A5AE092"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1,166.2</w:t>
                  </w:r>
                </w:p>
              </w:tc>
              <w:tc>
                <w:tcPr>
                  <w:tcW w:w="1134" w:type="dxa"/>
                  <w:tcBorders>
                    <w:top w:val="nil"/>
                    <w:left w:val="single" w:sz="4" w:space="0" w:color="auto"/>
                    <w:right w:val="single" w:sz="4" w:space="0" w:color="auto"/>
                  </w:tcBorders>
                  <w:shd w:val="clear" w:color="auto" w:fill="auto"/>
                </w:tcPr>
                <w:p w14:paraId="4B660C1E"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w:t>
                  </w:r>
                </w:p>
              </w:tc>
              <w:tc>
                <w:tcPr>
                  <w:tcW w:w="1159" w:type="dxa"/>
                  <w:tcBorders>
                    <w:top w:val="nil"/>
                    <w:left w:val="single" w:sz="4" w:space="0" w:color="auto"/>
                    <w:right w:val="single" w:sz="4" w:space="0" w:color="auto"/>
                  </w:tcBorders>
                  <w:shd w:val="clear" w:color="auto" w:fill="auto"/>
                </w:tcPr>
                <w:p w14:paraId="24EBB4E4"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1,166.2</w:t>
                  </w:r>
                </w:p>
              </w:tc>
            </w:tr>
            <w:tr w:rsidR="00AD45BD" w:rsidRPr="00F72676" w14:paraId="1C3A629A" w14:textId="77777777" w:rsidTr="004C74E4">
              <w:trPr>
                <w:trHeight w:val="229"/>
              </w:trPr>
              <w:tc>
                <w:tcPr>
                  <w:tcW w:w="4253" w:type="dxa"/>
                  <w:gridSpan w:val="2"/>
                  <w:tcBorders>
                    <w:top w:val="nil"/>
                    <w:left w:val="nil"/>
                    <w:bottom w:val="nil"/>
                  </w:tcBorders>
                </w:tcPr>
                <w:p w14:paraId="3DE4D20D" w14:textId="77777777" w:rsidR="00AD45BD" w:rsidRPr="00F72676" w:rsidRDefault="00AD45BD" w:rsidP="00AD45BD">
                  <w:pPr>
                    <w:autoSpaceDE w:val="0"/>
                    <w:autoSpaceDN w:val="0"/>
                    <w:adjustRightInd w:val="0"/>
                    <w:ind w:right="-818"/>
                    <w:rPr>
                      <w:rFonts w:ascii="Calibri" w:hAnsi="Calibri" w:cs="Calibri"/>
                      <w:b/>
                      <w:color w:val="000000"/>
                      <w:sz w:val="22"/>
                      <w:szCs w:val="22"/>
                    </w:rPr>
                  </w:pPr>
                  <w:r w:rsidRPr="00F72676">
                    <w:rPr>
                      <w:rFonts w:ascii="Calibri" w:hAnsi="Calibri" w:cs="Calibri"/>
                      <w:b/>
                      <w:bCs/>
                      <w:color w:val="000000"/>
                      <w:sz w:val="22"/>
                      <w:szCs w:val="22"/>
                    </w:rPr>
                    <w:t xml:space="preserve">Total operating revenues </w:t>
                  </w:r>
                </w:p>
              </w:tc>
              <w:tc>
                <w:tcPr>
                  <w:tcW w:w="709" w:type="dxa"/>
                  <w:tcBorders>
                    <w:top w:val="nil"/>
                  </w:tcBorders>
                </w:tcPr>
                <w:p w14:paraId="0E5B0BB4" w14:textId="77777777" w:rsidR="00AD45BD" w:rsidRPr="00F72676" w:rsidRDefault="00AD45BD" w:rsidP="00AD45BD">
                  <w:pPr>
                    <w:autoSpaceDE w:val="0"/>
                    <w:autoSpaceDN w:val="0"/>
                    <w:adjustRightInd w:val="0"/>
                    <w:jc w:val="right"/>
                    <w:rPr>
                      <w:rFonts w:ascii="Calibri" w:hAnsi="Calibri" w:cs="Calibri"/>
                      <w:b/>
                      <w:color w:val="000000"/>
                      <w:sz w:val="22"/>
                      <w:szCs w:val="22"/>
                      <w:highlight w:val="green"/>
                    </w:rPr>
                  </w:pPr>
                  <w:r w:rsidRPr="00F72676">
                    <w:rPr>
                      <w:rFonts w:ascii="Calibri" w:hAnsi="Calibri" w:cs="Calibri"/>
                      <w:b/>
                      <w:color w:val="000000"/>
                      <w:sz w:val="22"/>
                      <w:szCs w:val="22"/>
                    </w:rPr>
                    <w:t>7</w:t>
                  </w:r>
                </w:p>
              </w:tc>
              <w:tc>
                <w:tcPr>
                  <w:tcW w:w="851" w:type="dxa"/>
                  <w:tcBorders>
                    <w:top w:val="single" w:sz="4" w:space="0" w:color="auto"/>
                    <w:bottom w:val="single" w:sz="4" w:space="0" w:color="auto"/>
                    <w:right w:val="single" w:sz="4" w:space="0" w:color="auto"/>
                  </w:tcBorders>
                </w:tcPr>
                <w:p w14:paraId="55DCA233" w14:textId="77777777" w:rsidR="00AD45BD" w:rsidRPr="00F72676" w:rsidRDefault="00567192" w:rsidP="00AD45BD">
                  <w:pPr>
                    <w:autoSpaceDE w:val="0"/>
                    <w:autoSpaceDN w:val="0"/>
                    <w:adjustRightInd w:val="0"/>
                    <w:jc w:val="right"/>
                    <w:rPr>
                      <w:rFonts w:ascii="Calibri" w:hAnsi="Calibri" w:cs="Calibri"/>
                      <w:bCs/>
                      <w:color w:val="000000"/>
                      <w:sz w:val="22"/>
                      <w:szCs w:val="22"/>
                    </w:rPr>
                  </w:pPr>
                  <w:r w:rsidRPr="00F72676">
                    <w:rPr>
                      <w:rFonts w:ascii="Calibri" w:hAnsi="Calibri" w:cs="Calibri"/>
                      <w:bCs/>
                      <w:color w:val="000000"/>
                      <w:sz w:val="22"/>
                      <w:szCs w:val="22"/>
                    </w:rPr>
                    <w:t>+23%</w:t>
                  </w:r>
                </w:p>
              </w:tc>
              <w:tc>
                <w:tcPr>
                  <w:tcW w:w="1275" w:type="dxa"/>
                  <w:tcBorders>
                    <w:top w:val="single" w:sz="4" w:space="0" w:color="auto"/>
                    <w:bottom w:val="single" w:sz="4" w:space="0" w:color="auto"/>
                    <w:right w:val="single" w:sz="4" w:space="0" w:color="auto"/>
                  </w:tcBorders>
                  <w:shd w:val="clear" w:color="auto" w:fill="FFFF00"/>
                </w:tcPr>
                <w:p w14:paraId="0C476602" w14:textId="77777777" w:rsidR="00AD45BD" w:rsidRPr="00F72676" w:rsidRDefault="00567192" w:rsidP="00AD45BD">
                  <w:pPr>
                    <w:autoSpaceDE w:val="0"/>
                    <w:autoSpaceDN w:val="0"/>
                    <w:adjustRightInd w:val="0"/>
                    <w:jc w:val="right"/>
                    <w:rPr>
                      <w:rFonts w:ascii="Calibri" w:hAnsi="Calibri" w:cs="Calibri"/>
                      <w:b/>
                      <w:bCs/>
                      <w:color w:val="000000"/>
                      <w:sz w:val="22"/>
                      <w:szCs w:val="22"/>
                    </w:rPr>
                  </w:pPr>
                  <w:r w:rsidRPr="00F72676">
                    <w:rPr>
                      <w:rFonts w:ascii="Calibri" w:hAnsi="Calibri" w:cs="Calibri"/>
                      <w:b/>
                      <w:bCs/>
                      <w:color w:val="000000"/>
                      <w:sz w:val="22"/>
                      <w:szCs w:val="22"/>
                    </w:rPr>
                    <w:t>4,92</w:t>
                  </w:r>
                  <w:r w:rsidR="00292095" w:rsidRPr="00F72676">
                    <w:rPr>
                      <w:rFonts w:ascii="Calibri" w:hAnsi="Calibri" w:cs="Calibri"/>
                      <w:b/>
                      <w:bCs/>
                      <w:color w:val="000000"/>
                      <w:sz w:val="22"/>
                      <w:szCs w:val="22"/>
                    </w:rPr>
                    <w:t>5.9</w:t>
                  </w:r>
                </w:p>
              </w:tc>
              <w:tc>
                <w:tcPr>
                  <w:tcW w:w="1276" w:type="dxa"/>
                  <w:tcBorders>
                    <w:top w:val="single" w:sz="4" w:space="0" w:color="auto"/>
                    <w:bottom w:val="single" w:sz="4" w:space="0" w:color="auto"/>
                    <w:right w:val="single" w:sz="4" w:space="0" w:color="auto"/>
                  </w:tcBorders>
                  <w:shd w:val="clear" w:color="auto" w:fill="auto"/>
                </w:tcPr>
                <w:p w14:paraId="2A210849" w14:textId="77777777" w:rsidR="00AD45BD" w:rsidRPr="00F72676" w:rsidRDefault="00961EBD" w:rsidP="00AD45BD">
                  <w:pPr>
                    <w:autoSpaceDE w:val="0"/>
                    <w:autoSpaceDN w:val="0"/>
                    <w:adjustRightInd w:val="0"/>
                    <w:jc w:val="right"/>
                    <w:rPr>
                      <w:rFonts w:ascii="Calibri" w:hAnsi="Calibri" w:cs="Calibri"/>
                      <w:color w:val="000000"/>
                      <w:sz w:val="22"/>
                      <w:szCs w:val="22"/>
                    </w:rPr>
                  </w:pPr>
                  <w:r w:rsidRPr="00F72676">
                    <w:rPr>
                      <w:rFonts w:ascii="Calibri" w:hAnsi="Calibri" w:cs="Calibri"/>
                      <w:color w:val="000000"/>
                      <w:sz w:val="22"/>
                      <w:szCs w:val="22"/>
                    </w:rPr>
                    <w:t>4,014.6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479CC7" w14:textId="77777777" w:rsidR="00AD45BD" w:rsidRPr="00F72676" w:rsidRDefault="00961EBD" w:rsidP="00AD45BD">
                  <w:pPr>
                    <w:autoSpaceDE w:val="0"/>
                    <w:autoSpaceDN w:val="0"/>
                    <w:adjustRightInd w:val="0"/>
                    <w:jc w:val="right"/>
                    <w:rPr>
                      <w:rFonts w:ascii="Calibri" w:hAnsi="Calibri" w:cs="Calibri"/>
                      <w:color w:val="000000"/>
                      <w:sz w:val="22"/>
                      <w:szCs w:val="22"/>
                    </w:rPr>
                  </w:pPr>
                  <w:r w:rsidRPr="00F72676">
                    <w:rPr>
                      <w:rFonts w:ascii="Calibri" w:hAnsi="Calibri" w:cs="Calibri"/>
                      <w:color w:val="000000"/>
                      <w:sz w:val="22"/>
                      <w:szCs w:val="22"/>
                    </w:rPr>
                    <w:t>-</w:t>
                  </w: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66566A56" w14:textId="77777777" w:rsidR="00AD45BD" w:rsidRPr="00F72676" w:rsidRDefault="00961EBD" w:rsidP="00AD45BD">
                  <w:pPr>
                    <w:autoSpaceDE w:val="0"/>
                    <w:autoSpaceDN w:val="0"/>
                    <w:adjustRightInd w:val="0"/>
                    <w:jc w:val="right"/>
                    <w:rPr>
                      <w:rFonts w:ascii="Calibri" w:hAnsi="Calibri" w:cs="Calibri"/>
                      <w:color w:val="000000"/>
                      <w:sz w:val="22"/>
                      <w:szCs w:val="22"/>
                    </w:rPr>
                  </w:pPr>
                  <w:r w:rsidRPr="00F72676">
                    <w:rPr>
                      <w:rFonts w:ascii="Calibri" w:hAnsi="Calibri" w:cs="Calibri"/>
                      <w:color w:val="000000"/>
                      <w:sz w:val="22"/>
                      <w:szCs w:val="22"/>
                    </w:rPr>
                    <w:t>4,014.6</w:t>
                  </w:r>
                </w:p>
              </w:tc>
            </w:tr>
            <w:tr w:rsidR="00AD45BD" w:rsidRPr="00F72676" w14:paraId="6C80F501" w14:textId="77777777" w:rsidTr="004C74E4">
              <w:trPr>
                <w:trHeight w:val="229"/>
              </w:trPr>
              <w:tc>
                <w:tcPr>
                  <w:tcW w:w="4253" w:type="dxa"/>
                  <w:gridSpan w:val="2"/>
                  <w:tcBorders>
                    <w:top w:val="nil"/>
                    <w:left w:val="nil"/>
                    <w:bottom w:val="nil"/>
                  </w:tcBorders>
                </w:tcPr>
                <w:p w14:paraId="06E55D01" w14:textId="77777777" w:rsidR="00AD45BD" w:rsidRPr="00F72676" w:rsidRDefault="00AD45BD" w:rsidP="00AD45BD">
                  <w:pPr>
                    <w:autoSpaceDE w:val="0"/>
                    <w:autoSpaceDN w:val="0"/>
                    <w:adjustRightInd w:val="0"/>
                    <w:rPr>
                      <w:rFonts w:ascii="Calibri" w:hAnsi="Calibri" w:cs="Calibri"/>
                      <w:bCs/>
                      <w:color w:val="000000"/>
                      <w:sz w:val="22"/>
                      <w:szCs w:val="22"/>
                    </w:rPr>
                  </w:pPr>
                </w:p>
              </w:tc>
              <w:tc>
                <w:tcPr>
                  <w:tcW w:w="709" w:type="dxa"/>
                  <w:tcBorders>
                    <w:bottom w:val="nil"/>
                  </w:tcBorders>
                </w:tcPr>
                <w:p w14:paraId="282DA58A" w14:textId="77777777" w:rsidR="00AD45BD" w:rsidRPr="00F72676" w:rsidRDefault="00AD45BD" w:rsidP="00AD45BD">
                  <w:pPr>
                    <w:autoSpaceDE w:val="0"/>
                    <w:autoSpaceDN w:val="0"/>
                    <w:adjustRightInd w:val="0"/>
                    <w:jc w:val="right"/>
                    <w:rPr>
                      <w:rFonts w:ascii="Calibri" w:hAnsi="Calibri" w:cs="Calibri"/>
                      <w:bCs/>
                      <w:color w:val="000000"/>
                      <w:sz w:val="22"/>
                      <w:szCs w:val="22"/>
                      <w:highlight w:val="green"/>
                    </w:rPr>
                  </w:pPr>
                </w:p>
              </w:tc>
              <w:tc>
                <w:tcPr>
                  <w:tcW w:w="851" w:type="dxa"/>
                  <w:tcBorders>
                    <w:bottom w:val="nil"/>
                    <w:right w:val="single" w:sz="4" w:space="0" w:color="auto"/>
                  </w:tcBorders>
                </w:tcPr>
                <w:p w14:paraId="7A345F1E" w14:textId="77777777" w:rsidR="00AD45BD" w:rsidRPr="00F72676" w:rsidRDefault="00AD45BD" w:rsidP="00AD45BD">
                  <w:pPr>
                    <w:autoSpaceDE w:val="0"/>
                    <w:autoSpaceDN w:val="0"/>
                    <w:adjustRightInd w:val="0"/>
                    <w:jc w:val="right"/>
                    <w:rPr>
                      <w:rFonts w:ascii="Calibri" w:hAnsi="Calibri" w:cs="Calibri"/>
                      <w:bCs/>
                      <w:color w:val="000000"/>
                      <w:sz w:val="22"/>
                      <w:szCs w:val="22"/>
                    </w:rPr>
                  </w:pPr>
                </w:p>
              </w:tc>
              <w:tc>
                <w:tcPr>
                  <w:tcW w:w="1275" w:type="dxa"/>
                  <w:tcBorders>
                    <w:bottom w:val="nil"/>
                    <w:right w:val="single" w:sz="4" w:space="0" w:color="auto"/>
                  </w:tcBorders>
                  <w:shd w:val="clear" w:color="auto" w:fill="FFFF00"/>
                </w:tcPr>
                <w:p w14:paraId="463206BF" w14:textId="77777777" w:rsidR="00AD45BD" w:rsidRPr="00F72676" w:rsidRDefault="00AD45BD" w:rsidP="00AD45BD">
                  <w:pPr>
                    <w:autoSpaceDE w:val="0"/>
                    <w:autoSpaceDN w:val="0"/>
                    <w:adjustRightInd w:val="0"/>
                    <w:ind w:left="-226"/>
                    <w:jc w:val="right"/>
                    <w:rPr>
                      <w:rFonts w:ascii="Calibri" w:hAnsi="Calibri" w:cs="Calibri"/>
                      <w:b/>
                      <w:bCs/>
                      <w:color w:val="000000"/>
                      <w:sz w:val="22"/>
                      <w:szCs w:val="22"/>
                    </w:rPr>
                  </w:pPr>
                </w:p>
              </w:tc>
              <w:tc>
                <w:tcPr>
                  <w:tcW w:w="1276" w:type="dxa"/>
                  <w:tcBorders>
                    <w:bottom w:val="nil"/>
                    <w:right w:val="single" w:sz="4" w:space="0" w:color="auto"/>
                  </w:tcBorders>
                  <w:shd w:val="clear" w:color="auto" w:fill="auto"/>
                </w:tcPr>
                <w:p w14:paraId="0839A92D"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134" w:type="dxa"/>
                  <w:tcBorders>
                    <w:left w:val="single" w:sz="4" w:space="0" w:color="auto"/>
                    <w:bottom w:val="nil"/>
                    <w:right w:val="single" w:sz="4" w:space="0" w:color="auto"/>
                  </w:tcBorders>
                  <w:shd w:val="clear" w:color="auto" w:fill="auto"/>
                </w:tcPr>
                <w:p w14:paraId="271BEA62"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159" w:type="dxa"/>
                  <w:tcBorders>
                    <w:top w:val="single" w:sz="4" w:space="0" w:color="auto"/>
                    <w:left w:val="single" w:sz="4" w:space="0" w:color="auto"/>
                    <w:bottom w:val="nil"/>
                    <w:right w:val="single" w:sz="4" w:space="0" w:color="auto"/>
                  </w:tcBorders>
                  <w:shd w:val="clear" w:color="auto" w:fill="auto"/>
                </w:tcPr>
                <w:p w14:paraId="74FB6C91"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r>
            <w:tr w:rsidR="00AD45BD" w:rsidRPr="00F72676" w14:paraId="3ED168DB" w14:textId="77777777" w:rsidTr="004C74E4">
              <w:trPr>
                <w:trHeight w:val="229"/>
              </w:trPr>
              <w:tc>
                <w:tcPr>
                  <w:tcW w:w="4253" w:type="dxa"/>
                  <w:gridSpan w:val="2"/>
                  <w:tcBorders>
                    <w:top w:val="nil"/>
                    <w:left w:val="nil"/>
                    <w:bottom w:val="nil"/>
                  </w:tcBorders>
                </w:tcPr>
                <w:p w14:paraId="2A440ACB" w14:textId="77777777" w:rsidR="00AD45BD" w:rsidRPr="00F72676" w:rsidRDefault="00AD45BD" w:rsidP="00AD45BD">
                  <w:pPr>
                    <w:autoSpaceDE w:val="0"/>
                    <w:autoSpaceDN w:val="0"/>
                    <w:adjustRightInd w:val="0"/>
                    <w:rPr>
                      <w:rFonts w:ascii="Calibri" w:hAnsi="Calibri" w:cs="Calibri"/>
                      <w:color w:val="000000"/>
                      <w:sz w:val="22"/>
                      <w:szCs w:val="22"/>
                    </w:rPr>
                  </w:pPr>
                  <w:r w:rsidRPr="00F72676">
                    <w:rPr>
                      <w:rFonts w:ascii="Calibri" w:hAnsi="Calibri" w:cs="Calibri"/>
                      <w:b/>
                      <w:color w:val="000000"/>
                      <w:sz w:val="22"/>
                      <w:szCs w:val="22"/>
                    </w:rPr>
                    <w:t>Operating expenses</w:t>
                  </w:r>
                </w:p>
              </w:tc>
              <w:tc>
                <w:tcPr>
                  <w:tcW w:w="709" w:type="dxa"/>
                  <w:tcBorders>
                    <w:top w:val="nil"/>
                    <w:bottom w:val="nil"/>
                  </w:tcBorders>
                </w:tcPr>
                <w:p w14:paraId="0F5EE916" w14:textId="77777777" w:rsidR="00AD45BD" w:rsidRPr="00F72676" w:rsidRDefault="00AD45BD" w:rsidP="00AD45BD">
                  <w:pPr>
                    <w:autoSpaceDE w:val="0"/>
                    <w:autoSpaceDN w:val="0"/>
                    <w:adjustRightInd w:val="0"/>
                    <w:jc w:val="right"/>
                    <w:rPr>
                      <w:rFonts w:ascii="Calibri" w:hAnsi="Calibri" w:cs="Calibri"/>
                      <w:bCs/>
                      <w:color w:val="000000"/>
                      <w:sz w:val="22"/>
                      <w:szCs w:val="22"/>
                      <w:highlight w:val="green"/>
                    </w:rPr>
                  </w:pPr>
                </w:p>
              </w:tc>
              <w:tc>
                <w:tcPr>
                  <w:tcW w:w="851" w:type="dxa"/>
                  <w:tcBorders>
                    <w:top w:val="nil"/>
                    <w:bottom w:val="nil"/>
                    <w:right w:val="single" w:sz="4" w:space="0" w:color="auto"/>
                  </w:tcBorders>
                </w:tcPr>
                <w:p w14:paraId="4720B494" w14:textId="77777777" w:rsidR="00AD45BD" w:rsidRPr="00F72676" w:rsidRDefault="00AD45BD" w:rsidP="00AD45BD">
                  <w:pPr>
                    <w:autoSpaceDE w:val="0"/>
                    <w:autoSpaceDN w:val="0"/>
                    <w:adjustRightInd w:val="0"/>
                    <w:jc w:val="right"/>
                    <w:rPr>
                      <w:rFonts w:ascii="Calibri" w:hAnsi="Calibri" w:cs="Calibri"/>
                      <w:bCs/>
                      <w:color w:val="000000"/>
                      <w:sz w:val="22"/>
                      <w:szCs w:val="22"/>
                    </w:rPr>
                  </w:pPr>
                </w:p>
              </w:tc>
              <w:tc>
                <w:tcPr>
                  <w:tcW w:w="1275" w:type="dxa"/>
                  <w:tcBorders>
                    <w:top w:val="nil"/>
                    <w:bottom w:val="nil"/>
                    <w:right w:val="single" w:sz="4" w:space="0" w:color="auto"/>
                  </w:tcBorders>
                  <w:shd w:val="clear" w:color="auto" w:fill="FFFF00"/>
                </w:tcPr>
                <w:p w14:paraId="4CBC6576" w14:textId="77777777" w:rsidR="00AD45BD" w:rsidRPr="00F72676" w:rsidRDefault="00AD45BD" w:rsidP="00AD45BD">
                  <w:pPr>
                    <w:autoSpaceDE w:val="0"/>
                    <w:autoSpaceDN w:val="0"/>
                    <w:adjustRightInd w:val="0"/>
                    <w:ind w:left="-226"/>
                    <w:jc w:val="right"/>
                    <w:rPr>
                      <w:rFonts w:ascii="Calibri" w:hAnsi="Calibri" w:cs="Calibri"/>
                      <w:b/>
                      <w:bCs/>
                      <w:color w:val="000000"/>
                      <w:sz w:val="22"/>
                      <w:szCs w:val="22"/>
                    </w:rPr>
                  </w:pPr>
                </w:p>
              </w:tc>
              <w:tc>
                <w:tcPr>
                  <w:tcW w:w="1276" w:type="dxa"/>
                  <w:tcBorders>
                    <w:top w:val="nil"/>
                    <w:bottom w:val="nil"/>
                    <w:right w:val="single" w:sz="4" w:space="0" w:color="auto"/>
                  </w:tcBorders>
                  <w:shd w:val="clear" w:color="auto" w:fill="auto"/>
                </w:tcPr>
                <w:p w14:paraId="728D3595"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tcPr>
                <w:p w14:paraId="2E4D8D8A"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159" w:type="dxa"/>
                  <w:tcBorders>
                    <w:top w:val="nil"/>
                    <w:left w:val="single" w:sz="4" w:space="0" w:color="auto"/>
                    <w:bottom w:val="nil"/>
                    <w:right w:val="single" w:sz="4" w:space="0" w:color="auto"/>
                  </w:tcBorders>
                  <w:shd w:val="clear" w:color="auto" w:fill="auto"/>
                </w:tcPr>
                <w:p w14:paraId="703BBD13"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r>
            <w:tr w:rsidR="00567192" w:rsidRPr="00F72676" w14:paraId="2B610948" w14:textId="77777777" w:rsidTr="004C74E4">
              <w:trPr>
                <w:trHeight w:val="229"/>
              </w:trPr>
              <w:tc>
                <w:tcPr>
                  <w:tcW w:w="260" w:type="dxa"/>
                  <w:tcBorders>
                    <w:top w:val="nil"/>
                    <w:left w:val="nil"/>
                    <w:bottom w:val="nil"/>
                    <w:right w:val="nil"/>
                  </w:tcBorders>
                </w:tcPr>
                <w:p w14:paraId="02B06338" w14:textId="77777777" w:rsidR="00567192" w:rsidRPr="00F72676" w:rsidRDefault="00567192" w:rsidP="00567192">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43DAFDA9" w14:textId="77777777" w:rsidR="00567192" w:rsidRPr="00F72676" w:rsidRDefault="00567192" w:rsidP="00567192">
                  <w:pPr>
                    <w:autoSpaceDE w:val="0"/>
                    <w:autoSpaceDN w:val="0"/>
                    <w:adjustRightInd w:val="0"/>
                    <w:rPr>
                      <w:rFonts w:ascii="Calibri" w:hAnsi="Calibri" w:cs="Calibri"/>
                      <w:color w:val="000000"/>
                      <w:sz w:val="22"/>
                      <w:szCs w:val="22"/>
                    </w:rPr>
                  </w:pPr>
                  <w:r w:rsidRPr="00F72676">
                    <w:rPr>
                      <w:rFonts w:ascii="Calibri" w:hAnsi="Calibri" w:cs="Calibri"/>
                      <w:color w:val="000000"/>
                      <w:sz w:val="22"/>
                      <w:szCs w:val="22"/>
                    </w:rPr>
                    <w:t>Fuel and oil</w:t>
                  </w:r>
                </w:p>
              </w:tc>
              <w:tc>
                <w:tcPr>
                  <w:tcW w:w="709" w:type="dxa"/>
                  <w:tcBorders>
                    <w:top w:val="nil"/>
                    <w:bottom w:val="nil"/>
                  </w:tcBorders>
                </w:tcPr>
                <w:p w14:paraId="43421D94" w14:textId="77777777" w:rsidR="00567192" w:rsidRPr="00F72676" w:rsidRDefault="00567192" w:rsidP="00567192">
                  <w:pPr>
                    <w:autoSpaceDE w:val="0"/>
                    <w:autoSpaceDN w:val="0"/>
                    <w:adjustRightInd w:val="0"/>
                    <w:jc w:val="right"/>
                    <w:rPr>
                      <w:rFonts w:ascii="Calibri" w:hAnsi="Calibri" w:cs="Calibri"/>
                      <w:bCs/>
                      <w:color w:val="000000"/>
                      <w:sz w:val="22"/>
                      <w:szCs w:val="22"/>
                      <w:highlight w:val="green"/>
                    </w:rPr>
                  </w:pPr>
                </w:p>
              </w:tc>
              <w:tc>
                <w:tcPr>
                  <w:tcW w:w="851" w:type="dxa"/>
                  <w:tcBorders>
                    <w:top w:val="nil"/>
                    <w:bottom w:val="nil"/>
                    <w:right w:val="single" w:sz="4" w:space="0" w:color="auto"/>
                  </w:tcBorders>
                  <w:vAlign w:val="center"/>
                </w:tcPr>
                <w:p w14:paraId="5A7597CC" w14:textId="77777777" w:rsidR="00567192" w:rsidRPr="00F72676" w:rsidRDefault="00567192" w:rsidP="00567192">
                  <w:pPr>
                    <w:widowControl w:val="0"/>
                    <w:autoSpaceDE w:val="0"/>
                    <w:autoSpaceDN w:val="0"/>
                    <w:adjustRightInd w:val="0"/>
                    <w:jc w:val="right"/>
                    <w:rPr>
                      <w:rFonts w:ascii="Calibri" w:hAnsi="Calibri" w:cs="Calibri"/>
                      <w:bCs/>
                      <w:color w:val="000000"/>
                      <w:sz w:val="22"/>
                      <w:szCs w:val="22"/>
                    </w:rPr>
                  </w:pPr>
                  <w:r w:rsidRPr="00F72676">
                    <w:rPr>
                      <w:rFonts w:ascii="Calibri" w:hAnsi="Calibri" w:cs="Calibri"/>
                      <w:color w:val="000000"/>
                      <w:sz w:val="22"/>
                      <w:szCs w:val="22"/>
                    </w:rPr>
                    <w:t>-29%</w:t>
                  </w:r>
                </w:p>
              </w:tc>
              <w:tc>
                <w:tcPr>
                  <w:tcW w:w="1275" w:type="dxa"/>
                  <w:tcBorders>
                    <w:top w:val="nil"/>
                    <w:bottom w:val="nil"/>
                    <w:right w:val="single" w:sz="4" w:space="0" w:color="auto"/>
                  </w:tcBorders>
                  <w:shd w:val="clear" w:color="auto" w:fill="FFFF00"/>
                  <w:vAlign w:val="center"/>
                </w:tcPr>
                <w:p w14:paraId="6C4D4F90" w14:textId="77777777" w:rsidR="00567192" w:rsidRPr="00F72676" w:rsidRDefault="00567192" w:rsidP="00567192">
                  <w:pPr>
                    <w:widowControl w:val="0"/>
                    <w:autoSpaceDE w:val="0"/>
                    <w:autoSpaceDN w:val="0"/>
                    <w:adjustRightInd w:val="0"/>
                    <w:ind w:left="-226"/>
                    <w:jc w:val="right"/>
                    <w:rPr>
                      <w:rFonts w:ascii="Calibri" w:hAnsi="Calibri" w:cs="Calibri"/>
                      <w:b/>
                      <w:bCs/>
                      <w:color w:val="000000"/>
                      <w:sz w:val="22"/>
                      <w:szCs w:val="22"/>
                    </w:rPr>
                  </w:pPr>
                  <w:r w:rsidRPr="00F72676">
                    <w:rPr>
                      <w:rFonts w:ascii="Calibri" w:hAnsi="Calibri" w:cs="Calibri"/>
                      <w:b/>
                      <w:bCs/>
                      <w:color w:val="000000"/>
                      <w:sz w:val="22"/>
                      <w:szCs w:val="22"/>
                    </w:rPr>
                    <w:t>1,476.5</w:t>
                  </w:r>
                </w:p>
              </w:tc>
              <w:tc>
                <w:tcPr>
                  <w:tcW w:w="1276" w:type="dxa"/>
                  <w:tcBorders>
                    <w:top w:val="nil"/>
                    <w:bottom w:val="nil"/>
                    <w:right w:val="single" w:sz="4" w:space="0" w:color="auto"/>
                  </w:tcBorders>
                  <w:shd w:val="clear" w:color="auto" w:fill="auto"/>
                </w:tcPr>
                <w:p w14:paraId="6CF23B13"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1,144.4</w:t>
                  </w:r>
                </w:p>
              </w:tc>
              <w:tc>
                <w:tcPr>
                  <w:tcW w:w="1134" w:type="dxa"/>
                  <w:tcBorders>
                    <w:top w:val="nil"/>
                    <w:left w:val="single" w:sz="4" w:space="0" w:color="auto"/>
                    <w:bottom w:val="nil"/>
                    <w:right w:val="single" w:sz="4" w:space="0" w:color="auto"/>
                  </w:tcBorders>
                  <w:shd w:val="clear" w:color="auto" w:fill="auto"/>
                </w:tcPr>
                <w:p w14:paraId="23D13A2C"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142.8</w:t>
                  </w:r>
                </w:p>
              </w:tc>
              <w:tc>
                <w:tcPr>
                  <w:tcW w:w="1159" w:type="dxa"/>
                  <w:tcBorders>
                    <w:top w:val="nil"/>
                    <w:left w:val="single" w:sz="4" w:space="0" w:color="auto"/>
                    <w:bottom w:val="nil"/>
                    <w:right w:val="single" w:sz="4" w:space="0" w:color="auto"/>
                  </w:tcBorders>
                  <w:shd w:val="clear" w:color="auto" w:fill="auto"/>
                </w:tcPr>
                <w:p w14:paraId="2CB15D9D"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1,287.2</w:t>
                  </w:r>
                </w:p>
              </w:tc>
            </w:tr>
            <w:tr w:rsidR="00567192" w:rsidRPr="00F72676" w14:paraId="6DD6BB2D" w14:textId="77777777" w:rsidTr="004C74E4">
              <w:trPr>
                <w:trHeight w:val="229"/>
              </w:trPr>
              <w:tc>
                <w:tcPr>
                  <w:tcW w:w="260" w:type="dxa"/>
                  <w:tcBorders>
                    <w:top w:val="nil"/>
                    <w:left w:val="nil"/>
                    <w:bottom w:val="nil"/>
                    <w:right w:val="nil"/>
                  </w:tcBorders>
                </w:tcPr>
                <w:p w14:paraId="44ADE04E" w14:textId="77777777" w:rsidR="00567192" w:rsidRPr="00F72676" w:rsidRDefault="00567192" w:rsidP="00567192">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5D82DF4F" w14:textId="77777777" w:rsidR="00567192" w:rsidRPr="00F72676" w:rsidRDefault="00567192" w:rsidP="00567192">
                  <w:pPr>
                    <w:autoSpaceDE w:val="0"/>
                    <w:autoSpaceDN w:val="0"/>
                    <w:adjustRightInd w:val="0"/>
                    <w:rPr>
                      <w:rFonts w:ascii="Calibri" w:hAnsi="Calibri" w:cs="Calibri"/>
                      <w:color w:val="000000"/>
                      <w:sz w:val="22"/>
                      <w:szCs w:val="22"/>
                    </w:rPr>
                  </w:pPr>
                  <w:r w:rsidRPr="00F72676">
                    <w:rPr>
                      <w:rFonts w:ascii="Calibri" w:hAnsi="Calibri" w:cs="Calibri"/>
                      <w:color w:val="000000"/>
                      <w:sz w:val="22"/>
                      <w:szCs w:val="22"/>
                    </w:rPr>
                    <w:t>Airport and handling charges</w:t>
                  </w:r>
                </w:p>
              </w:tc>
              <w:tc>
                <w:tcPr>
                  <w:tcW w:w="709" w:type="dxa"/>
                  <w:tcBorders>
                    <w:top w:val="nil"/>
                    <w:bottom w:val="nil"/>
                  </w:tcBorders>
                </w:tcPr>
                <w:p w14:paraId="00BDC4C7" w14:textId="77777777" w:rsidR="00567192" w:rsidRPr="00F72676" w:rsidRDefault="00567192" w:rsidP="00567192">
                  <w:pPr>
                    <w:autoSpaceDE w:val="0"/>
                    <w:autoSpaceDN w:val="0"/>
                    <w:adjustRightInd w:val="0"/>
                    <w:jc w:val="right"/>
                    <w:rPr>
                      <w:rFonts w:ascii="Calibri" w:hAnsi="Calibri" w:cs="Calibri"/>
                      <w:bCs/>
                      <w:color w:val="000000"/>
                      <w:sz w:val="22"/>
                      <w:szCs w:val="22"/>
                      <w:highlight w:val="green"/>
                    </w:rPr>
                  </w:pPr>
                </w:p>
              </w:tc>
              <w:tc>
                <w:tcPr>
                  <w:tcW w:w="851" w:type="dxa"/>
                  <w:tcBorders>
                    <w:top w:val="nil"/>
                    <w:bottom w:val="nil"/>
                    <w:right w:val="single" w:sz="4" w:space="0" w:color="auto"/>
                  </w:tcBorders>
                  <w:vAlign w:val="center"/>
                </w:tcPr>
                <w:p w14:paraId="0B32A910" w14:textId="77777777" w:rsidR="00567192" w:rsidRPr="00F72676" w:rsidRDefault="00567192" w:rsidP="00567192">
                  <w:pPr>
                    <w:widowControl w:val="0"/>
                    <w:autoSpaceDE w:val="0"/>
                    <w:autoSpaceDN w:val="0"/>
                    <w:adjustRightInd w:val="0"/>
                    <w:jc w:val="right"/>
                    <w:rPr>
                      <w:rFonts w:ascii="Calibri" w:hAnsi="Calibri" w:cs="Calibri"/>
                      <w:bCs/>
                      <w:color w:val="000000"/>
                      <w:sz w:val="22"/>
                      <w:szCs w:val="22"/>
                    </w:rPr>
                  </w:pPr>
                  <w:r w:rsidRPr="00F72676">
                    <w:rPr>
                      <w:rFonts w:ascii="Calibri" w:hAnsi="Calibri" w:cs="Calibri"/>
                      <w:color w:val="000000"/>
                      <w:sz w:val="22"/>
                      <w:szCs w:val="22"/>
                    </w:rPr>
                    <w:t>-25%</w:t>
                  </w:r>
                </w:p>
              </w:tc>
              <w:tc>
                <w:tcPr>
                  <w:tcW w:w="1275" w:type="dxa"/>
                  <w:tcBorders>
                    <w:top w:val="nil"/>
                    <w:bottom w:val="nil"/>
                    <w:right w:val="single" w:sz="4" w:space="0" w:color="auto"/>
                  </w:tcBorders>
                  <w:shd w:val="clear" w:color="auto" w:fill="FFFF00"/>
                  <w:vAlign w:val="center"/>
                </w:tcPr>
                <w:p w14:paraId="318C8915" w14:textId="77777777" w:rsidR="00567192" w:rsidRPr="00F72676" w:rsidRDefault="00567192" w:rsidP="00567192">
                  <w:pPr>
                    <w:widowControl w:val="0"/>
                    <w:autoSpaceDE w:val="0"/>
                    <w:autoSpaceDN w:val="0"/>
                    <w:adjustRightInd w:val="0"/>
                    <w:ind w:left="-226"/>
                    <w:jc w:val="right"/>
                    <w:rPr>
                      <w:rFonts w:ascii="Calibri" w:hAnsi="Calibri" w:cs="Calibri"/>
                      <w:b/>
                      <w:bCs/>
                      <w:color w:val="000000"/>
                      <w:sz w:val="22"/>
                      <w:szCs w:val="22"/>
                    </w:rPr>
                  </w:pPr>
                  <w:r w:rsidRPr="00F72676">
                    <w:rPr>
                      <w:rFonts w:ascii="Calibri" w:hAnsi="Calibri" w:cs="Calibri"/>
                      <w:b/>
                      <w:bCs/>
                      <w:color w:val="000000"/>
                      <w:sz w:val="22"/>
                      <w:szCs w:val="22"/>
                    </w:rPr>
                    <w:t>444.1</w:t>
                  </w:r>
                </w:p>
              </w:tc>
              <w:tc>
                <w:tcPr>
                  <w:tcW w:w="1276" w:type="dxa"/>
                  <w:tcBorders>
                    <w:top w:val="nil"/>
                    <w:bottom w:val="nil"/>
                    <w:right w:val="single" w:sz="4" w:space="0" w:color="auto"/>
                  </w:tcBorders>
                  <w:shd w:val="clear" w:color="auto" w:fill="auto"/>
                </w:tcPr>
                <w:p w14:paraId="7773A76E"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355.5</w:t>
                  </w:r>
                </w:p>
              </w:tc>
              <w:tc>
                <w:tcPr>
                  <w:tcW w:w="1134" w:type="dxa"/>
                  <w:tcBorders>
                    <w:top w:val="nil"/>
                    <w:left w:val="single" w:sz="4" w:space="0" w:color="auto"/>
                    <w:bottom w:val="nil"/>
                    <w:right w:val="single" w:sz="4" w:space="0" w:color="auto"/>
                  </w:tcBorders>
                  <w:shd w:val="clear" w:color="auto" w:fill="auto"/>
                </w:tcPr>
                <w:p w14:paraId="2AEB2362"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w:t>
                  </w:r>
                </w:p>
              </w:tc>
              <w:tc>
                <w:tcPr>
                  <w:tcW w:w="1159" w:type="dxa"/>
                  <w:tcBorders>
                    <w:top w:val="nil"/>
                    <w:left w:val="single" w:sz="4" w:space="0" w:color="auto"/>
                    <w:bottom w:val="nil"/>
                    <w:right w:val="single" w:sz="4" w:space="0" w:color="auto"/>
                  </w:tcBorders>
                  <w:shd w:val="clear" w:color="auto" w:fill="auto"/>
                </w:tcPr>
                <w:p w14:paraId="19B91E93"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355.5</w:t>
                  </w:r>
                </w:p>
              </w:tc>
            </w:tr>
            <w:tr w:rsidR="00567192" w:rsidRPr="00F72676" w14:paraId="4E91CC18" w14:textId="77777777" w:rsidTr="004C74E4">
              <w:trPr>
                <w:trHeight w:val="229"/>
              </w:trPr>
              <w:tc>
                <w:tcPr>
                  <w:tcW w:w="260" w:type="dxa"/>
                  <w:tcBorders>
                    <w:top w:val="nil"/>
                    <w:left w:val="nil"/>
                    <w:bottom w:val="nil"/>
                    <w:right w:val="nil"/>
                  </w:tcBorders>
                </w:tcPr>
                <w:p w14:paraId="61D79C04" w14:textId="77777777" w:rsidR="00567192" w:rsidRPr="00F72676" w:rsidRDefault="00567192" w:rsidP="00567192">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27892A3C" w14:textId="77777777" w:rsidR="00567192" w:rsidRPr="00F72676" w:rsidRDefault="00567192" w:rsidP="00567192">
                  <w:pPr>
                    <w:autoSpaceDE w:val="0"/>
                    <w:autoSpaceDN w:val="0"/>
                    <w:adjustRightInd w:val="0"/>
                    <w:rPr>
                      <w:rFonts w:ascii="Calibri" w:hAnsi="Calibri" w:cs="Calibri"/>
                      <w:color w:val="000000"/>
                      <w:sz w:val="22"/>
                      <w:szCs w:val="22"/>
                    </w:rPr>
                  </w:pPr>
                  <w:r w:rsidRPr="00F72676">
                    <w:rPr>
                      <w:rFonts w:ascii="Calibri" w:hAnsi="Calibri" w:cs="Calibri"/>
                      <w:color w:val="000000"/>
                      <w:sz w:val="22"/>
                      <w:szCs w:val="22"/>
                    </w:rPr>
                    <w:t>Staff costs</w:t>
                  </w:r>
                </w:p>
              </w:tc>
              <w:tc>
                <w:tcPr>
                  <w:tcW w:w="709" w:type="dxa"/>
                  <w:tcBorders>
                    <w:top w:val="nil"/>
                    <w:bottom w:val="nil"/>
                  </w:tcBorders>
                </w:tcPr>
                <w:p w14:paraId="5425FF09" w14:textId="77777777" w:rsidR="00567192" w:rsidRPr="00F72676" w:rsidRDefault="00567192" w:rsidP="00567192">
                  <w:pPr>
                    <w:autoSpaceDE w:val="0"/>
                    <w:autoSpaceDN w:val="0"/>
                    <w:adjustRightInd w:val="0"/>
                    <w:jc w:val="right"/>
                    <w:rPr>
                      <w:rFonts w:ascii="Calibri" w:hAnsi="Calibri" w:cs="Calibri"/>
                      <w:bCs/>
                      <w:color w:val="000000"/>
                      <w:sz w:val="22"/>
                      <w:szCs w:val="22"/>
                      <w:highlight w:val="green"/>
                    </w:rPr>
                  </w:pPr>
                </w:p>
              </w:tc>
              <w:tc>
                <w:tcPr>
                  <w:tcW w:w="851" w:type="dxa"/>
                  <w:tcBorders>
                    <w:top w:val="nil"/>
                    <w:right w:val="single" w:sz="4" w:space="0" w:color="auto"/>
                  </w:tcBorders>
                  <w:vAlign w:val="center"/>
                </w:tcPr>
                <w:p w14:paraId="50B5E1CC" w14:textId="77777777" w:rsidR="00567192" w:rsidRPr="00F72676" w:rsidRDefault="00567192" w:rsidP="00567192">
                  <w:pPr>
                    <w:widowControl w:val="0"/>
                    <w:autoSpaceDE w:val="0"/>
                    <w:autoSpaceDN w:val="0"/>
                    <w:adjustRightInd w:val="0"/>
                    <w:jc w:val="right"/>
                    <w:rPr>
                      <w:rFonts w:ascii="Calibri" w:hAnsi="Calibri" w:cs="Calibri"/>
                      <w:bCs/>
                      <w:color w:val="000000"/>
                      <w:sz w:val="22"/>
                      <w:szCs w:val="22"/>
                    </w:rPr>
                  </w:pPr>
                  <w:r w:rsidRPr="00F72676">
                    <w:rPr>
                      <w:rFonts w:ascii="Calibri" w:hAnsi="Calibri" w:cs="Calibri"/>
                      <w:color w:val="000000"/>
                      <w:sz w:val="22"/>
                      <w:szCs w:val="22"/>
                    </w:rPr>
                    <w:t>-24%</w:t>
                  </w:r>
                </w:p>
              </w:tc>
              <w:tc>
                <w:tcPr>
                  <w:tcW w:w="1275" w:type="dxa"/>
                  <w:tcBorders>
                    <w:top w:val="nil"/>
                    <w:right w:val="single" w:sz="4" w:space="0" w:color="auto"/>
                  </w:tcBorders>
                  <w:shd w:val="clear" w:color="auto" w:fill="FFFF00"/>
                  <w:vAlign w:val="center"/>
                </w:tcPr>
                <w:p w14:paraId="6CA42DAB" w14:textId="77777777" w:rsidR="00567192" w:rsidRPr="00F72676" w:rsidRDefault="00567192" w:rsidP="00567192">
                  <w:pPr>
                    <w:widowControl w:val="0"/>
                    <w:autoSpaceDE w:val="0"/>
                    <w:autoSpaceDN w:val="0"/>
                    <w:adjustRightInd w:val="0"/>
                    <w:ind w:left="-226"/>
                    <w:jc w:val="right"/>
                    <w:rPr>
                      <w:rFonts w:ascii="Calibri" w:hAnsi="Calibri" w:cs="Calibri"/>
                      <w:b/>
                      <w:bCs/>
                      <w:color w:val="000000"/>
                      <w:sz w:val="22"/>
                      <w:szCs w:val="22"/>
                    </w:rPr>
                  </w:pPr>
                  <w:r w:rsidRPr="00F72676">
                    <w:rPr>
                      <w:rFonts w:ascii="Calibri" w:hAnsi="Calibri" w:cs="Calibri"/>
                      <w:b/>
                      <w:bCs/>
                      <w:color w:val="000000"/>
                      <w:sz w:val="22"/>
                      <w:szCs w:val="22"/>
                    </w:rPr>
                    <w:t>383.</w:t>
                  </w:r>
                  <w:r w:rsidR="00292095" w:rsidRPr="00F72676">
                    <w:rPr>
                      <w:rFonts w:ascii="Calibri" w:hAnsi="Calibri" w:cs="Calibri"/>
                      <w:b/>
                      <w:bCs/>
                      <w:color w:val="000000"/>
                      <w:sz w:val="22"/>
                      <w:szCs w:val="22"/>
                    </w:rPr>
                    <w:t>1</w:t>
                  </w:r>
                </w:p>
              </w:tc>
              <w:tc>
                <w:tcPr>
                  <w:tcW w:w="1276" w:type="dxa"/>
                  <w:tcBorders>
                    <w:top w:val="nil"/>
                    <w:right w:val="single" w:sz="4" w:space="0" w:color="auto"/>
                  </w:tcBorders>
                  <w:shd w:val="clear" w:color="auto" w:fill="auto"/>
                </w:tcPr>
                <w:p w14:paraId="7178DBCD"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309.2</w:t>
                  </w:r>
                </w:p>
              </w:tc>
              <w:tc>
                <w:tcPr>
                  <w:tcW w:w="1134" w:type="dxa"/>
                  <w:tcBorders>
                    <w:top w:val="nil"/>
                    <w:left w:val="single" w:sz="4" w:space="0" w:color="auto"/>
                    <w:right w:val="single" w:sz="4" w:space="0" w:color="auto"/>
                  </w:tcBorders>
                  <w:shd w:val="clear" w:color="auto" w:fill="auto"/>
                </w:tcPr>
                <w:p w14:paraId="449529DB"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w:t>
                  </w:r>
                </w:p>
              </w:tc>
              <w:tc>
                <w:tcPr>
                  <w:tcW w:w="1159" w:type="dxa"/>
                  <w:tcBorders>
                    <w:top w:val="nil"/>
                    <w:left w:val="single" w:sz="4" w:space="0" w:color="auto"/>
                    <w:right w:val="single" w:sz="4" w:space="0" w:color="auto"/>
                  </w:tcBorders>
                  <w:shd w:val="clear" w:color="auto" w:fill="auto"/>
                </w:tcPr>
                <w:p w14:paraId="29737D11"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309.2</w:t>
                  </w:r>
                </w:p>
              </w:tc>
            </w:tr>
            <w:tr w:rsidR="00567192" w:rsidRPr="00F72676" w14:paraId="33EAA317" w14:textId="77777777" w:rsidTr="004C74E4">
              <w:trPr>
                <w:trHeight w:val="229"/>
              </w:trPr>
              <w:tc>
                <w:tcPr>
                  <w:tcW w:w="260" w:type="dxa"/>
                  <w:tcBorders>
                    <w:top w:val="nil"/>
                    <w:left w:val="nil"/>
                    <w:bottom w:val="nil"/>
                    <w:right w:val="nil"/>
                  </w:tcBorders>
                </w:tcPr>
                <w:p w14:paraId="4A4F832B" w14:textId="77777777" w:rsidR="00567192" w:rsidRPr="00F72676" w:rsidRDefault="00567192" w:rsidP="00567192">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6767E947" w14:textId="77777777" w:rsidR="00567192" w:rsidRPr="00F72676" w:rsidRDefault="00567192" w:rsidP="00567192">
                  <w:pPr>
                    <w:autoSpaceDE w:val="0"/>
                    <w:autoSpaceDN w:val="0"/>
                    <w:adjustRightInd w:val="0"/>
                    <w:rPr>
                      <w:rFonts w:ascii="Calibri" w:hAnsi="Calibri" w:cs="Calibri"/>
                      <w:color w:val="000000"/>
                      <w:sz w:val="22"/>
                      <w:szCs w:val="22"/>
                    </w:rPr>
                  </w:pPr>
                  <w:r w:rsidRPr="00F72676">
                    <w:rPr>
                      <w:rFonts w:ascii="Calibri" w:hAnsi="Calibri" w:cs="Calibri"/>
                      <w:color w:val="000000"/>
                      <w:sz w:val="22"/>
                      <w:szCs w:val="22"/>
                    </w:rPr>
                    <w:t>Route charges</w:t>
                  </w:r>
                </w:p>
              </w:tc>
              <w:tc>
                <w:tcPr>
                  <w:tcW w:w="709" w:type="dxa"/>
                  <w:tcBorders>
                    <w:top w:val="nil"/>
                    <w:bottom w:val="nil"/>
                  </w:tcBorders>
                </w:tcPr>
                <w:p w14:paraId="186D2EC6" w14:textId="77777777" w:rsidR="00567192" w:rsidRPr="00F72676" w:rsidRDefault="00567192" w:rsidP="00567192">
                  <w:pPr>
                    <w:autoSpaceDE w:val="0"/>
                    <w:autoSpaceDN w:val="0"/>
                    <w:adjustRightInd w:val="0"/>
                    <w:jc w:val="right"/>
                    <w:rPr>
                      <w:rFonts w:ascii="Calibri" w:hAnsi="Calibri" w:cs="Calibri"/>
                      <w:bCs/>
                      <w:color w:val="000000"/>
                      <w:sz w:val="22"/>
                      <w:szCs w:val="22"/>
                      <w:highlight w:val="green"/>
                    </w:rPr>
                  </w:pPr>
                </w:p>
              </w:tc>
              <w:tc>
                <w:tcPr>
                  <w:tcW w:w="851" w:type="dxa"/>
                  <w:tcBorders>
                    <w:top w:val="nil"/>
                    <w:bottom w:val="nil"/>
                    <w:right w:val="single" w:sz="4" w:space="0" w:color="auto"/>
                  </w:tcBorders>
                  <w:vAlign w:val="center"/>
                </w:tcPr>
                <w:p w14:paraId="2FA81D93" w14:textId="77777777" w:rsidR="00567192" w:rsidRPr="00F72676" w:rsidRDefault="00567192" w:rsidP="00567192">
                  <w:pPr>
                    <w:widowControl w:val="0"/>
                    <w:autoSpaceDE w:val="0"/>
                    <w:autoSpaceDN w:val="0"/>
                    <w:adjustRightInd w:val="0"/>
                    <w:jc w:val="right"/>
                    <w:rPr>
                      <w:rFonts w:ascii="Calibri" w:hAnsi="Calibri" w:cs="Calibri"/>
                      <w:bCs/>
                      <w:color w:val="000000"/>
                      <w:sz w:val="22"/>
                      <w:szCs w:val="22"/>
                    </w:rPr>
                  </w:pPr>
                  <w:r w:rsidRPr="00F72676">
                    <w:rPr>
                      <w:rFonts w:ascii="Calibri" w:hAnsi="Calibri" w:cs="Calibri"/>
                      <w:color w:val="000000"/>
                      <w:sz w:val="22"/>
                      <w:szCs w:val="22"/>
                    </w:rPr>
                    <w:t>-15%</w:t>
                  </w:r>
                </w:p>
              </w:tc>
              <w:tc>
                <w:tcPr>
                  <w:tcW w:w="1275" w:type="dxa"/>
                  <w:tcBorders>
                    <w:top w:val="nil"/>
                    <w:bottom w:val="nil"/>
                    <w:right w:val="single" w:sz="4" w:space="0" w:color="auto"/>
                  </w:tcBorders>
                  <w:shd w:val="clear" w:color="auto" w:fill="FFFF00"/>
                  <w:vAlign w:val="center"/>
                </w:tcPr>
                <w:p w14:paraId="5F835A5B" w14:textId="77777777" w:rsidR="00567192" w:rsidRPr="00F72676" w:rsidRDefault="00567192" w:rsidP="00567192">
                  <w:pPr>
                    <w:widowControl w:val="0"/>
                    <w:autoSpaceDE w:val="0"/>
                    <w:autoSpaceDN w:val="0"/>
                    <w:adjustRightInd w:val="0"/>
                    <w:ind w:left="-226"/>
                    <w:jc w:val="right"/>
                    <w:rPr>
                      <w:rFonts w:ascii="Calibri" w:hAnsi="Calibri" w:cs="Calibri"/>
                      <w:b/>
                      <w:bCs/>
                      <w:color w:val="000000"/>
                      <w:sz w:val="22"/>
                      <w:szCs w:val="22"/>
                    </w:rPr>
                  </w:pPr>
                  <w:r w:rsidRPr="00F72676">
                    <w:rPr>
                      <w:rFonts w:ascii="Calibri" w:hAnsi="Calibri" w:cs="Calibri"/>
                      <w:b/>
                      <w:bCs/>
                      <w:color w:val="000000"/>
                      <w:sz w:val="22"/>
                      <w:szCs w:val="22"/>
                    </w:rPr>
                    <w:t>292.6</w:t>
                  </w:r>
                </w:p>
              </w:tc>
              <w:tc>
                <w:tcPr>
                  <w:tcW w:w="1276" w:type="dxa"/>
                  <w:tcBorders>
                    <w:top w:val="nil"/>
                    <w:bottom w:val="nil"/>
                    <w:right w:val="single" w:sz="4" w:space="0" w:color="auto"/>
                  </w:tcBorders>
                  <w:shd w:val="clear" w:color="auto" w:fill="auto"/>
                </w:tcPr>
                <w:p w14:paraId="4D2E399D"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254.4</w:t>
                  </w:r>
                </w:p>
              </w:tc>
              <w:tc>
                <w:tcPr>
                  <w:tcW w:w="1134" w:type="dxa"/>
                  <w:tcBorders>
                    <w:top w:val="nil"/>
                    <w:left w:val="single" w:sz="4" w:space="0" w:color="auto"/>
                    <w:bottom w:val="nil"/>
                    <w:right w:val="single" w:sz="4" w:space="0" w:color="auto"/>
                  </w:tcBorders>
                  <w:shd w:val="clear" w:color="auto" w:fill="auto"/>
                </w:tcPr>
                <w:p w14:paraId="01650CBD"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w:t>
                  </w:r>
                </w:p>
              </w:tc>
              <w:tc>
                <w:tcPr>
                  <w:tcW w:w="1159" w:type="dxa"/>
                  <w:tcBorders>
                    <w:top w:val="nil"/>
                    <w:left w:val="single" w:sz="4" w:space="0" w:color="auto"/>
                    <w:bottom w:val="nil"/>
                    <w:right w:val="single" w:sz="4" w:space="0" w:color="auto"/>
                  </w:tcBorders>
                  <w:shd w:val="clear" w:color="auto" w:fill="auto"/>
                </w:tcPr>
                <w:p w14:paraId="1CA653D4"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254.4</w:t>
                  </w:r>
                </w:p>
              </w:tc>
            </w:tr>
            <w:tr w:rsidR="00567192" w:rsidRPr="00F72676" w14:paraId="008C0BE1" w14:textId="77777777" w:rsidTr="004C74E4">
              <w:trPr>
                <w:trHeight w:val="229"/>
              </w:trPr>
              <w:tc>
                <w:tcPr>
                  <w:tcW w:w="260" w:type="dxa"/>
                  <w:tcBorders>
                    <w:top w:val="nil"/>
                    <w:left w:val="nil"/>
                    <w:bottom w:val="nil"/>
                    <w:right w:val="nil"/>
                  </w:tcBorders>
                </w:tcPr>
                <w:p w14:paraId="4B7F7BBD" w14:textId="77777777" w:rsidR="00567192" w:rsidRPr="00F72676" w:rsidRDefault="00567192" w:rsidP="00567192">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74BAE3B3" w14:textId="77777777" w:rsidR="00567192" w:rsidRPr="00F72676" w:rsidRDefault="00567192" w:rsidP="00567192">
                  <w:pPr>
                    <w:autoSpaceDE w:val="0"/>
                    <w:autoSpaceDN w:val="0"/>
                    <w:adjustRightInd w:val="0"/>
                    <w:rPr>
                      <w:rFonts w:ascii="Calibri" w:hAnsi="Calibri" w:cs="Calibri"/>
                      <w:color w:val="000000"/>
                      <w:sz w:val="22"/>
                      <w:szCs w:val="22"/>
                    </w:rPr>
                  </w:pPr>
                  <w:r w:rsidRPr="00F72676">
                    <w:rPr>
                      <w:rFonts w:ascii="Calibri" w:hAnsi="Calibri" w:cs="Calibri"/>
                      <w:color w:val="000000"/>
                      <w:sz w:val="22"/>
                      <w:szCs w:val="22"/>
                    </w:rPr>
                    <w:t>Depreciation</w:t>
                  </w:r>
                </w:p>
              </w:tc>
              <w:tc>
                <w:tcPr>
                  <w:tcW w:w="709" w:type="dxa"/>
                  <w:tcBorders>
                    <w:top w:val="nil"/>
                    <w:bottom w:val="nil"/>
                  </w:tcBorders>
                </w:tcPr>
                <w:p w14:paraId="40BE510C" w14:textId="77777777" w:rsidR="00567192" w:rsidRPr="00F72676" w:rsidRDefault="00567192" w:rsidP="00567192">
                  <w:pPr>
                    <w:autoSpaceDE w:val="0"/>
                    <w:autoSpaceDN w:val="0"/>
                    <w:adjustRightInd w:val="0"/>
                    <w:jc w:val="right"/>
                    <w:rPr>
                      <w:rFonts w:ascii="Calibri" w:hAnsi="Calibri" w:cs="Calibri"/>
                      <w:bCs/>
                      <w:color w:val="000000"/>
                      <w:sz w:val="22"/>
                      <w:szCs w:val="22"/>
                      <w:highlight w:val="green"/>
                    </w:rPr>
                  </w:pPr>
                </w:p>
              </w:tc>
              <w:tc>
                <w:tcPr>
                  <w:tcW w:w="851" w:type="dxa"/>
                  <w:tcBorders>
                    <w:top w:val="nil"/>
                    <w:bottom w:val="nil"/>
                    <w:right w:val="single" w:sz="4" w:space="0" w:color="auto"/>
                  </w:tcBorders>
                  <w:vAlign w:val="center"/>
                </w:tcPr>
                <w:p w14:paraId="60381F7C" w14:textId="77777777" w:rsidR="00567192" w:rsidRPr="00F72676" w:rsidRDefault="00567192" w:rsidP="00567192">
                  <w:pPr>
                    <w:widowControl w:val="0"/>
                    <w:autoSpaceDE w:val="0"/>
                    <w:autoSpaceDN w:val="0"/>
                    <w:adjustRightInd w:val="0"/>
                    <w:jc w:val="right"/>
                    <w:rPr>
                      <w:rFonts w:ascii="Calibri" w:hAnsi="Calibri" w:cs="Calibri"/>
                      <w:bCs/>
                      <w:color w:val="000000"/>
                      <w:sz w:val="22"/>
                      <w:szCs w:val="22"/>
                    </w:rPr>
                  </w:pPr>
                  <w:r w:rsidRPr="00F72676">
                    <w:rPr>
                      <w:rFonts w:ascii="Calibri" w:hAnsi="Calibri" w:cs="Calibri"/>
                      <w:color w:val="000000"/>
                      <w:sz w:val="22"/>
                      <w:szCs w:val="22"/>
                    </w:rPr>
                    <w:t>-2</w:t>
                  </w:r>
                  <w:r w:rsidR="00292095" w:rsidRPr="00F72676">
                    <w:rPr>
                      <w:rFonts w:ascii="Calibri" w:hAnsi="Calibri" w:cs="Calibri"/>
                      <w:color w:val="000000"/>
                      <w:sz w:val="22"/>
                      <w:szCs w:val="22"/>
                    </w:rPr>
                    <w:t>5</w:t>
                  </w:r>
                  <w:r w:rsidRPr="00F72676">
                    <w:rPr>
                      <w:rFonts w:ascii="Calibri" w:hAnsi="Calibri" w:cs="Calibri"/>
                      <w:color w:val="000000"/>
                      <w:sz w:val="22"/>
                      <w:szCs w:val="22"/>
                    </w:rPr>
                    <w:t>%</w:t>
                  </w:r>
                </w:p>
              </w:tc>
              <w:tc>
                <w:tcPr>
                  <w:tcW w:w="1275" w:type="dxa"/>
                  <w:tcBorders>
                    <w:top w:val="nil"/>
                    <w:bottom w:val="nil"/>
                    <w:right w:val="single" w:sz="4" w:space="0" w:color="auto"/>
                  </w:tcBorders>
                  <w:shd w:val="clear" w:color="auto" w:fill="FFFF00"/>
                  <w:vAlign w:val="center"/>
                </w:tcPr>
                <w:p w14:paraId="641CC7FD" w14:textId="77777777" w:rsidR="00567192" w:rsidRPr="00F72676" w:rsidRDefault="00567192" w:rsidP="00567192">
                  <w:pPr>
                    <w:widowControl w:val="0"/>
                    <w:autoSpaceDE w:val="0"/>
                    <w:autoSpaceDN w:val="0"/>
                    <w:adjustRightInd w:val="0"/>
                    <w:ind w:left="-226"/>
                    <w:jc w:val="right"/>
                    <w:rPr>
                      <w:rFonts w:ascii="Calibri" w:hAnsi="Calibri" w:cs="Calibri"/>
                      <w:b/>
                      <w:bCs/>
                      <w:color w:val="000000"/>
                      <w:sz w:val="22"/>
                      <w:szCs w:val="22"/>
                    </w:rPr>
                  </w:pPr>
                  <w:r w:rsidRPr="00F72676">
                    <w:rPr>
                      <w:rFonts w:ascii="Calibri" w:hAnsi="Calibri" w:cs="Calibri"/>
                      <w:b/>
                      <w:bCs/>
                      <w:color w:val="000000"/>
                      <w:sz w:val="22"/>
                      <w:szCs w:val="22"/>
                    </w:rPr>
                    <w:t>28</w:t>
                  </w:r>
                  <w:r w:rsidR="00292095" w:rsidRPr="00F72676">
                    <w:rPr>
                      <w:rFonts w:ascii="Calibri" w:hAnsi="Calibri" w:cs="Calibri"/>
                      <w:b/>
                      <w:bCs/>
                      <w:color w:val="000000"/>
                      <w:sz w:val="22"/>
                      <w:szCs w:val="22"/>
                    </w:rPr>
                    <w:t>3</w:t>
                  </w:r>
                  <w:r w:rsidRPr="00F72676">
                    <w:rPr>
                      <w:rFonts w:ascii="Calibri" w:hAnsi="Calibri" w:cs="Calibri"/>
                      <w:b/>
                      <w:bCs/>
                      <w:color w:val="000000"/>
                      <w:sz w:val="22"/>
                      <w:szCs w:val="22"/>
                    </w:rPr>
                    <w:t>.9</w:t>
                  </w:r>
                </w:p>
              </w:tc>
              <w:tc>
                <w:tcPr>
                  <w:tcW w:w="1276" w:type="dxa"/>
                  <w:tcBorders>
                    <w:top w:val="nil"/>
                    <w:bottom w:val="nil"/>
                    <w:right w:val="single" w:sz="4" w:space="0" w:color="auto"/>
                  </w:tcBorders>
                  <w:shd w:val="clear" w:color="auto" w:fill="auto"/>
                </w:tcPr>
                <w:p w14:paraId="3F311CFC"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226.7</w:t>
                  </w:r>
                </w:p>
              </w:tc>
              <w:tc>
                <w:tcPr>
                  <w:tcW w:w="1134" w:type="dxa"/>
                  <w:tcBorders>
                    <w:top w:val="nil"/>
                    <w:left w:val="single" w:sz="4" w:space="0" w:color="auto"/>
                    <w:bottom w:val="nil"/>
                    <w:right w:val="single" w:sz="4" w:space="0" w:color="auto"/>
                  </w:tcBorders>
                  <w:shd w:val="clear" w:color="auto" w:fill="auto"/>
                </w:tcPr>
                <w:p w14:paraId="5A31D4D9"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w:t>
                  </w:r>
                </w:p>
              </w:tc>
              <w:tc>
                <w:tcPr>
                  <w:tcW w:w="1159" w:type="dxa"/>
                  <w:tcBorders>
                    <w:top w:val="nil"/>
                    <w:left w:val="single" w:sz="4" w:space="0" w:color="auto"/>
                    <w:bottom w:val="nil"/>
                    <w:right w:val="single" w:sz="4" w:space="0" w:color="auto"/>
                  </w:tcBorders>
                  <w:shd w:val="clear" w:color="auto" w:fill="auto"/>
                </w:tcPr>
                <w:p w14:paraId="44BF78DA"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226.7</w:t>
                  </w:r>
                </w:p>
              </w:tc>
            </w:tr>
            <w:tr w:rsidR="00567192" w:rsidRPr="00F72676" w14:paraId="086F4A5E" w14:textId="77777777" w:rsidTr="004C74E4">
              <w:trPr>
                <w:trHeight w:val="229"/>
              </w:trPr>
              <w:tc>
                <w:tcPr>
                  <w:tcW w:w="260" w:type="dxa"/>
                  <w:tcBorders>
                    <w:top w:val="nil"/>
                    <w:left w:val="nil"/>
                    <w:bottom w:val="nil"/>
                    <w:right w:val="nil"/>
                  </w:tcBorders>
                </w:tcPr>
                <w:p w14:paraId="17B0718F" w14:textId="77777777" w:rsidR="00567192" w:rsidRPr="00F72676" w:rsidRDefault="00567192" w:rsidP="00567192">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670144FA" w14:textId="77777777" w:rsidR="00567192" w:rsidRPr="00F72676" w:rsidRDefault="00567192" w:rsidP="00567192">
                  <w:pPr>
                    <w:autoSpaceDE w:val="0"/>
                    <w:autoSpaceDN w:val="0"/>
                    <w:adjustRightInd w:val="0"/>
                    <w:rPr>
                      <w:rFonts w:ascii="Calibri" w:hAnsi="Calibri" w:cs="Calibri"/>
                      <w:color w:val="000000"/>
                      <w:sz w:val="22"/>
                      <w:szCs w:val="22"/>
                    </w:rPr>
                  </w:pPr>
                  <w:r w:rsidRPr="00F72676">
                    <w:rPr>
                      <w:rFonts w:ascii="Calibri" w:hAnsi="Calibri" w:cs="Calibri"/>
                      <w:color w:val="000000"/>
                      <w:sz w:val="22"/>
                      <w:szCs w:val="22"/>
                    </w:rPr>
                    <w:t>Marketing, distribution and other</w:t>
                  </w:r>
                </w:p>
              </w:tc>
              <w:tc>
                <w:tcPr>
                  <w:tcW w:w="709" w:type="dxa"/>
                  <w:tcBorders>
                    <w:top w:val="nil"/>
                  </w:tcBorders>
                </w:tcPr>
                <w:p w14:paraId="36C021D8" w14:textId="77777777" w:rsidR="00567192" w:rsidRPr="00F72676" w:rsidRDefault="00567192" w:rsidP="00567192">
                  <w:pPr>
                    <w:autoSpaceDE w:val="0"/>
                    <w:autoSpaceDN w:val="0"/>
                    <w:adjustRightInd w:val="0"/>
                    <w:jc w:val="right"/>
                    <w:rPr>
                      <w:rFonts w:ascii="Calibri" w:hAnsi="Calibri" w:cs="Calibri"/>
                      <w:bCs/>
                      <w:color w:val="000000"/>
                      <w:sz w:val="22"/>
                      <w:szCs w:val="22"/>
                      <w:highlight w:val="green"/>
                    </w:rPr>
                  </w:pPr>
                </w:p>
              </w:tc>
              <w:tc>
                <w:tcPr>
                  <w:tcW w:w="851" w:type="dxa"/>
                  <w:tcBorders>
                    <w:top w:val="nil"/>
                    <w:right w:val="single" w:sz="4" w:space="0" w:color="auto"/>
                  </w:tcBorders>
                  <w:vAlign w:val="center"/>
                </w:tcPr>
                <w:p w14:paraId="03DF36BC" w14:textId="77777777" w:rsidR="00567192" w:rsidRPr="00F72676" w:rsidRDefault="00567192" w:rsidP="00567192">
                  <w:pPr>
                    <w:widowControl w:val="0"/>
                    <w:autoSpaceDE w:val="0"/>
                    <w:autoSpaceDN w:val="0"/>
                    <w:adjustRightInd w:val="0"/>
                    <w:jc w:val="right"/>
                    <w:rPr>
                      <w:rFonts w:ascii="Calibri" w:hAnsi="Calibri" w:cs="Calibri"/>
                      <w:bCs/>
                      <w:color w:val="000000"/>
                      <w:sz w:val="22"/>
                      <w:szCs w:val="22"/>
                    </w:rPr>
                  </w:pPr>
                  <w:r w:rsidRPr="00F72676">
                    <w:rPr>
                      <w:rFonts w:ascii="Calibri" w:hAnsi="Calibri" w:cs="Calibri"/>
                      <w:color w:val="000000"/>
                      <w:sz w:val="22"/>
                      <w:szCs w:val="22"/>
                    </w:rPr>
                    <w:t>-2</w:t>
                  </w:r>
                  <w:r w:rsidR="00292095" w:rsidRPr="00F72676">
                    <w:rPr>
                      <w:rFonts w:ascii="Calibri" w:hAnsi="Calibri" w:cs="Calibri"/>
                      <w:color w:val="000000"/>
                      <w:sz w:val="22"/>
                      <w:szCs w:val="22"/>
                    </w:rPr>
                    <w:t>3</w:t>
                  </w:r>
                  <w:r w:rsidRPr="00F72676">
                    <w:rPr>
                      <w:rFonts w:ascii="Calibri" w:hAnsi="Calibri" w:cs="Calibri"/>
                      <w:color w:val="000000"/>
                      <w:sz w:val="22"/>
                      <w:szCs w:val="22"/>
                    </w:rPr>
                    <w:t>%</w:t>
                  </w:r>
                </w:p>
              </w:tc>
              <w:tc>
                <w:tcPr>
                  <w:tcW w:w="1275" w:type="dxa"/>
                  <w:tcBorders>
                    <w:top w:val="nil"/>
                    <w:right w:val="single" w:sz="4" w:space="0" w:color="auto"/>
                  </w:tcBorders>
                  <w:shd w:val="clear" w:color="auto" w:fill="FFFF00"/>
                  <w:vAlign w:val="center"/>
                </w:tcPr>
                <w:p w14:paraId="254386EA" w14:textId="77777777" w:rsidR="00567192" w:rsidRPr="00F72676" w:rsidRDefault="00567192" w:rsidP="00567192">
                  <w:pPr>
                    <w:widowControl w:val="0"/>
                    <w:autoSpaceDE w:val="0"/>
                    <w:autoSpaceDN w:val="0"/>
                    <w:adjustRightInd w:val="0"/>
                    <w:ind w:left="-226"/>
                    <w:jc w:val="right"/>
                    <w:rPr>
                      <w:rFonts w:ascii="Calibri" w:hAnsi="Calibri" w:cs="Calibri"/>
                      <w:b/>
                      <w:bCs/>
                      <w:color w:val="000000"/>
                      <w:sz w:val="22"/>
                      <w:szCs w:val="22"/>
                    </w:rPr>
                  </w:pPr>
                  <w:r w:rsidRPr="00F72676">
                    <w:rPr>
                      <w:rFonts w:ascii="Calibri" w:hAnsi="Calibri" w:cs="Calibri"/>
                      <w:b/>
                      <w:bCs/>
                      <w:color w:val="000000"/>
                      <w:sz w:val="22"/>
                      <w:szCs w:val="22"/>
                    </w:rPr>
                    <w:t>2</w:t>
                  </w:r>
                  <w:r w:rsidR="00292095" w:rsidRPr="00F72676">
                    <w:rPr>
                      <w:rFonts w:ascii="Calibri" w:hAnsi="Calibri" w:cs="Calibri"/>
                      <w:b/>
                      <w:bCs/>
                      <w:color w:val="000000"/>
                      <w:sz w:val="22"/>
                      <w:szCs w:val="22"/>
                    </w:rPr>
                    <w:t>39</w:t>
                  </w:r>
                  <w:r w:rsidRPr="00F72676">
                    <w:rPr>
                      <w:rFonts w:ascii="Calibri" w:hAnsi="Calibri" w:cs="Calibri"/>
                      <w:b/>
                      <w:bCs/>
                      <w:color w:val="000000"/>
                      <w:sz w:val="22"/>
                      <w:szCs w:val="22"/>
                    </w:rPr>
                    <w:t>.</w:t>
                  </w:r>
                  <w:r w:rsidR="00292095" w:rsidRPr="00F72676">
                    <w:rPr>
                      <w:rFonts w:ascii="Calibri" w:hAnsi="Calibri" w:cs="Calibri"/>
                      <w:b/>
                      <w:bCs/>
                      <w:color w:val="000000"/>
                      <w:sz w:val="22"/>
                      <w:szCs w:val="22"/>
                    </w:rPr>
                    <w:t>2</w:t>
                  </w:r>
                </w:p>
              </w:tc>
              <w:tc>
                <w:tcPr>
                  <w:tcW w:w="1276" w:type="dxa"/>
                  <w:tcBorders>
                    <w:top w:val="nil"/>
                    <w:right w:val="single" w:sz="4" w:space="0" w:color="auto"/>
                  </w:tcBorders>
                  <w:shd w:val="clear" w:color="auto" w:fill="auto"/>
                </w:tcPr>
                <w:p w14:paraId="2A9B96D3"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193.7</w:t>
                  </w:r>
                </w:p>
              </w:tc>
              <w:tc>
                <w:tcPr>
                  <w:tcW w:w="1134" w:type="dxa"/>
                  <w:tcBorders>
                    <w:top w:val="nil"/>
                    <w:left w:val="single" w:sz="4" w:space="0" w:color="auto"/>
                    <w:right w:val="single" w:sz="4" w:space="0" w:color="auto"/>
                  </w:tcBorders>
                  <w:shd w:val="clear" w:color="auto" w:fill="auto"/>
                </w:tcPr>
                <w:p w14:paraId="2DF5F1FF"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w:t>
                  </w:r>
                </w:p>
              </w:tc>
              <w:tc>
                <w:tcPr>
                  <w:tcW w:w="1159" w:type="dxa"/>
                  <w:tcBorders>
                    <w:top w:val="nil"/>
                    <w:left w:val="single" w:sz="4" w:space="0" w:color="auto"/>
                    <w:right w:val="single" w:sz="4" w:space="0" w:color="auto"/>
                  </w:tcBorders>
                  <w:shd w:val="clear" w:color="auto" w:fill="auto"/>
                </w:tcPr>
                <w:p w14:paraId="4F519934"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193.7</w:t>
                  </w:r>
                </w:p>
              </w:tc>
            </w:tr>
            <w:tr w:rsidR="00567192" w:rsidRPr="00F72676" w14:paraId="6A656456" w14:textId="77777777" w:rsidTr="004C74E4">
              <w:trPr>
                <w:trHeight w:val="229"/>
              </w:trPr>
              <w:tc>
                <w:tcPr>
                  <w:tcW w:w="260" w:type="dxa"/>
                  <w:tcBorders>
                    <w:top w:val="nil"/>
                    <w:left w:val="nil"/>
                    <w:bottom w:val="nil"/>
                    <w:right w:val="nil"/>
                  </w:tcBorders>
                </w:tcPr>
                <w:p w14:paraId="3084AFE5" w14:textId="77777777" w:rsidR="00567192" w:rsidRPr="00F72676" w:rsidRDefault="00567192" w:rsidP="00567192">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6D5CC36C" w14:textId="77777777" w:rsidR="00567192" w:rsidRPr="00F72676" w:rsidRDefault="00567192" w:rsidP="00567192">
                  <w:pPr>
                    <w:autoSpaceDE w:val="0"/>
                    <w:autoSpaceDN w:val="0"/>
                    <w:adjustRightInd w:val="0"/>
                    <w:rPr>
                      <w:rFonts w:ascii="Calibri" w:hAnsi="Calibri" w:cs="Calibri"/>
                      <w:color w:val="000000"/>
                      <w:sz w:val="22"/>
                      <w:szCs w:val="22"/>
                    </w:rPr>
                  </w:pPr>
                  <w:r w:rsidRPr="00F72676">
                    <w:rPr>
                      <w:rFonts w:ascii="Calibri" w:hAnsi="Calibri" w:cs="Calibri"/>
                      <w:color w:val="000000"/>
                      <w:sz w:val="22"/>
                      <w:szCs w:val="22"/>
                    </w:rPr>
                    <w:t xml:space="preserve">Maintenance, </w:t>
                  </w:r>
                  <w:proofErr w:type="gramStart"/>
                  <w:r w:rsidRPr="00F72676">
                    <w:rPr>
                      <w:rFonts w:ascii="Calibri" w:hAnsi="Calibri" w:cs="Calibri"/>
                      <w:color w:val="000000"/>
                      <w:sz w:val="22"/>
                      <w:szCs w:val="22"/>
                    </w:rPr>
                    <w:t>materials</w:t>
                  </w:r>
                  <w:proofErr w:type="gramEnd"/>
                  <w:r w:rsidRPr="00F72676">
                    <w:rPr>
                      <w:rFonts w:ascii="Calibri" w:hAnsi="Calibri" w:cs="Calibri"/>
                      <w:color w:val="000000"/>
                      <w:sz w:val="22"/>
                      <w:szCs w:val="22"/>
                    </w:rPr>
                    <w:t xml:space="preserve"> and repairs</w:t>
                  </w:r>
                </w:p>
              </w:tc>
              <w:tc>
                <w:tcPr>
                  <w:tcW w:w="709" w:type="dxa"/>
                  <w:tcBorders>
                    <w:top w:val="nil"/>
                    <w:bottom w:val="nil"/>
                  </w:tcBorders>
                </w:tcPr>
                <w:p w14:paraId="1AC20145" w14:textId="77777777" w:rsidR="00567192" w:rsidRPr="00F72676" w:rsidRDefault="00567192" w:rsidP="00567192">
                  <w:pPr>
                    <w:autoSpaceDE w:val="0"/>
                    <w:autoSpaceDN w:val="0"/>
                    <w:adjustRightInd w:val="0"/>
                    <w:jc w:val="right"/>
                    <w:rPr>
                      <w:rFonts w:ascii="Calibri" w:hAnsi="Calibri" w:cs="Calibri"/>
                      <w:bCs/>
                      <w:color w:val="000000"/>
                      <w:sz w:val="22"/>
                      <w:szCs w:val="22"/>
                      <w:highlight w:val="green"/>
                    </w:rPr>
                  </w:pPr>
                </w:p>
              </w:tc>
              <w:tc>
                <w:tcPr>
                  <w:tcW w:w="851" w:type="dxa"/>
                  <w:tcBorders>
                    <w:bottom w:val="nil"/>
                    <w:right w:val="single" w:sz="4" w:space="0" w:color="auto"/>
                  </w:tcBorders>
                  <w:vAlign w:val="center"/>
                </w:tcPr>
                <w:p w14:paraId="1FB7716F" w14:textId="77777777" w:rsidR="00567192" w:rsidRPr="00F72676" w:rsidRDefault="00567192" w:rsidP="00567192">
                  <w:pPr>
                    <w:widowControl w:val="0"/>
                    <w:autoSpaceDE w:val="0"/>
                    <w:autoSpaceDN w:val="0"/>
                    <w:adjustRightInd w:val="0"/>
                    <w:jc w:val="right"/>
                    <w:rPr>
                      <w:rFonts w:ascii="Calibri" w:hAnsi="Calibri" w:cs="Calibri"/>
                      <w:bCs/>
                      <w:color w:val="000000"/>
                      <w:sz w:val="22"/>
                      <w:szCs w:val="22"/>
                    </w:rPr>
                  </w:pPr>
                  <w:r w:rsidRPr="00F72676">
                    <w:rPr>
                      <w:rFonts w:ascii="Calibri" w:hAnsi="Calibri" w:cs="Calibri"/>
                      <w:color w:val="000000"/>
                      <w:sz w:val="22"/>
                      <w:szCs w:val="22"/>
                    </w:rPr>
                    <w:t xml:space="preserve">+9% </w:t>
                  </w:r>
                </w:p>
              </w:tc>
              <w:tc>
                <w:tcPr>
                  <w:tcW w:w="1275" w:type="dxa"/>
                  <w:tcBorders>
                    <w:bottom w:val="nil"/>
                    <w:right w:val="single" w:sz="4" w:space="0" w:color="auto"/>
                  </w:tcBorders>
                  <w:shd w:val="clear" w:color="auto" w:fill="FFFF00"/>
                  <w:vAlign w:val="center"/>
                </w:tcPr>
                <w:p w14:paraId="5B878018" w14:textId="77777777" w:rsidR="00567192" w:rsidRPr="00F72676" w:rsidRDefault="00567192" w:rsidP="00567192">
                  <w:pPr>
                    <w:widowControl w:val="0"/>
                    <w:autoSpaceDE w:val="0"/>
                    <w:autoSpaceDN w:val="0"/>
                    <w:adjustRightInd w:val="0"/>
                    <w:ind w:left="-226"/>
                    <w:jc w:val="right"/>
                    <w:rPr>
                      <w:rFonts w:ascii="Calibri" w:hAnsi="Calibri" w:cs="Calibri"/>
                      <w:b/>
                      <w:bCs/>
                      <w:color w:val="000000"/>
                      <w:sz w:val="22"/>
                      <w:szCs w:val="22"/>
                    </w:rPr>
                  </w:pPr>
                  <w:r w:rsidRPr="00F72676">
                    <w:rPr>
                      <w:rFonts w:ascii="Calibri" w:hAnsi="Calibri" w:cs="Calibri"/>
                      <w:b/>
                      <w:bCs/>
                      <w:color w:val="000000"/>
                      <w:sz w:val="22"/>
                      <w:szCs w:val="22"/>
                    </w:rPr>
                    <w:t>101.</w:t>
                  </w:r>
                  <w:r w:rsidR="00B24C21" w:rsidRPr="00F72676">
                    <w:rPr>
                      <w:rFonts w:ascii="Calibri" w:hAnsi="Calibri" w:cs="Calibri"/>
                      <w:b/>
                      <w:bCs/>
                      <w:color w:val="000000"/>
                      <w:sz w:val="22"/>
                      <w:szCs w:val="22"/>
                    </w:rPr>
                    <w:t>9</w:t>
                  </w:r>
                </w:p>
              </w:tc>
              <w:tc>
                <w:tcPr>
                  <w:tcW w:w="1276" w:type="dxa"/>
                  <w:tcBorders>
                    <w:bottom w:val="nil"/>
                    <w:right w:val="single" w:sz="4" w:space="0" w:color="auto"/>
                  </w:tcBorders>
                  <w:shd w:val="clear" w:color="auto" w:fill="auto"/>
                </w:tcPr>
                <w:p w14:paraId="784A1193"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112.1</w:t>
                  </w:r>
                </w:p>
              </w:tc>
              <w:tc>
                <w:tcPr>
                  <w:tcW w:w="1134" w:type="dxa"/>
                  <w:tcBorders>
                    <w:left w:val="single" w:sz="4" w:space="0" w:color="auto"/>
                    <w:bottom w:val="nil"/>
                    <w:right w:val="single" w:sz="4" w:space="0" w:color="auto"/>
                  </w:tcBorders>
                  <w:shd w:val="clear" w:color="auto" w:fill="auto"/>
                </w:tcPr>
                <w:p w14:paraId="4C913414"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w:t>
                  </w:r>
                </w:p>
              </w:tc>
              <w:tc>
                <w:tcPr>
                  <w:tcW w:w="1159" w:type="dxa"/>
                  <w:tcBorders>
                    <w:left w:val="single" w:sz="4" w:space="0" w:color="auto"/>
                    <w:bottom w:val="nil"/>
                    <w:right w:val="single" w:sz="4" w:space="0" w:color="auto"/>
                  </w:tcBorders>
                  <w:shd w:val="clear" w:color="auto" w:fill="auto"/>
                </w:tcPr>
                <w:p w14:paraId="7987D0E2" w14:textId="77777777" w:rsidR="00567192" w:rsidRPr="00F72676" w:rsidRDefault="00567192" w:rsidP="00567192">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112.1</w:t>
                  </w:r>
                </w:p>
              </w:tc>
            </w:tr>
            <w:tr w:rsidR="00AD45BD" w:rsidRPr="00F72676" w14:paraId="25E0EA37" w14:textId="77777777" w:rsidTr="004C74E4">
              <w:trPr>
                <w:trHeight w:val="215"/>
              </w:trPr>
              <w:tc>
                <w:tcPr>
                  <w:tcW w:w="4253" w:type="dxa"/>
                  <w:gridSpan w:val="2"/>
                  <w:tcBorders>
                    <w:top w:val="nil"/>
                    <w:left w:val="nil"/>
                    <w:bottom w:val="nil"/>
                  </w:tcBorders>
                </w:tcPr>
                <w:p w14:paraId="4EC7295B" w14:textId="77777777" w:rsidR="00AD45BD" w:rsidRPr="00F72676" w:rsidRDefault="00AD45BD" w:rsidP="00AD45BD">
                  <w:pPr>
                    <w:autoSpaceDE w:val="0"/>
                    <w:autoSpaceDN w:val="0"/>
                    <w:adjustRightInd w:val="0"/>
                    <w:rPr>
                      <w:rFonts w:ascii="Calibri" w:hAnsi="Calibri" w:cs="Calibri"/>
                      <w:b/>
                      <w:color w:val="000000"/>
                      <w:sz w:val="22"/>
                      <w:szCs w:val="22"/>
                    </w:rPr>
                  </w:pPr>
                  <w:r w:rsidRPr="00F72676">
                    <w:rPr>
                      <w:rFonts w:ascii="Calibri" w:hAnsi="Calibri" w:cs="Calibri"/>
                      <w:b/>
                      <w:bCs/>
                      <w:color w:val="000000"/>
                      <w:sz w:val="22"/>
                      <w:szCs w:val="22"/>
                    </w:rPr>
                    <w:t>Total operating expenses</w:t>
                  </w:r>
                </w:p>
              </w:tc>
              <w:tc>
                <w:tcPr>
                  <w:tcW w:w="709" w:type="dxa"/>
                  <w:tcBorders>
                    <w:top w:val="nil"/>
                  </w:tcBorders>
                </w:tcPr>
                <w:p w14:paraId="498A7A66" w14:textId="77777777" w:rsidR="00AD45BD" w:rsidRPr="00F72676" w:rsidRDefault="00AD45BD" w:rsidP="00AD45BD">
                  <w:pPr>
                    <w:autoSpaceDE w:val="0"/>
                    <w:autoSpaceDN w:val="0"/>
                    <w:adjustRightInd w:val="0"/>
                    <w:jc w:val="right"/>
                    <w:rPr>
                      <w:rFonts w:ascii="Calibri" w:hAnsi="Calibri" w:cs="Calibri"/>
                      <w:bCs/>
                      <w:color w:val="000000"/>
                      <w:sz w:val="22"/>
                      <w:szCs w:val="22"/>
                      <w:highlight w:val="green"/>
                    </w:rPr>
                  </w:pPr>
                </w:p>
              </w:tc>
              <w:tc>
                <w:tcPr>
                  <w:tcW w:w="851" w:type="dxa"/>
                  <w:tcBorders>
                    <w:top w:val="single" w:sz="4" w:space="0" w:color="auto"/>
                    <w:right w:val="single" w:sz="4" w:space="0" w:color="auto"/>
                  </w:tcBorders>
                </w:tcPr>
                <w:p w14:paraId="60867BEF" w14:textId="77777777" w:rsidR="00AD45BD" w:rsidRPr="00F72676" w:rsidRDefault="00567192" w:rsidP="00AD45BD">
                  <w:pPr>
                    <w:autoSpaceDE w:val="0"/>
                    <w:autoSpaceDN w:val="0"/>
                    <w:adjustRightInd w:val="0"/>
                    <w:jc w:val="right"/>
                    <w:rPr>
                      <w:rFonts w:ascii="Calibri" w:hAnsi="Calibri" w:cs="Calibri"/>
                      <w:bCs/>
                      <w:color w:val="000000"/>
                      <w:sz w:val="22"/>
                      <w:szCs w:val="22"/>
                    </w:rPr>
                  </w:pPr>
                  <w:r w:rsidRPr="00F72676">
                    <w:rPr>
                      <w:rFonts w:ascii="Calibri" w:hAnsi="Calibri" w:cs="Calibri"/>
                      <w:bCs/>
                      <w:color w:val="000000"/>
                      <w:sz w:val="22"/>
                      <w:szCs w:val="22"/>
                    </w:rPr>
                    <w:t>-24%</w:t>
                  </w:r>
                </w:p>
              </w:tc>
              <w:tc>
                <w:tcPr>
                  <w:tcW w:w="1275" w:type="dxa"/>
                  <w:tcBorders>
                    <w:top w:val="single" w:sz="4" w:space="0" w:color="auto"/>
                    <w:right w:val="single" w:sz="4" w:space="0" w:color="auto"/>
                  </w:tcBorders>
                  <w:shd w:val="clear" w:color="auto" w:fill="FFFF00"/>
                </w:tcPr>
                <w:p w14:paraId="224D7AB5" w14:textId="77777777" w:rsidR="00AD45BD" w:rsidRPr="00F72676" w:rsidRDefault="00567192" w:rsidP="00AD45BD">
                  <w:pPr>
                    <w:widowControl w:val="0"/>
                    <w:autoSpaceDE w:val="0"/>
                    <w:autoSpaceDN w:val="0"/>
                    <w:adjustRightInd w:val="0"/>
                    <w:ind w:left="-226"/>
                    <w:jc w:val="right"/>
                    <w:rPr>
                      <w:rFonts w:ascii="Calibri" w:hAnsi="Calibri" w:cs="Calibri"/>
                      <w:b/>
                      <w:bCs/>
                      <w:color w:val="000000"/>
                      <w:sz w:val="22"/>
                      <w:szCs w:val="22"/>
                    </w:rPr>
                  </w:pPr>
                  <w:r w:rsidRPr="00F72676">
                    <w:rPr>
                      <w:rFonts w:ascii="Calibri" w:hAnsi="Calibri" w:cs="Calibri"/>
                      <w:b/>
                      <w:bCs/>
                      <w:color w:val="000000"/>
                      <w:sz w:val="22"/>
                      <w:szCs w:val="22"/>
                    </w:rPr>
                    <w:t>3,22</w:t>
                  </w:r>
                  <w:r w:rsidR="00292095" w:rsidRPr="00F72676">
                    <w:rPr>
                      <w:rFonts w:ascii="Calibri" w:hAnsi="Calibri" w:cs="Calibri"/>
                      <w:b/>
                      <w:bCs/>
                      <w:color w:val="000000"/>
                      <w:sz w:val="22"/>
                      <w:szCs w:val="22"/>
                    </w:rPr>
                    <w:t>1.3</w:t>
                  </w:r>
                </w:p>
              </w:tc>
              <w:tc>
                <w:tcPr>
                  <w:tcW w:w="1276" w:type="dxa"/>
                  <w:tcBorders>
                    <w:top w:val="single" w:sz="4" w:space="0" w:color="auto"/>
                    <w:right w:val="single" w:sz="4" w:space="0" w:color="auto"/>
                  </w:tcBorders>
                  <w:shd w:val="clear" w:color="auto" w:fill="auto"/>
                </w:tcPr>
                <w:p w14:paraId="11694766" w14:textId="77777777" w:rsidR="00AD45BD" w:rsidRPr="00F72676" w:rsidRDefault="00961EBD" w:rsidP="00AD45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2,596.0</w:t>
                  </w:r>
                </w:p>
              </w:tc>
              <w:tc>
                <w:tcPr>
                  <w:tcW w:w="1134" w:type="dxa"/>
                  <w:tcBorders>
                    <w:top w:val="single" w:sz="4" w:space="0" w:color="auto"/>
                    <w:left w:val="single" w:sz="4" w:space="0" w:color="auto"/>
                    <w:right w:val="single" w:sz="4" w:space="0" w:color="auto"/>
                  </w:tcBorders>
                  <w:shd w:val="clear" w:color="auto" w:fill="auto"/>
                </w:tcPr>
                <w:p w14:paraId="0EE4DF23" w14:textId="77777777" w:rsidR="00AD45BD" w:rsidRPr="00F72676" w:rsidRDefault="00961EBD" w:rsidP="00AD45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142.8</w:t>
                  </w: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7D50F556" w14:textId="77777777" w:rsidR="00AD45BD" w:rsidRPr="00F72676" w:rsidRDefault="00961EBD" w:rsidP="00961E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2,738.8</w:t>
                  </w:r>
                </w:p>
              </w:tc>
            </w:tr>
            <w:tr w:rsidR="00AD45BD" w:rsidRPr="00F72676" w14:paraId="4E7A53ED" w14:textId="77777777" w:rsidTr="004C74E4">
              <w:trPr>
                <w:trHeight w:val="215"/>
              </w:trPr>
              <w:tc>
                <w:tcPr>
                  <w:tcW w:w="260" w:type="dxa"/>
                  <w:tcBorders>
                    <w:top w:val="nil"/>
                    <w:left w:val="nil"/>
                    <w:bottom w:val="nil"/>
                    <w:right w:val="nil"/>
                  </w:tcBorders>
                </w:tcPr>
                <w:p w14:paraId="40861121" w14:textId="77777777" w:rsidR="00AD45BD" w:rsidRPr="00F72676" w:rsidRDefault="00AD45BD" w:rsidP="00AD45BD">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724BEDF6" w14:textId="77777777" w:rsidR="00AD45BD" w:rsidRPr="00F72676" w:rsidRDefault="00AD45BD" w:rsidP="00AD45BD">
                  <w:pPr>
                    <w:autoSpaceDE w:val="0"/>
                    <w:autoSpaceDN w:val="0"/>
                    <w:adjustRightInd w:val="0"/>
                    <w:rPr>
                      <w:rFonts w:ascii="Calibri" w:hAnsi="Calibri" w:cs="Calibri"/>
                      <w:color w:val="000000"/>
                      <w:sz w:val="22"/>
                      <w:szCs w:val="22"/>
                    </w:rPr>
                  </w:pPr>
                </w:p>
              </w:tc>
              <w:tc>
                <w:tcPr>
                  <w:tcW w:w="709" w:type="dxa"/>
                  <w:tcBorders>
                    <w:top w:val="nil"/>
                  </w:tcBorders>
                </w:tcPr>
                <w:p w14:paraId="65F4E170" w14:textId="77777777" w:rsidR="00AD45BD" w:rsidRPr="00F72676" w:rsidRDefault="00AD45BD" w:rsidP="00AD45BD">
                  <w:pPr>
                    <w:autoSpaceDE w:val="0"/>
                    <w:autoSpaceDN w:val="0"/>
                    <w:adjustRightInd w:val="0"/>
                    <w:jc w:val="right"/>
                    <w:rPr>
                      <w:rFonts w:ascii="Calibri" w:hAnsi="Calibri" w:cs="Calibri"/>
                      <w:bCs/>
                      <w:color w:val="000000"/>
                      <w:sz w:val="22"/>
                      <w:szCs w:val="22"/>
                      <w:highlight w:val="green"/>
                    </w:rPr>
                  </w:pPr>
                </w:p>
              </w:tc>
              <w:tc>
                <w:tcPr>
                  <w:tcW w:w="851" w:type="dxa"/>
                  <w:tcBorders>
                    <w:top w:val="single" w:sz="4" w:space="0" w:color="auto"/>
                    <w:right w:val="single" w:sz="4" w:space="0" w:color="auto"/>
                  </w:tcBorders>
                </w:tcPr>
                <w:p w14:paraId="7E797541" w14:textId="77777777" w:rsidR="00AD45BD" w:rsidRPr="00F72676" w:rsidRDefault="00AD45BD" w:rsidP="00AD45BD">
                  <w:pPr>
                    <w:autoSpaceDE w:val="0"/>
                    <w:autoSpaceDN w:val="0"/>
                    <w:adjustRightInd w:val="0"/>
                    <w:jc w:val="right"/>
                    <w:rPr>
                      <w:rFonts w:ascii="Calibri" w:hAnsi="Calibri" w:cs="Calibri"/>
                      <w:bCs/>
                      <w:color w:val="000000"/>
                      <w:sz w:val="22"/>
                      <w:szCs w:val="22"/>
                    </w:rPr>
                  </w:pPr>
                </w:p>
              </w:tc>
              <w:tc>
                <w:tcPr>
                  <w:tcW w:w="1275" w:type="dxa"/>
                  <w:tcBorders>
                    <w:top w:val="single" w:sz="4" w:space="0" w:color="auto"/>
                    <w:right w:val="single" w:sz="4" w:space="0" w:color="auto"/>
                  </w:tcBorders>
                  <w:shd w:val="clear" w:color="auto" w:fill="FFFF00"/>
                </w:tcPr>
                <w:p w14:paraId="14942A37" w14:textId="77777777" w:rsidR="00AD45BD" w:rsidRPr="00F72676" w:rsidRDefault="00AD45BD" w:rsidP="00AD45BD">
                  <w:pPr>
                    <w:autoSpaceDE w:val="0"/>
                    <w:autoSpaceDN w:val="0"/>
                    <w:adjustRightInd w:val="0"/>
                    <w:ind w:left="-226"/>
                    <w:jc w:val="right"/>
                    <w:rPr>
                      <w:rFonts w:ascii="Calibri" w:hAnsi="Calibri" w:cs="Calibri"/>
                      <w:b/>
                      <w:bCs/>
                      <w:color w:val="000000"/>
                      <w:sz w:val="22"/>
                      <w:szCs w:val="22"/>
                    </w:rPr>
                  </w:pPr>
                </w:p>
              </w:tc>
              <w:tc>
                <w:tcPr>
                  <w:tcW w:w="1276" w:type="dxa"/>
                  <w:tcBorders>
                    <w:top w:val="single" w:sz="4" w:space="0" w:color="auto"/>
                    <w:right w:val="single" w:sz="4" w:space="0" w:color="auto"/>
                  </w:tcBorders>
                  <w:shd w:val="clear" w:color="auto" w:fill="auto"/>
                </w:tcPr>
                <w:p w14:paraId="13242D2A"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134" w:type="dxa"/>
                  <w:tcBorders>
                    <w:top w:val="single" w:sz="4" w:space="0" w:color="auto"/>
                    <w:left w:val="single" w:sz="4" w:space="0" w:color="auto"/>
                    <w:right w:val="single" w:sz="4" w:space="0" w:color="auto"/>
                  </w:tcBorders>
                  <w:shd w:val="clear" w:color="auto" w:fill="auto"/>
                </w:tcPr>
                <w:p w14:paraId="6DE56C09"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159" w:type="dxa"/>
                  <w:tcBorders>
                    <w:top w:val="single" w:sz="4" w:space="0" w:color="auto"/>
                    <w:left w:val="single" w:sz="4" w:space="0" w:color="auto"/>
                    <w:right w:val="single" w:sz="4" w:space="0" w:color="auto"/>
                  </w:tcBorders>
                  <w:shd w:val="clear" w:color="auto" w:fill="auto"/>
                </w:tcPr>
                <w:p w14:paraId="156E95ED"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r>
            <w:tr w:rsidR="00AD45BD" w:rsidRPr="00F72676" w14:paraId="3553D969" w14:textId="77777777" w:rsidTr="004C74E4">
              <w:trPr>
                <w:trHeight w:val="215"/>
              </w:trPr>
              <w:tc>
                <w:tcPr>
                  <w:tcW w:w="4253" w:type="dxa"/>
                  <w:gridSpan w:val="2"/>
                  <w:tcBorders>
                    <w:top w:val="nil"/>
                    <w:left w:val="nil"/>
                    <w:bottom w:val="nil"/>
                  </w:tcBorders>
                </w:tcPr>
                <w:p w14:paraId="45F29918" w14:textId="77777777" w:rsidR="00AD45BD" w:rsidRPr="00F72676" w:rsidRDefault="00AD45BD" w:rsidP="00AD45BD">
                  <w:pPr>
                    <w:autoSpaceDE w:val="0"/>
                    <w:autoSpaceDN w:val="0"/>
                    <w:adjustRightInd w:val="0"/>
                    <w:rPr>
                      <w:rFonts w:ascii="Calibri" w:hAnsi="Calibri" w:cs="Calibri"/>
                      <w:b/>
                      <w:color w:val="000000"/>
                      <w:sz w:val="22"/>
                      <w:szCs w:val="22"/>
                    </w:rPr>
                  </w:pPr>
                  <w:r w:rsidRPr="00F72676">
                    <w:rPr>
                      <w:rFonts w:ascii="Calibri" w:hAnsi="Calibri" w:cs="Calibri"/>
                      <w:b/>
                      <w:bCs/>
                      <w:color w:val="000000"/>
                      <w:sz w:val="22"/>
                      <w:szCs w:val="22"/>
                    </w:rPr>
                    <w:t>Operating profit</w:t>
                  </w:r>
                  <w:r w:rsidR="00B24C21" w:rsidRPr="00F72676">
                    <w:rPr>
                      <w:rFonts w:ascii="Calibri" w:hAnsi="Calibri" w:cs="Calibri"/>
                      <w:b/>
                      <w:bCs/>
                      <w:color w:val="000000"/>
                      <w:sz w:val="22"/>
                      <w:szCs w:val="22"/>
                    </w:rPr>
                    <w:t>/(loss)</w:t>
                  </w:r>
                  <w:r w:rsidRPr="00F72676">
                    <w:rPr>
                      <w:rFonts w:ascii="Calibri" w:hAnsi="Calibri" w:cs="Calibri"/>
                      <w:b/>
                      <w:color w:val="000000"/>
                      <w:sz w:val="22"/>
                      <w:szCs w:val="22"/>
                    </w:rPr>
                    <w:t xml:space="preserve"> </w:t>
                  </w:r>
                </w:p>
              </w:tc>
              <w:tc>
                <w:tcPr>
                  <w:tcW w:w="709" w:type="dxa"/>
                  <w:tcBorders>
                    <w:top w:val="nil"/>
                  </w:tcBorders>
                </w:tcPr>
                <w:p w14:paraId="06E7FA13" w14:textId="77777777" w:rsidR="00AD45BD" w:rsidRPr="00F72676" w:rsidRDefault="00AD45BD" w:rsidP="00AD45BD">
                  <w:pPr>
                    <w:autoSpaceDE w:val="0"/>
                    <w:autoSpaceDN w:val="0"/>
                    <w:adjustRightInd w:val="0"/>
                    <w:jc w:val="right"/>
                    <w:rPr>
                      <w:rFonts w:ascii="Calibri" w:hAnsi="Calibri" w:cs="Calibri"/>
                      <w:bCs/>
                      <w:color w:val="000000"/>
                      <w:sz w:val="22"/>
                      <w:szCs w:val="22"/>
                      <w:highlight w:val="green"/>
                    </w:rPr>
                  </w:pPr>
                </w:p>
              </w:tc>
              <w:tc>
                <w:tcPr>
                  <w:tcW w:w="851" w:type="dxa"/>
                  <w:tcBorders>
                    <w:top w:val="nil"/>
                    <w:right w:val="single" w:sz="4" w:space="0" w:color="auto"/>
                  </w:tcBorders>
                </w:tcPr>
                <w:p w14:paraId="0C7161E7" w14:textId="77777777" w:rsidR="00AD45BD" w:rsidRPr="00F72676" w:rsidRDefault="00567192" w:rsidP="00A55EFC">
                  <w:pPr>
                    <w:autoSpaceDE w:val="0"/>
                    <w:autoSpaceDN w:val="0"/>
                    <w:adjustRightInd w:val="0"/>
                    <w:jc w:val="right"/>
                    <w:rPr>
                      <w:rFonts w:ascii="Calibri" w:hAnsi="Calibri" w:cs="Calibri"/>
                      <w:bCs/>
                      <w:color w:val="000000"/>
                      <w:sz w:val="22"/>
                      <w:szCs w:val="22"/>
                    </w:rPr>
                  </w:pPr>
                  <w:r w:rsidRPr="00F72676">
                    <w:rPr>
                      <w:rFonts w:ascii="Calibri" w:hAnsi="Calibri" w:cs="Calibri"/>
                      <w:bCs/>
                      <w:color w:val="000000"/>
                      <w:sz w:val="22"/>
                      <w:szCs w:val="22"/>
                    </w:rPr>
                    <w:t>+20%</w:t>
                  </w:r>
                </w:p>
              </w:tc>
              <w:tc>
                <w:tcPr>
                  <w:tcW w:w="1275" w:type="dxa"/>
                  <w:tcBorders>
                    <w:top w:val="nil"/>
                    <w:right w:val="single" w:sz="4" w:space="0" w:color="auto"/>
                  </w:tcBorders>
                  <w:shd w:val="clear" w:color="auto" w:fill="FFFF00"/>
                </w:tcPr>
                <w:p w14:paraId="74C59AD4" w14:textId="77777777" w:rsidR="00AD45BD" w:rsidRPr="00F72676" w:rsidRDefault="00567192" w:rsidP="00AD45BD">
                  <w:pPr>
                    <w:widowControl w:val="0"/>
                    <w:autoSpaceDE w:val="0"/>
                    <w:autoSpaceDN w:val="0"/>
                    <w:adjustRightInd w:val="0"/>
                    <w:jc w:val="right"/>
                    <w:rPr>
                      <w:rFonts w:ascii="Calibri" w:hAnsi="Calibri" w:cs="Calibri"/>
                      <w:b/>
                      <w:bCs/>
                      <w:color w:val="000000"/>
                      <w:sz w:val="22"/>
                      <w:szCs w:val="22"/>
                    </w:rPr>
                  </w:pPr>
                  <w:r w:rsidRPr="00F72676">
                    <w:rPr>
                      <w:rFonts w:ascii="Calibri" w:hAnsi="Calibri" w:cs="Calibri"/>
                      <w:b/>
                      <w:bCs/>
                      <w:color w:val="000000"/>
                      <w:sz w:val="22"/>
                      <w:szCs w:val="22"/>
                    </w:rPr>
                    <w:t>1,</w:t>
                  </w:r>
                  <w:r w:rsidR="00292095" w:rsidRPr="00F72676">
                    <w:rPr>
                      <w:rFonts w:ascii="Calibri" w:hAnsi="Calibri" w:cs="Calibri"/>
                      <w:b/>
                      <w:bCs/>
                      <w:color w:val="000000"/>
                      <w:sz w:val="22"/>
                      <w:szCs w:val="22"/>
                    </w:rPr>
                    <w:t>704.6</w:t>
                  </w:r>
                </w:p>
              </w:tc>
              <w:tc>
                <w:tcPr>
                  <w:tcW w:w="1276" w:type="dxa"/>
                  <w:tcBorders>
                    <w:top w:val="nil"/>
                    <w:right w:val="single" w:sz="4" w:space="0" w:color="auto"/>
                  </w:tcBorders>
                  <w:shd w:val="clear" w:color="auto" w:fill="auto"/>
                </w:tcPr>
                <w:p w14:paraId="5BD1B4E5" w14:textId="77777777" w:rsidR="00AD45BD" w:rsidRPr="00F72676" w:rsidRDefault="00961EBD" w:rsidP="00AD45BD">
                  <w:pPr>
                    <w:widowControl w:val="0"/>
                    <w:autoSpaceDE w:val="0"/>
                    <w:autoSpaceDN w:val="0"/>
                    <w:adjustRightInd w:val="0"/>
                    <w:jc w:val="right"/>
                    <w:rPr>
                      <w:rFonts w:ascii="Calibri" w:hAnsi="Calibri" w:cs="Calibri"/>
                      <w:color w:val="000000"/>
                      <w:sz w:val="22"/>
                      <w:szCs w:val="22"/>
                    </w:rPr>
                  </w:pPr>
                  <w:r w:rsidRPr="00F72676">
                    <w:rPr>
                      <w:rFonts w:ascii="Calibri" w:hAnsi="Calibri" w:cs="Calibri"/>
                      <w:color w:val="000000"/>
                      <w:sz w:val="22"/>
                      <w:szCs w:val="22"/>
                    </w:rPr>
                    <w:t>1,418.6</w:t>
                  </w:r>
                </w:p>
              </w:tc>
              <w:tc>
                <w:tcPr>
                  <w:tcW w:w="1134" w:type="dxa"/>
                  <w:tcBorders>
                    <w:top w:val="nil"/>
                    <w:left w:val="single" w:sz="4" w:space="0" w:color="auto"/>
                    <w:right w:val="single" w:sz="4" w:space="0" w:color="auto"/>
                  </w:tcBorders>
                  <w:shd w:val="clear" w:color="auto" w:fill="auto"/>
                </w:tcPr>
                <w:p w14:paraId="17159507" w14:textId="77777777" w:rsidR="00AD45BD" w:rsidRPr="00F72676" w:rsidRDefault="00961EBD" w:rsidP="00AD45BD">
                  <w:pPr>
                    <w:widowControl w:val="0"/>
                    <w:autoSpaceDE w:val="0"/>
                    <w:autoSpaceDN w:val="0"/>
                    <w:adjustRightInd w:val="0"/>
                    <w:jc w:val="right"/>
                    <w:rPr>
                      <w:rFonts w:ascii="Calibri" w:hAnsi="Calibri" w:cs="Calibri"/>
                      <w:color w:val="000000"/>
                      <w:sz w:val="22"/>
                      <w:szCs w:val="22"/>
                    </w:rPr>
                  </w:pPr>
                  <w:r w:rsidRPr="00F72676">
                    <w:rPr>
                      <w:rFonts w:ascii="Calibri" w:hAnsi="Calibri" w:cs="Calibri"/>
                      <w:color w:val="000000"/>
                      <w:sz w:val="22"/>
                      <w:szCs w:val="22"/>
                    </w:rPr>
                    <w:t>(142.8)</w:t>
                  </w:r>
                </w:p>
              </w:tc>
              <w:tc>
                <w:tcPr>
                  <w:tcW w:w="1159" w:type="dxa"/>
                  <w:tcBorders>
                    <w:top w:val="nil"/>
                    <w:left w:val="single" w:sz="4" w:space="0" w:color="auto"/>
                    <w:right w:val="single" w:sz="4" w:space="0" w:color="auto"/>
                  </w:tcBorders>
                  <w:shd w:val="clear" w:color="auto" w:fill="auto"/>
                </w:tcPr>
                <w:p w14:paraId="3202ED3C" w14:textId="77777777" w:rsidR="00AD45BD" w:rsidRPr="00F72676" w:rsidRDefault="00961EBD" w:rsidP="00AD45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1,275.8</w:t>
                  </w:r>
                </w:p>
              </w:tc>
            </w:tr>
            <w:tr w:rsidR="00A55EFC" w:rsidRPr="00F72676" w14:paraId="7F0A40FE" w14:textId="77777777" w:rsidTr="004C74E4">
              <w:trPr>
                <w:trHeight w:val="215"/>
              </w:trPr>
              <w:tc>
                <w:tcPr>
                  <w:tcW w:w="4253" w:type="dxa"/>
                  <w:gridSpan w:val="2"/>
                  <w:tcBorders>
                    <w:top w:val="nil"/>
                    <w:left w:val="nil"/>
                    <w:bottom w:val="nil"/>
                  </w:tcBorders>
                </w:tcPr>
                <w:p w14:paraId="6CC856FA" w14:textId="77777777" w:rsidR="00A55EFC" w:rsidRPr="00F72676" w:rsidRDefault="00A55EFC" w:rsidP="00AD45BD">
                  <w:pPr>
                    <w:autoSpaceDE w:val="0"/>
                    <w:autoSpaceDN w:val="0"/>
                    <w:adjustRightInd w:val="0"/>
                    <w:rPr>
                      <w:rFonts w:ascii="Calibri" w:hAnsi="Calibri" w:cs="Calibri"/>
                      <w:b/>
                      <w:bCs/>
                      <w:color w:val="000000"/>
                      <w:sz w:val="22"/>
                      <w:szCs w:val="22"/>
                    </w:rPr>
                  </w:pPr>
                </w:p>
              </w:tc>
              <w:tc>
                <w:tcPr>
                  <w:tcW w:w="709" w:type="dxa"/>
                  <w:tcBorders>
                    <w:top w:val="nil"/>
                  </w:tcBorders>
                </w:tcPr>
                <w:p w14:paraId="5CBD99BF" w14:textId="77777777" w:rsidR="00A55EFC" w:rsidRPr="00F72676" w:rsidRDefault="00A55EFC" w:rsidP="00AD45BD">
                  <w:pPr>
                    <w:autoSpaceDE w:val="0"/>
                    <w:autoSpaceDN w:val="0"/>
                    <w:adjustRightInd w:val="0"/>
                    <w:jc w:val="right"/>
                    <w:rPr>
                      <w:rFonts w:ascii="Calibri" w:hAnsi="Calibri" w:cs="Calibri"/>
                      <w:bCs/>
                      <w:color w:val="000000"/>
                      <w:sz w:val="22"/>
                      <w:szCs w:val="22"/>
                      <w:highlight w:val="green"/>
                    </w:rPr>
                  </w:pPr>
                </w:p>
              </w:tc>
              <w:tc>
                <w:tcPr>
                  <w:tcW w:w="851" w:type="dxa"/>
                  <w:tcBorders>
                    <w:top w:val="nil"/>
                    <w:right w:val="single" w:sz="4" w:space="0" w:color="auto"/>
                  </w:tcBorders>
                </w:tcPr>
                <w:p w14:paraId="70C02800" w14:textId="77777777" w:rsidR="00A55EFC" w:rsidRPr="00F72676" w:rsidRDefault="00A55EFC" w:rsidP="00A55EFC">
                  <w:pPr>
                    <w:autoSpaceDE w:val="0"/>
                    <w:autoSpaceDN w:val="0"/>
                    <w:adjustRightInd w:val="0"/>
                    <w:jc w:val="right"/>
                    <w:rPr>
                      <w:rFonts w:ascii="Calibri" w:hAnsi="Calibri" w:cs="Calibri"/>
                      <w:bCs/>
                      <w:color w:val="000000"/>
                      <w:sz w:val="22"/>
                      <w:szCs w:val="22"/>
                    </w:rPr>
                  </w:pPr>
                </w:p>
              </w:tc>
              <w:tc>
                <w:tcPr>
                  <w:tcW w:w="1275" w:type="dxa"/>
                  <w:tcBorders>
                    <w:top w:val="nil"/>
                    <w:right w:val="single" w:sz="4" w:space="0" w:color="auto"/>
                  </w:tcBorders>
                  <w:shd w:val="clear" w:color="auto" w:fill="FFFF00"/>
                </w:tcPr>
                <w:p w14:paraId="16CB6C42" w14:textId="77777777" w:rsidR="00A55EFC" w:rsidRPr="00F72676" w:rsidRDefault="00A55EFC" w:rsidP="00AD45BD">
                  <w:pPr>
                    <w:widowControl w:val="0"/>
                    <w:autoSpaceDE w:val="0"/>
                    <w:autoSpaceDN w:val="0"/>
                    <w:adjustRightInd w:val="0"/>
                    <w:jc w:val="right"/>
                    <w:rPr>
                      <w:rFonts w:ascii="Calibri" w:hAnsi="Calibri" w:cs="Calibri"/>
                      <w:b/>
                      <w:bCs/>
                      <w:color w:val="000000"/>
                      <w:sz w:val="22"/>
                      <w:szCs w:val="22"/>
                    </w:rPr>
                  </w:pPr>
                </w:p>
              </w:tc>
              <w:tc>
                <w:tcPr>
                  <w:tcW w:w="1276" w:type="dxa"/>
                  <w:tcBorders>
                    <w:top w:val="nil"/>
                    <w:right w:val="single" w:sz="4" w:space="0" w:color="auto"/>
                  </w:tcBorders>
                  <w:shd w:val="clear" w:color="auto" w:fill="auto"/>
                </w:tcPr>
                <w:p w14:paraId="1504D4F4" w14:textId="77777777" w:rsidR="00A55EFC" w:rsidRPr="00F72676" w:rsidRDefault="00A55EFC" w:rsidP="00AD45BD">
                  <w:pPr>
                    <w:widowControl w:val="0"/>
                    <w:autoSpaceDE w:val="0"/>
                    <w:autoSpaceDN w:val="0"/>
                    <w:adjustRightInd w:val="0"/>
                    <w:jc w:val="right"/>
                    <w:rPr>
                      <w:rFonts w:ascii="Calibri" w:hAnsi="Calibri" w:cs="Calibri"/>
                      <w:color w:val="000000"/>
                      <w:sz w:val="22"/>
                      <w:szCs w:val="22"/>
                    </w:rPr>
                  </w:pPr>
                </w:p>
              </w:tc>
              <w:tc>
                <w:tcPr>
                  <w:tcW w:w="1134" w:type="dxa"/>
                  <w:tcBorders>
                    <w:top w:val="nil"/>
                    <w:left w:val="single" w:sz="4" w:space="0" w:color="auto"/>
                    <w:right w:val="single" w:sz="4" w:space="0" w:color="auto"/>
                  </w:tcBorders>
                  <w:shd w:val="clear" w:color="auto" w:fill="auto"/>
                </w:tcPr>
                <w:p w14:paraId="756A5839" w14:textId="77777777" w:rsidR="00A55EFC" w:rsidRPr="00F72676" w:rsidRDefault="00A55EFC" w:rsidP="00AD45BD">
                  <w:pPr>
                    <w:widowControl w:val="0"/>
                    <w:autoSpaceDE w:val="0"/>
                    <w:autoSpaceDN w:val="0"/>
                    <w:adjustRightInd w:val="0"/>
                    <w:jc w:val="right"/>
                    <w:rPr>
                      <w:rFonts w:ascii="Calibri" w:hAnsi="Calibri" w:cs="Calibri"/>
                      <w:color w:val="000000"/>
                      <w:sz w:val="22"/>
                      <w:szCs w:val="22"/>
                    </w:rPr>
                  </w:pPr>
                </w:p>
              </w:tc>
              <w:tc>
                <w:tcPr>
                  <w:tcW w:w="1159" w:type="dxa"/>
                  <w:tcBorders>
                    <w:top w:val="nil"/>
                    <w:left w:val="single" w:sz="4" w:space="0" w:color="auto"/>
                    <w:right w:val="single" w:sz="4" w:space="0" w:color="auto"/>
                  </w:tcBorders>
                  <w:shd w:val="clear" w:color="auto" w:fill="auto"/>
                </w:tcPr>
                <w:p w14:paraId="0BC77CC5" w14:textId="77777777" w:rsidR="00A55EFC" w:rsidRPr="00F72676" w:rsidRDefault="00A55EFC" w:rsidP="00AD45BD">
                  <w:pPr>
                    <w:widowControl w:val="0"/>
                    <w:autoSpaceDE w:val="0"/>
                    <w:autoSpaceDN w:val="0"/>
                    <w:adjustRightInd w:val="0"/>
                    <w:ind w:left="-226"/>
                    <w:jc w:val="right"/>
                    <w:rPr>
                      <w:rFonts w:ascii="Calibri" w:hAnsi="Calibri" w:cs="Calibri"/>
                      <w:color w:val="000000"/>
                      <w:sz w:val="22"/>
                      <w:szCs w:val="22"/>
                    </w:rPr>
                  </w:pPr>
                </w:p>
              </w:tc>
            </w:tr>
            <w:tr w:rsidR="00AD45BD" w:rsidRPr="00F72676" w14:paraId="2FFEDF22" w14:textId="77777777" w:rsidTr="004C74E4">
              <w:trPr>
                <w:trHeight w:val="229"/>
              </w:trPr>
              <w:tc>
                <w:tcPr>
                  <w:tcW w:w="4253" w:type="dxa"/>
                  <w:gridSpan w:val="2"/>
                  <w:tcBorders>
                    <w:top w:val="nil"/>
                    <w:left w:val="nil"/>
                    <w:bottom w:val="nil"/>
                  </w:tcBorders>
                </w:tcPr>
                <w:p w14:paraId="476C4FA7" w14:textId="77777777" w:rsidR="00AD45BD" w:rsidRPr="00F72676" w:rsidRDefault="00AD45BD" w:rsidP="00AD45BD">
                  <w:pPr>
                    <w:autoSpaceDE w:val="0"/>
                    <w:autoSpaceDN w:val="0"/>
                    <w:adjustRightInd w:val="0"/>
                    <w:rPr>
                      <w:rFonts w:ascii="Calibri" w:hAnsi="Calibri" w:cs="Calibri"/>
                      <w:b/>
                      <w:bCs/>
                      <w:color w:val="000000"/>
                      <w:sz w:val="22"/>
                      <w:szCs w:val="22"/>
                    </w:rPr>
                  </w:pPr>
                  <w:r w:rsidRPr="00F72676">
                    <w:rPr>
                      <w:rFonts w:ascii="Calibri" w:hAnsi="Calibri" w:cs="Calibri"/>
                      <w:b/>
                      <w:bCs/>
                      <w:color w:val="000000"/>
                      <w:sz w:val="22"/>
                      <w:szCs w:val="22"/>
                    </w:rPr>
                    <w:t xml:space="preserve">Other </w:t>
                  </w:r>
                  <w:r w:rsidR="00EA4F34" w:rsidRPr="00F72676">
                    <w:rPr>
                      <w:rFonts w:ascii="Calibri" w:hAnsi="Calibri" w:cs="Calibri"/>
                      <w:b/>
                      <w:bCs/>
                      <w:color w:val="000000"/>
                      <w:sz w:val="22"/>
                      <w:szCs w:val="22"/>
                    </w:rPr>
                    <w:t>income/(</w:t>
                  </w:r>
                  <w:r w:rsidRPr="00F72676">
                    <w:rPr>
                      <w:rFonts w:ascii="Calibri" w:hAnsi="Calibri" w:cs="Calibri"/>
                      <w:b/>
                      <w:bCs/>
                      <w:color w:val="000000"/>
                      <w:sz w:val="22"/>
                      <w:szCs w:val="22"/>
                    </w:rPr>
                    <w:t>expenses</w:t>
                  </w:r>
                  <w:r w:rsidR="00EA4F34" w:rsidRPr="00F72676">
                    <w:rPr>
                      <w:rFonts w:ascii="Calibri" w:hAnsi="Calibri" w:cs="Calibri"/>
                      <w:b/>
                      <w:bCs/>
                      <w:color w:val="000000"/>
                      <w:sz w:val="22"/>
                      <w:szCs w:val="22"/>
                    </w:rPr>
                    <w:t>)</w:t>
                  </w:r>
                </w:p>
              </w:tc>
              <w:tc>
                <w:tcPr>
                  <w:tcW w:w="709" w:type="dxa"/>
                  <w:tcBorders>
                    <w:top w:val="nil"/>
                  </w:tcBorders>
                </w:tcPr>
                <w:p w14:paraId="21388B6B" w14:textId="77777777" w:rsidR="00AD45BD" w:rsidRPr="00F72676" w:rsidRDefault="00AD45BD" w:rsidP="00AD45BD">
                  <w:pPr>
                    <w:autoSpaceDE w:val="0"/>
                    <w:autoSpaceDN w:val="0"/>
                    <w:adjustRightInd w:val="0"/>
                    <w:jc w:val="right"/>
                    <w:rPr>
                      <w:rFonts w:ascii="Calibri" w:hAnsi="Calibri" w:cs="Calibri"/>
                      <w:bCs/>
                      <w:color w:val="000000"/>
                      <w:sz w:val="22"/>
                      <w:szCs w:val="22"/>
                      <w:highlight w:val="green"/>
                    </w:rPr>
                  </w:pPr>
                </w:p>
              </w:tc>
              <w:tc>
                <w:tcPr>
                  <w:tcW w:w="851" w:type="dxa"/>
                  <w:tcBorders>
                    <w:top w:val="nil"/>
                    <w:right w:val="single" w:sz="4" w:space="0" w:color="auto"/>
                  </w:tcBorders>
                </w:tcPr>
                <w:p w14:paraId="114941DE" w14:textId="77777777" w:rsidR="00AD45BD" w:rsidRPr="00F72676" w:rsidRDefault="00AD45BD" w:rsidP="00AD45BD">
                  <w:pPr>
                    <w:autoSpaceDE w:val="0"/>
                    <w:autoSpaceDN w:val="0"/>
                    <w:adjustRightInd w:val="0"/>
                    <w:jc w:val="right"/>
                    <w:rPr>
                      <w:rFonts w:ascii="Calibri" w:hAnsi="Calibri" w:cs="Calibri"/>
                      <w:bCs/>
                      <w:color w:val="000000"/>
                      <w:sz w:val="22"/>
                      <w:szCs w:val="22"/>
                    </w:rPr>
                  </w:pPr>
                </w:p>
              </w:tc>
              <w:tc>
                <w:tcPr>
                  <w:tcW w:w="1275" w:type="dxa"/>
                  <w:tcBorders>
                    <w:top w:val="nil"/>
                    <w:right w:val="single" w:sz="4" w:space="0" w:color="auto"/>
                  </w:tcBorders>
                  <w:shd w:val="clear" w:color="auto" w:fill="FFFF00"/>
                </w:tcPr>
                <w:p w14:paraId="4270ABC1" w14:textId="77777777" w:rsidR="00AD45BD" w:rsidRPr="00F72676" w:rsidRDefault="00AD45BD" w:rsidP="00AD45BD">
                  <w:pPr>
                    <w:autoSpaceDE w:val="0"/>
                    <w:autoSpaceDN w:val="0"/>
                    <w:adjustRightInd w:val="0"/>
                    <w:ind w:left="-226"/>
                    <w:jc w:val="right"/>
                    <w:rPr>
                      <w:rFonts w:ascii="Calibri" w:hAnsi="Calibri" w:cs="Calibri"/>
                      <w:b/>
                      <w:bCs/>
                      <w:color w:val="000000"/>
                      <w:sz w:val="22"/>
                      <w:szCs w:val="22"/>
                    </w:rPr>
                  </w:pPr>
                </w:p>
              </w:tc>
              <w:tc>
                <w:tcPr>
                  <w:tcW w:w="1276" w:type="dxa"/>
                  <w:tcBorders>
                    <w:top w:val="nil"/>
                    <w:right w:val="single" w:sz="4" w:space="0" w:color="auto"/>
                  </w:tcBorders>
                  <w:shd w:val="clear" w:color="auto" w:fill="auto"/>
                </w:tcPr>
                <w:p w14:paraId="7779D73D"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134" w:type="dxa"/>
                  <w:tcBorders>
                    <w:top w:val="nil"/>
                    <w:left w:val="single" w:sz="4" w:space="0" w:color="auto"/>
                    <w:right w:val="single" w:sz="4" w:space="0" w:color="auto"/>
                  </w:tcBorders>
                  <w:shd w:val="clear" w:color="auto" w:fill="auto"/>
                </w:tcPr>
                <w:p w14:paraId="18432DFB"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159" w:type="dxa"/>
                  <w:tcBorders>
                    <w:top w:val="nil"/>
                    <w:left w:val="single" w:sz="4" w:space="0" w:color="auto"/>
                    <w:right w:val="single" w:sz="4" w:space="0" w:color="auto"/>
                  </w:tcBorders>
                  <w:shd w:val="clear" w:color="auto" w:fill="auto"/>
                </w:tcPr>
                <w:p w14:paraId="6447C289"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r>
            <w:tr w:rsidR="00AD45BD" w:rsidRPr="00F72676" w14:paraId="694F0A65" w14:textId="77777777" w:rsidTr="004C74E4">
              <w:trPr>
                <w:trHeight w:val="229"/>
              </w:trPr>
              <w:tc>
                <w:tcPr>
                  <w:tcW w:w="260" w:type="dxa"/>
                  <w:tcBorders>
                    <w:top w:val="nil"/>
                    <w:left w:val="nil"/>
                    <w:bottom w:val="nil"/>
                    <w:right w:val="nil"/>
                  </w:tcBorders>
                </w:tcPr>
                <w:p w14:paraId="5FC2DB44" w14:textId="77777777" w:rsidR="00AD45BD" w:rsidRPr="00F72676" w:rsidRDefault="00AD45BD" w:rsidP="00AD45BD">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51629738" w14:textId="77777777" w:rsidR="00AD45BD" w:rsidRPr="00F72676" w:rsidRDefault="00AD45BD" w:rsidP="00AD45BD">
                  <w:pPr>
                    <w:autoSpaceDE w:val="0"/>
                    <w:autoSpaceDN w:val="0"/>
                    <w:adjustRightInd w:val="0"/>
                    <w:rPr>
                      <w:rFonts w:ascii="Calibri" w:hAnsi="Calibri" w:cs="Calibri"/>
                      <w:color w:val="000000"/>
                      <w:sz w:val="22"/>
                      <w:szCs w:val="22"/>
                    </w:rPr>
                  </w:pPr>
                  <w:r w:rsidRPr="00F72676">
                    <w:rPr>
                      <w:rFonts w:ascii="Calibri" w:hAnsi="Calibri" w:cs="Calibri"/>
                      <w:color w:val="000000"/>
                      <w:sz w:val="22"/>
                      <w:szCs w:val="22"/>
                    </w:rPr>
                    <w:t xml:space="preserve">Net finance </w:t>
                  </w:r>
                  <w:r w:rsidR="00EA4F34" w:rsidRPr="00F72676">
                    <w:rPr>
                      <w:rFonts w:ascii="Calibri" w:hAnsi="Calibri" w:cs="Calibri"/>
                      <w:color w:val="000000"/>
                      <w:sz w:val="22"/>
                      <w:szCs w:val="22"/>
                    </w:rPr>
                    <w:t>income/(</w:t>
                  </w:r>
                  <w:r w:rsidRPr="00F72676">
                    <w:rPr>
                      <w:rFonts w:ascii="Calibri" w:hAnsi="Calibri" w:cs="Calibri"/>
                      <w:color w:val="000000"/>
                      <w:sz w:val="22"/>
                      <w:szCs w:val="22"/>
                    </w:rPr>
                    <w:t>expense</w:t>
                  </w:r>
                  <w:r w:rsidR="00EA4F34" w:rsidRPr="00F72676">
                    <w:rPr>
                      <w:rFonts w:ascii="Calibri" w:hAnsi="Calibri" w:cs="Calibri"/>
                      <w:color w:val="000000"/>
                      <w:sz w:val="22"/>
                      <w:szCs w:val="22"/>
                    </w:rPr>
                    <w:t>)</w:t>
                  </w:r>
                </w:p>
              </w:tc>
              <w:tc>
                <w:tcPr>
                  <w:tcW w:w="709" w:type="dxa"/>
                  <w:tcBorders>
                    <w:top w:val="nil"/>
                  </w:tcBorders>
                </w:tcPr>
                <w:p w14:paraId="4E501F2D" w14:textId="77777777" w:rsidR="00AD45BD" w:rsidRPr="00F72676" w:rsidRDefault="00AD45BD" w:rsidP="00AD45BD">
                  <w:pPr>
                    <w:autoSpaceDE w:val="0"/>
                    <w:autoSpaceDN w:val="0"/>
                    <w:adjustRightInd w:val="0"/>
                    <w:jc w:val="right"/>
                    <w:rPr>
                      <w:rFonts w:ascii="Calibri" w:hAnsi="Calibri" w:cs="Calibri"/>
                      <w:b/>
                      <w:color w:val="000000"/>
                      <w:sz w:val="22"/>
                      <w:szCs w:val="22"/>
                      <w:highlight w:val="green"/>
                    </w:rPr>
                  </w:pPr>
                </w:p>
              </w:tc>
              <w:tc>
                <w:tcPr>
                  <w:tcW w:w="851" w:type="dxa"/>
                  <w:tcBorders>
                    <w:top w:val="nil"/>
                    <w:right w:val="single" w:sz="4" w:space="0" w:color="auto"/>
                  </w:tcBorders>
                </w:tcPr>
                <w:p w14:paraId="72C8E766" w14:textId="77777777" w:rsidR="00AD45BD" w:rsidRPr="00F72676" w:rsidRDefault="00AD45BD" w:rsidP="00AD45BD">
                  <w:pPr>
                    <w:widowControl w:val="0"/>
                    <w:autoSpaceDE w:val="0"/>
                    <w:autoSpaceDN w:val="0"/>
                    <w:adjustRightInd w:val="0"/>
                    <w:jc w:val="right"/>
                    <w:rPr>
                      <w:rFonts w:ascii="Calibri" w:hAnsi="Calibri" w:cs="Calibri"/>
                      <w:bCs/>
                      <w:color w:val="000000"/>
                      <w:sz w:val="22"/>
                      <w:szCs w:val="22"/>
                    </w:rPr>
                  </w:pPr>
                </w:p>
              </w:tc>
              <w:tc>
                <w:tcPr>
                  <w:tcW w:w="1275" w:type="dxa"/>
                  <w:tcBorders>
                    <w:top w:val="nil"/>
                    <w:right w:val="single" w:sz="4" w:space="0" w:color="auto"/>
                  </w:tcBorders>
                  <w:shd w:val="clear" w:color="auto" w:fill="FFFF00"/>
                </w:tcPr>
                <w:p w14:paraId="20621D08" w14:textId="77777777" w:rsidR="00AD45BD" w:rsidRPr="00F72676" w:rsidRDefault="00292095" w:rsidP="00AD45BD">
                  <w:pPr>
                    <w:widowControl w:val="0"/>
                    <w:autoSpaceDE w:val="0"/>
                    <w:autoSpaceDN w:val="0"/>
                    <w:adjustRightInd w:val="0"/>
                    <w:jc w:val="right"/>
                    <w:rPr>
                      <w:rFonts w:ascii="Calibri" w:hAnsi="Calibri" w:cs="Calibri"/>
                      <w:b/>
                      <w:bCs/>
                      <w:color w:val="000000"/>
                      <w:sz w:val="22"/>
                      <w:szCs w:val="22"/>
                    </w:rPr>
                  </w:pPr>
                  <w:r w:rsidRPr="00F72676">
                    <w:rPr>
                      <w:rFonts w:ascii="Calibri" w:hAnsi="Calibri" w:cs="Calibri"/>
                      <w:b/>
                      <w:bCs/>
                      <w:color w:val="000000"/>
                      <w:sz w:val="22"/>
                      <w:szCs w:val="22"/>
                    </w:rPr>
                    <w:t>13.7</w:t>
                  </w:r>
                </w:p>
              </w:tc>
              <w:tc>
                <w:tcPr>
                  <w:tcW w:w="1276" w:type="dxa"/>
                  <w:tcBorders>
                    <w:top w:val="nil"/>
                    <w:right w:val="single" w:sz="4" w:space="0" w:color="auto"/>
                  </w:tcBorders>
                  <w:shd w:val="clear" w:color="auto" w:fill="auto"/>
                </w:tcPr>
                <w:p w14:paraId="6F0081D0" w14:textId="77777777" w:rsidR="00AD45BD" w:rsidRPr="00F72676" w:rsidRDefault="00AD45BD" w:rsidP="00AD45BD">
                  <w:pPr>
                    <w:widowControl w:val="0"/>
                    <w:autoSpaceDE w:val="0"/>
                    <w:autoSpaceDN w:val="0"/>
                    <w:adjustRightInd w:val="0"/>
                    <w:jc w:val="right"/>
                    <w:rPr>
                      <w:rFonts w:ascii="Calibri" w:hAnsi="Calibri" w:cs="Calibri"/>
                      <w:color w:val="000000"/>
                      <w:sz w:val="22"/>
                      <w:szCs w:val="22"/>
                    </w:rPr>
                  </w:pPr>
                  <w:r w:rsidRPr="00F72676">
                    <w:rPr>
                      <w:rFonts w:ascii="Calibri" w:hAnsi="Calibri" w:cs="Calibri"/>
                      <w:color w:val="000000"/>
                      <w:sz w:val="22"/>
                      <w:szCs w:val="22"/>
                    </w:rPr>
                    <w:t>(16.1)</w:t>
                  </w:r>
                </w:p>
              </w:tc>
              <w:tc>
                <w:tcPr>
                  <w:tcW w:w="1134" w:type="dxa"/>
                  <w:tcBorders>
                    <w:top w:val="nil"/>
                    <w:left w:val="single" w:sz="4" w:space="0" w:color="auto"/>
                    <w:right w:val="single" w:sz="4" w:space="0" w:color="auto"/>
                  </w:tcBorders>
                  <w:shd w:val="clear" w:color="auto" w:fill="auto"/>
                </w:tcPr>
                <w:p w14:paraId="0180F477" w14:textId="77777777" w:rsidR="00AD45BD" w:rsidRPr="00F72676" w:rsidRDefault="00AD45BD" w:rsidP="00AD45BD">
                  <w:pPr>
                    <w:widowControl w:val="0"/>
                    <w:autoSpaceDE w:val="0"/>
                    <w:autoSpaceDN w:val="0"/>
                    <w:adjustRightInd w:val="0"/>
                    <w:jc w:val="right"/>
                    <w:rPr>
                      <w:rFonts w:ascii="Calibri" w:hAnsi="Calibri" w:cs="Calibri"/>
                      <w:color w:val="000000"/>
                      <w:sz w:val="22"/>
                      <w:szCs w:val="22"/>
                    </w:rPr>
                  </w:pPr>
                  <w:r w:rsidRPr="00F72676">
                    <w:rPr>
                      <w:rFonts w:ascii="Calibri" w:hAnsi="Calibri" w:cs="Calibri"/>
                      <w:color w:val="000000"/>
                      <w:sz w:val="22"/>
                      <w:szCs w:val="22"/>
                    </w:rPr>
                    <w:t>-</w:t>
                  </w:r>
                </w:p>
              </w:tc>
              <w:tc>
                <w:tcPr>
                  <w:tcW w:w="1159" w:type="dxa"/>
                  <w:tcBorders>
                    <w:top w:val="nil"/>
                    <w:left w:val="single" w:sz="4" w:space="0" w:color="auto"/>
                    <w:right w:val="single" w:sz="4" w:space="0" w:color="auto"/>
                  </w:tcBorders>
                  <w:shd w:val="clear" w:color="auto" w:fill="auto"/>
                </w:tcPr>
                <w:p w14:paraId="4B2F1BEC" w14:textId="77777777" w:rsidR="00AD45BD" w:rsidRPr="00F72676" w:rsidRDefault="00AD45BD" w:rsidP="00AD45BD">
                  <w:pPr>
                    <w:widowControl w:val="0"/>
                    <w:autoSpaceDE w:val="0"/>
                    <w:autoSpaceDN w:val="0"/>
                    <w:adjustRightInd w:val="0"/>
                    <w:jc w:val="right"/>
                    <w:rPr>
                      <w:rFonts w:ascii="Calibri" w:hAnsi="Calibri" w:cs="Calibri"/>
                      <w:color w:val="000000"/>
                      <w:sz w:val="22"/>
                      <w:szCs w:val="22"/>
                    </w:rPr>
                  </w:pPr>
                  <w:r w:rsidRPr="00F72676">
                    <w:rPr>
                      <w:rFonts w:ascii="Calibri" w:hAnsi="Calibri" w:cs="Calibri"/>
                      <w:color w:val="000000"/>
                      <w:sz w:val="22"/>
                      <w:szCs w:val="22"/>
                    </w:rPr>
                    <w:t>(16.1)</w:t>
                  </w:r>
                </w:p>
              </w:tc>
            </w:tr>
            <w:tr w:rsidR="00AD45BD" w:rsidRPr="00F72676" w14:paraId="65BE13DB" w14:textId="77777777" w:rsidTr="004C74E4">
              <w:trPr>
                <w:trHeight w:val="229"/>
              </w:trPr>
              <w:tc>
                <w:tcPr>
                  <w:tcW w:w="260" w:type="dxa"/>
                  <w:tcBorders>
                    <w:top w:val="nil"/>
                    <w:left w:val="nil"/>
                    <w:bottom w:val="nil"/>
                    <w:right w:val="nil"/>
                  </w:tcBorders>
                </w:tcPr>
                <w:p w14:paraId="184EABF2" w14:textId="77777777" w:rsidR="00AD45BD" w:rsidRPr="00F72676" w:rsidRDefault="00AD45BD" w:rsidP="00AD45BD">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1D2721EE" w14:textId="77777777" w:rsidR="00AD45BD" w:rsidRPr="00F72676" w:rsidRDefault="00AD45BD" w:rsidP="00AD45BD">
                  <w:pPr>
                    <w:autoSpaceDE w:val="0"/>
                    <w:autoSpaceDN w:val="0"/>
                    <w:adjustRightInd w:val="0"/>
                    <w:rPr>
                      <w:rFonts w:ascii="Calibri" w:hAnsi="Calibri" w:cs="Calibri"/>
                      <w:color w:val="000000"/>
                      <w:sz w:val="22"/>
                      <w:szCs w:val="22"/>
                    </w:rPr>
                  </w:pPr>
                  <w:r w:rsidRPr="00F72676">
                    <w:rPr>
                      <w:rFonts w:ascii="Calibri" w:hAnsi="Calibri" w:cs="Calibri"/>
                      <w:color w:val="000000"/>
                      <w:sz w:val="22"/>
                      <w:szCs w:val="22"/>
                    </w:rPr>
                    <w:t>Foreign exchange</w:t>
                  </w:r>
                </w:p>
              </w:tc>
              <w:tc>
                <w:tcPr>
                  <w:tcW w:w="709" w:type="dxa"/>
                  <w:tcBorders>
                    <w:top w:val="nil"/>
                  </w:tcBorders>
                </w:tcPr>
                <w:p w14:paraId="014D7817" w14:textId="77777777" w:rsidR="00AD45BD" w:rsidRPr="00F72676" w:rsidRDefault="00AD45BD" w:rsidP="00AD45BD">
                  <w:pPr>
                    <w:autoSpaceDE w:val="0"/>
                    <w:autoSpaceDN w:val="0"/>
                    <w:adjustRightInd w:val="0"/>
                    <w:jc w:val="right"/>
                    <w:rPr>
                      <w:rFonts w:ascii="Calibri" w:hAnsi="Calibri" w:cs="Calibri"/>
                      <w:bCs/>
                      <w:color w:val="000000"/>
                      <w:sz w:val="22"/>
                      <w:szCs w:val="22"/>
                      <w:highlight w:val="green"/>
                    </w:rPr>
                  </w:pPr>
                </w:p>
              </w:tc>
              <w:tc>
                <w:tcPr>
                  <w:tcW w:w="851" w:type="dxa"/>
                  <w:tcBorders>
                    <w:top w:val="nil"/>
                    <w:right w:val="single" w:sz="4" w:space="0" w:color="auto"/>
                  </w:tcBorders>
                </w:tcPr>
                <w:p w14:paraId="1404A88E" w14:textId="77777777" w:rsidR="00AD45BD" w:rsidRPr="00F72676" w:rsidRDefault="00AD45BD" w:rsidP="00AD45BD">
                  <w:pPr>
                    <w:widowControl w:val="0"/>
                    <w:autoSpaceDE w:val="0"/>
                    <w:autoSpaceDN w:val="0"/>
                    <w:adjustRightInd w:val="0"/>
                    <w:jc w:val="right"/>
                    <w:rPr>
                      <w:rFonts w:ascii="Calibri" w:hAnsi="Calibri" w:cs="Calibri"/>
                      <w:bCs/>
                      <w:color w:val="000000"/>
                      <w:sz w:val="22"/>
                      <w:szCs w:val="22"/>
                    </w:rPr>
                  </w:pPr>
                </w:p>
              </w:tc>
              <w:tc>
                <w:tcPr>
                  <w:tcW w:w="1275" w:type="dxa"/>
                  <w:tcBorders>
                    <w:top w:val="nil"/>
                    <w:right w:val="single" w:sz="4" w:space="0" w:color="auto"/>
                  </w:tcBorders>
                  <w:shd w:val="clear" w:color="auto" w:fill="FFFF00"/>
                </w:tcPr>
                <w:p w14:paraId="11C30AC9" w14:textId="77777777" w:rsidR="00AD45BD" w:rsidRPr="00F72676" w:rsidRDefault="00567192" w:rsidP="00AD45BD">
                  <w:pPr>
                    <w:widowControl w:val="0"/>
                    <w:autoSpaceDE w:val="0"/>
                    <w:autoSpaceDN w:val="0"/>
                    <w:adjustRightInd w:val="0"/>
                    <w:ind w:left="-226"/>
                    <w:jc w:val="right"/>
                    <w:rPr>
                      <w:rFonts w:ascii="Calibri" w:hAnsi="Calibri" w:cs="Calibri"/>
                      <w:b/>
                      <w:bCs/>
                      <w:color w:val="000000"/>
                      <w:sz w:val="22"/>
                      <w:szCs w:val="22"/>
                    </w:rPr>
                  </w:pPr>
                  <w:r w:rsidRPr="00F72676">
                    <w:rPr>
                      <w:rFonts w:ascii="Calibri" w:hAnsi="Calibri" w:cs="Calibri"/>
                      <w:b/>
                      <w:bCs/>
                      <w:color w:val="000000"/>
                      <w:sz w:val="22"/>
                      <w:szCs w:val="22"/>
                    </w:rPr>
                    <w:t>(0.5)</w:t>
                  </w:r>
                </w:p>
              </w:tc>
              <w:tc>
                <w:tcPr>
                  <w:tcW w:w="1276" w:type="dxa"/>
                  <w:tcBorders>
                    <w:top w:val="nil"/>
                    <w:right w:val="single" w:sz="4" w:space="0" w:color="auto"/>
                  </w:tcBorders>
                  <w:shd w:val="clear" w:color="auto" w:fill="auto"/>
                </w:tcPr>
                <w:p w14:paraId="02816CAB" w14:textId="77777777" w:rsidR="00AD45BD" w:rsidRPr="00F72676" w:rsidRDefault="00AD45BD" w:rsidP="00AD45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(40.0)</w:t>
                  </w:r>
                </w:p>
              </w:tc>
              <w:tc>
                <w:tcPr>
                  <w:tcW w:w="1134" w:type="dxa"/>
                  <w:tcBorders>
                    <w:top w:val="nil"/>
                    <w:left w:val="single" w:sz="4" w:space="0" w:color="auto"/>
                    <w:right w:val="single" w:sz="4" w:space="0" w:color="auto"/>
                  </w:tcBorders>
                  <w:shd w:val="clear" w:color="auto" w:fill="auto"/>
                </w:tcPr>
                <w:p w14:paraId="3A329B53" w14:textId="77777777" w:rsidR="00AD45BD" w:rsidRPr="00F72676" w:rsidRDefault="00AD45BD" w:rsidP="00AD45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w:t>
                  </w:r>
                </w:p>
              </w:tc>
              <w:tc>
                <w:tcPr>
                  <w:tcW w:w="1159" w:type="dxa"/>
                  <w:tcBorders>
                    <w:top w:val="nil"/>
                    <w:left w:val="single" w:sz="4" w:space="0" w:color="auto"/>
                    <w:right w:val="single" w:sz="4" w:space="0" w:color="auto"/>
                  </w:tcBorders>
                  <w:shd w:val="clear" w:color="auto" w:fill="auto"/>
                </w:tcPr>
                <w:p w14:paraId="427D8E04" w14:textId="77777777" w:rsidR="00AD45BD" w:rsidRPr="00F72676" w:rsidRDefault="00AD45BD" w:rsidP="00AD45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(40.0)</w:t>
                  </w:r>
                </w:p>
              </w:tc>
            </w:tr>
            <w:tr w:rsidR="00AD45BD" w:rsidRPr="00F72676" w14:paraId="7DA37615" w14:textId="77777777" w:rsidTr="004C74E4">
              <w:trPr>
                <w:trHeight w:val="229"/>
              </w:trPr>
              <w:tc>
                <w:tcPr>
                  <w:tcW w:w="4253" w:type="dxa"/>
                  <w:gridSpan w:val="2"/>
                  <w:tcBorders>
                    <w:top w:val="nil"/>
                    <w:left w:val="nil"/>
                    <w:bottom w:val="nil"/>
                  </w:tcBorders>
                </w:tcPr>
                <w:p w14:paraId="480CA1AF" w14:textId="77777777" w:rsidR="00AD45BD" w:rsidRPr="00F72676" w:rsidRDefault="00AD45BD" w:rsidP="00AD45BD">
                  <w:pPr>
                    <w:autoSpaceDE w:val="0"/>
                    <w:autoSpaceDN w:val="0"/>
                    <w:adjustRightInd w:val="0"/>
                    <w:rPr>
                      <w:rFonts w:ascii="Calibri" w:hAnsi="Calibri" w:cs="Calibri"/>
                      <w:b/>
                      <w:color w:val="000000"/>
                      <w:sz w:val="22"/>
                      <w:szCs w:val="22"/>
                    </w:rPr>
                  </w:pPr>
                  <w:r w:rsidRPr="00F72676">
                    <w:rPr>
                      <w:rFonts w:ascii="Calibri" w:hAnsi="Calibri" w:cs="Calibri"/>
                      <w:b/>
                      <w:color w:val="000000"/>
                      <w:sz w:val="22"/>
                      <w:szCs w:val="22"/>
                    </w:rPr>
                    <w:t xml:space="preserve">Total other </w:t>
                  </w:r>
                  <w:r w:rsidR="00EA4F34" w:rsidRPr="00F72676">
                    <w:rPr>
                      <w:rFonts w:ascii="Calibri" w:hAnsi="Calibri" w:cs="Calibri"/>
                      <w:b/>
                      <w:color w:val="000000"/>
                      <w:sz w:val="22"/>
                      <w:szCs w:val="22"/>
                    </w:rPr>
                    <w:t>income/(</w:t>
                  </w:r>
                  <w:r w:rsidRPr="00F72676">
                    <w:rPr>
                      <w:rFonts w:ascii="Calibri" w:hAnsi="Calibri" w:cs="Calibri"/>
                      <w:b/>
                      <w:color w:val="000000"/>
                      <w:sz w:val="22"/>
                      <w:szCs w:val="22"/>
                    </w:rPr>
                    <w:t>expenses</w:t>
                  </w:r>
                  <w:r w:rsidR="00EA4F34" w:rsidRPr="00F72676">
                    <w:rPr>
                      <w:rFonts w:ascii="Calibri" w:hAnsi="Calibri" w:cs="Calibri"/>
                      <w:b/>
                      <w:color w:val="000000"/>
                      <w:sz w:val="22"/>
                      <w:szCs w:val="22"/>
                    </w:rPr>
                    <w:t>)</w:t>
                  </w:r>
                </w:p>
              </w:tc>
              <w:tc>
                <w:tcPr>
                  <w:tcW w:w="709" w:type="dxa"/>
                  <w:tcBorders>
                    <w:top w:val="nil"/>
                  </w:tcBorders>
                </w:tcPr>
                <w:p w14:paraId="27A38A59" w14:textId="77777777" w:rsidR="00AD45BD" w:rsidRPr="00F72676" w:rsidRDefault="00AD45BD" w:rsidP="00AD45BD">
                  <w:pPr>
                    <w:autoSpaceDE w:val="0"/>
                    <w:autoSpaceDN w:val="0"/>
                    <w:adjustRightInd w:val="0"/>
                    <w:jc w:val="right"/>
                    <w:rPr>
                      <w:rFonts w:ascii="Calibri" w:hAnsi="Calibri" w:cs="Calibri"/>
                      <w:bCs/>
                      <w:color w:val="000000"/>
                      <w:sz w:val="22"/>
                      <w:szCs w:val="22"/>
                      <w:highlight w:val="green"/>
                    </w:rPr>
                  </w:pPr>
                </w:p>
              </w:tc>
              <w:tc>
                <w:tcPr>
                  <w:tcW w:w="851" w:type="dxa"/>
                  <w:tcBorders>
                    <w:top w:val="single" w:sz="4" w:space="0" w:color="auto"/>
                    <w:right w:val="single" w:sz="4" w:space="0" w:color="auto"/>
                  </w:tcBorders>
                </w:tcPr>
                <w:p w14:paraId="47FF2EA8" w14:textId="77777777" w:rsidR="00AD45BD" w:rsidRPr="00F72676" w:rsidRDefault="00AD45BD" w:rsidP="00AD45BD">
                  <w:pPr>
                    <w:widowControl w:val="0"/>
                    <w:autoSpaceDE w:val="0"/>
                    <w:autoSpaceDN w:val="0"/>
                    <w:adjustRightInd w:val="0"/>
                    <w:jc w:val="right"/>
                    <w:rPr>
                      <w:rFonts w:ascii="Calibri" w:hAnsi="Calibri" w:cs="Calibri"/>
                      <w:bCs/>
                      <w:color w:val="000000"/>
                      <w:sz w:val="22"/>
                      <w:szCs w:val="22"/>
                    </w:rPr>
                  </w:pPr>
                </w:p>
              </w:tc>
              <w:tc>
                <w:tcPr>
                  <w:tcW w:w="1275" w:type="dxa"/>
                  <w:tcBorders>
                    <w:top w:val="single" w:sz="4" w:space="0" w:color="auto"/>
                    <w:right w:val="single" w:sz="4" w:space="0" w:color="auto"/>
                  </w:tcBorders>
                  <w:shd w:val="clear" w:color="auto" w:fill="FFFF00"/>
                </w:tcPr>
                <w:p w14:paraId="23ADB0F5" w14:textId="77777777" w:rsidR="00AD45BD" w:rsidRPr="00F72676" w:rsidRDefault="00292095" w:rsidP="00AD45BD">
                  <w:pPr>
                    <w:widowControl w:val="0"/>
                    <w:autoSpaceDE w:val="0"/>
                    <w:autoSpaceDN w:val="0"/>
                    <w:adjustRightInd w:val="0"/>
                    <w:ind w:left="-226"/>
                    <w:jc w:val="right"/>
                    <w:rPr>
                      <w:rFonts w:ascii="Calibri" w:hAnsi="Calibri" w:cs="Calibri"/>
                      <w:b/>
                      <w:bCs/>
                      <w:color w:val="000000"/>
                      <w:sz w:val="22"/>
                      <w:szCs w:val="22"/>
                    </w:rPr>
                  </w:pPr>
                  <w:r w:rsidRPr="00F72676">
                    <w:rPr>
                      <w:rFonts w:ascii="Calibri" w:hAnsi="Calibri" w:cs="Calibri"/>
                      <w:b/>
                      <w:bCs/>
                      <w:color w:val="000000"/>
                      <w:sz w:val="22"/>
                      <w:szCs w:val="22"/>
                    </w:rPr>
                    <w:t>13.2</w:t>
                  </w:r>
                </w:p>
              </w:tc>
              <w:tc>
                <w:tcPr>
                  <w:tcW w:w="1276" w:type="dxa"/>
                  <w:tcBorders>
                    <w:top w:val="single" w:sz="4" w:space="0" w:color="auto"/>
                    <w:right w:val="single" w:sz="4" w:space="0" w:color="auto"/>
                  </w:tcBorders>
                  <w:shd w:val="clear" w:color="auto" w:fill="auto"/>
                </w:tcPr>
                <w:p w14:paraId="596A7D3F" w14:textId="77777777" w:rsidR="00AD45BD" w:rsidRPr="00F72676" w:rsidRDefault="00961EBD" w:rsidP="00AD45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(56.1)</w:t>
                  </w:r>
                </w:p>
              </w:tc>
              <w:tc>
                <w:tcPr>
                  <w:tcW w:w="1134" w:type="dxa"/>
                  <w:tcBorders>
                    <w:top w:val="single" w:sz="4" w:space="0" w:color="auto"/>
                    <w:left w:val="single" w:sz="4" w:space="0" w:color="auto"/>
                    <w:right w:val="single" w:sz="4" w:space="0" w:color="auto"/>
                  </w:tcBorders>
                  <w:shd w:val="clear" w:color="auto" w:fill="auto"/>
                </w:tcPr>
                <w:p w14:paraId="6553B659" w14:textId="77777777" w:rsidR="00AD45BD" w:rsidRPr="00F72676" w:rsidRDefault="00961EBD" w:rsidP="00AD45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w:t>
                  </w: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578753B7" w14:textId="77777777" w:rsidR="00AD45BD" w:rsidRPr="00F72676" w:rsidRDefault="00961EBD" w:rsidP="00AD45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(56.1)</w:t>
                  </w:r>
                </w:p>
              </w:tc>
            </w:tr>
            <w:tr w:rsidR="00AD45BD" w:rsidRPr="00F72676" w14:paraId="74927CC7" w14:textId="77777777" w:rsidTr="004C74E4">
              <w:trPr>
                <w:trHeight w:val="229"/>
              </w:trPr>
              <w:tc>
                <w:tcPr>
                  <w:tcW w:w="260" w:type="dxa"/>
                  <w:tcBorders>
                    <w:top w:val="nil"/>
                    <w:left w:val="nil"/>
                    <w:bottom w:val="nil"/>
                    <w:right w:val="nil"/>
                  </w:tcBorders>
                </w:tcPr>
                <w:p w14:paraId="02F60555" w14:textId="77777777" w:rsidR="00AD45BD" w:rsidRPr="00F72676" w:rsidRDefault="00AD45BD" w:rsidP="00AD45BD">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3337518A" w14:textId="77777777" w:rsidR="00AD45BD" w:rsidRPr="00F72676" w:rsidRDefault="00AD45BD" w:rsidP="00AD45BD">
                  <w:pPr>
                    <w:autoSpaceDE w:val="0"/>
                    <w:autoSpaceDN w:val="0"/>
                    <w:adjustRightInd w:val="0"/>
                    <w:rPr>
                      <w:rFonts w:ascii="Calibri" w:hAnsi="Calibri" w:cs="Calibri"/>
                      <w:color w:val="000000"/>
                      <w:sz w:val="22"/>
                      <w:szCs w:val="22"/>
                    </w:rPr>
                  </w:pPr>
                </w:p>
              </w:tc>
              <w:tc>
                <w:tcPr>
                  <w:tcW w:w="709" w:type="dxa"/>
                  <w:tcBorders>
                    <w:top w:val="nil"/>
                  </w:tcBorders>
                </w:tcPr>
                <w:p w14:paraId="6C3FF5CC" w14:textId="77777777" w:rsidR="00AD45BD" w:rsidRPr="00F72676" w:rsidRDefault="00AD45BD" w:rsidP="00AD45BD">
                  <w:pPr>
                    <w:autoSpaceDE w:val="0"/>
                    <w:autoSpaceDN w:val="0"/>
                    <w:adjustRightInd w:val="0"/>
                    <w:jc w:val="right"/>
                    <w:rPr>
                      <w:rFonts w:ascii="Calibri" w:hAnsi="Calibri" w:cs="Calibri"/>
                      <w:bCs/>
                      <w:color w:val="000000"/>
                      <w:sz w:val="22"/>
                      <w:szCs w:val="22"/>
                      <w:highlight w:val="green"/>
                    </w:rPr>
                  </w:pPr>
                </w:p>
              </w:tc>
              <w:tc>
                <w:tcPr>
                  <w:tcW w:w="851" w:type="dxa"/>
                  <w:tcBorders>
                    <w:top w:val="single" w:sz="4" w:space="0" w:color="auto"/>
                    <w:right w:val="single" w:sz="4" w:space="0" w:color="auto"/>
                  </w:tcBorders>
                </w:tcPr>
                <w:p w14:paraId="6CC57BB5" w14:textId="77777777" w:rsidR="00AD45BD" w:rsidRPr="00F72676" w:rsidRDefault="00AD45BD" w:rsidP="00AD45BD">
                  <w:pPr>
                    <w:autoSpaceDE w:val="0"/>
                    <w:autoSpaceDN w:val="0"/>
                    <w:adjustRightInd w:val="0"/>
                    <w:jc w:val="right"/>
                    <w:rPr>
                      <w:rFonts w:ascii="Calibri" w:hAnsi="Calibri" w:cs="Calibri"/>
                      <w:bCs/>
                      <w:color w:val="000000"/>
                      <w:sz w:val="22"/>
                      <w:szCs w:val="22"/>
                      <w:highlight w:val="green"/>
                    </w:rPr>
                  </w:pPr>
                </w:p>
              </w:tc>
              <w:tc>
                <w:tcPr>
                  <w:tcW w:w="1275" w:type="dxa"/>
                  <w:tcBorders>
                    <w:top w:val="single" w:sz="4" w:space="0" w:color="auto"/>
                    <w:right w:val="single" w:sz="4" w:space="0" w:color="auto"/>
                  </w:tcBorders>
                  <w:shd w:val="clear" w:color="auto" w:fill="FFFF00"/>
                </w:tcPr>
                <w:p w14:paraId="6F27BE78" w14:textId="77777777" w:rsidR="00AD45BD" w:rsidRPr="00F72676" w:rsidRDefault="00AD45BD" w:rsidP="00AD45BD">
                  <w:pPr>
                    <w:autoSpaceDE w:val="0"/>
                    <w:autoSpaceDN w:val="0"/>
                    <w:adjustRightInd w:val="0"/>
                    <w:ind w:left="-226"/>
                    <w:jc w:val="right"/>
                    <w:rPr>
                      <w:rFonts w:ascii="Calibri" w:hAnsi="Calibri" w:cs="Calibri"/>
                      <w:b/>
                      <w:bCs/>
                      <w:color w:val="000000"/>
                      <w:sz w:val="22"/>
                      <w:szCs w:val="22"/>
                    </w:rPr>
                  </w:pPr>
                </w:p>
              </w:tc>
              <w:tc>
                <w:tcPr>
                  <w:tcW w:w="1276" w:type="dxa"/>
                  <w:tcBorders>
                    <w:top w:val="single" w:sz="4" w:space="0" w:color="auto"/>
                    <w:right w:val="single" w:sz="4" w:space="0" w:color="auto"/>
                  </w:tcBorders>
                  <w:shd w:val="clear" w:color="auto" w:fill="auto"/>
                </w:tcPr>
                <w:p w14:paraId="62C2FB33"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134" w:type="dxa"/>
                  <w:tcBorders>
                    <w:top w:val="single" w:sz="4" w:space="0" w:color="auto"/>
                    <w:left w:val="single" w:sz="4" w:space="0" w:color="auto"/>
                    <w:right w:val="single" w:sz="4" w:space="0" w:color="auto"/>
                  </w:tcBorders>
                  <w:shd w:val="clear" w:color="auto" w:fill="auto"/>
                </w:tcPr>
                <w:p w14:paraId="6D2BCC3C"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159" w:type="dxa"/>
                  <w:tcBorders>
                    <w:top w:val="single" w:sz="4" w:space="0" w:color="auto"/>
                    <w:left w:val="single" w:sz="4" w:space="0" w:color="auto"/>
                    <w:right w:val="single" w:sz="4" w:space="0" w:color="auto"/>
                  </w:tcBorders>
                  <w:shd w:val="clear" w:color="auto" w:fill="auto"/>
                </w:tcPr>
                <w:p w14:paraId="44470B8A"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r>
            <w:tr w:rsidR="00961EBD" w:rsidRPr="00F72676" w14:paraId="78742AD3" w14:textId="77777777" w:rsidTr="004C74E4">
              <w:trPr>
                <w:trHeight w:val="229"/>
              </w:trPr>
              <w:tc>
                <w:tcPr>
                  <w:tcW w:w="4253" w:type="dxa"/>
                  <w:gridSpan w:val="2"/>
                  <w:tcBorders>
                    <w:top w:val="nil"/>
                    <w:left w:val="nil"/>
                    <w:bottom w:val="nil"/>
                  </w:tcBorders>
                </w:tcPr>
                <w:p w14:paraId="32C9E1B8" w14:textId="77777777" w:rsidR="00961EBD" w:rsidRPr="00F72676" w:rsidRDefault="00961EBD" w:rsidP="00961EBD">
                  <w:pPr>
                    <w:autoSpaceDE w:val="0"/>
                    <w:autoSpaceDN w:val="0"/>
                    <w:adjustRightInd w:val="0"/>
                    <w:rPr>
                      <w:rFonts w:ascii="Calibri" w:hAnsi="Calibri" w:cs="Calibri"/>
                      <w:b/>
                      <w:color w:val="000000"/>
                      <w:sz w:val="22"/>
                      <w:szCs w:val="22"/>
                    </w:rPr>
                  </w:pPr>
                  <w:r w:rsidRPr="00F72676">
                    <w:rPr>
                      <w:rFonts w:ascii="Calibri" w:hAnsi="Calibri" w:cs="Calibri"/>
                      <w:b/>
                      <w:bCs/>
                      <w:color w:val="000000"/>
                      <w:sz w:val="22"/>
                      <w:szCs w:val="22"/>
                    </w:rPr>
                    <w:t>Profit</w:t>
                  </w:r>
                  <w:r w:rsidR="00EA4F34" w:rsidRPr="00F72676">
                    <w:rPr>
                      <w:rFonts w:ascii="Calibri" w:hAnsi="Calibri" w:cs="Calibri"/>
                      <w:b/>
                      <w:bCs/>
                      <w:color w:val="000000"/>
                      <w:sz w:val="22"/>
                      <w:szCs w:val="22"/>
                    </w:rPr>
                    <w:t>/(loss)</w:t>
                  </w:r>
                  <w:r w:rsidRPr="00F72676">
                    <w:rPr>
                      <w:rFonts w:ascii="Calibri" w:hAnsi="Calibri" w:cs="Calibri"/>
                      <w:b/>
                      <w:bCs/>
                      <w:color w:val="000000"/>
                      <w:sz w:val="22"/>
                      <w:szCs w:val="22"/>
                    </w:rPr>
                    <w:t xml:space="preserve"> </w:t>
                  </w:r>
                  <w:r w:rsidRPr="00F72676">
                    <w:rPr>
                      <w:rFonts w:ascii="Calibri" w:hAnsi="Calibri" w:cs="Calibri"/>
                      <w:b/>
                      <w:color w:val="000000"/>
                      <w:sz w:val="22"/>
                      <w:szCs w:val="22"/>
                    </w:rPr>
                    <w:t>before tax</w:t>
                  </w:r>
                </w:p>
              </w:tc>
              <w:tc>
                <w:tcPr>
                  <w:tcW w:w="709" w:type="dxa"/>
                  <w:tcBorders>
                    <w:top w:val="nil"/>
                  </w:tcBorders>
                </w:tcPr>
                <w:p w14:paraId="05E51A67" w14:textId="77777777" w:rsidR="00961EBD" w:rsidRPr="00F72676" w:rsidRDefault="00961EBD" w:rsidP="00961EBD">
                  <w:pPr>
                    <w:autoSpaceDE w:val="0"/>
                    <w:autoSpaceDN w:val="0"/>
                    <w:adjustRightInd w:val="0"/>
                    <w:jc w:val="right"/>
                    <w:rPr>
                      <w:rFonts w:ascii="Calibri" w:hAnsi="Calibri" w:cs="Calibri"/>
                      <w:bCs/>
                      <w:color w:val="000000"/>
                      <w:sz w:val="22"/>
                      <w:szCs w:val="22"/>
                      <w:highlight w:val="green"/>
                    </w:rPr>
                  </w:pPr>
                </w:p>
              </w:tc>
              <w:tc>
                <w:tcPr>
                  <w:tcW w:w="851" w:type="dxa"/>
                  <w:tcBorders>
                    <w:right w:val="single" w:sz="4" w:space="0" w:color="auto"/>
                  </w:tcBorders>
                </w:tcPr>
                <w:p w14:paraId="41328AA1" w14:textId="77777777" w:rsidR="00961EBD" w:rsidRPr="00F72676" w:rsidRDefault="00567192" w:rsidP="00961EBD">
                  <w:pPr>
                    <w:autoSpaceDE w:val="0"/>
                    <w:autoSpaceDN w:val="0"/>
                    <w:adjustRightInd w:val="0"/>
                    <w:jc w:val="right"/>
                    <w:rPr>
                      <w:rFonts w:ascii="Calibri" w:hAnsi="Calibri" w:cs="Calibri"/>
                      <w:bCs/>
                      <w:color w:val="000000"/>
                      <w:sz w:val="22"/>
                      <w:szCs w:val="22"/>
                    </w:rPr>
                  </w:pPr>
                  <w:r w:rsidRPr="00F72676">
                    <w:rPr>
                      <w:rFonts w:ascii="Calibri" w:hAnsi="Calibri" w:cs="Calibri"/>
                      <w:bCs/>
                      <w:color w:val="000000"/>
                      <w:sz w:val="22"/>
                      <w:szCs w:val="22"/>
                    </w:rPr>
                    <w:t>+2</w:t>
                  </w:r>
                  <w:r w:rsidR="00292095" w:rsidRPr="00F72676">
                    <w:rPr>
                      <w:rFonts w:ascii="Calibri" w:hAnsi="Calibri" w:cs="Calibri"/>
                      <w:bCs/>
                      <w:color w:val="000000"/>
                      <w:sz w:val="22"/>
                      <w:szCs w:val="22"/>
                    </w:rPr>
                    <w:t>6</w:t>
                  </w:r>
                  <w:r w:rsidRPr="00F72676">
                    <w:rPr>
                      <w:rFonts w:ascii="Calibri" w:hAnsi="Calibri" w:cs="Calibri"/>
                      <w:bCs/>
                      <w:color w:val="000000"/>
                      <w:sz w:val="22"/>
                      <w:szCs w:val="22"/>
                    </w:rPr>
                    <w:t>%</w:t>
                  </w:r>
                </w:p>
              </w:tc>
              <w:tc>
                <w:tcPr>
                  <w:tcW w:w="1275" w:type="dxa"/>
                  <w:tcBorders>
                    <w:right w:val="single" w:sz="4" w:space="0" w:color="auto"/>
                  </w:tcBorders>
                  <w:shd w:val="clear" w:color="auto" w:fill="FFFF00"/>
                </w:tcPr>
                <w:p w14:paraId="4AFD1895" w14:textId="77777777" w:rsidR="00961EBD" w:rsidRPr="00F72676" w:rsidRDefault="00567192" w:rsidP="00961EBD">
                  <w:pPr>
                    <w:widowControl w:val="0"/>
                    <w:autoSpaceDE w:val="0"/>
                    <w:autoSpaceDN w:val="0"/>
                    <w:adjustRightInd w:val="0"/>
                    <w:ind w:left="-226"/>
                    <w:jc w:val="right"/>
                    <w:rPr>
                      <w:rFonts w:ascii="Calibri" w:hAnsi="Calibri" w:cs="Calibri"/>
                      <w:b/>
                      <w:bCs/>
                      <w:color w:val="000000"/>
                      <w:sz w:val="22"/>
                      <w:szCs w:val="22"/>
                    </w:rPr>
                  </w:pPr>
                  <w:r w:rsidRPr="00F72676">
                    <w:rPr>
                      <w:rFonts w:ascii="Calibri" w:hAnsi="Calibri" w:cs="Calibri"/>
                      <w:b/>
                      <w:bCs/>
                      <w:color w:val="000000"/>
                      <w:sz w:val="22"/>
                      <w:szCs w:val="22"/>
                    </w:rPr>
                    <w:t>1,7</w:t>
                  </w:r>
                  <w:r w:rsidR="00292095" w:rsidRPr="00F72676">
                    <w:rPr>
                      <w:rFonts w:ascii="Calibri" w:hAnsi="Calibri" w:cs="Calibri"/>
                      <w:b/>
                      <w:bCs/>
                      <w:color w:val="000000"/>
                      <w:sz w:val="22"/>
                      <w:szCs w:val="22"/>
                    </w:rPr>
                    <w:t>17.8</w:t>
                  </w:r>
                </w:p>
              </w:tc>
              <w:tc>
                <w:tcPr>
                  <w:tcW w:w="1276" w:type="dxa"/>
                  <w:tcBorders>
                    <w:right w:val="single" w:sz="4" w:space="0" w:color="auto"/>
                  </w:tcBorders>
                  <w:shd w:val="clear" w:color="auto" w:fill="auto"/>
                </w:tcPr>
                <w:p w14:paraId="6AA4DAA7" w14:textId="77777777" w:rsidR="00961EBD" w:rsidRPr="00F72676" w:rsidRDefault="00961EBD" w:rsidP="00961E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1,362.5</w:t>
                  </w:r>
                </w:p>
              </w:tc>
              <w:tc>
                <w:tcPr>
                  <w:tcW w:w="1134" w:type="dxa"/>
                  <w:tcBorders>
                    <w:left w:val="single" w:sz="4" w:space="0" w:color="auto"/>
                    <w:right w:val="single" w:sz="4" w:space="0" w:color="auto"/>
                  </w:tcBorders>
                  <w:shd w:val="clear" w:color="auto" w:fill="auto"/>
                </w:tcPr>
                <w:p w14:paraId="5165204B" w14:textId="77777777" w:rsidR="00961EBD" w:rsidRPr="00F72676" w:rsidRDefault="00961EBD" w:rsidP="00961E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(142.8)</w:t>
                  </w:r>
                </w:p>
              </w:tc>
              <w:tc>
                <w:tcPr>
                  <w:tcW w:w="1159" w:type="dxa"/>
                  <w:tcBorders>
                    <w:left w:val="single" w:sz="4" w:space="0" w:color="auto"/>
                    <w:right w:val="single" w:sz="4" w:space="0" w:color="auto"/>
                  </w:tcBorders>
                  <w:shd w:val="clear" w:color="auto" w:fill="auto"/>
                </w:tcPr>
                <w:p w14:paraId="2F94BF1B" w14:textId="77777777" w:rsidR="00961EBD" w:rsidRPr="00F72676" w:rsidRDefault="00961EBD" w:rsidP="00961E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1,219.7</w:t>
                  </w:r>
                </w:p>
              </w:tc>
            </w:tr>
            <w:tr w:rsidR="00AD45BD" w:rsidRPr="00F72676" w14:paraId="5BF27884" w14:textId="77777777" w:rsidTr="004C74E4">
              <w:trPr>
                <w:trHeight w:val="229"/>
              </w:trPr>
              <w:tc>
                <w:tcPr>
                  <w:tcW w:w="260" w:type="dxa"/>
                  <w:tcBorders>
                    <w:top w:val="nil"/>
                    <w:left w:val="nil"/>
                    <w:bottom w:val="nil"/>
                    <w:right w:val="nil"/>
                  </w:tcBorders>
                </w:tcPr>
                <w:p w14:paraId="1B9BCD73" w14:textId="77777777" w:rsidR="00AD45BD" w:rsidRPr="00F72676" w:rsidRDefault="00AD45BD" w:rsidP="00AD45BD">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432584BA" w14:textId="77777777" w:rsidR="00AD45BD" w:rsidRPr="00F72676" w:rsidRDefault="00AD45BD" w:rsidP="00AD45BD">
                  <w:pPr>
                    <w:autoSpaceDE w:val="0"/>
                    <w:autoSpaceDN w:val="0"/>
                    <w:adjustRightInd w:val="0"/>
                    <w:rPr>
                      <w:rFonts w:ascii="Calibri" w:hAnsi="Calibri" w:cs="Calibri"/>
                      <w:color w:val="000000"/>
                      <w:sz w:val="22"/>
                      <w:szCs w:val="22"/>
                    </w:rPr>
                  </w:pPr>
                </w:p>
              </w:tc>
              <w:tc>
                <w:tcPr>
                  <w:tcW w:w="709" w:type="dxa"/>
                  <w:tcBorders>
                    <w:top w:val="nil"/>
                  </w:tcBorders>
                </w:tcPr>
                <w:p w14:paraId="1161A625" w14:textId="77777777" w:rsidR="00AD45BD" w:rsidRPr="00F72676" w:rsidRDefault="00AD45BD" w:rsidP="00AD45BD">
                  <w:pPr>
                    <w:autoSpaceDE w:val="0"/>
                    <w:autoSpaceDN w:val="0"/>
                    <w:adjustRightInd w:val="0"/>
                    <w:jc w:val="right"/>
                    <w:rPr>
                      <w:rFonts w:ascii="Calibri" w:hAnsi="Calibri" w:cs="Calibri"/>
                      <w:bCs/>
                      <w:color w:val="000000"/>
                      <w:sz w:val="22"/>
                      <w:szCs w:val="22"/>
                      <w:highlight w:val="green"/>
                    </w:rPr>
                  </w:pPr>
                </w:p>
              </w:tc>
              <w:tc>
                <w:tcPr>
                  <w:tcW w:w="851" w:type="dxa"/>
                  <w:tcBorders>
                    <w:right w:val="single" w:sz="4" w:space="0" w:color="auto"/>
                  </w:tcBorders>
                </w:tcPr>
                <w:p w14:paraId="6A2F935C" w14:textId="77777777" w:rsidR="00AD45BD" w:rsidRPr="00F72676" w:rsidRDefault="00AD45BD" w:rsidP="00AD45BD">
                  <w:pPr>
                    <w:autoSpaceDE w:val="0"/>
                    <w:autoSpaceDN w:val="0"/>
                    <w:adjustRightInd w:val="0"/>
                    <w:jc w:val="right"/>
                    <w:rPr>
                      <w:rFonts w:ascii="Calibri" w:hAnsi="Calibri" w:cs="Calibri"/>
                      <w:bCs/>
                      <w:color w:val="000000"/>
                      <w:sz w:val="22"/>
                      <w:szCs w:val="22"/>
                    </w:rPr>
                  </w:pPr>
                </w:p>
              </w:tc>
              <w:tc>
                <w:tcPr>
                  <w:tcW w:w="1275" w:type="dxa"/>
                  <w:tcBorders>
                    <w:right w:val="single" w:sz="4" w:space="0" w:color="auto"/>
                  </w:tcBorders>
                  <w:shd w:val="clear" w:color="auto" w:fill="FFFF00"/>
                </w:tcPr>
                <w:p w14:paraId="3E3519EC" w14:textId="77777777" w:rsidR="00AD45BD" w:rsidRPr="00F72676" w:rsidRDefault="00AD45BD" w:rsidP="00A55EFC">
                  <w:pPr>
                    <w:autoSpaceDE w:val="0"/>
                    <w:autoSpaceDN w:val="0"/>
                    <w:adjustRightInd w:val="0"/>
                    <w:rPr>
                      <w:rFonts w:ascii="Calibri" w:hAnsi="Calibri" w:cs="Calibri"/>
                      <w:b/>
                      <w:bCs/>
                      <w:color w:val="000000"/>
                      <w:sz w:val="22"/>
                      <w:szCs w:val="22"/>
                    </w:rPr>
                  </w:pPr>
                </w:p>
              </w:tc>
              <w:tc>
                <w:tcPr>
                  <w:tcW w:w="1276" w:type="dxa"/>
                  <w:tcBorders>
                    <w:right w:val="single" w:sz="4" w:space="0" w:color="auto"/>
                  </w:tcBorders>
                  <w:shd w:val="clear" w:color="auto" w:fill="auto"/>
                </w:tcPr>
                <w:p w14:paraId="163042FC"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134" w:type="dxa"/>
                  <w:tcBorders>
                    <w:left w:val="single" w:sz="4" w:space="0" w:color="auto"/>
                    <w:right w:val="single" w:sz="4" w:space="0" w:color="auto"/>
                  </w:tcBorders>
                  <w:shd w:val="clear" w:color="auto" w:fill="auto"/>
                </w:tcPr>
                <w:p w14:paraId="548685A1"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159" w:type="dxa"/>
                  <w:tcBorders>
                    <w:left w:val="single" w:sz="4" w:space="0" w:color="auto"/>
                    <w:right w:val="single" w:sz="4" w:space="0" w:color="auto"/>
                  </w:tcBorders>
                  <w:shd w:val="clear" w:color="auto" w:fill="auto"/>
                </w:tcPr>
                <w:p w14:paraId="47C14149"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r>
            <w:tr w:rsidR="00961EBD" w:rsidRPr="00F72676" w14:paraId="163118B2" w14:textId="77777777" w:rsidTr="004C74E4">
              <w:trPr>
                <w:trHeight w:val="229"/>
              </w:trPr>
              <w:tc>
                <w:tcPr>
                  <w:tcW w:w="260" w:type="dxa"/>
                  <w:tcBorders>
                    <w:top w:val="nil"/>
                    <w:left w:val="nil"/>
                    <w:bottom w:val="nil"/>
                    <w:right w:val="nil"/>
                  </w:tcBorders>
                </w:tcPr>
                <w:p w14:paraId="0006487B" w14:textId="77777777" w:rsidR="00961EBD" w:rsidRPr="00F72676" w:rsidRDefault="00961EBD" w:rsidP="00961EBD">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0C175913" w14:textId="77777777" w:rsidR="00961EBD" w:rsidRPr="00F72676" w:rsidRDefault="00961EBD" w:rsidP="00961EBD">
                  <w:pPr>
                    <w:autoSpaceDE w:val="0"/>
                    <w:autoSpaceDN w:val="0"/>
                    <w:adjustRightInd w:val="0"/>
                    <w:rPr>
                      <w:rFonts w:ascii="Calibri" w:hAnsi="Calibri" w:cs="Calibri"/>
                      <w:color w:val="000000"/>
                      <w:sz w:val="22"/>
                      <w:szCs w:val="22"/>
                    </w:rPr>
                  </w:pPr>
                  <w:r w:rsidRPr="00F72676">
                    <w:rPr>
                      <w:rFonts w:ascii="Calibri" w:hAnsi="Calibri" w:cs="Calibri"/>
                      <w:color w:val="000000"/>
                      <w:sz w:val="22"/>
                      <w:szCs w:val="22"/>
                    </w:rPr>
                    <w:t xml:space="preserve">Tax </w:t>
                  </w:r>
                  <w:r w:rsidR="00EA4F34" w:rsidRPr="00F72676">
                    <w:rPr>
                      <w:rFonts w:ascii="Calibri" w:hAnsi="Calibri" w:cs="Calibri"/>
                      <w:color w:val="000000"/>
                      <w:sz w:val="22"/>
                      <w:szCs w:val="22"/>
                    </w:rPr>
                    <w:t>(</w:t>
                  </w:r>
                  <w:r w:rsidRPr="00F72676">
                    <w:rPr>
                      <w:rFonts w:ascii="Calibri" w:hAnsi="Calibri" w:cs="Calibri"/>
                      <w:color w:val="000000"/>
                      <w:sz w:val="22"/>
                      <w:szCs w:val="22"/>
                    </w:rPr>
                    <w:t>expense</w:t>
                  </w:r>
                  <w:r w:rsidR="00EA4F34" w:rsidRPr="00F72676">
                    <w:rPr>
                      <w:rFonts w:ascii="Calibri" w:hAnsi="Calibri" w:cs="Calibri"/>
                      <w:color w:val="000000"/>
                      <w:sz w:val="22"/>
                      <w:szCs w:val="22"/>
                    </w:rPr>
                    <w:t>)/credit</w:t>
                  </w:r>
                  <w:r w:rsidRPr="00F72676">
                    <w:rPr>
                      <w:rFonts w:ascii="Calibri" w:hAnsi="Calibri" w:cs="Calibri"/>
                      <w:color w:val="000000"/>
                      <w:sz w:val="22"/>
                      <w:szCs w:val="22"/>
                    </w:rPr>
                    <w:t xml:space="preserve"> </w:t>
                  </w:r>
                </w:p>
              </w:tc>
              <w:tc>
                <w:tcPr>
                  <w:tcW w:w="709" w:type="dxa"/>
                  <w:tcBorders>
                    <w:top w:val="nil"/>
                  </w:tcBorders>
                </w:tcPr>
                <w:p w14:paraId="76C0DED4" w14:textId="77777777" w:rsidR="00961EBD" w:rsidRPr="00F72676" w:rsidRDefault="00961EBD" w:rsidP="00961EBD">
                  <w:pPr>
                    <w:autoSpaceDE w:val="0"/>
                    <w:autoSpaceDN w:val="0"/>
                    <w:adjustRightInd w:val="0"/>
                    <w:jc w:val="right"/>
                    <w:rPr>
                      <w:rFonts w:ascii="Calibri" w:hAnsi="Calibri" w:cs="Calibri"/>
                      <w:b/>
                      <w:bCs/>
                      <w:color w:val="000000"/>
                      <w:sz w:val="22"/>
                      <w:szCs w:val="22"/>
                      <w:highlight w:val="green"/>
                    </w:rPr>
                  </w:pPr>
                </w:p>
              </w:tc>
              <w:tc>
                <w:tcPr>
                  <w:tcW w:w="851" w:type="dxa"/>
                  <w:tcBorders>
                    <w:right w:val="single" w:sz="4" w:space="0" w:color="auto"/>
                  </w:tcBorders>
                </w:tcPr>
                <w:p w14:paraId="603169F6" w14:textId="77777777" w:rsidR="00961EBD" w:rsidRPr="00F72676" w:rsidRDefault="00961EBD" w:rsidP="00961EBD">
                  <w:pPr>
                    <w:autoSpaceDE w:val="0"/>
                    <w:autoSpaceDN w:val="0"/>
                    <w:adjustRightInd w:val="0"/>
                    <w:jc w:val="right"/>
                    <w:rPr>
                      <w:rFonts w:ascii="Calibri" w:hAnsi="Calibri" w:cs="Calibri"/>
                      <w:bCs/>
                      <w:color w:val="000000"/>
                      <w:sz w:val="22"/>
                      <w:szCs w:val="22"/>
                    </w:rPr>
                  </w:pPr>
                </w:p>
              </w:tc>
              <w:tc>
                <w:tcPr>
                  <w:tcW w:w="1275" w:type="dxa"/>
                  <w:tcBorders>
                    <w:bottom w:val="single" w:sz="4" w:space="0" w:color="auto"/>
                    <w:right w:val="single" w:sz="4" w:space="0" w:color="auto"/>
                  </w:tcBorders>
                  <w:shd w:val="clear" w:color="auto" w:fill="FFFF00"/>
                </w:tcPr>
                <w:p w14:paraId="62BAEF3C" w14:textId="77777777" w:rsidR="00961EBD" w:rsidRPr="00F72676" w:rsidRDefault="00567192" w:rsidP="00961EBD">
                  <w:pPr>
                    <w:widowControl w:val="0"/>
                    <w:autoSpaceDE w:val="0"/>
                    <w:autoSpaceDN w:val="0"/>
                    <w:adjustRightInd w:val="0"/>
                    <w:ind w:left="-226"/>
                    <w:jc w:val="right"/>
                    <w:rPr>
                      <w:rFonts w:ascii="Calibri" w:hAnsi="Calibri" w:cs="Calibri"/>
                      <w:b/>
                      <w:bCs/>
                      <w:color w:val="000000"/>
                      <w:sz w:val="22"/>
                      <w:szCs w:val="22"/>
                    </w:rPr>
                  </w:pPr>
                  <w:r w:rsidRPr="00F72676">
                    <w:rPr>
                      <w:rFonts w:ascii="Calibri" w:hAnsi="Calibri" w:cs="Calibri"/>
                      <w:b/>
                      <w:bCs/>
                      <w:color w:val="000000"/>
                      <w:sz w:val="22"/>
                      <w:szCs w:val="22"/>
                    </w:rPr>
                    <w:t>(</w:t>
                  </w:r>
                  <w:r w:rsidR="00B24C21" w:rsidRPr="00F72676">
                    <w:rPr>
                      <w:rFonts w:ascii="Calibri" w:hAnsi="Calibri" w:cs="Calibri"/>
                      <w:b/>
                      <w:bCs/>
                      <w:color w:val="000000"/>
                      <w:sz w:val="22"/>
                      <w:szCs w:val="22"/>
                    </w:rPr>
                    <w:t>20</w:t>
                  </w:r>
                  <w:r w:rsidR="00292095" w:rsidRPr="00F72676">
                    <w:rPr>
                      <w:rFonts w:ascii="Calibri" w:hAnsi="Calibri" w:cs="Calibri"/>
                      <w:b/>
                      <w:bCs/>
                      <w:color w:val="000000"/>
                      <w:sz w:val="22"/>
                      <w:szCs w:val="22"/>
                    </w:rPr>
                    <w:t>2.6</w:t>
                  </w:r>
                  <w:r w:rsidRPr="00F72676">
                    <w:rPr>
                      <w:rFonts w:ascii="Calibri" w:hAnsi="Calibri" w:cs="Calibri"/>
                      <w:b/>
                      <w:bCs/>
                      <w:color w:val="000000"/>
                      <w:sz w:val="22"/>
                      <w:szCs w:val="22"/>
                    </w:rPr>
                    <w:t>)</w:t>
                  </w:r>
                </w:p>
              </w:tc>
              <w:tc>
                <w:tcPr>
                  <w:tcW w:w="1276" w:type="dxa"/>
                  <w:tcBorders>
                    <w:bottom w:val="single" w:sz="4" w:space="0" w:color="auto"/>
                    <w:right w:val="single" w:sz="4" w:space="0" w:color="auto"/>
                  </w:tcBorders>
                  <w:shd w:val="clear" w:color="auto" w:fill="auto"/>
                </w:tcPr>
                <w:p w14:paraId="3878CE14" w14:textId="77777777" w:rsidR="00961EBD" w:rsidRPr="00F72676" w:rsidRDefault="00961EBD" w:rsidP="00961E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(161.7)</w:t>
                  </w:r>
                </w:p>
              </w:tc>
              <w:tc>
                <w:tcPr>
                  <w:tcW w:w="1134" w:type="dxa"/>
                  <w:tcBorders>
                    <w:left w:val="single" w:sz="4" w:space="0" w:color="auto"/>
                    <w:bottom w:val="single" w:sz="4" w:space="0" w:color="auto"/>
                    <w:right w:val="single" w:sz="4" w:space="0" w:color="auto"/>
                  </w:tcBorders>
                  <w:shd w:val="clear" w:color="auto" w:fill="auto"/>
                </w:tcPr>
                <w:p w14:paraId="0D86A3B8" w14:textId="77777777" w:rsidR="00961EBD" w:rsidRPr="00F72676" w:rsidRDefault="00961EBD" w:rsidP="00961E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17.9</w:t>
                  </w:r>
                </w:p>
              </w:tc>
              <w:tc>
                <w:tcPr>
                  <w:tcW w:w="1159" w:type="dxa"/>
                  <w:tcBorders>
                    <w:left w:val="single" w:sz="4" w:space="0" w:color="auto"/>
                    <w:bottom w:val="single" w:sz="4" w:space="0" w:color="auto"/>
                    <w:right w:val="single" w:sz="4" w:space="0" w:color="auto"/>
                  </w:tcBorders>
                  <w:shd w:val="clear" w:color="auto" w:fill="auto"/>
                </w:tcPr>
                <w:p w14:paraId="01438424" w14:textId="77777777" w:rsidR="00961EBD" w:rsidRPr="00F72676" w:rsidRDefault="00961EBD" w:rsidP="00961E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(143.8)</w:t>
                  </w:r>
                </w:p>
              </w:tc>
            </w:tr>
            <w:tr w:rsidR="00AD45BD" w:rsidRPr="00F72676" w14:paraId="6508D98B" w14:textId="77777777" w:rsidTr="004C74E4">
              <w:trPr>
                <w:trHeight w:val="229"/>
              </w:trPr>
              <w:tc>
                <w:tcPr>
                  <w:tcW w:w="260" w:type="dxa"/>
                  <w:tcBorders>
                    <w:top w:val="nil"/>
                    <w:left w:val="nil"/>
                    <w:bottom w:val="nil"/>
                    <w:right w:val="nil"/>
                  </w:tcBorders>
                </w:tcPr>
                <w:p w14:paraId="748D204E" w14:textId="77777777" w:rsidR="00AD45BD" w:rsidRPr="00F72676" w:rsidRDefault="00AD45BD" w:rsidP="00AD45BD">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651D4C27" w14:textId="77777777" w:rsidR="00AD45BD" w:rsidRPr="00F72676" w:rsidRDefault="00AD45BD" w:rsidP="00AD45BD">
                  <w:pPr>
                    <w:autoSpaceDE w:val="0"/>
                    <w:autoSpaceDN w:val="0"/>
                    <w:adjustRightInd w:val="0"/>
                    <w:rPr>
                      <w:rFonts w:ascii="Calibri" w:hAnsi="Calibri" w:cs="Calibri"/>
                      <w:color w:val="000000"/>
                      <w:sz w:val="22"/>
                      <w:szCs w:val="22"/>
                    </w:rPr>
                  </w:pPr>
                </w:p>
              </w:tc>
              <w:tc>
                <w:tcPr>
                  <w:tcW w:w="709" w:type="dxa"/>
                  <w:tcBorders>
                    <w:top w:val="nil"/>
                  </w:tcBorders>
                </w:tcPr>
                <w:p w14:paraId="2FFF677C" w14:textId="77777777" w:rsidR="00AD45BD" w:rsidRPr="00F72676" w:rsidRDefault="00AD45BD" w:rsidP="00AD45BD">
                  <w:pPr>
                    <w:autoSpaceDE w:val="0"/>
                    <w:autoSpaceDN w:val="0"/>
                    <w:adjustRightInd w:val="0"/>
                    <w:jc w:val="right"/>
                    <w:rPr>
                      <w:rFonts w:ascii="Calibri" w:hAnsi="Calibri" w:cs="Calibri"/>
                      <w:b/>
                      <w:bCs/>
                      <w:color w:val="000000"/>
                      <w:sz w:val="22"/>
                      <w:szCs w:val="22"/>
                    </w:rPr>
                  </w:pPr>
                </w:p>
              </w:tc>
              <w:tc>
                <w:tcPr>
                  <w:tcW w:w="851" w:type="dxa"/>
                  <w:tcBorders>
                    <w:right w:val="single" w:sz="4" w:space="0" w:color="auto"/>
                  </w:tcBorders>
                </w:tcPr>
                <w:p w14:paraId="7431C86D" w14:textId="77777777" w:rsidR="00AD45BD" w:rsidRPr="00F72676" w:rsidRDefault="00AD45BD" w:rsidP="00AD45BD">
                  <w:pPr>
                    <w:autoSpaceDE w:val="0"/>
                    <w:autoSpaceDN w:val="0"/>
                    <w:adjustRightInd w:val="0"/>
                    <w:jc w:val="right"/>
                    <w:rPr>
                      <w:rFonts w:ascii="Calibri" w:hAnsi="Calibri" w:cs="Calibri"/>
                      <w:bCs/>
                      <w:color w:val="000000"/>
                      <w:sz w:val="22"/>
                      <w:szCs w:val="22"/>
                    </w:rPr>
                  </w:pPr>
                </w:p>
              </w:tc>
              <w:tc>
                <w:tcPr>
                  <w:tcW w:w="1275" w:type="dxa"/>
                  <w:tcBorders>
                    <w:top w:val="single" w:sz="4" w:space="0" w:color="auto"/>
                    <w:right w:val="single" w:sz="4" w:space="0" w:color="auto"/>
                  </w:tcBorders>
                  <w:shd w:val="clear" w:color="auto" w:fill="FFFF00"/>
                </w:tcPr>
                <w:p w14:paraId="34E2E945" w14:textId="77777777" w:rsidR="00AD45BD" w:rsidRPr="00F72676" w:rsidRDefault="00AD45BD" w:rsidP="00AD45BD">
                  <w:pPr>
                    <w:autoSpaceDE w:val="0"/>
                    <w:autoSpaceDN w:val="0"/>
                    <w:adjustRightInd w:val="0"/>
                    <w:ind w:left="-226"/>
                    <w:jc w:val="right"/>
                    <w:rPr>
                      <w:rFonts w:ascii="Calibri" w:hAnsi="Calibri" w:cs="Calibri"/>
                      <w:b/>
                      <w:bCs/>
                      <w:color w:val="000000"/>
                      <w:sz w:val="22"/>
                      <w:szCs w:val="22"/>
                    </w:rPr>
                  </w:pPr>
                </w:p>
              </w:tc>
              <w:tc>
                <w:tcPr>
                  <w:tcW w:w="1276" w:type="dxa"/>
                  <w:tcBorders>
                    <w:top w:val="single" w:sz="4" w:space="0" w:color="auto"/>
                    <w:right w:val="single" w:sz="4" w:space="0" w:color="auto"/>
                  </w:tcBorders>
                  <w:shd w:val="clear" w:color="auto" w:fill="auto"/>
                </w:tcPr>
                <w:p w14:paraId="001BD6A9"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134" w:type="dxa"/>
                  <w:tcBorders>
                    <w:top w:val="single" w:sz="4" w:space="0" w:color="auto"/>
                    <w:left w:val="single" w:sz="4" w:space="0" w:color="auto"/>
                    <w:right w:val="single" w:sz="4" w:space="0" w:color="auto"/>
                  </w:tcBorders>
                  <w:shd w:val="clear" w:color="auto" w:fill="auto"/>
                </w:tcPr>
                <w:p w14:paraId="4706B5A9"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159" w:type="dxa"/>
                  <w:tcBorders>
                    <w:top w:val="single" w:sz="4" w:space="0" w:color="auto"/>
                    <w:left w:val="single" w:sz="4" w:space="0" w:color="auto"/>
                    <w:right w:val="single" w:sz="4" w:space="0" w:color="auto"/>
                  </w:tcBorders>
                  <w:shd w:val="clear" w:color="auto" w:fill="auto"/>
                </w:tcPr>
                <w:p w14:paraId="6773EAF0"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r>
            <w:tr w:rsidR="00961EBD" w:rsidRPr="00F72676" w14:paraId="1CD8D357" w14:textId="77777777" w:rsidTr="004C74E4">
              <w:trPr>
                <w:trHeight w:val="319"/>
              </w:trPr>
              <w:tc>
                <w:tcPr>
                  <w:tcW w:w="4253" w:type="dxa"/>
                  <w:gridSpan w:val="2"/>
                  <w:tcBorders>
                    <w:top w:val="nil"/>
                    <w:left w:val="nil"/>
                    <w:bottom w:val="nil"/>
                  </w:tcBorders>
                </w:tcPr>
                <w:p w14:paraId="1F8E99F7" w14:textId="77777777" w:rsidR="00961EBD" w:rsidRPr="00F72676" w:rsidRDefault="00961EBD" w:rsidP="00961EBD">
                  <w:pPr>
                    <w:autoSpaceDE w:val="0"/>
                    <w:autoSpaceDN w:val="0"/>
                    <w:adjustRightInd w:val="0"/>
                    <w:rPr>
                      <w:rFonts w:ascii="Calibri" w:hAnsi="Calibri" w:cs="Calibri"/>
                      <w:sz w:val="22"/>
                      <w:szCs w:val="22"/>
                    </w:rPr>
                  </w:pPr>
                  <w:r w:rsidRPr="00F72676">
                    <w:rPr>
                      <w:rFonts w:ascii="Calibri" w:hAnsi="Calibri" w:cs="Calibri"/>
                      <w:b/>
                      <w:bCs/>
                      <w:color w:val="000000"/>
                      <w:sz w:val="22"/>
                      <w:szCs w:val="22"/>
                    </w:rPr>
                    <w:t>Profit</w:t>
                  </w:r>
                  <w:r w:rsidR="00EA4F34" w:rsidRPr="00F72676">
                    <w:rPr>
                      <w:rFonts w:ascii="Calibri" w:hAnsi="Calibri" w:cs="Calibri"/>
                      <w:b/>
                      <w:bCs/>
                      <w:color w:val="000000"/>
                      <w:sz w:val="22"/>
                      <w:szCs w:val="22"/>
                    </w:rPr>
                    <w:t>/(loss)</w:t>
                  </w:r>
                  <w:r w:rsidRPr="00F72676">
                    <w:rPr>
                      <w:rFonts w:ascii="Calibri" w:hAnsi="Calibri" w:cs="Calibri"/>
                      <w:b/>
                      <w:bCs/>
                      <w:color w:val="000000"/>
                      <w:sz w:val="22"/>
                      <w:szCs w:val="22"/>
                    </w:rPr>
                    <w:t xml:space="preserve"> for the quarter – attributable to equity holders of parent</w:t>
                  </w:r>
                </w:p>
              </w:tc>
              <w:tc>
                <w:tcPr>
                  <w:tcW w:w="709" w:type="dxa"/>
                  <w:tcBorders>
                    <w:top w:val="nil"/>
                  </w:tcBorders>
                </w:tcPr>
                <w:p w14:paraId="3CB564DC" w14:textId="77777777" w:rsidR="00961EBD" w:rsidRPr="00F72676" w:rsidRDefault="00961EBD" w:rsidP="00961EBD">
                  <w:pPr>
                    <w:autoSpaceDE w:val="0"/>
                    <w:autoSpaceDN w:val="0"/>
                    <w:adjustRightInd w:val="0"/>
                    <w:jc w:val="right"/>
                    <w:rPr>
                      <w:rFonts w:ascii="Calibri" w:hAnsi="Calibri" w:cs="Calibri"/>
                      <w:b/>
                      <w:bCs/>
                      <w:color w:val="000000"/>
                      <w:sz w:val="22"/>
                      <w:szCs w:val="22"/>
                    </w:rPr>
                  </w:pPr>
                </w:p>
              </w:tc>
              <w:tc>
                <w:tcPr>
                  <w:tcW w:w="851" w:type="dxa"/>
                  <w:tcBorders>
                    <w:right w:val="single" w:sz="4" w:space="0" w:color="auto"/>
                  </w:tcBorders>
                </w:tcPr>
                <w:p w14:paraId="15EB1461" w14:textId="77777777" w:rsidR="00961EBD" w:rsidRPr="00F72676" w:rsidRDefault="00961EBD" w:rsidP="00961EBD">
                  <w:pPr>
                    <w:widowControl w:val="0"/>
                    <w:tabs>
                      <w:tab w:val="left" w:pos="465"/>
                    </w:tabs>
                    <w:autoSpaceDE w:val="0"/>
                    <w:autoSpaceDN w:val="0"/>
                    <w:adjustRightInd w:val="0"/>
                    <w:jc w:val="right"/>
                    <w:rPr>
                      <w:rFonts w:ascii="Calibri" w:hAnsi="Calibri" w:cs="Calibri"/>
                      <w:bCs/>
                      <w:color w:val="000000"/>
                      <w:sz w:val="22"/>
                      <w:szCs w:val="22"/>
                    </w:rPr>
                  </w:pPr>
                </w:p>
                <w:p w14:paraId="76799983" w14:textId="77777777" w:rsidR="00567192" w:rsidRPr="00F72676" w:rsidRDefault="00567192" w:rsidP="00961EBD">
                  <w:pPr>
                    <w:widowControl w:val="0"/>
                    <w:tabs>
                      <w:tab w:val="left" w:pos="465"/>
                    </w:tabs>
                    <w:autoSpaceDE w:val="0"/>
                    <w:autoSpaceDN w:val="0"/>
                    <w:adjustRightInd w:val="0"/>
                    <w:jc w:val="right"/>
                    <w:rPr>
                      <w:rFonts w:ascii="Calibri" w:hAnsi="Calibri" w:cs="Calibri"/>
                      <w:bCs/>
                      <w:color w:val="000000"/>
                      <w:sz w:val="22"/>
                      <w:szCs w:val="22"/>
                    </w:rPr>
                  </w:pPr>
                  <w:r w:rsidRPr="00F72676">
                    <w:rPr>
                      <w:rFonts w:ascii="Calibri" w:hAnsi="Calibri" w:cs="Calibri"/>
                      <w:bCs/>
                      <w:color w:val="000000"/>
                      <w:sz w:val="22"/>
                      <w:szCs w:val="22"/>
                    </w:rPr>
                    <w:t>+2</w:t>
                  </w:r>
                  <w:r w:rsidR="00292095" w:rsidRPr="00F72676">
                    <w:rPr>
                      <w:rFonts w:ascii="Calibri" w:hAnsi="Calibri" w:cs="Calibri"/>
                      <w:bCs/>
                      <w:color w:val="000000"/>
                      <w:sz w:val="22"/>
                      <w:szCs w:val="22"/>
                    </w:rPr>
                    <w:t>6</w:t>
                  </w:r>
                  <w:r w:rsidRPr="00F72676">
                    <w:rPr>
                      <w:rFonts w:ascii="Calibri" w:hAnsi="Calibri" w:cs="Calibri"/>
                      <w:bCs/>
                      <w:color w:val="000000"/>
                      <w:sz w:val="22"/>
                      <w:szCs w:val="22"/>
                    </w:rPr>
                    <w:t>%</w:t>
                  </w:r>
                </w:p>
              </w:tc>
              <w:tc>
                <w:tcPr>
                  <w:tcW w:w="1275" w:type="dxa"/>
                  <w:tcBorders>
                    <w:bottom w:val="single" w:sz="12" w:space="0" w:color="auto"/>
                    <w:right w:val="single" w:sz="4" w:space="0" w:color="auto"/>
                  </w:tcBorders>
                  <w:shd w:val="clear" w:color="auto" w:fill="FFFF00"/>
                </w:tcPr>
                <w:p w14:paraId="32033359" w14:textId="77777777" w:rsidR="00961EBD" w:rsidRPr="00F72676" w:rsidRDefault="00961EBD" w:rsidP="00961EBD">
                  <w:pPr>
                    <w:widowControl w:val="0"/>
                    <w:autoSpaceDE w:val="0"/>
                    <w:autoSpaceDN w:val="0"/>
                    <w:adjustRightInd w:val="0"/>
                    <w:jc w:val="right"/>
                    <w:rPr>
                      <w:rFonts w:ascii="Calibri" w:hAnsi="Calibri" w:cs="Calibri"/>
                      <w:b/>
                      <w:bCs/>
                      <w:color w:val="000000"/>
                      <w:sz w:val="22"/>
                      <w:szCs w:val="22"/>
                    </w:rPr>
                  </w:pPr>
                </w:p>
                <w:p w14:paraId="3FD5A171" w14:textId="77777777" w:rsidR="00567192" w:rsidRPr="00F72676" w:rsidRDefault="00567192" w:rsidP="00961EBD">
                  <w:pPr>
                    <w:widowControl w:val="0"/>
                    <w:autoSpaceDE w:val="0"/>
                    <w:autoSpaceDN w:val="0"/>
                    <w:adjustRightInd w:val="0"/>
                    <w:jc w:val="right"/>
                    <w:rPr>
                      <w:rFonts w:ascii="Calibri" w:hAnsi="Calibri" w:cs="Calibri"/>
                      <w:b/>
                      <w:bCs/>
                      <w:color w:val="000000"/>
                      <w:sz w:val="22"/>
                      <w:szCs w:val="22"/>
                    </w:rPr>
                  </w:pPr>
                  <w:r w:rsidRPr="00F72676">
                    <w:rPr>
                      <w:rFonts w:ascii="Calibri" w:hAnsi="Calibri" w:cs="Calibri"/>
                      <w:b/>
                      <w:bCs/>
                      <w:color w:val="000000"/>
                      <w:sz w:val="22"/>
                      <w:szCs w:val="22"/>
                    </w:rPr>
                    <w:t>1,5</w:t>
                  </w:r>
                  <w:r w:rsidR="00292095" w:rsidRPr="00F72676">
                    <w:rPr>
                      <w:rFonts w:ascii="Calibri" w:hAnsi="Calibri" w:cs="Calibri"/>
                      <w:b/>
                      <w:bCs/>
                      <w:color w:val="000000"/>
                      <w:sz w:val="22"/>
                      <w:szCs w:val="22"/>
                    </w:rPr>
                    <w:t>15.2</w:t>
                  </w:r>
                </w:p>
              </w:tc>
              <w:tc>
                <w:tcPr>
                  <w:tcW w:w="1276" w:type="dxa"/>
                  <w:tcBorders>
                    <w:bottom w:val="single" w:sz="12" w:space="0" w:color="auto"/>
                    <w:right w:val="single" w:sz="4" w:space="0" w:color="auto"/>
                  </w:tcBorders>
                  <w:shd w:val="clear" w:color="auto" w:fill="auto"/>
                </w:tcPr>
                <w:p w14:paraId="019F4A2A" w14:textId="77777777" w:rsidR="00961EBD" w:rsidRPr="00F72676" w:rsidRDefault="00961EBD" w:rsidP="00961EBD">
                  <w:pPr>
                    <w:widowControl w:val="0"/>
                    <w:autoSpaceDE w:val="0"/>
                    <w:autoSpaceDN w:val="0"/>
                    <w:adjustRightInd w:val="0"/>
                    <w:jc w:val="right"/>
                    <w:rPr>
                      <w:rFonts w:ascii="Calibri" w:hAnsi="Calibri" w:cs="Calibri"/>
                      <w:color w:val="000000"/>
                      <w:sz w:val="22"/>
                      <w:szCs w:val="22"/>
                    </w:rPr>
                  </w:pPr>
                </w:p>
                <w:p w14:paraId="56ECE621" w14:textId="77777777" w:rsidR="00961EBD" w:rsidRPr="00F72676" w:rsidRDefault="00961EBD" w:rsidP="00961EBD">
                  <w:pPr>
                    <w:widowControl w:val="0"/>
                    <w:autoSpaceDE w:val="0"/>
                    <w:autoSpaceDN w:val="0"/>
                    <w:adjustRightInd w:val="0"/>
                    <w:jc w:val="right"/>
                    <w:rPr>
                      <w:rFonts w:ascii="Calibri" w:hAnsi="Calibri" w:cs="Calibri"/>
                      <w:color w:val="000000"/>
                      <w:sz w:val="22"/>
                      <w:szCs w:val="22"/>
                    </w:rPr>
                  </w:pPr>
                  <w:r w:rsidRPr="00F72676">
                    <w:rPr>
                      <w:rFonts w:ascii="Calibri" w:hAnsi="Calibri" w:cs="Calibri"/>
                      <w:color w:val="000000"/>
                      <w:sz w:val="22"/>
                      <w:szCs w:val="22"/>
                    </w:rPr>
                    <w:t>1,200.8</w:t>
                  </w:r>
                </w:p>
              </w:tc>
              <w:tc>
                <w:tcPr>
                  <w:tcW w:w="1134" w:type="dxa"/>
                  <w:tcBorders>
                    <w:left w:val="single" w:sz="4" w:space="0" w:color="auto"/>
                    <w:bottom w:val="single" w:sz="12" w:space="0" w:color="auto"/>
                    <w:right w:val="single" w:sz="4" w:space="0" w:color="auto"/>
                  </w:tcBorders>
                  <w:shd w:val="clear" w:color="auto" w:fill="auto"/>
                </w:tcPr>
                <w:p w14:paraId="594554A8" w14:textId="77777777" w:rsidR="00961EBD" w:rsidRPr="00F72676" w:rsidRDefault="00961EBD" w:rsidP="00961EBD">
                  <w:pPr>
                    <w:widowControl w:val="0"/>
                    <w:autoSpaceDE w:val="0"/>
                    <w:autoSpaceDN w:val="0"/>
                    <w:adjustRightInd w:val="0"/>
                    <w:jc w:val="right"/>
                    <w:rPr>
                      <w:rFonts w:ascii="Calibri" w:hAnsi="Calibri" w:cs="Calibri"/>
                      <w:color w:val="000000"/>
                      <w:sz w:val="22"/>
                      <w:szCs w:val="22"/>
                    </w:rPr>
                  </w:pPr>
                </w:p>
                <w:p w14:paraId="53CDA013" w14:textId="77777777" w:rsidR="00961EBD" w:rsidRPr="00F72676" w:rsidRDefault="00961EBD" w:rsidP="00961EBD">
                  <w:pPr>
                    <w:widowControl w:val="0"/>
                    <w:autoSpaceDE w:val="0"/>
                    <w:autoSpaceDN w:val="0"/>
                    <w:adjustRightInd w:val="0"/>
                    <w:jc w:val="right"/>
                    <w:rPr>
                      <w:rFonts w:ascii="Calibri" w:hAnsi="Calibri" w:cs="Calibri"/>
                      <w:color w:val="000000"/>
                      <w:sz w:val="22"/>
                      <w:szCs w:val="22"/>
                    </w:rPr>
                  </w:pPr>
                  <w:r w:rsidRPr="00F72676">
                    <w:rPr>
                      <w:rFonts w:ascii="Calibri" w:hAnsi="Calibri" w:cs="Calibri"/>
                      <w:color w:val="000000"/>
                      <w:sz w:val="22"/>
                      <w:szCs w:val="22"/>
                    </w:rPr>
                    <w:t>(124.9)</w:t>
                  </w:r>
                </w:p>
              </w:tc>
              <w:tc>
                <w:tcPr>
                  <w:tcW w:w="1159" w:type="dxa"/>
                  <w:tcBorders>
                    <w:left w:val="single" w:sz="4" w:space="0" w:color="auto"/>
                    <w:bottom w:val="single" w:sz="12" w:space="0" w:color="auto"/>
                    <w:right w:val="single" w:sz="4" w:space="0" w:color="auto"/>
                  </w:tcBorders>
                  <w:shd w:val="clear" w:color="auto" w:fill="auto"/>
                </w:tcPr>
                <w:p w14:paraId="1282DA16" w14:textId="77777777" w:rsidR="00961EBD" w:rsidRPr="00F72676" w:rsidRDefault="00961EBD" w:rsidP="00961EBD">
                  <w:pPr>
                    <w:widowControl w:val="0"/>
                    <w:autoSpaceDE w:val="0"/>
                    <w:autoSpaceDN w:val="0"/>
                    <w:adjustRightInd w:val="0"/>
                    <w:jc w:val="right"/>
                    <w:rPr>
                      <w:rFonts w:ascii="Calibri" w:hAnsi="Calibri" w:cs="Calibri"/>
                      <w:color w:val="000000"/>
                      <w:sz w:val="22"/>
                      <w:szCs w:val="22"/>
                    </w:rPr>
                  </w:pPr>
                </w:p>
                <w:p w14:paraId="40F54806" w14:textId="77777777" w:rsidR="00961EBD" w:rsidRPr="00F72676" w:rsidRDefault="00961EBD" w:rsidP="00961EBD">
                  <w:pPr>
                    <w:widowControl w:val="0"/>
                    <w:autoSpaceDE w:val="0"/>
                    <w:autoSpaceDN w:val="0"/>
                    <w:adjustRightInd w:val="0"/>
                    <w:jc w:val="right"/>
                    <w:rPr>
                      <w:rFonts w:ascii="Calibri" w:hAnsi="Calibri" w:cs="Calibri"/>
                      <w:color w:val="000000"/>
                      <w:sz w:val="22"/>
                      <w:szCs w:val="22"/>
                    </w:rPr>
                  </w:pPr>
                  <w:r w:rsidRPr="00F72676">
                    <w:rPr>
                      <w:rFonts w:ascii="Calibri" w:hAnsi="Calibri" w:cs="Calibri"/>
                      <w:color w:val="000000"/>
                      <w:sz w:val="22"/>
                      <w:szCs w:val="22"/>
                    </w:rPr>
                    <w:t>1,075.9</w:t>
                  </w:r>
                </w:p>
              </w:tc>
            </w:tr>
            <w:tr w:rsidR="00AD45BD" w:rsidRPr="00F72676" w14:paraId="7DC923E7" w14:textId="77777777" w:rsidTr="004C74E4">
              <w:trPr>
                <w:trHeight w:val="52"/>
              </w:trPr>
              <w:tc>
                <w:tcPr>
                  <w:tcW w:w="260" w:type="dxa"/>
                  <w:tcBorders>
                    <w:top w:val="nil"/>
                    <w:left w:val="nil"/>
                    <w:bottom w:val="nil"/>
                    <w:right w:val="nil"/>
                  </w:tcBorders>
                </w:tcPr>
                <w:p w14:paraId="45307D2F" w14:textId="77777777" w:rsidR="00AD45BD" w:rsidRPr="00F72676" w:rsidRDefault="00AD45BD" w:rsidP="00AD45BD">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703F3FF9" w14:textId="77777777" w:rsidR="00AD45BD" w:rsidRPr="00F72676" w:rsidRDefault="00AD45BD" w:rsidP="00AD45BD">
                  <w:pPr>
                    <w:autoSpaceDE w:val="0"/>
                    <w:autoSpaceDN w:val="0"/>
                    <w:adjustRightInd w:val="0"/>
                    <w:rPr>
                      <w:rFonts w:ascii="Calibri" w:hAnsi="Calibri" w:cs="Calibri"/>
                      <w:color w:val="000000"/>
                      <w:sz w:val="22"/>
                      <w:szCs w:val="22"/>
                    </w:rPr>
                  </w:pPr>
                </w:p>
              </w:tc>
              <w:tc>
                <w:tcPr>
                  <w:tcW w:w="709" w:type="dxa"/>
                  <w:tcBorders>
                    <w:top w:val="nil"/>
                  </w:tcBorders>
                </w:tcPr>
                <w:p w14:paraId="458633BC" w14:textId="77777777" w:rsidR="00AD45BD" w:rsidRPr="00F72676" w:rsidRDefault="00AD45BD" w:rsidP="00AD45BD">
                  <w:pPr>
                    <w:autoSpaceDE w:val="0"/>
                    <w:autoSpaceDN w:val="0"/>
                    <w:adjustRightInd w:val="0"/>
                    <w:jc w:val="right"/>
                    <w:rPr>
                      <w:rFonts w:ascii="Calibri" w:hAnsi="Calibri" w:cs="Calibri"/>
                      <w:b/>
                      <w:bCs/>
                      <w:color w:val="000000"/>
                      <w:sz w:val="22"/>
                      <w:szCs w:val="22"/>
                    </w:rPr>
                  </w:pPr>
                </w:p>
              </w:tc>
              <w:tc>
                <w:tcPr>
                  <w:tcW w:w="851" w:type="dxa"/>
                  <w:tcBorders>
                    <w:right w:val="single" w:sz="4" w:space="0" w:color="auto"/>
                  </w:tcBorders>
                </w:tcPr>
                <w:p w14:paraId="487B8BF0" w14:textId="77777777" w:rsidR="00AD45BD" w:rsidRPr="00F72676" w:rsidRDefault="00AD45BD" w:rsidP="00AD45BD">
                  <w:pPr>
                    <w:autoSpaceDE w:val="0"/>
                    <w:autoSpaceDN w:val="0"/>
                    <w:adjustRightInd w:val="0"/>
                    <w:jc w:val="right"/>
                    <w:rPr>
                      <w:rFonts w:ascii="Calibri" w:hAnsi="Calibri" w:cs="Calibri"/>
                      <w:bCs/>
                      <w:color w:val="000000"/>
                      <w:sz w:val="22"/>
                      <w:szCs w:val="22"/>
                      <w:highlight w:val="yellow"/>
                    </w:rPr>
                  </w:pPr>
                </w:p>
              </w:tc>
              <w:tc>
                <w:tcPr>
                  <w:tcW w:w="1275" w:type="dxa"/>
                  <w:tcBorders>
                    <w:top w:val="single" w:sz="12" w:space="0" w:color="auto"/>
                    <w:right w:val="single" w:sz="4" w:space="0" w:color="auto"/>
                  </w:tcBorders>
                  <w:shd w:val="clear" w:color="auto" w:fill="FFFF00"/>
                </w:tcPr>
                <w:p w14:paraId="46B44B75"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276" w:type="dxa"/>
                  <w:tcBorders>
                    <w:top w:val="single" w:sz="12" w:space="0" w:color="auto"/>
                    <w:right w:val="single" w:sz="4" w:space="0" w:color="auto"/>
                  </w:tcBorders>
                  <w:shd w:val="clear" w:color="auto" w:fill="auto"/>
                </w:tcPr>
                <w:p w14:paraId="0DBF961B"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134" w:type="dxa"/>
                  <w:tcBorders>
                    <w:top w:val="single" w:sz="12" w:space="0" w:color="auto"/>
                    <w:left w:val="single" w:sz="4" w:space="0" w:color="auto"/>
                    <w:right w:val="single" w:sz="4" w:space="0" w:color="auto"/>
                  </w:tcBorders>
                  <w:shd w:val="clear" w:color="auto" w:fill="auto"/>
                </w:tcPr>
                <w:p w14:paraId="09EE520B"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c>
                <w:tcPr>
                  <w:tcW w:w="1159" w:type="dxa"/>
                  <w:tcBorders>
                    <w:top w:val="single" w:sz="12" w:space="0" w:color="auto"/>
                    <w:left w:val="single" w:sz="4" w:space="0" w:color="auto"/>
                    <w:right w:val="single" w:sz="4" w:space="0" w:color="auto"/>
                  </w:tcBorders>
                  <w:shd w:val="clear" w:color="auto" w:fill="auto"/>
                </w:tcPr>
                <w:p w14:paraId="16CE275F" w14:textId="77777777" w:rsidR="00AD45BD" w:rsidRPr="00F72676" w:rsidRDefault="00AD45BD" w:rsidP="00AD45BD">
                  <w:pPr>
                    <w:autoSpaceDE w:val="0"/>
                    <w:autoSpaceDN w:val="0"/>
                    <w:adjustRightInd w:val="0"/>
                    <w:ind w:left="-226"/>
                    <w:jc w:val="right"/>
                    <w:rPr>
                      <w:rFonts w:ascii="Calibri" w:hAnsi="Calibri" w:cs="Calibri"/>
                      <w:color w:val="000000"/>
                      <w:sz w:val="22"/>
                      <w:szCs w:val="22"/>
                    </w:rPr>
                  </w:pPr>
                </w:p>
              </w:tc>
            </w:tr>
            <w:tr w:rsidR="00AD45BD" w:rsidRPr="00F72676" w14:paraId="333173C9" w14:textId="77777777" w:rsidTr="004C74E4">
              <w:trPr>
                <w:trHeight w:val="229"/>
              </w:trPr>
              <w:tc>
                <w:tcPr>
                  <w:tcW w:w="260" w:type="dxa"/>
                  <w:tcBorders>
                    <w:left w:val="nil"/>
                    <w:bottom w:val="nil"/>
                    <w:right w:val="nil"/>
                  </w:tcBorders>
                </w:tcPr>
                <w:p w14:paraId="28733E32" w14:textId="77777777" w:rsidR="00AD45BD" w:rsidRPr="00F72676" w:rsidRDefault="00AD45BD" w:rsidP="00AD45BD">
                  <w:pPr>
                    <w:autoSpaceDE w:val="0"/>
                    <w:autoSpaceDN w:val="0"/>
                    <w:adjustRightInd w:val="0"/>
                    <w:rPr>
                      <w:rFonts w:ascii="Calibri" w:hAnsi="Calibri" w:cs="Calibri"/>
                      <w:bCs/>
                      <w:color w:val="000000"/>
                      <w:sz w:val="22"/>
                      <w:szCs w:val="22"/>
                    </w:rPr>
                  </w:pPr>
                </w:p>
              </w:tc>
              <w:tc>
                <w:tcPr>
                  <w:tcW w:w="3993" w:type="dxa"/>
                  <w:tcBorders>
                    <w:left w:val="nil"/>
                    <w:bottom w:val="nil"/>
                  </w:tcBorders>
                </w:tcPr>
                <w:p w14:paraId="6825BF94" w14:textId="77777777" w:rsidR="00AD45BD" w:rsidRPr="00F72676" w:rsidRDefault="00AD45BD" w:rsidP="00AD45BD">
                  <w:pPr>
                    <w:autoSpaceDE w:val="0"/>
                    <w:autoSpaceDN w:val="0"/>
                    <w:adjustRightInd w:val="0"/>
                    <w:rPr>
                      <w:rFonts w:ascii="Calibri" w:hAnsi="Calibri" w:cs="Calibri"/>
                      <w:sz w:val="22"/>
                      <w:szCs w:val="22"/>
                    </w:rPr>
                  </w:pPr>
                  <w:r w:rsidRPr="00F72676">
                    <w:rPr>
                      <w:rFonts w:ascii="Calibri" w:hAnsi="Calibri" w:cs="Calibri"/>
                      <w:sz w:val="22"/>
                      <w:szCs w:val="22"/>
                    </w:rPr>
                    <w:t>Earnings per ordinary share (€)</w:t>
                  </w:r>
                </w:p>
              </w:tc>
              <w:tc>
                <w:tcPr>
                  <w:tcW w:w="709" w:type="dxa"/>
                  <w:tcBorders>
                    <w:bottom w:val="nil"/>
                  </w:tcBorders>
                </w:tcPr>
                <w:p w14:paraId="0B33928C" w14:textId="77777777" w:rsidR="00AD45BD" w:rsidRPr="00F72676" w:rsidRDefault="00AD45BD" w:rsidP="00AD45BD">
                  <w:pPr>
                    <w:autoSpaceDE w:val="0"/>
                    <w:autoSpaceDN w:val="0"/>
                    <w:adjustRightInd w:val="0"/>
                    <w:jc w:val="right"/>
                    <w:rPr>
                      <w:rFonts w:ascii="Calibri" w:hAnsi="Calibri" w:cs="Calibri"/>
                      <w:b/>
                      <w:sz w:val="22"/>
                      <w:szCs w:val="22"/>
                    </w:rPr>
                  </w:pPr>
                </w:p>
              </w:tc>
              <w:tc>
                <w:tcPr>
                  <w:tcW w:w="851" w:type="dxa"/>
                  <w:tcBorders>
                    <w:bottom w:val="nil"/>
                    <w:right w:val="single" w:sz="4" w:space="0" w:color="auto"/>
                  </w:tcBorders>
                </w:tcPr>
                <w:p w14:paraId="5489A90C" w14:textId="77777777" w:rsidR="00AD45BD" w:rsidRPr="00F72676" w:rsidRDefault="00AD45BD" w:rsidP="00AD45BD">
                  <w:pPr>
                    <w:autoSpaceDE w:val="0"/>
                    <w:autoSpaceDN w:val="0"/>
                    <w:adjustRightInd w:val="0"/>
                    <w:jc w:val="right"/>
                    <w:rPr>
                      <w:rFonts w:ascii="Calibri" w:hAnsi="Calibri" w:cs="Calibri"/>
                      <w:sz w:val="22"/>
                      <w:szCs w:val="22"/>
                      <w:highlight w:val="yellow"/>
                    </w:rPr>
                  </w:pPr>
                </w:p>
              </w:tc>
              <w:tc>
                <w:tcPr>
                  <w:tcW w:w="1275" w:type="dxa"/>
                  <w:tcBorders>
                    <w:bottom w:val="nil"/>
                    <w:right w:val="single" w:sz="4" w:space="0" w:color="auto"/>
                  </w:tcBorders>
                  <w:shd w:val="clear" w:color="auto" w:fill="FFFF00"/>
                </w:tcPr>
                <w:p w14:paraId="4027274C" w14:textId="77777777" w:rsidR="00AD45BD" w:rsidRPr="00F72676" w:rsidRDefault="00AD45BD" w:rsidP="00AD45BD">
                  <w:pPr>
                    <w:autoSpaceDE w:val="0"/>
                    <w:autoSpaceDN w:val="0"/>
                    <w:adjustRightInd w:val="0"/>
                    <w:ind w:left="-226"/>
                    <w:jc w:val="right"/>
                    <w:rPr>
                      <w:rFonts w:ascii="Calibri" w:hAnsi="Calibri" w:cs="Calibri"/>
                      <w:sz w:val="22"/>
                      <w:szCs w:val="22"/>
                    </w:rPr>
                  </w:pPr>
                </w:p>
              </w:tc>
              <w:tc>
                <w:tcPr>
                  <w:tcW w:w="1276" w:type="dxa"/>
                  <w:tcBorders>
                    <w:bottom w:val="nil"/>
                    <w:right w:val="single" w:sz="4" w:space="0" w:color="auto"/>
                  </w:tcBorders>
                  <w:shd w:val="clear" w:color="auto" w:fill="auto"/>
                </w:tcPr>
                <w:p w14:paraId="391B64B4" w14:textId="77777777" w:rsidR="00AD45BD" w:rsidRPr="00F72676" w:rsidRDefault="00AD45BD" w:rsidP="00AD45BD">
                  <w:pPr>
                    <w:autoSpaceDE w:val="0"/>
                    <w:autoSpaceDN w:val="0"/>
                    <w:adjustRightInd w:val="0"/>
                    <w:ind w:left="-226"/>
                    <w:jc w:val="right"/>
                    <w:rPr>
                      <w:rFonts w:ascii="Calibri" w:hAnsi="Calibri" w:cs="Calibri"/>
                      <w:sz w:val="22"/>
                      <w:szCs w:val="22"/>
                    </w:rPr>
                  </w:pPr>
                </w:p>
              </w:tc>
              <w:tc>
                <w:tcPr>
                  <w:tcW w:w="1134" w:type="dxa"/>
                  <w:tcBorders>
                    <w:left w:val="single" w:sz="4" w:space="0" w:color="auto"/>
                    <w:bottom w:val="nil"/>
                    <w:right w:val="single" w:sz="4" w:space="0" w:color="auto"/>
                  </w:tcBorders>
                  <w:shd w:val="clear" w:color="auto" w:fill="auto"/>
                </w:tcPr>
                <w:p w14:paraId="6AF31BEA" w14:textId="77777777" w:rsidR="00AD45BD" w:rsidRPr="00F72676" w:rsidRDefault="00AD45BD" w:rsidP="00AD45BD">
                  <w:pPr>
                    <w:autoSpaceDE w:val="0"/>
                    <w:autoSpaceDN w:val="0"/>
                    <w:adjustRightInd w:val="0"/>
                    <w:ind w:left="-226"/>
                    <w:jc w:val="right"/>
                    <w:rPr>
                      <w:rFonts w:ascii="Calibri" w:hAnsi="Calibri" w:cs="Calibri"/>
                      <w:sz w:val="22"/>
                      <w:szCs w:val="22"/>
                    </w:rPr>
                  </w:pPr>
                </w:p>
              </w:tc>
              <w:tc>
                <w:tcPr>
                  <w:tcW w:w="1159" w:type="dxa"/>
                  <w:tcBorders>
                    <w:left w:val="single" w:sz="4" w:space="0" w:color="auto"/>
                    <w:bottom w:val="nil"/>
                    <w:right w:val="single" w:sz="4" w:space="0" w:color="auto"/>
                  </w:tcBorders>
                  <w:shd w:val="clear" w:color="auto" w:fill="auto"/>
                </w:tcPr>
                <w:p w14:paraId="0B82C7A3" w14:textId="77777777" w:rsidR="00AD45BD" w:rsidRPr="00F72676" w:rsidRDefault="00AD45BD" w:rsidP="00AD45BD">
                  <w:pPr>
                    <w:autoSpaceDE w:val="0"/>
                    <w:autoSpaceDN w:val="0"/>
                    <w:adjustRightInd w:val="0"/>
                    <w:ind w:left="-226"/>
                    <w:jc w:val="right"/>
                    <w:rPr>
                      <w:rFonts w:ascii="Calibri" w:hAnsi="Calibri" w:cs="Calibri"/>
                      <w:sz w:val="22"/>
                      <w:szCs w:val="22"/>
                    </w:rPr>
                  </w:pPr>
                </w:p>
              </w:tc>
            </w:tr>
            <w:tr w:rsidR="00AD45BD" w:rsidRPr="00F72676" w14:paraId="5C5B8EB7" w14:textId="77777777" w:rsidTr="004C74E4">
              <w:trPr>
                <w:trHeight w:val="229"/>
              </w:trPr>
              <w:tc>
                <w:tcPr>
                  <w:tcW w:w="260" w:type="dxa"/>
                  <w:tcBorders>
                    <w:top w:val="nil"/>
                    <w:left w:val="nil"/>
                    <w:bottom w:val="nil"/>
                    <w:right w:val="nil"/>
                  </w:tcBorders>
                </w:tcPr>
                <w:p w14:paraId="0B33A902" w14:textId="77777777" w:rsidR="00AD45BD" w:rsidRPr="00F72676" w:rsidRDefault="00AD45BD" w:rsidP="00AD45BD">
                  <w:pPr>
                    <w:autoSpaceDE w:val="0"/>
                    <w:autoSpaceDN w:val="0"/>
                    <w:adjustRightInd w:val="0"/>
                    <w:rPr>
                      <w:rFonts w:ascii="Calibri" w:hAnsi="Calibri" w:cs="Calibri"/>
                      <w:color w:val="000000"/>
                      <w:sz w:val="22"/>
                      <w:szCs w:val="22"/>
                    </w:rPr>
                  </w:pPr>
                </w:p>
              </w:tc>
              <w:tc>
                <w:tcPr>
                  <w:tcW w:w="3993" w:type="dxa"/>
                  <w:tcBorders>
                    <w:top w:val="nil"/>
                    <w:left w:val="nil"/>
                    <w:bottom w:val="nil"/>
                  </w:tcBorders>
                </w:tcPr>
                <w:p w14:paraId="57E77409" w14:textId="77777777" w:rsidR="00AD45BD" w:rsidRPr="00F72676" w:rsidRDefault="00AD45BD" w:rsidP="00AD45BD">
                  <w:pPr>
                    <w:autoSpaceDE w:val="0"/>
                    <w:autoSpaceDN w:val="0"/>
                    <w:adjustRightInd w:val="0"/>
                    <w:rPr>
                      <w:rFonts w:ascii="Calibri" w:hAnsi="Calibri" w:cs="Calibri"/>
                      <w:sz w:val="22"/>
                      <w:szCs w:val="22"/>
                    </w:rPr>
                  </w:pPr>
                  <w:r w:rsidRPr="00F72676">
                    <w:rPr>
                      <w:rFonts w:ascii="Calibri" w:hAnsi="Calibri" w:cs="Calibri"/>
                      <w:sz w:val="22"/>
                      <w:szCs w:val="22"/>
                    </w:rPr>
                    <w:t>Basic</w:t>
                  </w:r>
                </w:p>
              </w:tc>
              <w:tc>
                <w:tcPr>
                  <w:tcW w:w="709" w:type="dxa"/>
                  <w:tcBorders>
                    <w:top w:val="nil"/>
                    <w:bottom w:val="nil"/>
                  </w:tcBorders>
                </w:tcPr>
                <w:p w14:paraId="655B73F4" w14:textId="77777777" w:rsidR="00AD45BD" w:rsidRPr="00F72676" w:rsidRDefault="00AD45BD" w:rsidP="00AD45BD">
                  <w:pPr>
                    <w:autoSpaceDE w:val="0"/>
                    <w:autoSpaceDN w:val="0"/>
                    <w:adjustRightInd w:val="0"/>
                    <w:jc w:val="right"/>
                    <w:rPr>
                      <w:rFonts w:ascii="Calibri" w:hAnsi="Calibri" w:cs="Calibri"/>
                      <w:b/>
                      <w:bCs/>
                      <w:sz w:val="22"/>
                      <w:szCs w:val="22"/>
                    </w:rPr>
                  </w:pPr>
                </w:p>
              </w:tc>
              <w:tc>
                <w:tcPr>
                  <w:tcW w:w="851" w:type="dxa"/>
                  <w:tcBorders>
                    <w:top w:val="nil"/>
                    <w:bottom w:val="nil"/>
                    <w:right w:val="single" w:sz="4" w:space="0" w:color="auto"/>
                  </w:tcBorders>
                </w:tcPr>
                <w:p w14:paraId="007C4D0F" w14:textId="77777777" w:rsidR="00AD45BD" w:rsidRPr="00F72676" w:rsidRDefault="00AD45BD" w:rsidP="00AD45BD">
                  <w:pPr>
                    <w:widowControl w:val="0"/>
                    <w:autoSpaceDE w:val="0"/>
                    <w:autoSpaceDN w:val="0"/>
                    <w:adjustRightInd w:val="0"/>
                    <w:jc w:val="right"/>
                    <w:rPr>
                      <w:rFonts w:ascii="Calibri" w:hAnsi="Calibri" w:cs="Calibri"/>
                      <w:bCs/>
                      <w:sz w:val="22"/>
                      <w:szCs w:val="22"/>
                      <w:highlight w:val="green"/>
                    </w:rPr>
                  </w:pPr>
                </w:p>
              </w:tc>
              <w:tc>
                <w:tcPr>
                  <w:tcW w:w="1275" w:type="dxa"/>
                  <w:tcBorders>
                    <w:top w:val="nil"/>
                    <w:bottom w:val="nil"/>
                    <w:right w:val="single" w:sz="4" w:space="0" w:color="auto"/>
                  </w:tcBorders>
                  <w:shd w:val="clear" w:color="auto" w:fill="FFFF00"/>
                </w:tcPr>
                <w:p w14:paraId="3BA4DDC4" w14:textId="77777777" w:rsidR="00AD45BD" w:rsidRPr="00F72676" w:rsidRDefault="00567192" w:rsidP="00AD45BD">
                  <w:pPr>
                    <w:widowControl w:val="0"/>
                    <w:autoSpaceDE w:val="0"/>
                    <w:autoSpaceDN w:val="0"/>
                    <w:adjustRightInd w:val="0"/>
                    <w:ind w:left="-226"/>
                    <w:jc w:val="right"/>
                    <w:rPr>
                      <w:rFonts w:ascii="Calibri" w:hAnsi="Calibri" w:cs="Calibri"/>
                      <w:b/>
                      <w:bCs/>
                      <w:color w:val="000000"/>
                      <w:sz w:val="22"/>
                      <w:szCs w:val="22"/>
                    </w:rPr>
                  </w:pPr>
                  <w:r w:rsidRPr="00F72676">
                    <w:rPr>
                      <w:rFonts w:ascii="Calibri" w:hAnsi="Calibri" w:cs="Calibri"/>
                      <w:b/>
                      <w:bCs/>
                      <w:color w:val="000000"/>
                      <w:sz w:val="22"/>
                      <w:szCs w:val="22"/>
                    </w:rPr>
                    <w:t>1.3</w:t>
                  </w:r>
                  <w:r w:rsidR="00292095" w:rsidRPr="00F72676">
                    <w:rPr>
                      <w:rFonts w:ascii="Calibri" w:hAnsi="Calibri" w:cs="Calibri"/>
                      <w:b/>
                      <w:bCs/>
                      <w:color w:val="000000"/>
                      <w:sz w:val="22"/>
                      <w:szCs w:val="22"/>
                    </w:rPr>
                    <w:t>304</w:t>
                  </w:r>
                </w:p>
              </w:tc>
              <w:tc>
                <w:tcPr>
                  <w:tcW w:w="1276" w:type="dxa"/>
                  <w:tcBorders>
                    <w:top w:val="nil"/>
                    <w:bottom w:val="nil"/>
                    <w:right w:val="single" w:sz="4" w:space="0" w:color="auto"/>
                  </w:tcBorders>
                  <w:shd w:val="clear" w:color="auto" w:fill="auto"/>
                </w:tcPr>
                <w:p w14:paraId="3EDC6D37" w14:textId="77777777" w:rsidR="00AD45BD" w:rsidRPr="00F72676" w:rsidRDefault="00AD45BD" w:rsidP="00AD45BD">
                  <w:pPr>
                    <w:widowControl w:val="0"/>
                    <w:autoSpaceDE w:val="0"/>
                    <w:autoSpaceDN w:val="0"/>
                    <w:adjustRightInd w:val="0"/>
                    <w:ind w:left="-226"/>
                    <w:jc w:val="right"/>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tcPr>
                <w:p w14:paraId="2956A116" w14:textId="77777777" w:rsidR="00AD45BD" w:rsidRPr="00F72676" w:rsidRDefault="00AD45BD" w:rsidP="00AD45BD">
                  <w:pPr>
                    <w:widowControl w:val="0"/>
                    <w:autoSpaceDE w:val="0"/>
                    <w:autoSpaceDN w:val="0"/>
                    <w:adjustRightInd w:val="0"/>
                    <w:ind w:left="-226"/>
                    <w:jc w:val="right"/>
                    <w:rPr>
                      <w:rFonts w:ascii="Calibri" w:hAnsi="Calibri" w:cs="Calibri"/>
                      <w:color w:val="000000"/>
                      <w:sz w:val="22"/>
                      <w:szCs w:val="22"/>
                    </w:rPr>
                  </w:pPr>
                </w:p>
              </w:tc>
              <w:tc>
                <w:tcPr>
                  <w:tcW w:w="1159" w:type="dxa"/>
                  <w:tcBorders>
                    <w:top w:val="nil"/>
                    <w:left w:val="single" w:sz="4" w:space="0" w:color="auto"/>
                    <w:bottom w:val="nil"/>
                    <w:right w:val="single" w:sz="4" w:space="0" w:color="auto"/>
                  </w:tcBorders>
                  <w:shd w:val="clear" w:color="auto" w:fill="auto"/>
                </w:tcPr>
                <w:p w14:paraId="7B6E951E" w14:textId="77777777" w:rsidR="00AD45BD" w:rsidRPr="00F72676" w:rsidRDefault="00AD45BD" w:rsidP="00AD45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0.9474</w:t>
                  </w:r>
                </w:p>
              </w:tc>
            </w:tr>
            <w:tr w:rsidR="00AD45BD" w:rsidRPr="00F72676" w14:paraId="62415CA7" w14:textId="77777777" w:rsidTr="004C74E4">
              <w:trPr>
                <w:trHeight w:val="229"/>
              </w:trPr>
              <w:tc>
                <w:tcPr>
                  <w:tcW w:w="260" w:type="dxa"/>
                  <w:tcBorders>
                    <w:top w:val="nil"/>
                    <w:left w:val="nil"/>
                    <w:bottom w:val="nil"/>
                    <w:right w:val="nil"/>
                  </w:tcBorders>
                </w:tcPr>
                <w:p w14:paraId="3F7EF532" w14:textId="77777777" w:rsidR="00AD45BD" w:rsidRPr="00F72676" w:rsidRDefault="00AD45BD" w:rsidP="00AD45BD">
                  <w:pPr>
                    <w:autoSpaceDE w:val="0"/>
                    <w:autoSpaceDN w:val="0"/>
                    <w:adjustRightInd w:val="0"/>
                    <w:rPr>
                      <w:rFonts w:ascii="Calibri" w:hAnsi="Calibri" w:cs="Calibri"/>
                      <w:color w:val="000000"/>
                      <w:sz w:val="22"/>
                      <w:szCs w:val="22"/>
                    </w:rPr>
                  </w:pPr>
                </w:p>
              </w:tc>
              <w:tc>
                <w:tcPr>
                  <w:tcW w:w="3993" w:type="dxa"/>
                  <w:tcBorders>
                    <w:top w:val="nil"/>
                    <w:left w:val="nil"/>
                    <w:bottom w:val="nil"/>
                  </w:tcBorders>
                </w:tcPr>
                <w:p w14:paraId="04915C87" w14:textId="77777777" w:rsidR="00AD45BD" w:rsidRPr="00F72676" w:rsidRDefault="00AD45BD" w:rsidP="00AD45BD">
                  <w:pPr>
                    <w:autoSpaceDE w:val="0"/>
                    <w:autoSpaceDN w:val="0"/>
                    <w:adjustRightInd w:val="0"/>
                    <w:rPr>
                      <w:rFonts w:ascii="Calibri" w:hAnsi="Calibri" w:cs="Calibri"/>
                      <w:sz w:val="22"/>
                      <w:szCs w:val="22"/>
                    </w:rPr>
                  </w:pPr>
                  <w:r w:rsidRPr="00F72676">
                    <w:rPr>
                      <w:rFonts w:ascii="Calibri" w:hAnsi="Calibri" w:cs="Calibri"/>
                      <w:sz w:val="22"/>
                      <w:szCs w:val="22"/>
                    </w:rPr>
                    <w:t>Diluted</w:t>
                  </w:r>
                </w:p>
              </w:tc>
              <w:tc>
                <w:tcPr>
                  <w:tcW w:w="709" w:type="dxa"/>
                  <w:tcBorders>
                    <w:top w:val="nil"/>
                    <w:bottom w:val="nil"/>
                  </w:tcBorders>
                </w:tcPr>
                <w:p w14:paraId="579766F5" w14:textId="77777777" w:rsidR="00AD45BD" w:rsidRPr="00F72676" w:rsidRDefault="00AD45BD" w:rsidP="00AD45BD">
                  <w:pPr>
                    <w:autoSpaceDE w:val="0"/>
                    <w:autoSpaceDN w:val="0"/>
                    <w:adjustRightInd w:val="0"/>
                    <w:jc w:val="right"/>
                    <w:rPr>
                      <w:rFonts w:ascii="Calibri" w:hAnsi="Calibri" w:cs="Calibri"/>
                      <w:b/>
                      <w:bCs/>
                      <w:sz w:val="22"/>
                      <w:szCs w:val="22"/>
                    </w:rPr>
                  </w:pPr>
                </w:p>
              </w:tc>
              <w:tc>
                <w:tcPr>
                  <w:tcW w:w="851" w:type="dxa"/>
                  <w:tcBorders>
                    <w:top w:val="nil"/>
                    <w:bottom w:val="nil"/>
                    <w:right w:val="single" w:sz="4" w:space="0" w:color="auto"/>
                  </w:tcBorders>
                </w:tcPr>
                <w:p w14:paraId="66559C85" w14:textId="77777777" w:rsidR="00AD45BD" w:rsidRPr="00F72676" w:rsidRDefault="00AD45BD" w:rsidP="00AD45BD">
                  <w:pPr>
                    <w:widowControl w:val="0"/>
                    <w:autoSpaceDE w:val="0"/>
                    <w:autoSpaceDN w:val="0"/>
                    <w:adjustRightInd w:val="0"/>
                    <w:jc w:val="right"/>
                    <w:rPr>
                      <w:rFonts w:ascii="Calibri" w:hAnsi="Calibri" w:cs="Calibri"/>
                      <w:bCs/>
                      <w:sz w:val="22"/>
                      <w:szCs w:val="22"/>
                      <w:highlight w:val="green"/>
                    </w:rPr>
                  </w:pPr>
                </w:p>
              </w:tc>
              <w:tc>
                <w:tcPr>
                  <w:tcW w:w="1275" w:type="dxa"/>
                  <w:tcBorders>
                    <w:top w:val="nil"/>
                    <w:bottom w:val="nil"/>
                    <w:right w:val="single" w:sz="4" w:space="0" w:color="auto"/>
                  </w:tcBorders>
                  <w:shd w:val="clear" w:color="auto" w:fill="FFFF00"/>
                </w:tcPr>
                <w:p w14:paraId="7D627A25" w14:textId="77777777" w:rsidR="00AD45BD" w:rsidRPr="00F72676" w:rsidRDefault="00567192" w:rsidP="00AD45BD">
                  <w:pPr>
                    <w:widowControl w:val="0"/>
                    <w:autoSpaceDE w:val="0"/>
                    <w:autoSpaceDN w:val="0"/>
                    <w:adjustRightInd w:val="0"/>
                    <w:ind w:left="-226"/>
                    <w:jc w:val="right"/>
                    <w:rPr>
                      <w:rFonts w:ascii="Calibri" w:hAnsi="Calibri" w:cs="Calibri"/>
                      <w:b/>
                      <w:bCs/>
                      <w:color w:val="000000"/>
                      <w:sz w:val="22"/>
                      <w:szCs w:val="22"/>
                    </w:rPr>
                  </w:pPr>
                  <w:r w:rsidRPr="00F72676">
                    <w:rPr>
                      <w:rFonts w:ascii="Calibri" w:hAnsi="Calibri" w:cs="Calibri"/>
                      <w:b/>
                      <w:bCs/>
                      <w:color w:val="000000"/>
                      <w:sz w:val="22"/>
                      <w:szCs w:val="22"/>
                    </w:rPr>
                    <w:t>1.3</w:t>
                  </w:r>
                  <w:r w:rsidR="00292095" w:rsidRPr="00F72676">
                    <w:rPr>
                      <w:rFonts w:ascii="Calibri" w:hAnsi="Calibri" w:cs="Calibri"/>
                      <w:b/>
                      <w:bCs/>
                      <w:color w:val="000000"/>
                      <w:sz w:val="22"/>
                      <w:szCs w:val="22"/>
                    </w:rPr>
                    <w:t>239</w:t>
                  </w:r>
                </w:p>
              </w:tc>
              <w:tc>
                <w:tcPr>
                  <w:tcW w:w="1276" w:type="dxa"/>
                  <w:tcBorders>
                    <w:top w:val="nil"/>
                    <w:bottom w:val="nil"/>
                    <w:right w:val="single" w:sz="4" w:space="0" w:color="auto"/>
                  </w:tcBorders>
                  <w:shd w:val="clear" w:color="auto" w:fill="auto"/>
                </w:tcPr>
                <w:p w14:paraId="45F4E9DB" w14:textId="77777777" w:rsidR="00AD45BD" w:rsidRPr="00F72676" w:rsidRDefault="00AD45BD" w:rsidP="00AD45BD">
                  <w:pPr>
                    <w:widowControl w:val="0"/>
                    <w:autoSpaceDE w:val="0"/>
                    <w:autoSpaceDN w:val="0"/>
                    <w:adjustRightInd w:val="0"/>
                    <w:ind w:left="-226"/>
                    <w:jc w:val="right"/>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tcPr>
                <w:p w14:paraId="5FBC5FAE" w14:textId="77777777" w:rsidR="00AD45BD" w:rsidRPr="00F72676" w:rsidRDefault="00AD45BD" w:rsidP="00AD45BD">
                  <w:pPr>
                    <w:widowControl w:val="0"/>
                    <w:autoSpaceDE w:val="0"/>
                    <w:autoSpaceDN w:val="0"/>
                    <w:adjustRightInd w:val="0"/>
                    <w:ind w:left="-226"/>
                    <w:jc w:val="right"/>
                    <w:rPr>
                      <w:rFonts w:ascii="Calibri" w:hAnsi="Calibri" w:cs="Calibri"/>
                      <w:color w:val="000000"/>
                      <w:sz w:val="22"/>
                      <w:szCs w:val="22"/>
                    </w:rPr>
                  </w:pPr>
                </w:p>
              </w:tc>
              <w:tc>
                <w:tcPr>
                  <w:tcW w:w="1159" w:type="dxa"/>
                  <w:tcBorders>
                    <w:top w:val="nil"/>
                    <w:left w:val="single" w:sz="4" w:space="0" w:color="auto"/>
                    <w:bottom w:val="nil"/>
                    <w:right w:val="single" w:sz="4" w:space="0" w:color="auto"/>
                  </w:tcBorders>
                  <w:shd w:val="clear" w:color="auto" w:fill="auto"/>
                </w:tcPr>
                <w:p w14:paraId="58AF9058" w14:textId="77777777" w:rsidR="00AD45BD" w:rsidRPr="00F72676" w:rsidRDefault="00AD45BD" w:rsidP="00AD45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0.9456</w:t>
                  </w:r>
                </w:p>
              </w:tc>
            </w:tr>
            <w:tr w:rsidR="00AD45BD" w:rsidRPr="00F72676" w14:paraId="7F6F1F04" w14:textId="77777777" w:rsidTr="004C74E4">
              <w:trPr>
                <w:trHeight w:val="229"/>
              </w:trPr>
              <w:tc>
                <w:tcPr>
                  <w:tcW w:w="260" w:type="dxa"/>
                  <w:tcBorders>
                    <w:top w:val="nil"/>
                    <w:left w:val="nil"/>
                    <w:bottom w:val="nil"/>
                    <w:right w:val="nil"/>
                  </w:tcBorders>
                </w:tcPr>
                <w:p w14:paraId="008C66F6" w14:textId="77777777" w:rsidR="00AD45BD" w:rsidRPr="00F72676" w:rsidRDefault="00AD45BD" w:rsidP="00AD45BD">
                  <w:pPr>
                    <w:autoSpaceDE w:val="0"/>
                    <w:autoSpaceDN w:val="0"/>
                    <w:adjustRightInd w:val="0"/>
                    <w:rPr>
                      <w:rFonts w:ascii="Calibri" w:hAnsi="Calibri" w:cs="Calibri"/>
                      <w:color w:val="000000"/>
                      <w:sz w:val="22"/>
                      <w:szCs w:val="22"/>
                    </w:rPr>
                  </w:pPr>
                </w:p>
              </w:tc>
              <w:tc>
                <w:tcPr>
                  <w:tcW w:w="3993" w:type="dxa"/>
                  <w:tcBorders>
                    <w:top w:val="nil"/>
                    <w:left w:val="nil"/>
                    <w:bottom w:val="nil"/>
                  </w:tcBorders>
                </w:tcPr>
                <w:p w14:paraId="25569B40" w14:textId="77777777" w:rsidR="00AD45BD" w:rsidRPr="00F72676" w:rsidRDefault="00AD45BD" w:rsidP="00AD45BD">
                  <w:pPr>
                    <w:autoSpaceDE w:val="0"/>
                    <w:autoSpaceDN w:val="0"/>
                    <w:adjustRightInd w:val="0"/>
                    <w:ind w:right="-128"/>
                    <w:rPr>
                      <w:rFonts w:ascii="Calibri" w:hAnsi="Calibri" w:cs="Calibri"/>
                      <w:sz w:val="22"/>
                      <w:szCs w:val="22"/>
                    </w:rPr>
                  </w:pPr>
                  <w:r w:rsidRPr="00F72676">
                    <w:rPr>
                      <w:rFonts w:ascii="Calibri" w:hAnsi="Calibri" w:cs="Calibri"/>
                      <w:sz w:val="22"/>
                      <w:szCs w:val="22"/>
                    </w:rPr>
                    <w:t>Weighted avg. no. ord. shares (in Ms)</w:t>
                  </w:r>
                </w:p>
              </w:tc>
              <w:tc>
                <w:tcPr>
                  <w:tcW w:w="709" w:type="dxa"/>
                  <w:tcBorders>
                    <w:top w:val="nil"/>
                    <w:bottom w:val="nil"/>
                  </w:tcBorders>
                </w:tcPr>
                <w:p w14:paraId="068E9C5A" w14:textId="77777777" w:rsidR="00AD45BD" w:rsidRPr="00F72676" w:rsidRDefault="00AD45BD" w:rsidP="00AD45BD">
                  <w:pPr>
                    <w:autoSpaceDE w:val="0"/>
                    <w:autoSpaceDN w:val="0"/>
                    <w:adjustRightInd w:val="0"/>
                    <w:jc w:val="right"/>
                    <w:rPr>
                      <w:rFonts w:ascii="Calibri" w:hAnsi="Calibri" w:cs="Calibri"/>
                      <w:b/>
                      <w:bCs/>
                      <w:sz w:val="22"/>
                      <w:szCs w:val="22"/>
                    </w:rPr>
                  </w:pPr>
                </w:p>
              </w:tc>
              <w:tc>
                <w:tcPr>
                  <w:tcW w:w="851" w:type="dxa"/>
                  <w:tcBorders>
                    <w:top w:val="nil"/>
                    <w:bottom w:val="nil"/>
                    <w:right w:val="single" w:sz="4" w:space="0" w:color="auto"/>
                  </w:tcBorders>
                </w:tcPr>
                <w:p w14:paraId="2810ED38" w14:textId="77777777" w:rsidR="00AD45BD" w:rsidRPr="00F72676" w:rsidRDefault="00AD45BD" w:rsidP="00AD45BD">
                  <w:pPr>
                    <w:autoSpaceDE w:val="0"/>
                    <w:autoSpaceDN w:val="0"/>
                    <w:adjustRightInd w:val="0"/>
                    <w:jc w:val="right"/>
                    <w:rPr>
                      <w:rFonts w:ascii="Calibri" w:hAnsi="Calibri" w:cs="Calibri"/>
                      <w:bCs/>
                      <w:sz w:val="22"/>
                      <w:szCs w:val="22"/>
                      <w:highlight w:val="green"/>
                    </w:rPr>
                  </w:pPr>
                </w:p>
              </w:tc>
              <w:tc>
                <w:tcPr>
                  <w:tcW w:w="1275" w:type="dxa"/>
                  <w:tcBorders>
                    <w:top w:val="nil"/>
                    <w:right w:val="single" w:sz="4" w:space="0" w:color="auto"/>
                  </w:tcBorders>
                  <w:shd w:val="clear" w:color="auto" w:fill="FFFF00"/>
                </w:tcPr>
                <w:p w14:paraId="2C69483C" w14:textId="77777777" w:rsidR="00AD45BD" w:rsidRPr="00F72676" w:rsidRDefault="00AD45BD" w:rsidP="00AD45BD">
                  <w:pPr>
                    <w:autoSpaceDE w:val="0"/>
                    <w:autoSpaceDN w:val="0"/>
                    <w:adjustRightInd w:val="0"/>
                    <w:ind w:left="-226"/>
                    <w:jc w:val="right"/>
                    <w:rPr>
                      <w:rFonts w:ascii="Calibri" w:hAnsi="Calibri" w:cs="Calibri"/>
                      <w:b/>
                      <w:bCs/>
                      <w:sz w:val="22"/>
                      <w:szCs w:val="22"/>
                    </w:rPr>
                  </w:pPr>
                </w:p>
              </w:tc>
              <w:tc>
                <w:tcPr>
                  <w:tcW w:w="1276" w:type="dxa"/>
                  <w:tcBorders>
                    <w:top w:val="nil"/>
                    <w:right w:val="single" w:sz="4" w:space="0" w:color="auto"/>
                  </w:tcBorders>
                  <w:shd w:val="clear" w:color="auto" w:fill="auto"/>
                </w:tcPr>
                <w:p w14:paraId="5E05018C" w14:textId="77777777" w:rsidR="00AD45BD" w:rsidRPr="00F72676" w:rsidRDefault="00AD45BD" w:rsidP="00AD45BD">
                  <w:pPr>
                    <w:autoSpaceDE w:val="0"/>
                    <w:autoSpaceDN w:val="0"/>
                    <w:adjustRightInd w:val="0"/>
                    <w:ind w:left="-226"/>
                    <w:jc w:val="right"/>
                    <w:rPr>
                      <w:rFonts w:ascii="Calibri" w:hAnsi="Calibri" w:cs="Calibri"/>
                      <w:sz w:val="22"/>
                      <w:szCs w:val="22"/>
                    </w:rPr>
                  </w:pPr>
                </w:p>
              </w:tc>
              <w:tc>
                <w:tcPr>
                  <w:tcW w:w="1134" w:type="dxa"/>
                  <w:tcBorders>
                    <w:top w:val="nil"/>
                    <w:left w:val="single" w:sz="4" w:space="0" w:color="auto"/>
                    <w:right w:val="single" w:sz="4" w:space="0" w:color="auto"/>
                  </w:tcBorders>
                  <w:shd w:val="clear" w:color="auto" w:fill="auto"/>
                </w:tcPr>
                <w:p w14:paraId="01192E98" w14:textId="77777777" w:rsidR="00AD45BD" w:rsidRPr="00F72676" w:rsidRDefault="00AD45BD" w:rsidP="00AD45BD">
                  <w:pPr>
                    <w:autoSpaceDE w:val="0"/>
                    <w:autoSpaceDN w:val="0"/>
                    <w:adjustRightInd w:val="0"/>
                    <w:ind w:left="-226"/>
                    <w:jc w:val="right"/>
                    <w:rPr>
                      <w:rFonts w:ascii="Calibri" w:hAnsi="Calibri" w:cs="Calibri"/>
                      <w:sz w:val="22"/>
                      <w:szCs w:val="22"/>
                    </w:rPr>
                  </w:pPr>
                </w:p>
              </w:tc>
              <w:tc>
                <w:tcPr>
                  <w:tcW w:w="1159" w:type="dxa"/>
                  <w:tcBorders>
                    <w:top w:val="nil"/>
                    <w:left w:val="single" w:sz="4" w:space="0" w:color="auto"/>
                    <w:bottom w:val="nil"/>
                    <w:right w:val="single" w:sz="4" w:space="0" w:color="auto"/>
                  </w:tcBorders>
                  <w:shd w:val="clear" w:color="auto" w:fill="auto"/>
                </w:tcPr>
                <w:p w14:paraId="3E1D2707" w14:textId="77777777" w:rsidR="00AD45BD" w:rsidRPr="00F72676" w:rsidRDefault="00AD45BD" w:rsidP="00AD45BD">
                  <w:pPr>
                    <w:autoSpaceDE w:val="0"/>
                    <w:autoSpaceDN w:val="0"/>
                    <w:adjustRightInd w:val="0"/>
                    <w:ind w:left="-226"/>
                    <w:jc w:val="right"/>
                    <w:rPr>
                      <w:rFonts w:ascii="Calibri" w:hAnsi="Calibri" w:cs="Calibri"/>
                      <w:sz w:val="22"/>
                      <w:szCs w:val="22"/>
                    </w:rPr>
                  </w:pPr>
                </w:p>
              </w:tc>
            </w:tr>
            <w:tr w:rsidR="00AD45BD" w:rsidRPr="00F72676" w14:paraId="4D3A640B" w14:textId="77777777" w:rsidTr="004C74E4">
              <w:trPr>
                <w:trHeight w:val="229"/>
              </w:trPr>
              <w:tc>
                <w:tcPr>
                  <w:tcW w:w="260" w:type="dxa"/>
                  <w:tcBorders>
                    <w:top w:val="nil"/>
                    <w:left w:val="nil"/>
                    <w:bottom w:val="nil"/>
                    <w:right w:val="nil"/>
                  </w:tcBorders>
                </w:tcPr>
                <w:p w14:paraId="6505E233" w14:textId="77777777" w:rsidR="00AD45BD" w:rsidRPr="00F72676" w:rsidRDefault="00AD45BD" w:rsidP="00AD45BD">
                  <w:pPr>
                    <w:autoSpaceDE w:val="0"/>
                    <w:autoSpaceDN w:val="0"/>
                    <w:adjustRightInd w:val="0"/>
                    <w:rPr>
                      <w:rFonts w:ascii="Calibri" w:hAnsi="Calibri" w:cs="Calibri"/>
                      <w:color w:val="000000"/>
                      <w:sz w:val="22"/>
                      <w:szCs w:val="22"/>
                    </w:rPr>
                  </w:pPr>
                </w:p>
              </w:tc>
              <w:tc>
                <w:tcPr>
                  <w:tcW w:w="3993" w:type="dxa"/>
                  <w:tcBorders>
                    <w:top w:val="nil"/>
                    <w:left w:val="nil"/>
                    <w:bottom w:val="nil"/>
                  </w:tcBorders>
                </w:tcPr>
                <w:p w14:paraId="2DC3A136" w14:textId="77777777" w:rsidR="00AD45BD" w:rsidRPr="00F72676" w:rsidRDefault="00AD45BD" w:rsidP="00AD45BD">
                  <w:pPr>
                    <w:autoSpaceDE w:val="0"/>
                    <w:autoSpaceDN w:val="0"/>
                    <w:adjustRightInd w:val="0"/>
                    <w:rPr>
                      <w:rFonts w:ascii="Calibri" w:hAnsi="Calibri" w:cs="Calibri"/>
                      <w:sz w:val="22"/>
                      <w:szCs w:val="22"/>
                    </w:rPr>
                  </w:pPr>
                  <w:r w:rsidRPr="00F72676">
                    <w:rPr>
                      <w:rFonts w:ascii="Calibri" w:hAnsi="Calibri" w:cs="Calibri"/>
                      <w:sz w:val="22"/>
                      <w:szCs w:val="22"/>
                    </w:rPr>
                    <w:t>Basic</w:t>
                  </w:r>
                </w:p>
              </w:tc>
              <w:tc>
                <w:tcPr>
                  <w:tcW w:w="709" w:type="dxa"/>
                  <w:tcBorders>
                    <w:top w:val="nil"/>
                    <w:bottom w:val="nil"/>
                  </w:tcBorders>
                </w:tcPr>
                <w:p w14:paraId="450C508F" w14:textId="77777777" w:rsidR="00AD45BD" w:rsidRPr="00F72676" w:rsidRDefault="00AD45BD" w:rsidP="00AD45BD">
                  <w:pPr>
                    <w:autoSpaceDE w:val="0"/>
                    <w:autoSpaceDN w:val="0"/>
                    <w:adjustRightInd w:val="0"/>
                    <w:jc w:val="right"/>
                    <w:rPr>
                      <w:rFonts w:ascii="Calibri" w:hAnsi="Calibri" w:cs="Calibri"/>
                      <w:b/>
                      <w:bCs/>
                      <w:sz w:val="22"/>
                      <w:szCs w:val="22"/>
                    </w:rPr>
                  </w:pPr>
                </w:p>
              </w:tc>
              <w:tc>
                <w:tcPr>
                  <w:tcW w:w="851" w:type="dxa"/>
                  <w:tcBorders>
                    <w:top w:val="nil"/>
                    <w:bottom w:val="nil"/>
                    <w:right w:val="single" w:sz="4" w:space="0" w:color="auto"/>
                  </w:tcBorders>
                </w:tcPr>
                <w:p w14:paraId="047B63C8" w14:textId="77777777" w:rsidR="00AD45BD" w:rsidRPr="00F72676" w:rsidRDefault="00AD45BD" w:rsidP="00AD45BD">
                  <w:pPr>
                    <w:autoSpaceDE w:val="0"/>
                    <w:autoSpaceDN w:val="0"/>
                    <w:adjustRightInd w:val="0"/>
                    <w:jc w:val="right"/>
                    <w:rPr>
                      <w:rFonts w:ascii="Calibri" w:hAnsi="Calibri" w:cs="Calibri"/>
                      <w:bCs/>
                      <w:sz w:val="22"/>
                      <w:szCs w:val="22"/>
                      <w:highlight w:val="green"/>
                    </w:rPr>
                  </w:pPr>
                </w:p>
              </w:tc>
              <w:tc>
                <w:tcPr>
                  <w:tcW w:w="1275" w:type="dxa"/>
                  <w:tcBorders>
                    <w:top w:val="nil"/>
                    <w:right w:val="single" w:sz="4" w:space="0" w:color="auto"/>
                  </w:tcBorders>
                  <w:shd w:val="clear" w:color="auto" w:fill="FFFF00"/>
                </w:tcPr>
                <w:p w14:paraId="0CAF9D5E" w14:textId="77777777" w:rsidR="00AD45BD" w:rsidRPr="00F72676" w:rsidRDefault="00567192" w:rsidP="00AD45BD">
                  <w:pPr>
                    <w:widowControl w:val="0"/>
                    <w:autoSpaceDE w:val="0"/>
                    <w:autoSpaceDN w:val="0"/>
                    <w:adjustRightInd w:val="0"/>
                    <w:ind w:left="-226"/>
                    <w:jc w:val="right"/>
                    <w:rPr>
                      <w:rFonts w:ascii="Calibri" w:hAnsi="Calibri" w:cs="Calibri"/>
                      <w:b/>
                      <w:bCs/>
                      <w:color w:val="000000"/>
                      <w:sz w:val="22"/>
                      <w:szCs w:val="22"/>
                    </w:rPr>
                  </w:pPr>
                  <w:r w:rsidRPr="00F72676">
                    <w:rPr>
                      <w:rFonts w:ascii="Calibri" w:hAnsi="Calibri" w:cs="Calibri"/>
                      <w:b/>
                      <w:bCs/>
                      <w:color w:val="000000"/>
                      <w:sz w:val="22"/>
                      <w:szCs w:val="22"/>
                    </w:rPr>
                    <w:t>1,138.9</w:t>
                  </w:r>
                </w:p>
              </w:tc>
              <w:tc>
                <w:tcPr>
                  <w:tcW w:w="1276" w:type="dxa"/>
                  <w:tcBorders>
                    <w:top w:val="nil"/>
                    <w:right w:val="single" w:sz="4" w:space="0" w:color="auto"/>
                  </w:tcBorders>
                  <w:shd w:val="clear" w:color="auto" w:fill="auto"/>
                </w:tcPr>
                <w:p w14:paraId="4834CAFB" w14:textId="77777777" w:rsidR="00AD45BD" w:rsidRPr="00F72676" w:rsidRDefault="00AD45BD" w:rsidP="00AD45BD">
                  <w:pPr>
                    <w:widowControl w:val="0"/>
                    <w:autoSpaceDE w:val="0"/>
                    <w:autoSpaceDN w:val="0"/>
                    <w:adjustRightInd w:val="0"/>
                    <w:ind w:left="-226"/>
                    <w:jc w:val="right"/>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tcPr>
                <w:p w14:paraId="2C5BE2FD" w14:textId="77777777" w:rsidR="00AD45BD" w:rsidRPr="00F72676" w:rsidRDefault="00AD45BD" w:rsidP="00AD45BD">
                  <w:pPr>
                    <w:widowControl w:val="0"/>
                    <w:autoSpaceDE w:val="0"/>
                    <w:autoSpaceDN w:val="0"/>
                    <w:adjustRightInd w:val="0"/>
                    <w:ind w:left="-226"/>
                    <w:jc w:val="right"/>
                    <w:rPr>
                      <w:rFonts w:ascii="Calibri" w:hAnsi="Calibri" w:cs="Calibri"/>
                      <w:color w:val="000000"/>
                      <w:sz w:val="22"/>
                      <w:szCs w:val="22"/>
                    </w:rPr>
                  </w:pPr>
                </w:p>
              </w:tc>
              <w:tc>
                <w:tcPr>
                  <w:tcW w:w="1159" w:type="dxa"/>
                  <w:tcBorders>
                    <w:top w:val="nil"/>
                    <w:left w:val="single" w:sz="4" w:space="0" w:color="auto"/>
                    <w:bottom w:val="nil"/>
                    <w:right w:val="single" w:sz="4" w:space="0" w:color="auto"/>
                  </w:tcBorders>
                  <w:shd w:val="clear" w:color="auto" w:fill="auto"/>
                </w:tcPr>
                <w:p w14:paraId="5C1FDBA6" w14:textId="77777777" w:rsidR="00AD45BD" w:rsidRPr="00F72676" w:rsidRDefault="00AD45BD" w:rsidP="00AD45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1,135.7</w:t>
                  </w:r>
                </w:p>
              </w:tc>
            </w:tr>
            <w:tr w:rsidR="00AD45BD" w:rsidRPr="00F72676" w14:paraId="4DFB0565" w14:textId="77777777" w:rsidTr="004C74E4">
              <w:trPr>
                <w:trHeight w:val="229"/>
              </w:trPr>
              <w:tc>
                <w:tcPr>
                  <w:tcW w:w="260" w:type="dxa"/>
                  <w:tcBorders>
                    <w:top w:val="nil"/>
                    <w:left w:val="nil"/>
                    <w:bottom w:val="nil"/>
                    <w:right w:val="nil"/>
                  </w:tcBorders>
                </w:tcPr>
                <w:p w14:paraId="541CD3AF" w14:textId="77777777" w:rsidR="00AD45BD" w:rsidRPr="00F72676" w:rsidRDefault="00AD45BD" w:rsidP="00AD45BD">
                  <w:pPr>
                    <w:autoSpaceDE w:val="0"/>
                    <w:autoSpaceDN w:val="0"/>
                    <w:adjustRightInd w:val="0"/>
                    <w:rPr>
                      <w:rFonts w:ascii="Calibri" w:hAnsi="Calibri" w:cs="Calibri"/>
                      <w:color w:val="000000"/>
                      <w:sz w:val="22"/>
                      <w:szCs w:val="22"/>
                    </w:rPr>
                  </w:pPr>
                </w:p>
              </w:tc>
              <w:tc>
                <w:tcPr>
                  <w:tcW w:w="3993" w:type="dxa"/>
                  <w:tcBorders>
                    <w:top w:val="nil"/>
                    <w:left w:val="nil"/>
                    <w:bottom w:val="nil"/>
                  </w:tcBorders>
                </w:tcPr>
                <w:p w14:paraId="70F1CAAC" w14:textId="77777777" w:rsidR="00AD45BD" w:rsidRPr="00F72676" w:rsidRDefault="00AD45BD" w:rsidP="00AD45BD">
                  <w:pPr>
                    <w:autoSpaceDE w:val="0"/>
                    <w:autoSpaceDN w:val="0"/>
                    <w:adjustRightInd w:val="0"/>
                    <w:rPr>
                      <w:rFonts w:ascii="Calibri" w:hAnsi="Calibri" w:cs="Calibri"/>
                      <w:sz w:val="22"/>
                      <w:szCs w:val="22"/>
                    </w:rPr>
                  </w:pPr>
                  <w:r w:rsidRPr="00F72676">
                    <w:rPr>
                      <w:rFonts w:ascii="Calibri" w:hAnsi="Calibri" w:cs="Calibri"/>
                      <w:sz w:val="22"/>
                      <w:szCs w:val="22"/>
                    </w:rPr>
                    <w:t>Diluted</w:t>
                  </w:r>
                </w:p>
              </w:tc>
              <w:tc>
                <w:tcPr>
                  <w:tcW w:w="709" w:type="dxa"/>
                  <w:tcBorders>
                    <w:top w:val="nil"/>
                  </w:tcBorders>
                </w:tcPr>
                <w:p w14:paraId="06F90A1F" w14:textId="77777777" w:rsidR="00AD45BD" w:rsidRPr="00F72676" w:rsidRDefault="00AD45BD" w:rsidP="00AD45BD">
                  <w:pPr>
                    <w:autoSpaceDE w:val="0"/>
                    <w:autoSpaceDN w:val="0"/>
                    <w:adjustRightInd w:val="0"/>
                    <w:jc w:val="right"/>
                    <w:rPr>
                      <w:rFonts w:ascii="Calibri" w:hAnsi="Calibri" w:cs="Calibri"/>
                      <w:b/>
                      <w:bCs/>
                      <w:sz w:val="22"/>
                      <w:szCs w:val="22"/>
                    </w:rPr>
                  </w:pPr>
                </w:p>
              </w:tc>
              <w:tc>
                <w:tcPr>
                  <w:tcW w:w="851" w:type="dxa"/>
                  <w:tcBorders>
                    <w:top w:val="nil"/>
                    <w:right w:val="single" w:sz="4" w:space="0" w:color="auto"/>
                  </w:tcBorders>
                </w:tcPr>
                <w:p w14:paraId="1B05EE74" w14:textId="77777777" w:rsidR="00AD45BD" w:rsidRPr="00F72676" w:rsidRDefault="00AD45BD" w:rsidP="00AD45BD">
                  <w:pPr>
                    <w:autoSpaceDE w:val="0"/>
                    <w:autoSpaceDN w:val="0"/>
                    <w:adjustRightInd w:val="0"/>
                    <w:jc w:val="right"/>
                    <w:rPr>
                      <w:rFonts w:ascii="Calibri" w:hAnsi="Calibri" w:cs="Calibri"/>
                      <w:bCs/>
                      <w:sz w:val="22"/>
                      <w:szCs w:val="22"/>
                      <w:highlight w:val="green"/>
                    </w:rPr>
                  </w:pPr>
                </w:p>
              </w:tc>
              <w:tc>
                <w:tcPr>
                  <w:tcW w:w="1275" w:type="dxa"/>
                  <w:tcBorders>
                    <w:top w:val="nil"/>
                    <w:bottom w:val="single" w:sz="4" w:space="0" w:color="auto"/>
                    <w:right w:val="single" w:sz="4" w:space="0" w:color="auto"/>
                  </w:tcBorders>
                  <w:shd w:val="clear" w:color="auto" w:fill="FFFF00"/>
                </w:tcPr>
                <w:p w14:paraId="4D998B8A" w14:textId="77777777" w:rsidR="00AD45BD" w:rsidRPr="00F72676" w:rsidRDefault="00567192" w:rsidP="00AD45BD">
                  <w:pPr>
                    <w:widowControl w:val="0"/>
                    <w:autoSpaceDE w:val="0"/>
                    <w:autoSpaceDN w:val="0"/>
                    <w:adjustRightInd w:val="0"/>
                    <w:ind w:left="-226"/>
                    <w:jc w:val="right"/>
                    <w:rPr>
                      <w:rFonts w:ascii="Calibri" w:hAnsi="Calibri" w:cs="Calibri"/>
                      <w:b/>
                      <w:bCs/>
                      <w:color w:val="000000"/>
                      <w:sz w:val="22"/>
                      <w:szCs w:val="22"/>
                    </w:rPr>
                  </w:pPr>
                  <w:r w:rsidRPr="00F72676">
                    <w:rPr>
                      <w:rFonts w:ascii="Calibri" w:hAnsi="Calibri" w:cs="Calibri"/>
                      <w:b/>
                      <w:bCs/>
                      <w:color w:val="000000"/>
                      <w:sz w:val="22"/>
                      <w:szCs w:val="22"/>
                    </w:rPr>
                    <w:t>1,144.5</w:t>
                  </w:r>
                </w:p>
              </w:tc>
              <w:tc>
                <w:tcPr>
                  <w:tcW w:w="1276" w:type="dxa"/>
                  <w:tcBorders>
                    <w:top w:val="nil"/>
                    <w:bottom w:val="single" w:sz="4" w:space="0" w:color="auto"/>
                    <w:right w:val="single" w:sz="4" w:space="0" w:color="auto"/>
                  </w:tcBorders>
                  <w:shd w:val="clear" w:color="auto" w:fill="auto"/>
                </w:tcPr>
                <w:p w14:paraId="168B1E34" w14:textId="77777777" w:rsidR="00AD45BD" w:rsidRPr="00F72676" w:rsidRDefault="00AD45BD" w:rsidP="00AD45BD">
                  <w:pPr>
                    <w:widowControl w:val="0"/>
                    <w:autoSpaceDE w:val="0"/>
                    <w:autoSpaceDN w:val="0"/>
                    <w:adjustRightInd w:val="0"/>
                    <w:ind w:left="-226"/>
                    <w:jc w:val="right"/>
                    <w:rPr>
                      <w:rFonts w:ascii="Calibri" w:hAnsi="Calibri" w:cs="Calibri"/>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tcPr>
                <w:p w14:paraId="72126809" w14:textId="77777777" w:rsidR="00AD45BD" w:rsidRPr="00F72676" w:rsidRDefault="00AD45BD" w:rsidP="00AD45BD">
                  <w:pPr>
                    <w:widowControl w:val="0"/>
                    <w:autoSpaceDE w:val="0"/>
                    <w:autoSpaceDN w:val="0"/>
                    <w:adjustRightInd w:val="0"/>
                    <w:ind w:left="-226"/>
                    <w:jc w:val="right"/>
                    <w:rPr>
                      <w:rFonts w:ascii="Calibri" w:hAnsi="Calibri" w:cs="Calibri"/>
                      <w:color w:val="000000"/>
                      <w:sz w:val="22"/>
                      <w:szCs w:val="22"/>
                    </w:rPr>
                  </w:pPr>
                </w:p>
              </w:tc>
              <w:tc>
                <w:tcPr>
                  <w:tcW w:w="1159" w:type="dxa"/>
                  <w:tcBorders>
                    <w:top w:val="nil"/>
                    <w:left w:val="single" w:sz="4" w:space="0" w:color="auto"/>
                    <w:bottom w:val="single" w:sz="4" w:space="0" w:color="auto"/>
                    <w:right w:val="single" w:sz="4" w:space="0" w:color="auto"/>
                  </w:tcBorders>
                  <w:shd w:val="clear" w:color="auto" w:fill="auto"/>
                </w:tcPr>
                <w:p w14:paraId="472E157C" w14:textId="77777777" w:rsidR="00AD45BD" w:rsidRPr="00F72676" w:rsidRDefault="00AD45BD" w:rsidP="00AD45BD">
                  <w:pPr>
                    <w:widowControl w:val="0"/>
                    <w:autoSpaceDE w:val="0"/>
                    <w:autoSpaceDN w:val="0"/>
                    <w:adjustRightInd w:val="0"/>
                    <w:ind w:left="-226"/>
                    <w:jc w:val="right"/>
                    <w:rPr>
                      <w:rFonts w:ascii="Calibri" w:hAnsi="Calibri" w:cs="Calibri"/>
                      <w:color w:val="000000"/>
                      <w:sz w:val="22"/>
                      <w:szCs w:val="22"/>
                    </w:rPr>
                  </w:pPr>
                  <w:r w:rsidRPr="00F72676">
                    <w:rPr>
                      <w:rFonts w:ascii="Calibri" w:hAnsi="Calibri" w:cs="Calibri"/>
                      <w:color w:val="000000"/>
                      <w:sz w:val="22"/>
                      <w:szCs w:val="22"/>
                    </w:rPr>
                    <w:t>1,137.8</w:t>
                  </w:r>
                </w:p>
              </w:tc>
            </w:tr>
          </w:tbl>
          <w:p w14:paraId="320ADB3E" w14:textId="77777777" w:rsidR="004A178D" w:rsidRPr="00F72676" w:rsidRDefault="004A178D" w:rsidP="00754232">
            <w:pPr>
              <w:tabs>
                <w:tab w:val="left" w:pos="6096"/>
                <w:tab w:val="left" w:pos="7655"/>
              </w:tabs>
              <w:autoSpaceDE w:val="0"/>
              <w:autoSpaceDN w:val="0"/>
              <w:adjustRightInd w:val="0"/>
              <w:ind w:left="32"/>
              <w:rPr>
                <w:rFonts w:ascii="Calibri" w:hAnsi="Calibri" w:cs="Calibri"/>
                <w:b/>
                <w:bCs/>
                <w:i/>
                <w:color w:val="000000"/>
                <w:sz w:val="22"/>
                <w:szCs w:val="22"/>
              </w:rPr>
            </w:pPr>
          </w:p>
        </w:tc>
      </w:tr>
    </w:tbl>
    <w:p w14:paraId="6EDB06A5" w14:textId="77777777" w:rsidR="00206E04" w:rsidRPr="00F72676" w:rsidRDefault="00206E04" w:rsidP="00EC0B65">
      <w:pPr>
        <w:autoSpaceDE w:val="0"/>
        <w:autoSpaceDN w:val="0"/>
        <w:adjustRightInd w:val="0"/>
        <w:ind w:left="34"/>
        <w:rPr>
          <w:rFonts w:ascii="Calibri" w:hAnsi="Calibri" w:cs="Calibri"/>
          <w:bCs/>
          <w:color w:val="000000"/>
          <w:sz w:val="22"/>
          <w:szCs w:val="22"/>
        </w:rPr>
      </w:pPr>
    </w:p>
    <w:p w14:paraId="639AD45C" w14:textId="77777777" w:rsidR="004A7D6F" w:rsidRPr="00F72676" w:rsidRDefault="004A7D6F" w:rsidP="00EC0B65">
      <w:pPr>
        <w:autoSpaceDE w:val="0"/>
        <w:autoSpaceDN w:val="0"/>
        <w:adjustRightInd w:val="0"/>
        <w:ind w:left="34"/>
        <w:rPr>
          <w:rFonts w:ascii="Calibri" w:hAnsi="Calibri" w:cs="Calibri"/>
          <w:b/>
          <w:bCs/>
          <w:color w:val="000000"/>
          <w:sz w:val="22"/>
          <w:szCs w:val="22"/>
        </w:rPr>
      </w:pPr>
    </w:p>
    <w:p w14:paraId="45D1C755" w14:textId="77777777" w:rsidR="00A3702E" w:rsidRPr="009A1446" w:rsidRDefault="00E512D3" w:rsidP="00A3702E">
      <w:pPr>
        <w:autoSpaceDE w:val="0"/>
        <w:autoSpaceDN w:val="0"/>
        <w:adjustRightInd w:val="0"/>
        <w:ind w:left="34" w:firstLine="108"/>
        <w:rPr>
          <w:rFonts w:ascii="Calibri" w:hAnsi="Calibri" w:cs="Calibri"/>
          <w:i/>
          <w:color w:val="000000"/>
          <w:sz w:val="22"/>
          <w:szCs w:val="22"/>
        </w:rPr>
      </w:pPr>
      <w:r w:rsidRPr="009A1446">
        <w:rPr>
          <w:rFonts w:ascii="Calibri" w:hAnsi="Calibri" w:cs="Calibri"/>
          <w:i/>
          <w:color w:val="000000"/>
          <w:sz w:val="22"/>
          <w:szCs w:val="22"/>
        </w:rPr>
        <w:t>*’+’ is favourable and ‘</w:t>
      </w:r>
      <w:proofErr w:type="gramStart"/>
      <w:r w:rsidRPr="009A1446">
        <w:rPr>
          <w:rFonts w:ascii="Calibri" w:hAnsi="Calibri" w:cs="Calibri"/>
          <w:i/>
          <w:color w:val="000000"/>
          <w:sz w:val="22"/>
          <w:szCs w:val="22"/>
        </w:rPr>
        <w:t>-‘ is</w:t>
      </w:r>
      <w:proofErr w:type="gramEnd"/>
      <w:r w:rsidRPr="009A1446">
        <w:rPr>
          <w:rFonts w:ascii="Calibri" w:hAnsi="Calibri" w:cs="Calibri"/>
          <w:i/>
          <w:color w:val="000000"/>
          <w:sz w:val="22"/>
          <w:szCs w:val="22"/>
        </w:rPr>
        <w:t xml:space="preserve"> adverse </w:t>
      </w:r>
      <w:r w:rsidR="006C35CE" w:rsidRPr="009A1446">
        <w:rPr>
          <w:rFonts w:ascii="Calibri" w:hAnsi="Calibri" w:cs="Calibri"/>
          <w:i/>
          <w:color w:val="000000"/>
          <w:sz w:val="22"/>
          <w:szCs w:val="22"/>
        </w:rPr>
        <w:t>period-on-period</w:t>
      </w:r>
      <w:r w:rsidRPr="009A1446">
        <w:rPr>
          <w:rFonts w:ascii="Calibri" w:hAnsi="Calibri" w:cs="Calibri"/>
          <w:i/>
          <w:color w:val="000000"/>
          <w:sz w:val="22"/>
          <w:szCs w:val="22"/>
        </w:rPr>
        <w:t>.</w:t>
      </w:r>
    </w:p>
    <w:p w14:paraId="1BD8CFAA" w14:textId="77777777" w:rsidR="003F0900" w:rsidRPr="00835E4A" w:rsidRDefault="00A3702E" w:rsidP="00A3702E">
      <w:pPr>
        <w:autoSpaceDE w:val="0"/>
        <w:autoSpaceDN w:val="0"/>
        <w:adjustRightInd w:val="0"/>
        <w:ind w:left="142"/>
        <w:rPr>
          <w:rFonts w:ascii="Calibri" w:hAnsi="Calibri" w:cs="Calibri"/>
          <w:b/>
          <w:bCs/>
          <w:color w:val="000000"/>
        </w:rPr>
      </w:pPr>
      <w:r w:rsidRPr="00F72676">
        <w:rPr>
          <w:rFonts w:ascii="Calibri" w:hAnsi="Calibri" w:cs="Calibri"/>
          <w:b/>
          <w:bCs/>
          <w:i/>
          <w:color w:val="000000"/>
          <w:sz w:val="22"/>
          <w:szCs w:val="22"/>
        </w:rPr>
        <w:br w:type="page"/>
      </w:r>
      <w:r w:rsidR="003F0900" w:rsidRPr="00835E4A">
        <w:rPr>
          <w:rFonts w:ascii="Calibri" w:hAnsi="Calibri" w:cs="Calibri"/>
          <w:b/>
          <w:bCs/>
          <w:color w:val="000000"/>
        </w:rPr>
        <w:lastRenderedPageBreak/>
        <w:t xml:space="preserve">Ryanair Holdings plc and Subsidiaries </w:t>
      </w:r>
    </w:p>
    <w:p w14:paraId="67A360AE" w14:textId="77777777" w:rsidR="008C4A6F" w:rsidRDefault="003F0900" w:rsidP="008C4A6F">
      <w:pPr>
        <w:widowControl w:val="0"/>
        <w:ind w:left="142" w:right="-426"/>
        <w:rPr>
          <w:rFonts w:ascii="Calibri" w:hAnsi="Calibri" w:cs="Calibri"/>
          <w:b/>
          <w:bCs/>
          <w:i/>
          <w:iCs/>
          <w:color w:val="000000"/>
        </w:rPr>
      </w:pPr>
      <w:r w:rsidRPr="00394DE2">
        <w:rPr>
          <w:rFonts w:ascii="Calibri" w:hAnsi="Calibri" w:cs="Calibri"/>
          <w:b/>
          <w:bCs/>
          <w:i/>
          <w:iCs/>
          <w:color w:val="000000"/>
        </w:rPr>
        <w:t xml:space="preserve">Condensed Consolidated Interim Statement of Comprehensive Income for </w:t>
      </w:r>
      <w:r>
        <w:rPr>
          <w:rFonts w:ascii="Calibri" w:hAnsi="Calibri" w:cs="Calibri"/>
          <w:b/>
          <w:bCs/>
          <w:i/>
          <w:iCs/>
          <w:color w:val="000000"/>
        </w:rPr>
        <w:t>Half-Year</w:t>
      </w:r>
      <w:r w:rsidRPr="00394DE2">
        <w:rPr>
          <w:rFonts w:ascii="Calibri" w:hAnsi="Calibri" w:cs="Calibri"/>
          <w:b/>
          <w:bCs/>
          <w:i/>
          <w:iCs/>
          <w:color w:val="000000"/>
        </w:rPr>
        <w:t xml:space="preserve"> Ended </w:t>
      </w:r>
      <w:r>
        <w:rPr>
          <w:rFonts w:ascii="Calibri" w:hAnsi="Calibri" w:cs="Calibri"/>
          <w:b/>
          <w:bCs/>
          <w:i/>
          <w:iCs/>
          <w:color w:val="000000"/>
        </w:rPr>
        <w:t>September</w:t>
      </w:r>
      <w:r w:rsidR="008C4A6F">
        <w:rPr>
          <w:rFonts w:ascii="Calibri" w:hAnsi="Calibri" w:cs="Calibri"/>
          <w:b/>
          <w:bCs/>
          <w:i/>
          <w:iCs/>
          <w:color w:val="000000"/>
        </w:rPr>
        <w:t xml:space="preserve"> </w:t>
      </w:r>
      <w:r w:rsidRPr="00394DE2">
        <w:rPr>
          <w:rFonts w:ascii="Calibri" w:hAnsi="Calibri" w:cs="Calibri"/>
          <w:b/>
          <w:bCs/>
          <w:i/>
          <w:iCs/>
          <w:color w:val="000000"/>
        </w:rPr>
        <w:t>30,</w:t>
      </w:r>
    </w:p>
    <w:p w14:paraId="01C0EEB2" w14:textId="77777777" w:rsidR="003F0900" w:rsidRPr="00394DE2" w:rsidRDefault="003F0900" w:rsidP="008C4A6F">
      <w:pPr>
        <w:widowControl w:val="0"/>
        <w:ind w:left="142" w:right="-426"/>
        <w:rPr>
          <w:rFonts w:ascii="Calibri" w:hAnsi="Calibri" w:cs="Calibri"/>
          <w:b/>
          <w:bCs/>
          <w:i/>
          <w:iCs/>
          <w:color w:val="000000"/>
        </w:rPr>
      </w:pPr>
      <w:r w:rsidRPr="00394DE2">
        <w:rPr>
          <w:rFonts w:ascii="Calibri" w:hAnsi="Calibri" w:cs="Calibri"/>
          <w:b/>
          <w:bCs/>
          <w:i/>
          <w:iCs/>
          <w:color w:val="000000"/>
        </w:rPr>
        <w:t>2023 (unaudited)</w:t>
      </w:r>
    </w:p>
    <w:p w14:paraId="6191E353" w14:textId="77777777" w:rsidR="003F0900" w:rsidRPr="00190BE6" w:rsidRDefault="003F0900" w:rsidP="003F0900">
      <w:pPr>
        <w:widowControl w:val="0"/>
        <w:rPr>
          <w:rFonts w:ascii="Calibri" w:hAnsi="Calibri" w:cs="Calibri"/>
          <w:b/>
          <w:bCs/>
          <w:i/>
          <w:iCs/>
          <w:color w:val="000000"/>
          <w:sz w:val="20"/>
          <w:szCs w:val="22"/>
        </w:rPr>
      </w:pPr>
    </w:p>
    <w:tbl>
      <w:tblPr>
        <w:tblW w:w="10773" w:type="dxa"/>
        <w:tblInd w:w="-34" w:type="dxa"/>
        <w:tblLook w:val="04A0" w:firstRow="1" w:lastRow="0" w:firstColumn="1" w:lastColumn="0" w:noHBand="0" w:noVBand="1"/>
      </w:tblPr>
      <w:tblGrid>
        <w:gridCol w:w="8506"/>
        <w:gridCol w:w="1134"/>
        <w:gridCol w:w="1133"/>
      </w:tblGrid>
      <w:tr w:rsidR="003F0900" w:rsidRPr="00135F6B" w14:paraId="7911AB76" w14:textId="77777777" w:rsidTr="003F0900">
        <w:trPr>
          <w:trHeight w:val="297"/>
        </w:trPr>
        <w:tc>
          <w:tcPr>
            <w:tcW w:w="8506" w:type="dxa"/>
            <w:shd w:val="clear" w:color="auto" w:fill="FFFFFF"/>
            <w:vAlign w:val="center"/>
            <w:hideMark/>
          </w:tcPr>
          <w:p w14:paraId="34CADDFE" w14:textId="77777777" w:rsidR="003F0900" w:rsidRPr="003F0900" w:rsidRDefault="003F0900" w:rsidP="001C5897">
            <w:pPr>
              <w:rPr>
                <w:rFonts w:ascii="Calibri" w:hAnsi="Calibri" w:cs="Calibri"/>
                <w:b/>
                <w:bCs/>
                <w:color w:val="000000"/>
                <w:sz w:val="22"/>
                <w:szCs w:val="22"/>
                <w:lang w:eastAsia="en-IE"/>
              </w:rPr>
            </w:pPr>
          </w:p>
        </w:tc>
        <w:tc>
          <w:tcPr>
            <w:tcW w:w="1134" w:type="dxa"/>
            <w:shd w:val="clear" w:color="auto" w:fill="FFFF00"/>
            <w:vAlign w:val="center"/>
            <w:hideMark/>
          </w:tcPr>
          <w:p w14:paraId="65B326E6" w14:textId="77777777" w:rsidR="003F0900" w:rsidRPr="003F0900" w:rsidRDefault="003F0900" w:rsidP="001C5897">
            <w:pPr>
              <w:jc w:val="right"/>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Half-Year</w:t>
            </w:r>
          </w:p>
        </w:tc>
        <w:tc>
          <w:tcPr>
            <w:tcW w:w="1133" w:type="dxa"/>
            <w:shd w:val="clear" w:color="auto" w:fill="FFFFFF"/>
            <w:vAlign w:val="center"/>
            <w:hideMark/>
          </w:tcPr>
          <w:p w14:paraId="24E8264A" w14:textId="77777777" w:rsidR="003F0900" w:rsidRPr="003F0900" w:rsidRDefault="003F0900" w:rsidP="001C5897">
            <w:pPr>
              <w:jc w:val="right"/>
              <w:rPr>
                <w:rFonts w:ascii="Calibri" w:hAnsi="Calibri" w:cs="Calibri"/>
                <w:color w:val="000000"/>
                <w:sz w:val="22"/>
                <w:szCs w:val="22"/>
                <w:lang w:eastAsia="en-IE"/>
              </w:rPr>
            </w:pPr>
            <w:r w:rsidRPr="003F0900">
              <w:rPr>
                <w:rFonts w:ascii="Calibri" w:hAnsi="Calibri" w:cs="Calibri"/>
                <w:color w:val="000000"/>
                <w:sz w:val="22"/>
                <w:szCs w:val="22"/>
                <w:lang w:eastAsia="en-IE"/>
              </w:rPr>
              <w:t>Half-Year</w:t>
            </w:r>
          </w:p>
        </w:tc>
      </w:tr>
      <w:tr w:rsidR="003F0900" w:rsidRPr="00135F6B" w14:paraId="6DFBA6CA" w14:textId="77777777" w:rsidTr="003F0900">
        <w:trPr>
          <w:trHeight w:val="297"/>
        </w:trPr>
        <w:tc>
          <w:tcPr>
            <w:tcW w:w="8506" w:type="dxa"/>
            <w:shd w:val="clear" w:color="auto" w:fill="FFFFFF"/>
            <w:vAlign w:val="center"/>
            <w:hideMark/>
          </w:tcPr>
          <w:p w14:paraId="35EBD21E" w14:textId="77777777" w:rsidR="003F0900" w:rsidRPr="003F0900" w:rsidRDefault="003F0900" w:rsidP="001C5897">
            <w:pPr>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w:t>
            </w:r>
          </w:p>
        </w:tc>
        <w:tc>
          <w:tcPr>
            <w:tcW w:w="1134" w:type="dxa"/>
            <w:shd w:val="clear" w:color="auto" w:fill="FFFF00"/>
            <w:vAlign w:val="center"/>
            <w:hideMark/>
          </w:tcPr>
          <w:p w14:paraId="32E8934E" w14:textId="77777777" w:rsidR="003F0900" w:rsidRPr="003F0900" w:rsidRDefault="003F0900" w:rsidP="001C5897">
            <w:pPr>
              <w:jc w:val="right"/>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Ended</w:t>
            </w:r>
          </w:p>
        </w:tc>
        <w:tc>
          <w:tcPr>
            <w:tcW w:w="1133" w:type="dxa"/>
            <w:shd w:val="clear" w:color="auto" w:fill="FFFFFF"/>
            <w:vAlign w:val="center"/>
            <w:hideMark/>
          </w:tcPr>
          <w:p w14:paraId="1F67D8FA" w14:textId="77777777" w:rsidR="003F0900" w:rsidRPr="003F0900" w:rsidRDefault="003F0900" w:rsidP="001C5897">
            <w:pPr>
              <w:jc w:val="right"/>
              <w:rPr>
                <w:rFonts w:ascii="Calibri" w:hAnsi="Calibri" w:cs="Calibri"/>
                <w:color w:val="000000"/>
                <w:sz w:val="22"/>
                <w:szCs w:val="22"/>
                <w:lang w:eastAsia="en-IE"/>
              </w:rPr>
            </w:pPr>
            <w:r w:rsidRPr="003F0900">
              <w:rPr>
                <w:rFonts w:ascii="Calibri" w:hAnsi="Calibri" w:cs="Calibri"/>
                <w:color w:val="000000"/>
                <w:sz w:val="22"/>
                <w:szCs w:val="22"/>
                <w:lang w:eastAsia="en-IE"/>
              </w:rPr>
              <w:t>Ended</w:t>
            </w:r>
          </w:p>
        </w:tc>
      </w:tr>
      <w:tr w:rsidR="003F0900" w:rsidRPr="00135F6B" w14:paraId="22CFB0AB" w14:textId="77777777" w:rsidTr="003F0900">
        <w:trPr>
          <w:trHeight w:val="278"/>
        </w:trPr>
        <w:tc>
          <w:tcPr>
            <w:tcW w:w="8506" w:type="dxa"/>
            <w:vMerge w:val="restart"/>
            <w:shd w:val="clear" w:color="auto" w:fill="FFFFFF"/>
            <w:vAlign w:val="center"/>
            <w:hideMark/>
          </w:tcPr>
          <w:p w14:paraId="6A3A8785" w14:textId="77777777" w:rsidR="003F0900" w:rsidRPr="003F0900" w:rsidRDefault="003F0900" w:rsidP="001C5897">
            <w:pPr>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w:t>
            </w:r>
          </w:p>
        </w:tc>
        <w:tc>
          <w:tcPr>
            <w:tcW w:w="1134" w:type="dxa"/>
            <w:shd w:val="clear" w:color="auto" w:fill="FFFF00"/>
            <w:vAlign w:val="center"/>
            <w:hideMark/>
          </w:tcPr>
          <w:p w14:paraId="626DE822" w14:textId="77777777" w:rsidR="003F0900" w:rsidRPr="003F0900" w:rsidRDefault="003F0900" w:rsidP="001C5897">
            <w:pPr>
              <w:jc w:val="right"/>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xml:space="preserve">Sep 30, </w:t>
            </w:r>
          </w:p>
        </w:tc>
        <w:tc>
          <w:tcPr>
            <w:tcW w:w="1133" w:type="dxa"/>
            <w:shd w:val="clear" w:color="auto" w:fill="FFFFFF"/>
            <w:vAlign w:val="center"/>
            <w:hideMark/>
          </w:tcPr>
          <w:p w14:paraId="2D6F52FE" w14:textId="77777777" w:rsidR="003F0900" w:rsidRPr="003F0900" w:rsidRDefault="003F0900" w:rsidP="001C5897">
            <w:pPr>
              <w:jc w:val="right"/>
              <w:rPr>
                <w:rFonts w:ascii="Calibri" w:hAnsi="Calibri" w:cs="Calibri"/>
                <w:color w:val="000000"/>
                <w:sz w:val="22"/>
                <w:szCs w:val="22"/>
                <w:lang w:eastAsia="en-IE"/>
              </w:rPr>
            </w:pPr>
            <w:r w:rsidRPr="003F0900">
              <w:rPr>
                <w:rFonts w:ascii="Calibri" w:hAnsi="Calibri" w:cs="Calibri"/>
                <w:color w:val="000000"/>
                <w:sz w:val="22"/>
                <w:szCs w:val="22"/>
                <w:lang w:eastAsia="en-IE"/>
              </w:rPr>
              <w:t xml:space="preserve">Sep 30, </w:t>
            </w:r>
          </w:p>
        </w:tc>
      </w:tr>
      <w:tr w:rsidR="003F0900" w:rsidRPr="00135F6B" w14:paraId="36975267" w14:textId="77777777" w:rsidTr="003F0900">
        <w:trPr>
          <w:trHeight w:val="278"/>
        </w:trPr>
        <w:tc>
          <w:tcPr>
            <w:tcW w:w="8506" w:type="dxa"/>
            <w:vMerge/>
            <w:vAlign w:val="center"/>
            <w:hideMark/>
          </w:tcPr>
          <w:p w14:paraId="14B95429" w14:textId="77777777" w:rsidR="003F0900" w:rsidRPr="003F0900" w:rsidRDefault="003F0900" w:rsidP="001C5897">
            <w:pPr>
              <w:rPr>
                <w:rFonts w:ascii="Calibri" w:hAnsi="Calibri" w:cs="Calibri"/>
                <w:b/>
                <w:bCs/>
                <w:color w:val="000000"/>
                <w:sz w:val="22"/>
                <w:szCs w:val="22"/>
                <w:lang w:eastAsia="en-IE"/>
              </w:rPr>
            </w:pPr>
          </w:p>
        </w:tc>
        <w:tc>
          <w:tcPr>
            <w:tcW w:w="1134" w:type="dxa"/>
            <w:shd w:val="clear" w:color="auto" w:fill="FFFF00"/>
            <w:vAlign w:val="center"/>
            <w:hideMark/>
          </w:tcPr>
          <w:p w14:paraId="24DE59AD" w14:textId="77777777" w:rsidR="003F0900" w:rsidRPr="003F0900" w:rsidRDefault="003F0900" w:rsidP="001C5897">
            <w:pPr>
              <w:jc w:val="right"/>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2023</w:t>
            </w:r>
          </w:p>
        </w:tc>
        <w:tc>
          <w:tcPr>
            <w:tcW w:w="1133" w:type="dxa"/>
            <w:shd w:val="clear" w:color="auto" w:fill="FFFFFF"/>
            <w:vAlign w:val="center"/>
            <w:hideMark/>
          </w:tcPr>
          <w:p w14:paraId="0122FED8" w14:textId="77777777" w:rsidR="003F0900" w:rsidRPr="003F0900" w:rsidRDefault="003F0900" w:rsidP="001C5897">
            <w:pPr>
              <w:jc w:val="right"/>
              <w:rPr>
                <w:rFonts w:ascii="Calibri" w:hAnsi="Calibri" w:cs="Calibri"/>
                <w:color w:val="000000"/>
                <w:sz w:val="22"/>
                <w:szCs w:val="22"/>
                <w:lang w:eastAsia="en-IE"/>
              </w:rPr>
            </w:pPr>
            <w:r w:rsidRPr="003F0900">
              <w:rPr>
                <w:rFonts w:ascii="Calibri" w:hAnsi="Calibri" w:cs="Calibri"/>
                <w:color w:val="000000"/>
                <w:sz w:val="22"/>
                <w:szCs w:val="22"/>
                <w:lang w:eastAsia="en-IE"/>
              </w:rPr>
              <w:t>2022</w:t>
            </w:r>
          </w:p>
        </w:tc>
      </w:tr>
      <w:tr w:rsidR="003F0900" w:rsidRPr="00135F6B" w14:paraId="3B1C813C" w14:textId="77777777" w:rsidTr="003F0900">
        <w:trPr>
          <w:trHeight w:val="297"/>
        </w:trPr>
        <w:tc>
          <w:tcPr>
            <w:tcW w:w="8506" w:type="dxa"/>
            <w:shd w:val="clear" w:color="auto" w:fill="FFFFFF"/>
            <w:vAlign w:val="center"/>
            <w:hideMark/>
          </w:tcPr>
          <w:p w14:paraId="6640FA28" w14:textId="77777777" w:rsidR="003F0900" w:rsidRPr="003F0900" w:rsidRDefault="003F0900" w:rsidP="001C5897">
            <w:pPr>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w:t>
            </w:r>
          </w:p>
        </w:tc>
        <w:tc>
          <w:tcPr>
            <w:tcW w:w="1134" w:type="dxa"/>
            <w:shd w:val="clear" w:color="auto" w:fill="FFFF00"/>
            <w:vAlign w:val="center"/>
            <w:hideMark/>
          </w:tcPr>
          <w:p w14:paraId="65C9B36F" w14:textId="77777777" w:rsidR="003F0900" w:rsidRPr="003F0900" w:rsidRDefault="003F0900" w:rsidP="001C5897">
            <w:pPr>
              <w:jc w:val="right"/>
              <w:rPr>
                <w:rFonts w:ascii="Calibri" w:hAnsi="Calibri" w:cs="Calibri"/>
                <w:b/>
                <w:bCs/>
                <w:color w:val="000000"/>
                <w:sz w:val="22"/>
                <w:szCs w:val="22"/>
                <w:u w:val="single"/>
                <w:lang w:eastAsia="en-IE"/>
              </w:rPr>
            </w:pPr>
            <w:r w:rsidRPr="003F0900">
              <w:rPr>
                <w:rFonts w:ascii="Calibri" w:hAnsi="Calibri" w:cs="Calibri"/>
                <w:b/>
                <w:bCs/>
                <w:color w:val="000000"/>
                <w:sz w:val="22"/>
                <w:szCs w:val="22"/>
                <w:u w:val="single"/>
                <w:lang w:eastAsia="en-IE"/>
              </w:rPr>
              <w:t>€M</w:t>
            </w:r>
          </w:p>
        </w:tc>
        <w:tc>
          <w:tcPr>
            <w:tcW w:w="1133" w:type="dxa"/>
            <w:shd w:val="clear" w:color="auto" w:fill="FFFFFF"/>
            <w:vAlign w:val="center"/>
            <w:hideMark/>
          </w:tcPr>
          <w:p w14:paraId="05F5A08A" w14:textId="77777777" w:rsidR="003F0900" w:rsidRPr="003F0900" w:rsidRDefault="003F0900" w:rsidP="001C5897">
            <w:pPr>
              <w:jc w:val="right"/>
              <w:rPr>
                <w:rFonts w:ascii="Calibri" w:hAnsi="Calibri" w:cs="Calibri"/>
                <w:color w:val="000000"/>
                <w:sz w:val="22"/>
                <w:szCs w:val="22"/>
                <w:u w:val="single"/>
                <w:lang w:eastAsia="en-IE"/>
              </w:rPr>
            </w:pPr>
            <w:r w:rsidRPr="003F0900">
              <w:rPr>
                <w:rFonts w:ascii="Calibri" w:hAnsi="Calibri" w:cs="Calibri"/>
                <w:color w:val="000000"/>
                <w:sz w:val="22"/>
                <w:szCs w:val="22"/>
                <w:u w:val="single"/>
                <w:lang w:eastAsia="en-IE"/>
              </w:rPr>
              <w:t>€M</w:t>
            </w:r>
          </w:p>
        </w:tc>
      </w:tr>
      <w:tr w:rsidR="003F0900" w:rsidRPr="00135F6B" w14:paraId="5B1BAE36" w14:textId="77777777" w:rsidTr="003F0900">
        <w:trPr>
          <w:trHeight w:val="297"/>
        </w:trPr>
        <w:tc>
          <w:tcPr>
            <w:tcW w:w="8506" w:type="dxa"/>
            <w:shd w:val="clear" w:color="auto" w:fill="FFFFFF"/>
            <w:vAlign w:val="center"/>
            <w:hideMark/>
          </w:tcPr>
          <w:p w14:paraId="4F96AFFD" w14:textId="77777777" w:rsidR="003F0900" w:rsidRPr="003F0900" w:rsidRDefault="003F0900" w:rsidP="003F0900">
            <w:pPr>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w:t>
            </w:r>
          </w:p>
        </w:tc>
        <w:tc>
          <w:tcPr>
            <w:tcW w:w="1134" w:type="dxa"/>
            <w:shd w:val="clear" w:color="auto" w:fill="FFFF00"/>
            <w:vAlign w:val="bottom"/>
            <w:hideMark/>
          </w:tcPr>
          <w:p w14:paraId="62EA6AE7" w14:textId="77777777" w:rsidR="003F0900" w:rsidRPr="003F0900" w:rsidRDefault="003F0900" w:rsidP="003F0900">
            <w:pPr>
              <w:rPr>
                <w:rFonts w:ascii="Calibri" w:hAnsi="Calibri" w:cs="Calibri"/>
                <w:b/>
                <w:bCs/>
                <w:color w:val="000000"/>
                <w:sz w:val="22"/>
                <w:szCs w:val="22"/>
                <w:lang w:eastAsia="en-IE"/>
              </w:rPr>
            </w:pPr>
          </w:p>
        </w:tc>
        <w:tc>
          <w:tcPr>
            <w:tcW w:w="1133" w:type="dxa"/>
            <w:shd w:val="clear" w:color="auto" w:fill="FFFFFF"/>
            <w:vAlign w:val="center"/>
            <w:hideMark/>
          </w:tcPr>
          <w:p w14:paraId="561412A2" w14:textId="77777777" w:rsidR="003F0900" w:rsidRPr="003F0900" w:rsidRDefault="003F0900" w:rsidP="003F0900">
            <w:pPr>
              <w:rPr>
                <w:rFonts w:ascii="Calibri" w:eastAsia="Calibri" w:hAnsi="Calibri" w:cs="Calibri"/>
                <w:sz w:val="22"/>
                <w:szCs w:val="22"/>
                <w:lang w:eastAsia="en-IE"/>
              </w:rPr>
            </w:pPr>
          </w:p>
        </w:tc>
      </w:tr>
      <w:tr w:rsidR="003F0900" w:rsidRPr="00135F6B" w14:paraId="21BF6A8C" w14:textId="77777777" w:rsidTr="003F0900">
        <w:trPr>
          <w:trHeight w:val="308"/>
        </w:trPr>
        <w:tc>
          <w:tcPr>
            <w:tcW w:w="8506" w:type="dxa"/>
            <w:shd w:val="clear" w:color="auto" w:fill="FFFFFF"/>
            <w:vAlign w:val="center"/>
            <w:hideMark/>
          </w:tcPr>
          <w:p w14:paraId="4FF733E5" w14:textId="77777777" w:rsidR="003F0900" w:rsidRPr="003F0900" w:rsidRDefault="003F0900" w:rsidP="00A3702E">
            <w:pPr>
              <w:ind w:left="172"/>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Profit for the half-year</w:t>
            </w:r>
          </w:p>
        </w:tc>
        <w:tc>
          <w:tcPr>
            <w:tcW w:w="1134" w:type="dxa"/>
            <w:tcBorders>
              <w:top w:val="nil"/>
              <w:left w:val="nil"/>
              <w:bottom w:val="single" w:sz="8" w:space="0" w:color="auto"/>
              <w:right w:val="nil"/>
            </w:tcBorders>
            <w:shd w:val="clear" w:color="auto" w:fill="FFFF00"/>
          </w:tcPr>
          <w:p w14:paraId="598EAFB5" w14:textId="77777777" w:rsidR="003F0900" w:rsidRPr="003F0900" w:rsidRDefault="003F0900" w:rsidP="003F0900">
            <w:pPr>
              <w:jc w:val="right"/>
              <w:rPr>
                <w:rFonts w:ascii="Calibri" w:hAnsi="Calibri" w:cs="Calibri"/>
                <w:b/>
                <w:bCs/>
                <w:color w:val="000000"/>
                <w:sz w:val="22"/>
                <w:szCs w:val="22"/>
                <w:lang w:eastAsia="en-IE"/>
              </w:rPr>
            </w:pPr>
            <w:r>
              <w:rPr>
                <w:rFonts w:ascii="Calibri" w:hAnsi="Calibri" w:cs="Calibri"/>
                <w:b/>
                <w:bCs/>
                <w:color w:val="000000"/>
                <w:sz w:val="22"/>
                <w:szCs w:val="22"/>
              </w:rPr>
              <w:t>2,178.1</w:t>
            </w:r>
          </w:p>
        </w:tc>
        <w:tc>
          <w:tcPr>
            <w:tcW w:w="1133" w:type="dxa"/>
            <w:tcBorders>
              <w:top w:val="nil"/>
              <w:left w:val="nil"/>
              <w:bottom w:val="single" w:sz="8" w:space="0" w:color="auto"/>
              <w:right w:val="nil"/>
            </w:tcBorders>
            <w:shd w:val="clear" w:color="auto" w:fill="FFFFFF"/>
            <w:hideMark/>
          </w:tcPr>
          <w:p w14:paraId="51F79296" w14:textId="77777777" w:rsidR="003F0900" w:rsidRPr="003F0900" w:rsidRDefault="003F0900" w:rsidP="003F0900">
            <w:pPr>
              <w:jc w:val="right"/>
              <w:rPr>
                <w:rFonts w:ascii="Calibri" w:hAnsi="Calibri" w:cs="Calibri"/>
                <w:color w:val="000000"/>
                <w:sz w:val="22"/>
                <w:szCs w:val="22"/>
                <w:lang w:eastAsia="en-IE"/>
              </w:rPr>
            </w:pPr>
            <w:r>
              <w:rPr>
                <w:rFonts w:ascii="Calibri" w:hAnsi="Calibri" w:cs="Calibri"/>
                <w:color w:val="000000"/>
                <w:sz w:val="22"/>
                <w:szCs w:val="22"/>
              </w:rPr>
              <w:t>1,263.4</w:t>
            </w:r>
          </w:p>
        </w:tc>
      </w:tr>
      <w:tr w:rsidR="003F0900" w:rsidRPr="00135F6B" w14:paraId="520DA63D" w14:textId="77777777" w:rsidTr="003F0900">
        <w:trPr>
          <w:trHeight w:val="297"/>
        </w:trPr>
        <w:tc>
          <w:tcPr>
            <w:tcW w:w="8506" w:type="dxa"/>
            <w:shd w:val="clear" w:color="auto" w:fill="FFFFFF"/>
            <w:vAlign w:val="center"/>
            <w:hideMark/>
          </w:tcPr>
          <w:p w14:paraId="47673F78" w14:textId="77777777" w:rsidR="003F0900" w:rsidRPr="003F0900" w:rsidRDefault="003F0900" w:rsidP="00A3702E">
            <w:pPr>
              <w:ind w:left="172"/>
              <w:rPr>
                <w:rFonts w:ascii="Calibri" w:hAnsi="Calibri" w:cs="Calibri"/>
                <w:color w:val="000000"/>
                <w:sz w:val="22"/>
                <w:szCs w:val="22"/>
                <w:lang w:eastAsia="en-IE"/>
              </w:rPr>
            </w:pPr>
            <w:r w:rsidRPr="003F0900">
              <w:rPr>
                <w:rFonts w:ascii="Calibri" w:hAnsi="Calibri" w:cs="Calibri"/>
                <w:color w:val="000000"/>
                <w:sz w:val="22"/>
                <w:szCs w:val="22"/>
                <w:lang w:eastAsia="en-IE"/>
              </w:rPr>
              <w:t> </w:t>
            </w:r>
          </w:p>
        </w:tc>
        <w:tc>
          <w:tcPr>
            <w:tcW w:w="1134" w:type="dxa"/>
            <w:tcBorders>
              <w:top w:val="single" w:sz="8" w:space="0" w:color="auto"/>
              <w:left w:val="nil"/>
              <w:bottom w:val="nil"/>
              <w:right w:val="nil"/>
            </w:tcBorders>
            <w:shd w:val="clear" w:color="auto" w:fill="FFFF00"/>
            <w:vAlign w:val="bottom"/>
          </w:tcPr>
          <w:p w14:paraId="5EFACACA" w14:textId="77777777" w:rsidR="003F0900" w:rsidRPr="003F0900" w:rsidRDefault="003F0900" w:rsidP="001C5897">
            <w:pPr>
              <w:jc w:val="right"/>
              <w:rPr>
                <w:rFonts w:ascii="Calibri" w:hAnsi="Calibri" w:cs="Calibri"/>
                <w:b/>
                <w:color w:val="000000"/>
                <w:sz w:val="22"/>
                <w:szCs w:val="22"/>
                <w:lang w:eastAsia="en-IE"/>
              </w:rPr>
            </w:pPr>
          </w:p>
        </w:tc>
        <w:tc>
          <w:tcPr>
            <w:tcW w:w="1133" w:type="dxa"/>
            <w:tcBorders>
              <w:top w:val="single" w:sz="8" w:space="0" w:color="auto"/>
              <w:left w:val="nil"/>
              <w:bottom w:val="nil"/>
              <w:right w:val="nil"/>
            </w:tcBorders>
            <w:shd w:val="clear" w:color="auto" w:fill="FFFFFF"/>
            <w:vAlign w:val="center"/>
            <w:hideMark/>
          </w:tcPr>
          <w:p w14:paraId="56428C4F" w14:textId="77777777" w:rsidR="003F0900" w:rsidRPr="003F0900" w:rsidRDefault="003F0900" w:rsidP="001C5897">
            <w:pPr>
              <w:rPr>
                <w:rFonts w:ascii="Calibri" w:eastAsia="Calibri" w:hAnsi="Calibri" w:cs="Calibri"/>
                <w:sz w:val="22"/>
                <w:szCs w:val="22"/>
                <w:lang w:eastAsia="en-IE"/>
              </w:rPr>
            </w:pPr>
          </w:p>
        </w:tc>
      </w:tr>
      <w:tr w:rsidR="003F0900" w:rsidRPr="00135F6B" w14:paraId="38B020EE" w14:textId="77777777" w:rsidTr="003F0900">
        <w:trPr>
          <w:trHeight w:val="297"/>
        </w:trPr>
        <w:tc>
          <w:tcPr>
            <w:tcW w:w="8506" w:type="dxa"/>
            <w:shd w:val="clear" w:color="auto" w:fill="FFFFFF"/>
            <w:vAlign w:val="center"/>
            <w:hideMark/>
          </w:tcPr>
          <w:p w14:paraId="70AF4F71" w14:textId="77777777" w:rsidR="003F0900" w:rsidRPr="003F0900" w:rsidRDefault="003F0900" w:rsidP="00A3702E">
            <w:pPr>
              <w:ind w:left="172"/>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Other comprehensive income/(loss):</w:t>
            </w:r>
          </w:p>
        </w:tc>
        <w:tc>
          <w:tcPr>
            <w:tcW w:w="1134" w:type="dxa"/>
            <w:shd w:val="clear" w:color="auto" w:fill="FFFF00"/>
            <w:vAlign w:val="bottom"/>
          </w:tcPr>
          <w:p w14:paraId="1087A7BA" w14:textId="77777777" w:rsidR="003F0900" w:rsidRPr="003F0900" w:rsidRDefault="003F0900" w:rsidP="001C5897">
            <w:pPr>
              <w:jc w:val="right"/>
              <w:rPr>
                <w:rFonts w:ascii="Calibri" w:hAnsi="Calibri" w:cs="Calibri"/>
                <w:b/>
                <w:bCs/>
                <w:color w:val="000000"/>
                <w:sz w:val="22"/>
                <w:szCs w:val="22"/>
                <w:lang w:eastAsia="en-IE"/>
              </w:rPr>
            </w:pPr>
          </w:p>
        </w:tc>
        <w:tc>
          <w:tcPr>
            <w:tcW w:w="1133" w:type="dxa"/>
            <w:shd w:val="clear" w:color="auto" w:fill="FFFFFF"/>
            <w:vAlign w:val="center"/>
            <w:hideMark/>
          </w:tcPr>
          <w:p w14:paraId="3F3A3FD8" w14:textId="77777777" w:rsidR="003F0900" w:rsidRPr="003F0900" w:rsidRDefault="003F0900" w:rsidP="001C5897">
            <w:pPr>
              <w:rPr>
                <w:rFonts w:ascii="Calibri" w:eastAsia="Calibri" w:hAnsi="Calibri" w:cs="Calibri"/>
                <w:sz w:val="22"/>
                <w:szCs w:val="22"/>
                <w:lang w:eastAsia="en-IE"/>
              </w:rPr>
            </w:pPr>
          </w:p>
        </w:tc>
      </w:tr>
      <w:tr w:rsidR="003F0900" w:rsidRPr="00135F6B" w14:paraId="2D967BDF" w14:textId="77777777" w:rsidTr="003F0900">
        <w:trPr>
          <w:trHeight w:val="297"/>
        </w:trPr>
        <w:tc>
          <w:tcPr>
            <w:tcW w:w="8506" w:type="dxa"/>
            <w:shd w:val="clear" w:color="auto" w:fill="FFFFFF"/>
            <w:vAlign w:val="center"/>
            <w:hideMark/>
          </w:tcPr>
          <w:p w14:paraId="57EC0DAC" w14:textId="77777777" w:rsidR="003F0900" w:rsidRPr="003F0900" w:rsidRDefault="003F0900" w:rsidP="00A3702E">
            <w:pPr>
              <w:ind w:left="172"/>
              <w:rPr>
                <w:rFonts w:ascii="Calibri" w:hAnsi="Calibri" w:cs="Calibri"/>
                <w:b/>
                <w:bCs/>
                <w:i/>
                <w:iCs/>
                <w:color w:val="000000"/>
                <w:sz w:val="22"/>
                <w:szCs w:val="22"/>
                <w:lang w:eastAsia="en-IE"/>
              </w:rPr>
            </w:pPr>
            <w:r w:rsidRPr="003F0900">
              <w:rPr>
                <w:rFonts w:ascii="Calibri" w:hAnsi="Calibri" w:cs="Calibri"/>
                <w:b/>
                <w:bCs/>
                <w:i/>
                <w:iCs/>
                <w:color w:val="000000"/>
                <w:sz w:val="22"/>
                <w:szCs w:val="22"/>
                <w:lang w:eastAsia="en-IE"/>
              </w:rPr>
              <w:t>Items that are or may be reclassified subsequently to profit or loss:</w:t>
            </w:r>
          </w:p>
        </w:tc>
        <w:tc>
          <w:tcPr>
            <w:tcW w:w="1134" w:type="dxa"/>
            <w:shd w:val="clear" w:color="auto" w:fill="FFFF00"/>
            <w:vAlign w:val="bottom"/>
          </w:tcPr>
          <w:p w14:paraId="15D556B4" w14:textId="77777777" w:rsidR="003F0900" w:rsidRPr="003F0900" w:rsidRDefault="003F0900" w:rsidP="001C5897">
            <w:pPr>
              <w:jc w:val="right"/>
              <w:rPr>
                <w:rFonts w:ascii="Calibri" w:hAnsi="Calibri" w:cs="Calibri"/>
                <w:b/>
                <w:bCs/>
                <w:i/>
                <w:iCs/>
                <w:color w:val="000000"/>
                <w:sz w:val="22"/>
                <w:szCs w:val="22"/>
                <w:lang w:eastAsia="en-IE"/>
              </w:rPr>
            </w:pPr>
          </w:p>
        </w:tc>
        <w:tc>
          <w:tcPr>
            <w:tcW w:w="1133" w:type="dxa"/>
            <w:shd w:val="clear" w:color="auto" w:fill="FFFFFF"/>
            <w:vAlign w:val="center"/>
            <w:hideMark/>
          </w:tcPr>
          <w:p w14:paraId="346BFB5A" w14:textId="77777777" w:rsidR="003F0900" w:rsidRPr="003F0900" w:rsidRDefault="003F0900" w:rsidP="001C5897">
            <w:pPr>
              <w:rPr>
                <w:rFonts w:ascii="Calibri" w:eastAsia="Calibri" w:hAnsi="Calibri" w:cs="Calibri"/>
                <w:sz w:val="22"/>
                <w:szCs w:val="22"/>
                <w:lang w:eastAsia="en-IE"/>
              </w:rPr>
            </w:pPr>
          </w:p>
        </w:tc>
      </w:tr>
      <w:tr w:rsidR="003F0900" w:rsidRPr="00135F6B" w14:paraId="5E84F78F" w14:textId="77777777" w:rsidTr="003F0900">
        <w:trPr>
          <w:trHeight w:val="297"/>
        </w:trPr>
        <w:tc>
          <w:tcPr>
            <w:tcW w:w="8506" w:type="dxa"/>
            <w:shd w:val="clear" w:color="auto" w:fill="FFFFFF"/>
            <w:vAlign w:val="center"/>
            <w:hideMark/>
          </w:tcPr>
          <w:p w14:paraId="011ADB21" w14:textId="77777777" w:rsidR="003F0900" w:rsidRPr="003F0900" w:rsidRDefault="003F0900" w:rsidP="00A3702E">
            <w:pPr>
              <w:ind w:left="172"/>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Movements in hedging reserve, net of tax:</w:t>
            </w:r>
          </w:p>
        </w:tc>
        <w:tc>
          <w:tcPr>
            <w:tcW w:w="1134" w:type="dxa"/>
            <w:shd w:val="clear" w:color="auto" w:fill="FFFF00"/>
            <w:vAlign w:val="bottom"/>
          </w:tcPr>
          <w:p w14:paraId="7E552E8B" w14:textId="77777777" w:rsidR="003F0900" w:rsidRPr="003F0900" w:rsidRDefault="003F0900" w:rsidP="001C5897">
            <w:pPr>
              <w:jc w:val="right"/>
              <w:rPr>
                <w:rFonts w:ascii="Calibri" w:hAnsi="Calibri" w:cs="Calibri"/>
                <w:b/>
                <w:bCs/>
                <w:color w:val="000000"/>
                <w:sz w:val="22"/>
                <w:szCs w:val="22"/>
                <w:lang w:eastAsia="en-IE"/>
              </w:rPr>
            </w:pPr>
          </w:p>
        </w:tc>
        <w:tc>
          <w:tcPr>
            <w:tcW w:w="1133" w:type="dxa"/>
            <w:shd w:val="clear" w:color="auto" w:fill="FFFFFF"/>
            <w:vAlign w:val="center"/>
            <w:hideMark/>
          </w:tcPr>
          <w:p w14:paraId="24E7751F" w14:textId="77777777" w:rsidR="003F0900" w:rsidRPr="003F0900" w:rsidRDefault="003F0900" w:rsidP="001C5897">
            <w:pPr>
              <w:rPr>
                <w:rFonts w:ascii="Calibri" w:eastAsia="Calibri" w:hAnsi="Calibri" w:cs="Calibri"/>
                <w:sz w:val="22"/>
                <w:szCs w:val="22"/>
                <w:lang w:eastAsia="en-IE"/>
              </w:rPr>
            </w:pPr>
          </w:p>
        </w:tc>
      </w:tr>
      <w:tr w:rsidR="003F0900" w:rsidRPr="00135F6B" w14:paraId="5A93F1DC" w14:textId="77777777" w:rsidTr="003F0900">
        <w:trPr>
          <w:trHeight w:val="308"/>
        </w:trPr>
        <w:tc>
          <w:tcPr>
            <w:tcW w:w="8506" w:type="dxa"/>
            <w:shd w:val="clear" w:color="auto" w:fill="FFFFFF"/>
            <w:vAlign w:val="center"/>
            <w:hideMark/>
          </w:tcPr>
          <w:p w14:paraId="2E1A05DD" w14:textId="77777777" w:rsidR="003F0900" w:rsidRPr="003F0900" w:rsidRDefault="003F0900" w:rsidP="00A3702E">
            <w:pPr>
              <w:ind w:left="172"/>
              <w:rPr>
                <w:rFonts w:ascii="Calibri" w:hAnsi="Calibri" w:cs="Calibri"/>
                <w:color w:val="000000"/>
                <w:sz w:val="22"/>
                <w:szCs w:val="22"/>
                <w:lang w:eastAsia="en-IE"/>
              </w:rPr>
            </w:pPr>
            <w:r w:rsidRPr="003F0900">
              <w:rPr>
                <w:rFonts w:ascii="Calibri" w:hAnsi="Calibri" w:cs="Calibri"/>
                <w:color w:val="000000"/>
                <w:sz w:val="22"/>
                <w:szCs w:val="22"/>
                <w:lang w:eastAsia="en-IE"/>
              </w:rPr>
              <w:t>Net movement in cash-flow hedge reserve</w:t>
            </w:r>
          </w:p>
        </w:tc>
        <w:tc>
          <w:tcPr>
            <w:tcW w:w="1134" w:type="dxa"/>
            <w:tcBorders>
              <w:top w:val="nil"/>
              <w:left w:val="nil"/>
              <w:bottom w:val="single" w:sz="8" w:space="0" w:color="auto"/>
              <w:right w:val="nil"/>
            </w:tcBorders>
            <w:shd w:val="clear" w:color="auto" w:fill="FFFF00"/>
          </w:tcPr>
          <w:p w14:paraId="375FABC1" w14:textId="77777777" w:rsidR="003F0900" w:rsidRPr="003F0900" w:rsidRDefault="003F0900" w:rsidP="003F0900">
            <w:pPr>
              <w:jc w:val="right"/>
              <w:rPr>
                <w:rFonts w:ascii="Calibri" w:hAnsi="Calibri" w:cs="Calibri"/>
                <w:b/>
                <w:color w:val="000000"/>
                <w:sz w:val="22"/>
                <w:szCs w:val="22"/>
                <w:lang w:eastAsia="en-IE"/>
              </w:rPr>
            </w:pPr>
            <w:r w:rsidRPr="003D595E">
              <w:rPr>
                <w:rFonts w:ascii="Calibri" w:hAnsi="Calibri" w:cs="Calibri"/>
                <w:b/>
                <w:bCs/>
                <w:color w:val="000000"/>
                <w:sz w:val="22"/>
                <w:szCs w:val="22"/>
              </w:rPr>
              <w:t>59</w:t>
            </w:r>
            <w:r>
              <w:rPr>
                <w:rFonts w:ascii="Calibri" w:hAnsi="Calibri" w:cs="Calibri"/>
                <w:b/>
                <w:bCs/>
                <w:color w:val="000000"/>
                <w:sz w:val="22"/>
                <w:szCs w:val="22"/>
              </w:rPr>
              <w:t>4.6</w:t>
            </w:r>
          </w:p>
        </w:tc>
        <w:tc>
          <w:tcPr>
            <w:tcW w:w="1133" w:type="dxa"/>
            <w:tcBorders>
              <w:top w:val="nil"/>
              <w:left w:val="nil"/>
              <w:bottom w:val="single" w:sz="8" w:space="0" w:color="auto"/>
              <w:right w:val="nil"/>
            </w:tcBorders>
            <w:shd w:val="clear" w:color="auto" w:fill="FFFFFF"/>
            <w:hideMark/>
          </w:tcPr>
          <w:p w14:paraId="6C4CD4FD" w14:textId="77777777" w:rsidR="003F0900" w:rsidRPr="003F0900" w:rsidRDefault="003F0900" w:rsidP="003F0900">
            <w:pPr>
              <w:jc w:val="right"/>
              <w:rPr>
                <w:rFonts w:ascii="Calibri" w:hAnsi="Calibri" w:cs="Calibri"/>
                <w:color w:val="000000"/>
                <w:sz w:val="22"/>
                <w:szCs w:val="22"/>
                <w:lang w:eastAsia="en-IE"/>
              </w:rPr>
            </w:pPr>
            <w:r>
              <w:rPr>
                <w:rFonts w:ascii="Calibri" w:hAnsi="Calibri" w:cs="Calibri"/>
                <w:color w:val="000000"/>
                <w:sz w:val="22"/>
                <w:szCs w:val="22"/>
              </w:rPr>
              <w:t>(170.2)</w:t>
            </w:r>
          </w:p>
        </w:tc>
      </w:tr>
      <w:tr w:rsidR="003F0900" w:rsidRPr="00135F6B" w14:paraId="70BDC019" w14:textId="77777777" w:rsidTr="003F0900">
        <w:trPr>
          <w:trHeight w:val="308"/>
        </w:trPr>
        <w:tc>
          <w:tcPr>
            <w:tcW w:w="8506" w:type="dxa"/>
            <w:shd w:val="clear" w:color="auto" w:fill="FFFFFF"/>
            <w:vAlign w:val="center"/>
            <w:hideMark/>
          </w:tcPr>
          <w:p w14:paraId="78B259D0" w14:textId="77777777" w:rsidR="003F0900" w:rsidRPr="003F0900" w:rsidRDefault="003F0900" w:rsidP="00A3702E">
            <w:pPr>
              <w:ind w:left="172"/>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xml:space="preserve">Other comprehensive income/(loss) for the half-year, net of income tax </w:t>
            </w:r>
          </w:p>
        </w:tc>
        <w:tc>
          <w:tcPr>
            <w:tcW w:w="1134" w:type="dxa"/>
            <w:tcBorders>
              <w:top w:val="single" w:sz="8" w:space="0" w:color="auto"/>
              <w:left w:val="nil"/>
              <w:bottom w:val="single" w:sz="8" w:space="0" w:color="auto"/>
              <w:right w:val="nil"/>
            </w:tcBorders>
            <w:shd w:val="clear" w:color="auto" w:fill="FFFF00"/>
          </w:tcPr>
          <w:p w14:paraId="6D2C790B" w14:textId="77777777" w:rsidR="003F0900" w:rsidRPr="003F0900" w:rsidRDefault="003F0900" w:rsidP="003F0900">
            <w:pPr>
              <w:jc w:val="right"/>
              <w:rPr>
                <w:rFonts w:ascii="Calibri" w:hAnsi="Calibri" w:cs="Calibri"/>
                <w:b/>
                <w:bCs/>
                <w:color w:val="000000"/>
                <w:sz w:val="22"/>
                <w:szCs w:val="22"/>
                <w:lang w:eastAsia="en-IE"/>
              </w:rPr>
            </w:pPr>
            <w:r w:rsidRPr="003D595E">
              <w:rPr>
                <w:rFonts w:ascii="Calibri" w:hAnsi="Calibri" w:cs="Calibri"/>
                <w:b/>
                <w:bCs/>
                <w:color w:val="000000"/>
                <w:sz w:val="22"/>
                <w:szCs w:val="22"/>
              </w:rPr>
              <w:t>59</w:t>
            </w:r>
            <w:r>
              <w:rPr>
                <w:rFonts w:ascii="Calibri" w:hAnsi="Calibri" w:cs="Calibri"/>
                <w:b/>
                <w:bCs/>
                <w:color w:val="000000"/>
                <w:sz w:val="22"/>
                <w:szCs w:val="22"/>
              </w:rPr>
              <w:t>4.6</w:t>
            </w:r>
          </w:p>
        </w:tc>
        <w:tc>
          <w:tcPr>
            <w:tcW w:w="1133" w:type="dxa"/>
            <w:tcBorders>
              <w:top w:val="single" w:sz="8" w:space="0" w:color="auto"/>
              <w:left w:val="nil"/>
              <w:bottom w:val="single" w:sz="8" w:space="0" w:color="auto"/>
              <w:right w:val="nil"/>
            </w:tcBorders>
            <w:shd w:val="clear" w:color="auto" w:fill="FFFFFF"/>
            <w:hideMark/>
          </w:tcPr>
          <w:p w14:paraId="5E2C9E32" w14:textId="77777777" w:rsidR="003F0900" w:rsidRPr="003F0900" w:rsidRDefault="003F0900" w:rsidP="003F0900">
            <w:pPr>
              <w:jc w:val="right"/>
              <w:rPr>
                <w:rFonts w:ascii="Calibri" w:hAnsi="Calibri" w:cs="Calibri"/>
                <w:color w:val="000000"/>
                <w:sz w:val="22"/>
                <w:szCs w:val="22"/>
                <w:lang w:eastAsia="en-IE"/>
              </w:rPr>
            </w:pPr>
            <w:r>
              <w:rPr>
                <w:rFonts w:ascii="Calibri" w:hAnsi="Calibri" w:cs="Calibri"/>
                <w:color w:val="000000"/>
                <w:sz w:val="22"/>
                <w:szCs w:val="22"/>
              </w:rPr>
              <w:t>(170.2)</w:t>
            </w:r>
          </w:p>
        </w:tc>
      </w:tr>
      <w:tr w:rsidR="003F0900" w:rsidRPr="00135F6B" w14:paraId="717336A0" w14:textId="77777777" w:rsidTr="00B712C9">
        <w:trPr>
          <w:trHeight w:val="278"/>
        </w:trPr>
        <w:tc>
          <w:tcPr>
            <w:tcW w:w="8506" w:type="dxa"/>
            <w:vMerge w:val="restart"/>
            <w:shd w:val="clear" w:color="auto" w:fill="FFFFFF"/>
            <w:vAlign w:val="bottom"/>
            <w:hideMark/>
          </w:tcPr>
          <w:p w14:paraId="3A7F7A6A" w14:textId="77777777" w:rsidR="003F0900" w:rsidRPr="003F0900" w:rsidRDefault="003F0900" w:rsidP="00A3702E">
            <w:pPr>
              <w:ind w:left="172"/>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Total comprehensive income for the half-year – attributable to equity holders of parent</w:t>
            </w:r>
          </w:p>
        </w:tc>
        <w:tc>
          <w:tcPr>
            <w:tcW w:w="1134" w:type="dxa"/>
            <w:tcBorders>
              <w:top w:val="single" w:sz="8" w:space="0" w:color="auto"/>
              <w:left w:val="nil"/>
              <w:right w:val="nil"/>
            </w:tcBorders>
            <w:shd w:val="clear" w:color="auto" w:fill="FFFF00"/>
            <w:vAlign w:val="center"/>
          </w:tcPr>
          <w:p w14:paraId="47880DBF" w14:textId="77777777" w:rsidR="003F0900" w:rsidRPr="003F0900" w:rsidRDefault="003F0900" w:rsidP="001C5897">
            <w:pPr>
              <w:jc w:val="right"/>
              <w:rPr>
                <w:rFonts w:ascii="Calibri" w:hAnsi="Calibri" w:cs="Calibri"/>
                <w:b/>
                <w:bCs/>
                <w:color w:val="000000"/>
                <w:sz w:val="22"/>
                <w:szCs w:val="22"/>
                <w:lang w:eastAsia="en-IE"/>
              </w:rPr>
            </w:pPr>
          </w:p>
        </w:tc>
        <w:tc>
          <w:tcPr>
            <w:tcW w:w="1133" w:type="dxa"/>
            <w:tcBorders>
              <w:top w:val="single" w:sz="8" w:space="0" w:color="auto"/>
              <w:left w:val="nil"/>
              <w:right w:val="nil"/>
            </w:tcBorders>
            <w:shd w:val="clear" w:color="auto" w:fill="FFFFFF"/>
            <w:vAlign w:val="bottom"/>
            <w:hideMark/>
          </w:tcPr>
          <w:p w14:paraId="49843F0A" w14:textId="77777777" w:rsidR="003F0900" w:rsidRPr="003F0900" w:rsidRDefault="003F0900" w:rsidP="001C5897">
            <w:pPr>
              <w:rPr>
                <w:rFonts w:ascii="Calibri" w:eastAsia="Calibri" w:hAnsi="Calibri" w:cs="Calibri"/>
                <w:sz w:val="22"/>
                <w:szCs w:val="22"/>
                <w:lang w:eastAsia="en-IE"/>
              </w:rPr>
            </w:pPr>
          </w:p>
        </w:tc>
      </w:tr>
      <w:tr w:rsidR="003F0900" w:rsidRPr="00135F6B" w14:paraId="3B5E9D93" w14:textId="77777777" w:rsidTr="00B712C9">
        <w:trPr>
          <w:trHeight w:val="337"/>
        </w:trPr>
        <w:tc>
          <w:tcPr>
            <w:tcW w:w="8506" w:type="dxa"/>
            <w:vMerge/>
            <w:vAlign w:val="center"/>
            <w:hideMark/>
          </w:tcPr>
          <w:p w14:paraId="6C0389B7" w14:textId="77777777" w:rsidR="003F0900" w:rsidRPr="003F0900" w:rsidRDefault="003F0900" w:rsidP="003F0900">
            <w:pPr>
              <w:rPr>
                <w:rFonts w:ascii="Calibri" w:hAnsi="Calibri" w:cs="Calibri"/>
                <w:b/>
                <w:bCs/>
                <w:color w:val="000000"/>
                <w:sz w:val="22"/>
                <w:szCs w:val="22"/>
                <w:lang w:eastAsia="en-IE"/>
              </w:rPr>
            </w:pPr>
          </w:p>
        </w:tc>
        <w:tc>
          <w:tcPr>
            <w:tcW w:w="1134" w:type="dxa"/>
            <w:tcBorders>
              <w:top w:val="nil"/>
              <w:left w:val="nil"/>
              <w:bottom w:val="single" w:sz="12" w:space="0" w:color="auto"/>
              <w:right w:val="nil"/>
            </w:tcBorders>
            <w:shd w:val="clear" w:color="auto" w:fill="FFFF00"/>
            <w:vAlign w:val="center"/>
          </w:tcPr>
          <w:p w14:paraId="5EC71968" w14:textId="77777777" w:rsidR="003F0900" w:rsidRPr="003F0900" w:rsidRDefault="003F0900" w:rsidP="00B712C9">
            <w:pPr>
              <w:jc w:val="right"/>
              <w:rPr>
                <w:rFonts w:ascii="Calibri" w:hAnsi="Calibri" w:cs="Calibri"/>
                <w:b/>
                <w:bCs/>
                <w:color w:val="000000"/>
                <w:sz w:val="22"/>
                <w:szCs w:val="22"/>
              </w:rPr>
            </w:pPr>
            <w:r w:rsidRPr="003D595E">
              <w:rPr>
                <w:rFonts w:ascii="Calibri" w:hAnsi="Calibri" w:cs="Calibri"/>
                <w:b/>
                <w:bCs/>
                <w:color w:val="000000"/>
                <w:sz w:val="22"/>
                <w:szCs w:val="22"/>
              </w:rPr>
              <w:t>2,77</w:t>
            </w:r>
            <w:r>
              <w:rPr>
                <w:rFonts w:ascii="Calibri" w:hAnsi="Calibri" w:cs="Calibri"/>
                <w:b/>
                <w:bCs/>
                <w:color w:val="000000"/>
                <w:sz w:val="22"/>
                <w:szCs w:val="22"/>
              </w:rPr>
              <w:t>2.7</w:t>
            </w:r>
          </w:p>
        </w:tc>
        <w:tc>
          <w:tcPr>
            <w:tcW w:w="1133" w:type="dxa"/>
            <w:tcBorders>
              <w:top w:val="nil"/>
              <w:left w:val="nil"/>
              <w:bottom w:val="single" w:sz="12" w:space="0" w:color="auto"/>
              <w:right w:val="nil"/>
            </w:tcBorders>
            <w:shd w:val="clear" w:color="auto" w:fill="FFFFFF"/>
            <w:vAlign w:val="center"/>
            <w:hideMark/>
          </w:tcPr>
          <w:p w14:paraId="1726823A" w14:textId="77777777" w:rsidR="003F0900" w:rsidRPr="00B712C9" w:rsidRDefault="003F0900" w:rsidP="00B712C9">
            <w:pPr>
              <w:autoSpaceDE w:val="0"/>
              <w:autoSpaceDN w:val="0"/>
              <w:adjustRightInd w:val="0"/>
              <w:jc w:val="right"/>
              <w:rPr>
                <w:rFonts w:ascii="Calibri" w:hAnsi="Calibri" w:cs="Calibri"/>
                <w:color w:val="000000"/>
                <w:sz w:val="22"/>
                <w:szCs w:val="22"/>
              </w:rPr>
            </w:pPr>
            <w:r w:rsidRPr="00B712C9">
              <w:rPr>
                <w:rFonts w:ascii="Calibri" w:hAnsi="Calibri" w:cs="Calibri"/>
                <w:color w:val="000000"/>
                <w:sz w:val="22"/>
                <w:szCs w:val="22"/>
              </w:rPr>
              <w:t>1,093.2</w:t>
            </w:r>
          </w:p>
        </w:tc>
      </w:tr>
    </w:tbl>
    <w:p w14:paraId="37CFD437" w14:textId="77777777" w:rsidR="008B5798" w:rsidRDefault="008B5798" w:rsidP="00DD299A">
      <w:pPr>
        <w:rPr>
          <w:rFonts w:ascii="Calibri" w:hAnsi="Calibri" w:cs="Calibri"/>
          <w:b/>
          <w:bCs/>
          <w:color w:val="000000"/>
          <w:sz w:val="22"/>
          <w:szCs w:val="22"/>
        </w:rPr>
      </w:pPr>
    </w:p>
    <w:p w14:paraId="3B0D0438" w14:textId="77777777" w:rsidR="003F0900" w:rsidRDefault="003F0900" w:rsidP="003F0900">
      <w:pPr>
        <w:autoSpaceDE w:val="0"/>
        <w:autoSpaceDN w:val="0"/>
        <w:adjustRightInd w:val="0"/>
        <w:rPr>
          <w:rFonts w:ascii="Calibri" w:hAnsi="Calibri" w:cs="Calibri"/>
          <w:b/>
          <w:bCs/>
          <w:color w:val="000000"/>
        </w:rPr>
      </w:pPr>
    </w:p>
    <w:p w14:paraId="7D67A1B2" w14:textId="77777777" w:rsidR="003F0900" w:rsidRPr="00835E4A" w:rsidRDefault="003F0900" w:rsidP="00A3702E">
      <w:pPr>
        <w:autoSpaceDE w:val="0"/>
        <w:autoSpaceDN w:val="0"/>
        <w:adjustRightInd w:val="0"/>
        <w:ind w:left="142"/>
        <w:rPr>
          <w:rFonts w:ascii="Calibri" w:hAnsi="Calibri" w:cs="Calibri"/>
          <w:b/>
          <w:bCs/>
          <w:color w:val="000000"/>
        </w:rPr>
      </w:pPr>
      <w:r w:rsidRPr="00835E4A">
        <w:rPr>
          <w:rFonts w:ascii="Calibri" w:hAnsi="Calibri" w:cs="Calibri"/>
          <w:b/>
          <w:bCs/>
          <w:color w:val="000000"/>
        </w:rPr>
        <w:t xml:space="preserve">Ryanair Holdings plc and Subsidiaries </w:t>
      </w:r>
    </w:p>
    <w:p w14:paraId="0BB32334" w14:textId="77777777" w:rsidR="008C4A6F" w:rsidRDefault="003F0900" w:rsidP="00A3702E">
      <w:pPr>
        <w:widowControl w:val="0"/>
        <w:ind w:left="142" w:right="-284"/>
        <w:rPr>
          <w:rFonts w:ascii="Calibri" w:hAnsi="Calibri" w:cs="Calibri"/>
          <w:b/>
          <w:bCs/>
          <w:i/>
          <w:iCs/>
          <w:color w:val="000000"/>
        </w:rPr>
      </w:pPr>
      <w:r w:rsidRPr="00394DE2">
        <w:rPr>
          <w:rFonts w:ascii="Calibri" w:hAnsi="Calibri" w:cs="Calibri"/>
          <w:b/>
          <w:bCs/>
          <w:i/>
          <w:iCs/>
          <w:color w:val="000000"/>
        </w:rPr>
        <w:t xml:space="preserve">Condensed Consolidated Interim Statement of Comprehensive Income for Quarter Ended </w:t>
      </w:r>
      <w:r>
        <w:rPr>
          <w:rFonts w:ascii="Calibri" w:hAnsi="Calibri" w:cs="Calibri"/>
          <w:b/>
          <w:bCs/>
          <w:i/>
          <w:iCs/>
          <w:color w:val="000000"/>
        </w:rPr>
        <w:t>September</w:t>
      </w:r>
      <w:r w:rsidR="008C4A6F">
        <w:rPr>
          <w:rFonts w:ascii="Calibri" w:hAnsi="Calibri" w:cs="Calibri"/>
          <w:b/>
          <w:bCs/>
          <w:i/>
          <w:iCs/>
          <w:color w:val="000000"/>
        </w:rPr>
        <w:t xml:space="preserve"> </w:t>
      </w:r>
      <w:r w:rsidRPr="00394DE2">
        <w:rPr>
          <w:rFonts w:ascii="Calibri" w:hAnsi="Calibri" w:cs="Calibri"/>
          <w:b/>
          <w:bCs/>
          <w:i/>
          <w:iCs/>
          <w:color w:val="000000"/>
        </w:rPr>
        <w:t>30,</w:t>
      </w:r>
    </w:p>
    <w:p w14:paraId="725A26FA" w14:textId="77777777" w:rsidR="003F0900" w:rsidRPr="00394DE2" w:rsidRDefault="003F0900" w:rsidP="00A3702E">
      <w:pPr>
        <w:widowControl w:val="0"/>
        <w:ind w:left="142" w:right="-284"/>
        <w:rPr>
          <w:rFonts w:ascii="Calibri" w:hAnsi="Calibri" w:cs="Calibri"/>
          <w:b/>
          <w:bCs/>
          <w:i/>
          <w:iCs/>
          <w:color w:val="000000"/>
        </w:rPr>
      </w:pPr>
      <w:r w:rsidRPr="00394DE2">
        <w:rPr>
          <w:rFonts w:ascii="Calibri" w:hAnsi="Calibri" w:cs="Calibri"/>
          <w:b/>
          <w:bCs/>
          <w:i/>
          <w:iCs/>
          <w:color w:val="000000"/>
        </w:rPr>
        <w:t>2023 (unaudited)</w:t>
      </w:r>
    </w:p>
    <w:p w14:paraId="079641A8" w14:textId="77777777" w:rsidR="003F0900" w:rsidRPr="003F0900" w:rsidRDefault="003F0900" w:rsidP="003F0900">
      <w:pPr>
        <w:widowControl w:val="0"/>
        <w:rPr>
          <w:rFonts w:ascii="Calibri" w:hAnsi="Calibri" w:cs="Calibri"/>
          <w:b/>
          <w:bCs/>
          <w:i/>
          <w:iCs/>
          <w:color w:val="000000"/>
          <w:sz w:val="22"/>
          <w:szCs w:val="22"/>
        </w:rPr>
      </w:pPr>
    </w:p>
    <w:tbl>
      <w:tblPr>
        <w:tblW w:w="10664" w:type="dxa"/>
        <w:tblInd w:w="108" w:type="dxa"/>
        <w:tblLook w:val="04A0" w:firstRow="1" w:lastRow="0" w:firstColumn="1" w:lastColumn="0" w:noHBand="0" w:noVBand="1"/>
      </w:tblPr>
      <w:tblGrid>
        <w:gridCol w:w="8397"/>
        <w:gridCol w:w="1134"/>
        <w:gridCol w:w="1133"/>
      </w:tblGrid>
      <w:tr w:rsidR="003F0900" w:rsidRPr="003F0900" w14:paraId="57DAD779" w14:textId="77777777" w:rsidTr="007A1281">
        <w:trPr>
          <w:trHeight w:val="297"/>
        </w:trPr>
        <w:tc>
          <w:tcPr>
            <w:tcW w:w="8397" w:type="dxa"/>
            <w:shd w:val="clear" w:color="auto" w:fill="FFFFFF"/>
            <w:vAlign w:val="center"/>
            <w:hideMark/>
          </w:tcPr>
          <w:p w14:paraId="2A616ED3" w14:textId="77777777" w:rsidR="003F0900" w:rsidRPr="003F0900" w:rsidRDefault="003F0900" w:rsidP="001C5897">
            <w:pPr>
              <w:rPr>
                <w:rFonts w:ascii="Calibri" w:hAnsi="Calibri" w:cs="Calibri"/>
                <w:b/>
                <w:bCs/>
                <w:color w:val="000000"/>
                <w:sz w:val="22"/>
                <w:szCs w:val="22"/>
                <w:lang w:eastAsia="en-IE"/>
              </w:rPr>
            </w:pPr>
          </w:p>
        </w:tc>
        <w:tc>
          <w:tcPr>
            <w:tcW w:w="1134" w:type="dxa"/>
            <w:shd w:val="clear" w:color="auto" w:fill="FFFF00"/>
            <w:vAlign w:val="center"/>
            <w:hideMark/>
          </w:tcPr>
          <w:p w14:paraId="76E54F3E" w14:textId="77777777" w:rsidR="003F0900" w:rsidRPr="003F0900" w:rsidRDefault="003F0900" w:rsidP="003F0900">
            <w:pPr>
              <w:jc w:val="right"/>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Quarter</w:t>
            </w:r>
          </w:p>
        </w:tc>
        <w:tc>
          <w:tcPr>
            <w:tcW w:w="1133" w:type="dxa"/>
            <w:shd w:val="clear" w:color="auto" w:fill="FFFFFF"/>
            <w:vAlign w:val="center"/>
            <w:hideMark/>
          </w:tcPr>
          <w:p w14:paraId="561DFF60" w14:textId="77777777" w:rsidR="003F0900" w:rsidRPr="003F0900" w:rsidRDefault="003F0900" w:rsidP="007A1281">
            <w:pPr>
              <w:ind w:right="70"/>
              <w:jc w:val="right"/>
              <w:rPr>
                <w:rFonts w:ascii="Calibri" w:hAnsi="Calibri" w:cs="Calibri"/>
                <w:color w:val="000000"/>
                <w:sz w:val="22"/>
                <w:szCs w:val="22"/>
                <w:lang w:eastAsia="en-IE"/>
              </w:rPr>
            </w:pPr>
            <w:r w:rsidRPr="003F0900">
              <w:rPr>
                <w:rFonts w:ascii="Calibri" w:hAnsi="Calibri" w:cs="Calibri"/>
                <w:color w:val="000000"/>
                <w:sz w:val="22"/>
                <w:szCs w:val="22"/>
                <w:lang w:eastAsia="en-IE"/>
              </w:rPr>
              <w:t>Quarter</w:t>
            </w:r>
          </w:p>
        </w:tc>
      </w:tr>
      <w:tr w:rsidR="003F0900" w:rsidRPr="003F0900" w14:paraId="0B4B1503" w14:textId="77777777" w:rsidTr="007A1281">
        <w:trPr>
          <w:trHeight w:val="297"/>
        </w:trPr>
        <w:tc>
          <w:tcPr>
            <w:tcW w:w="8397" w:type="dxa"/>
            <w:shd w:val="clear" w:color="auto" w:fill="FFFFFF"/>
            <w:vAlign w:val="center"/>
            <w:hideMark/>
          </w:tcPr>
          <w:p w14:paraId="01890F62" w14:textId="77777777" w:rsidR="003F0900" w:rsidRPr="003F0900" w:rsidRDefault="003F0900" w:rsidP="001C5897">
            <w:pPr>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w:t>
            </w:r>
          </w:p>
        </w:tc>
        <w:tc>
          <w:tcPr>
            <w:tcW w:w="1134" w:type="dxa"/>
            <w:shd w:val="clear" w:color="auto" w:fill="FFFF00"/>
            <w:vAlign w:val="center"/>
            <w:hideMark/>
          </w:tcPr>
          <w:p w14:paraId="021FCE97" w14:textId="77777777" w:rsidR="003F0900" w:rsidRPr="003F0900" w:rsidRDefault="003F0900" w:rsidP="003F0900">
            <w:pPr>
              <w:jc w:val="right"/>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Ended</w:t>
            </w:r>
          </w:p>
        </w:tc>
        <w:tc>
          <w:tcPr>
            <w:tcW w:w="1133" w:type="dxa"/>
            <w:shd w:val="clear" w:color="auto" w:fill="FFFFFF"/>
            <w:vAlign w:val="center"/>
            <w:hideMark/>
          </w:tcPr>
          <w:p w14:paraId="19451BE0" w14:textId="77777777" w:rsidR="003F0900" w:rsidRPr="003F0900" w:rsidRDefault="003F0900" w:rsidP="007A1281">
            <w:pPr>
              <w:ind w:right="70"/>
              <w:jc w:val="right"/>
              <w:rPr>
                <w:rFonts w:ascii="Calibri" w:hAnsi="Calibri" w:cs="Calibri"/>
                <w:color w:val="000000"/>
                <w:sz w:val="22"/>
                <w:szCs w:val="22"/>
                <w:lang w:eastAsia="en-IE"/>
              </w:rPr>
            </w:pPr>
            <w:r w:rsidRPr="003F0900">
              <w:rPr>
                <w:rFonts w:ascii="Calibri" w:hAnsi="Calibri" w:cs="Calibri"/>
                <w:color w:val="000000"/>
                <w:sz w:val="22"/>
                <w:szCs w:val="22"/>
                <w:lang w:eastAsia="en-IE"/>
              </w:rPr>
              <w:t>Ended</w:t>
            </w:r>
          </w:p>
        </w:tc>
      </w:tr>
      <w:tr w:rsidR="003F0900" w:rsidRPr="003F0900" w14:paraId="5813A5B5" w14:textId="77777777" w:rsidTr="007A1281">
        <w:trPr>
          <w:trHeight w:val="278"/>
        </w:trPr>
        <w:tc>
          <w:tcPr>
            <w:tcW w:w="8397" w:type="dxa"/>
            <w:vMerge w:val="restart"/>
            <w:shd w:val="clear" w:color="auto" w:fill="FFFFFF"/>
            <w:vAlign w:val="center"/>
            <w:hideMark/>
          </w:tcPr>
          <w:p w14:paraId="5A71DADC" w14:textId="77777777" w:rsidR="003F0900" w:rsidRPr="003F0900" w:rsidRDefault="003F0900" w:rsidP="001C5897">
            <w:pPr>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w:t>
            </w:r>
          </w:p>
        </w:tc>
        <w:tc>
          <w:tcPr>
            <w:tcW w:w="1134" w:type="dxa"/>
            <w:shd w:val="clear" w:color="auto" w:fill="FFFF00"/>
            <w:vAlign w:val="center"/>
            <w:hideMark/>
          </w:tcPr>
          <w:p w14:paraId="5CE6060B" w14:textId="77777777" w:rsidR="003F0900" w:rsidRPr="003F0900" w:rsidRDefault="003F0900" w:rsidP="003F0900">
            <w:pPr>
              <w:jc w:val="right"/>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xml:space="preserve">Sep 30, </w:t>
            </w:r>
          </w:p>
        </w:tc>
        <w:tc>
          <w:tcPr>
            <w:tcW w:w="1133" w:type="dxa"/>
            <w:shd w:val="clear" w:color="auto" w:fill="FFFFFF"/>
            <w:vAlign w:val="center"/>
            <w:hideMark/>
          </w:tcPr>
          <w:p w14:paraId="7F82CD87" w14:textId="77777777" w:rsidR="003F0900" w:rsidRPr="003F0900" w:rsidRDefault="003F0900" w:rsidP="007A1281">
            <w:pPr>
              <w:ind w:right="70"/>
              <w:jc w:val="right"/>
              <w:rPr>
                <w:rFonts w:ascii="Calibri" w:hAnsi="Calibri" w:cs="Calibri"/>
                <w:color w:val="000000"/>
                <w:sz w:val="22"/>
                <w:szCs w:val="22"/>
                <w:lang w:eastAsia="en-IE"/>
              </w:rPr>
            </w:pPr>
            <w:r w:rsidRPr="003F0900">
              <w:rPr>
                <w:rFonts w:ascii="Calibri" w:hAnsi="Calibri" w:cs="Calibri"/>
                <w:color w:val="000000"/>
                <w:sz w:val="22"/>
                <w:szCs w:val="22"/>
                <w:lang w:eastAsia="en-IE"/>
              </w:rPr>
              <w:t xml:space="preserve">Sep 30, </w:t>
            </w:r>
          </w:p>
        </w:tc>
      </w:tr>
      <w:tr w:rsidR="003F0900" w:rsidRPr="003F0900" w14:paraId="02B8E9C1" w14:textId="77777777" w:rsidTr="007A1281">
        <w:trPr>
          <w:trHeight w:val="278"/>
        </w:trPr>
        <w:tc>
          <w:tcPr>
            <w:tcW w:w="8397" w:type="dxa"/>
            <w:vMerge/>
            <w:vAlign w:val="center"/>
            <w:hideMark/>
          </w:tcPr>
          <w:p w14:paraId="04C8FFBA" w14:textId="77777777" w:rsidR="003F0900" w:rsidRPr="003F0900" w:rsidRDefault="003F0900" w:rsidP="001C5897">
            <w:pPr>
              <w:rPr>
                <w:rFonts w:ascii="Calibri" w:hAnsi="Calibri" w:cs="Calibri"/>
                <w:b/>
                <w:bCs/>
                <w:color w:val="000000"/>
                <w:sz w:val="22"/>
                <w:szCs w:val="22"/>
                <w:lang w:eastAsia="en-IE"/>
              </w:rPr>
            </w:pPr>
          </w:p>
        </w:tc>
        <w:tc>
          <w:tcPr>
            <w:tcW w:w="1134" w:type="dxa"/>
            <w:shd w:val="clear" w:color="auto" w:fill="FFFF00"/>
            <w:vAlign w:val="center"/>
            <w:hideMark/>
          </w:tcPr>
          <w:p w14:paraId="2E07366C" w14:textId="77777777" w:rsidR="003F0900" w:rsidRPr="003F0900" w:rsidRDefault="003F0900" w:rsidP="003F0900">
            <w:pPr>
              <w:jc w:val="right"/>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2023</w:t>
            </w:r>
          </w:p>
        </w:tc>
        <w:tc>
          <w:tcPr>
            <w:tcW w:w="1133" w:type="dxa"/>
            <w:shd w:val="clear" w:color="auto" w:fill="FFFFFF"/>
            <w:vAlign w:val="center"/>
            <w:hideMark/>
          </w:tcPr>
          <w:p w14:paraId="65BF9B62" w14:textId="77777777" w:rsidR="003F0900" w:rsidRPr="003F0900" w:rsidRDefault="003F0900" w:rsidP="007A1281">
            <w:pPr>
              <w:ind w:right="70"/>
              <w:jc w:val="right"/>
              <w:rPr>
                <w:rFonts w:ascii="Calibri" w:hAnsi="Calibri" w:cs="Calibri"/>
                <w:color w:val="000000"/>
                <w:sz w:val="22"/>
                <w:szCs w:val="22"/>
                <w:lang w:eastAsia="en-IE"/>
              </w:rPr>
            </w:pPr>
            <w:r w:rsidRPr="003F0900">
              <w:rPr>
                <w:rFonts w:ascii="Calibri" w:hAnsi="Calibri" w:cs="Calibri"/>
                <w:color w:val="000000"/>
                <w:sz w:val="22"/>
                <w:szCs w:val="22"/>
                <w:lang w:eastAsia="en-IE"/>
              </w:rPr>
              <w:t>2022</w:t>
            </w:r>
          </w:p>
        </w:tc>
      </w:tr>
      <w:tr w:rsidR="003F0900" w:rsidRPr="003F0900" w14:paraId="1586EC84" w14:textId="77777777" w:rsidTr="007A1281">
        <w:trPr>
          <w:trHeight w:val="297"/>
        </w:trPr>
        <w:tc>
          <w:tcPr>
            <w:tcW w:w="8397" w:type="dxa"/>
            <w:shd w:val="clear" w:color="auto" w:fill="FFFFFF"/>
            <w:vAlign w:val="center"/>
            <w:hideMark/>
          </w:tcPr>
          <w:p w14:paraId="0AEC3ADA" w14:textId="77777777" w:rsidR="003F0900" w:rsidRPr="003F0900" w:rsidRDefault="003F0900" w:rsidP="001C5897">
            <w:pPr>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w:t>
            </w:r>
          </w:p>
        </w:tc>
        <w:tc>
          <w:tcPr>
            <w:tcW w:w="1134" w:type="dxa"/>
            <w:shd w:val="clear" w:color="auto" w:fill="FFFF00"/>
            <w:vAlign w:val="center"/>
            <w:hideMark/>
          </w:tcPr>
          <w:p w14:paraId="239A7758" w14:textId="77777777" w:rsidR="003F0900" w:rsidRPr="003F0900" w:rsidRDefault="003F0900" w:rsidP="003F0900">
            <w:pPr>
              <w:jc w:val="right"/>
              <w:rPr>
                <w:rFonts w:ascii="Calibri" w:hAnsi="Calibri" w:cs="Calibri"/>
                <w:b/>
                <w:bCs/>
                <w:color w:val="000000"/>
                <w:sz w:val="22"/>
                <w:szCs w:val="22"/>
                <w:u w:val="single"/>
                <w:lang w:eastAsia="en-IE"/>
              </w:rPr>
            </w:pPr>
            <w:r w:rsidRPr="003F0900">
              <w:rPr>
                <w:rFonts w:ascii="Calibri" w:hAnsi="Calibri" w:cs="Calibri"/>
                <w:b/>
                <w:bCs/>
                <w:color w:val="000000"/>
                <w:sz w:val="22"/>
                <w:szCs w:val="22"/>
                <w:u w:val="single"/>
                <w:lang w:eastAsia="en-IE"/>
              </w:rPr>
              <w:t>€M</w:t>
            </w:r>
          </w:p>
        </w:tc>
        <w:tc>
          <w:tcPr>
            <w:tcW w:w="1133" w:type="dxa"/>
            <w:shd w:val="clear" w:color="auto" w:fill="FFFFFF"/>
            <w:vAlign w:val="center"/>
            <w:hideMark/>
          </w:tcPr>
          <w:p w14:paraId="77E133A3" w14:textId="77777777" w:rsidR="003F0900" w:rsidRPr="003F0900" w:rsidRDefault="003F0900" w:rsidP="007A1281">
            <w:pPr>
              <w:ind w:right="70"/>
              <w:jc w:val="right"/>
              <w:rPr>
                <w:rFonts w:ascii="Calibri" w:hAnsi="Calibri" w:cs="Calibri"/>
                <w:color w:val="000000"/>
                <w:sz w:val="22"/>
                <w:szCs w:val="22"/>
                <w:u w:val="single"/>
                <w:lang w:eastAsia="en-IE"/>
              </w:rPr>
            </w:pPr>
            <w:r w:rsidRPr="003F0900">
              <w:rPr>
                <w:rFonts w:ascii="Calibri" w:hAnsi="Calibri" w:cs="Calibri"/>
                <w:color w:val="000000"/>
                <w:sz w:val="22"/>
                <w:szCs w:val="22"/>
                <w:u w:val="single"/>
                <w:lang w:eastAsia="en-IE"/>
              </w:rPr>
              <w:t>€M</w:t>
            </w:r>
          </w:p>
        </w:tc>
      </w:tr>
      <w:tr w:rsidR="003F0900" w:rsidRPr="003F0900" w14:paraId="511C0D77" w14:textId="77777777" w:rsidTr="007A1281">
        <w:trPr>
          <w:trHeight w:val="297"/>
        </w:trPr>
        <w:tc>
          <w:tcPr>
            <w:tcW w:w="8397" w:type="dxa"/>
            <w:shd w:val="clear" w:color="auto" w:fill="FFFFFF"/>
            <w:vAlign w:val="center"/>
            <w:hideMark/>
          </w:tcPr>
          <w:p w14:paraId="742C3C39" w14:textId="77777777" w:rsidR="003F0900" w:rsidRPr="003F0900" w:rsidRDefault="003F0900" w:rsidP="001C5897">
            <w:pPr>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w:t>
            </w:r>
          </w:p>
        </w:tc>
        <w:tc>
          <w:tcPr>
            <w:tcW w:w="1134" w:type="dxa"/>
            <w:shd w:val="clear" w:color="auto" w:fill="FFFF00"/>
            <w:vAlign w:val="bottom"/>
            <w:hideMark/>
          </w:tcPr>
          <w:p w14:paraId="600F405B" w14:textId="77777777" w:rsidR="003F0900" w:rsidRPr="003F0900" w:rsidRDefault="003F0900" w:rsidP="003F0900">
            <w:pPr>
              <w:rPr>
                <w:rFonts w:ascii="Calibri" w:hAnsi="Calibri" w:cs="Calibri"/>
                <w:b/>
                <w:bCs/>
                <w:color w:val="000000"/>
                <w:sz w:val="22"/>
                <w:szCs w:val="22"/>
                <w:lang w:eastAsia="en-IE"/>
              </w:rPr>
            </w:pPr>
          </w:p>
        </w:tc>
        <w:tc>
          <w:tcPr>
            <w:tcW w:w="1133" w:type="dxa"/>
            <w:shd w:val="clear" w:color="auto" w:fill="FFFFFF"/>
            <w:vAlign w:val="center"/>
            <w:hideMark/>
          </w:tcPr>
          <w:p w14:paraId="4424C165" w14:textId="77777777" w:rsidR="003F0900" w:rsidRPr="003F0900" w:rsidRDefault="003F0900" w:rsidP="007A1281">
            <w:pPr>
              <w:ind w:right="70"/>
              <w:rPr>
                <w:rFonts w:ascii="Calibri" w:eastAsia="Calibri" w:hAnsi="Calibri" w:cs="Calibri"/>
                <w:sz w:val="22"/>
                <w:szCs w:val="22"/>
                <w:lang w:eastAsia="en-IE"/>
              </w:rPr>
            </w:pPr>
          </w:p>
        </w:tc>
      </w:tr>
      <w:tr w:rsidR="003F0900" w:rsidRPr="003F0900" w14:paraId="30636C52" w14:textId="77777777" w:rsidTr="007A1281">
        <w:trPr>
          <w:trHeight w:val="308"/>
        </w:trPr>
        <w:tc>
          <w:tcPr>
            <w:tcW w:w="8397" w:type="dxa"/>
            <w:shd w:val="clear" w:color="auto" w:fill="FFFFFF"/>
            <w:vAlign w:val="center"/>
            <w:hideMark/>
          </w:tcPr>
          <w:p w14:paraId="3C3D7CE6" w14:textId="77777777" w:rsidR="003F0900" w:rsidRPr="003F0900" w:rsidRDefault="003F0900" w:rsidP="00A3702E">
            <w:pPr>
              <w:ind w:firstLine="37"/>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xml:space="preserve">Profit for the </w:t>
            </w:r>
            <w:r w:rsidR="003725C9">
              <w:rPr>
                <w:rFonts w:ascii="Calibri" w:hAnsi="Calibri" w:cs="Calibri"/>
                <w:b/>
                <w:bCs/>
                <w:color w:val="000000"/>
                <w:sz w:val="22"/>
                <w:szCs w:val="22"/>
                <w:lang w:eastAsia="en-IE"/>
              </w:rPr>
              <w:t>q</w:t>
            </w:r>
            <w:r w:rsidRPr="003F0900">
              <w:rPr>
                <w:rFonts w:ascii="Calibri" w:hAnsi="Calibri" w:cs="Calibri"/>
                <w:b/>
                <w:bCs/>
                <w:color w:val="000000"/>
                <w:sz w:val="22"/>
                <w:szCs w:val="22"/>
                <w:lang w:eastAsia="en-IE"/>
              </w:rPr>
              <w:t>uarter</w:t>
            </w:r>
          </w:p>
        </w:tc>
        <w:tc>
          <w:tcPr>
            <w:tcW w:w="1134" w:type="dxa"/>
            <w:tcBorders>
              <w:top w:val="nil"/>
              <w:left w:val="nil"/>
              <w:bottom w:val="single" w:sz="8" w:space="0" w:color="auto"/>
              <w:right w:val="nil"/>
            </w:tcBorders>
            <w:shd w:val="clear" w:color="auto" w:fill="FFFF00"/>
          </w:tcPr>
          <w:p w14:paraId="1DED6843" w14:textId="77777777" w:rsidR="003F0900" w:rsidRPr="003F0900" w:rsidRDefault="003F0900" w:rsidP="003F0900">
            <w:pPr>
              <w:jc w:val="right"/>
              <w:rPr>
                <w:rFonts w:ascii="Calibri" w:hAnsi="Calibri" w:cs="Calibri"/>
                <w:b/>
                <w:bCs/>
                <w:color w:val="000000"/>
                <w:sz w:val="22"/>
                <w:szCs w:val="22"/>
                <w:lang w:eastAsia="en-IE"/>
              </w:rPr>
            </w:pPr>
            <w:r w:rsidRPr="003F0900">
              <w:rPr>
                <w:rFonts w:ascii="Calibri" w:hAnsi="Calibri" w:cs="Calibri"/>
                <w:b/>
                <w:bCs/>
                <w:color w:val="000000"/>
                <w:sz w:val="22"/>
                <w:szCs w:val="22"/>
              </w:rPr>
              <w:t>1,515.2</w:t>
            </w:r>
          </w:p>
        </w:tc>
        <w:tc>
          <w:tcPr>
            <w:tcW w:w="1133" w:type="dxa"/>
            <w:tcBorders>
              <w:top w:val="nil"/>
              <w:left w:val="nil"/>
              <w:bottom w:val="single" w:sz="8" w:space="0" w:color="auto"/>
              <w:right w:val="nil"/>
            </w:tcBorders>
            <w:shd w:val="clear" w:color="auto" w:fill="FFFFFF"/>
            <w:hideMark/>
          </w:tcPr>
          <w:p w14:paraId="37C58A9D" w14:textId="77777777" w:rsidR="003F0900" w:rsidRPr="003F0900" w:rsidRDefault="003F0900" w:rsidP="007A1281">
            <w:pPr>
              <w:ind w:right="70"/>
              <w:jc w:val="right"/>
              <w:rPr>
                <w:rFonts w:ascii="Calibri" w:hAnsi="Calibri" w:cs="Calibri"/>
                <w:color w:val="000000"/>
                <w:sz w:val="22"/>
                <w:szCs w:val="22"/>
                <w:lang w:eastAsia="en-IE"/>
              </w:rPr>
            </w:pPr>
            <w:r w:rsidRPr="003F0900">
              <w:rPr>
                <w:rFonts w:ascii="Calibri" w:hAnsi="Calibri" w:cs="Calibri"/>
                <w:color w:val="000000"/>
                <w:sz w:val="22"/>
                <w:szCs w:val="22"/>
              </w:rPr>
              <w:t>1,075.9</w:t>
            </w:r>
          </w:p>
        </w:tc>
      </w:tr>
      <w:tr w:rsidR="003F0900" w:rsidRPr="003F0900" w14:paraId="2C1D0D82" w14:textId="77777777" w:rsidTr="007A1281">
        <w:trPr>
          <w:trHeight w:val="297"/>
        </w:trPr>
        <w:tc>
          <w:tcPr>
            <w:tcW w:w="8397" w:type="dxa"/>
            <w:shd w:val="clear" w:color="auto" w:fill="FFFFFF"/>
            <w:vAlign w:val="center"/>
            <w:hideMark/>
          </w:tcPr>
          <w:p w14:paraId="713F63F9" w14:textId="77777777" w:rsidR="003F0900" w:rsidRPr="003F0900" w:rsidRDefault="003F0900" w:rsidP="00A3702E">
            <w:pPr>
              <w:ind w:firstLine="37"/>
              <w:rPr>
                <w:rFonts w:ascii="Calibri" w:hAnsi="Calibri" w:cs="Calibri"/>
                <w:color w:val="000000"/>
                <w:sz w:val="22"/>
                <w:szCs w:val="22"/>
                <w:lang w:eastAsia="en-IE"/>
              </w:rPr>
            </w:pPr>
            <w:r w:rsidRPr="003F0900">
              <w:rPr>
                <w:rFonts w:ascii="Calibri" w:hAnsi="Calibri" w:cs="Calibri"/>
                <w:color w:val="000000"/>
                <w:sz w:val="22"/>
                <w:szCs w:val="22"/>
                <w:lang w:eastAsia="en-IE"/>
              </w:rPr>
              <w:t> </w:t>
            </w:r>
          </w:p>
        </w:tc>
        <w:tc>
          <w:tcPr>
            <w:tcW w:w="1134" w:type="dxa"/>
            <w:tcBorders>
              <w:top w:val="single" w:sz="8" w:space="0" w:color="auto"/>
              <w:left w:val="nil"/>
              <w:bottom w:val="nil"/>
              <w:right w:val="nil"/>
            </w:tcBorders>
            <w:shd w:val="clear" w:color="auto" w:fill="FFFF00"/>
            <w:vAlign w:val="bottom"/>
          </w:tcPr>
          <w:p w14:paraId="27EB2DA9" w14:textId="77777777" w:rsidR="003F0900" w:rsidRPr="003F0900" w:rsidRDefault="003F0900" w:rsidP="003F0900">
            <w:pPr>
              <w:jc w:val="right"/>
              <w:rPr>
                <w:rFonts w:ascii="Calibri" w:hAnsi="Calibri" w:cs="Calibri"/>
                <w:b/>
                <w:color w:val="000000"/>
                <w:sz w:val="22"/>
                <w:szCs w:val="22"/>
                <w:lang w:eastAsia="en-IE"/>
              </w:rPr>
            </w:pPr>
          </w:p>
        </w:tc>
        <w:tc>
          <w:tcPr>
            <w:tcW w:w="1133" w:type="dxa"/>
            <w:tcBorders>
              <w:top w:val="single" w:sz="8" w:space="0" w:color="auto"/>
              <w:left w:val="nil"/>
              <w:bottom w:val="nil"/>
              <w:right w:val="nil"/>
            </w:tcBorders>
            <w:shd w:val="clear" w:color="auto" w:fill="FFFFFF"/>
            <w:vAlign w:val="center"/>
            <w:hideMark/>
          </w:tcPr>
          <w:p w14:paraId="04437CF2" w14:textId="77777777" w:rsidR="003F0900" w:rsidRPr="003F0900" w:rsidRDefault="003F0900" w:rsidP="007A1281">
            <w:pPr>
              <w:ind w:right="70"/>
              <w:rPr>
                <w:rFonts w:ascii="Calibri" w:eastAsia="Calibri" w:hAnsi="Calibri" w:cs="Calibri"/>
                <w:sz w:val="22"/>
                <w:szCs w:val="22"/>
                <w:lang w:eastAsia="en-IE"/>
              </w:rPr>
            </w:pPr>
          </w:p>
        </w:tc>
      </w:tr>
      <w:tr w:rsidR="003F0900" w:rsidRPr="003F0900" w14:paraId="4DB2E227" w14:textId="77777777" w:rsidTr="007A1281">
        <w:trPr>
          <w:trHeight w:val="297"/>
        </w:trPr>
        <w:tc>
          <w:tcPr>
            <w:tcW w:w="8397" w:type="dxa"/>
            <w:shd w:val="clear" w:color="auto" w:fill="FFFFFF"/>
            <w:vAlign w:val="center"/>
            <w:hideMark/>
          </w:tcPr>
          <w:p w14:paraId="719BF38A" w14:textId="77777777" w:rsidR="003F0900" w:rsidRPr="003F0900" w:rsidRDefault="003F0900" w:rsidP="00A3702E">
            <w:pPr>
              <w:ind w:firstLine="37"/>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Other comprehensive income/(loss):</w:t>
            </w:r>
          </w:p>
        </w:tc>
        <w:tc>
          <w:tcPr>
            <w:tcW w:w="1134" w:type="dxa"/>
            <w:shd w:val="clear" w:color="auto" w:fill="FFFF00"/>
            <w:vAlign w:val="bottom"/>
          </w:tcPr>
          <w:p w14:paraId="06DAE1A2" w14:textId="77777777" w:rsidR="003F0900" w:rsidRPr="003F0900" w:rsidRDefault="003F0900" w:rsidP="003F0900">
            <w:pPr>
              <w:jc w:val="right"/>
              <w:rPr>
                <w:rFonts w:ascii="Calibri" w:hAnsi="Calibri" w:cs="Calibri"/>
                <w:b/>
                <w:bCs/>
                <w:color w:val="000000"/>
                <w:sz w:val="22"/>
                <w:szCs w:val="22"/>
                <w:lang w:eastAsia="en-IE"/>
              </w:rPr>
            </w:pPr>
          </w:p>
        </w:tc>
        <w:tc>
          <w:tcPr>
            <w:tcW w:w="1133" w:type="dxa"/>
            <w:shd w:val="clear" w:color="auto" w:fill="FFFFFF"/>
            <w:vAlign w:val="center"/>
            <w:hideMark/>
          </w:tcPr>
          <w:p w14:paraId="160EB7EE" w14:textId="77777777" w:rsidR="003F0900" w:rsidRPr="003F0900" w:rsidRDefault="003F0900" w:rsidP="007A1281">
            <w:pPr>
              <w:ind w:right="70"/>
              <w:rPr>
                <w:rFonts w:ascii="Calibri" w:eastAsia="Calibri" w:hAnsi="Calibri" w:cs="Calibri"/>
                <w:sz w:val="22"/>
                <w:szCs w:val="22"/>
                <w:lang w:eastAsia="en-IE"/>
              </w:rPr>
            </w:pPr>
          </w:p>
        </w:tc>
      </w:tr>
      <w:tr w:rsidR="003F0900" w:rsidRPr="003F0900" w14:paraId="49E77506" w14:textId="77777777" w:rsidTr="007A1281">
        <w:trPr>
          <w:trHeight w:val="297"/>
        </w:trPr>
        <w:tc>
          <w:tcPr>
            <w:tcW w:w="8397" w:type="dxa"/>
            <w:shd w:val="clear" w:color="auto" w:fill="FFFFFF"/>
            <w:vAlign w:val="center"/>
            <w:hideMark/>
          </w:tcPr>
          <w:p w14:paraId="629AD0F3" w14:textId="77777777" w:rsidR="003F0900" w:rsidRPr="003F0900" w:rsidRDefault="003F0900" w:rsidP="00A3702E">
            <w:pPr>
              <w:ind w:firstLine="37"/>
              <w:rPr>
                <w:rFonts w:ascii="Calibri" w:hAnsi="Calibri" w:cs="Calibri"/>
                <w:b/>
                <w:bCs/>
                <w:i/>
                <w:iCs/>
                <w:color w:val="000000"/>
                <w:sz w:val="22"/>
                <w:szCs w:val="22"/>
                <w:lang w:eastAsia="en-IE"/>
              </w:rPr>
            </w:pPr>
            <w:r w:rsidRPr="003F0900">
              <w:rPr>
                <w:rFonts w:ascii="Calibri" w:hAnsi="Calibri" w:cs="Calibri"/>
                <w:b/>
                <w:bCs/>
                <w:i/>
                <w:iCs/>
                <w:color w:val="000000"/>
                <w:sz w:val="22"/>
                <w:szCs w:val="22"/>
                <w:lang w:eastAsia="en-IE"/>
              </w:rPr>
              <w:t>Items that are or may be reclassified subsequently to profit or loss:</w:t>
            </w:r>
          </w:p>
        </w:tc>
        <w:tc>
          <w:tcPr>
            <w:tcW w:w="1134" w:type="dxa"/>
            <w:shd w:val="clear" w:color="auto" w:fill="FFFF00"/>
            <w:vAlign w:val="bottom"/>
          </w:tcPr>
          <w:p w14:paraId="684EF1DC" w14:textId="77777777" w:rsidR="003F0900" w:rsidRPr="003F0900" w:rsidRDefault="003F0900" w:rsidP="003F0900">
            <w:pPr>
              <w:jc w:val="right"/>
              <w:rPr>
                <w:rFonts w:ascii="Calibri" w:hAnsi="Calibri" w:cs="Calibri"/>
                <w:b/>
                <w:bCs/>
                <w:i/>
                <w:iCs/>
                <w:color w:val="000000"/>
                <w:sz w:val="22"/>
                <w:szCs w:val="22"/>
                <w:lang w:eastAsia="en-IE"/>
              </w:rPr>
            </w:pPr>
          </w:p>
        </w:tc>
        <w:tc>
          <w:tcPr>
            <w:tcW w:w="1133" w:type="dxa"/>
            <w:shd w:val="clear" w:color="auto" w:fill="FFFFFF"/>
            <w:vAlign w:val="center"/>
            <w:hideMark/>
          </w:tcPr>
          <w:p w14:paraId="37A1813B" w14:textId="77777777" w:rsidR="003F0900" w:rsidRPr="003F0900" w:rsidRDefault="003F0900" w:rsidP="007A1281">
            <w:pPr>
              <w:ind w:right="70"/>
              <w:rPr>
                <w:rFonts w:ascii="Calibri" w:eastAsia="Calibri" w:hAnsi="Calibri" w:cs="Calibri"/>
                <w:sz w:val="22"/>
                <w:szCs w:val="22"/>
                <w:lang w:eastAsia="en-IE"/>
              </w:rPr>
            </w:pPr>
          </w:p>
        </w:tc>
      </w:tr>
      <w:tr w:rsidR="003F0900" w:rsidRPr="003F0900" w14:paraId="62A21C7E" w14:textId="77777777" w:rsidTr="007A1281">
        <w:trPr>
          <w:trHeight w:val="297"/>
        </w:trPr>
        <w:tc>
          <w:tcPr>
            <w:tcW w:w="8397" w:type="dxa"/>
            <w:shd w:val="clear" w:color="auto" w:fill="FFFFFF"/>
            <w:vAlign w:val="center"/>
            <w:hideMark/>
          </w:tcPr>
          <w:p w14:paraId="4F8130AF" w14:textId="77777777" w:rsidR="003F0900" w:rsidRPr="003F0900" w:rsidRDefault="003F0900" w:rsidP="00A3702E">
            <w:pPr>
              <w:ind w:firstLine="37"/>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Movements in hedging reserve, net of tax:</w:t>
            </w:r>
          </w:p>
        </w:tc>
        <w:tc>
          <w:tcPr>
            <w:tcW w:w="1134" w:type="dxa"/>
            <w:shd w:val="clear" w:color="auto" w:fill="FFFF00"/>
            <w:vAlign w:val="bottom"/>
          </w:tcPr>
          <w:p w14:paraId="2A358AAF" w14:textId="77777777" w:rsidR="003F0900" w:rsidRPr="003F0900" w:rsidRDefault="003F0900" w:rsidP="003F0900">
            <w:pPr>
              <w:jc w:val="right"/>
              <w:rPr>
                <w:rFonts w:ascii="Calibri" w:hAnsi="Calibri" w:cs="Calibri"/>
                <w:b/>
                <w:bCs/>
                <w:color w:val="000000"/>
                <w:sz w:val="22"/>
                <w:szCs w:val="22"/>
                <w:lang w:eastAsia="en-IE"/>
              </w:rPr>
            </w:pPr>
          </w:p>
        </w:tc>
        <w:tc>
          <w:tcPr>
            <w:tcW w:w="1133" w:type="dxa"/>
            <w:shd w:val="clear" w:color="auto" w:fill="FFFFFF"/>
            <w:vAlign w:val="center"/>
            <w:hideMark/>
          </w:tcPr>
          <w:p w14:paraId="63161EA2" w14:textId="77777777" w:rsidR="003F0900" w:rsidRPr="003F0900" w:rsidRDefault="003F0900" w:rsidP="007A1281">
            <w:pPr>
              <w:ind w:right="70"/>
              <w:rPr>
                <w:rFonts w:ascii="Calibri" w:eastAsia="Calibri" w:hAnsi="Calibri" w:cs="Calibri"/>
                <w:sz w:val="22"/>
                <w:szCs w:val="22"/>
                <w:lang w:eastAsia="en-IE"/>
              </w:rPr>
            </w:pPr>
          </w:p>
        </w:tc>
      </w:tr>
      <w:tr w:rsidR="003F0900" w:rsidRPr="003F0900" w14:paraId="26C1DAF8" w14:textId="77777777" w:rsidTr="007A1281">
        <w:trPr>
          <w:trHeight w:val="308"/>
        </w:trPr>
        <w:tc>
          <w:tcPr>
            <w:tcW w:w="8397" w:type="dxa"/>
            <w:shd w:val="clear" w:color="auto" w:fill="FFFFFF"/>
            <w:vAlign w:val="center"/>
            <w:hideMark/>
          </w:tcPr>
          <w:p w14:paraId="002C0058" w14:textId="77777777" w:rsidR="003F0900" w:rsidRPr="003F0900" w:rsidRDefault="003F0900" w:rsidP="00A3702E">
            <w:pPr>
              <w:ind w:firstLine="37"/>
              <w:rPr>
                <w:rFonts w:ascii="Calibri" w:hAnsi="Calibri" w:cs="Calibri"/>
                <w:color w:val="000000"/>
                <w:sz w:val="22"/>
                <w:szCs w:val="22"/>
                <w:lang w:eastAsia="en-IE"/>
              </w:rPr>
            </w:pPr>
            <w:r w:rsidRPr="003F0900">
              <w:rPr>
                <w:rFonts w:ascii="Calibri" w:hAnsi="Calibri" w:cs="Calibri"/>
                <w:color w:val="000000"/>
                <w:sz w:val="22"/>
                <w:szCs w:val="22"/>
                <w:lang w:eastAsia="en-IE"/>
              </w:rPr>
              <w:t>Net movement in cash-flow hedge reserve</w:t>
            </w:r>
          </w:p>
        </w:tc>
        <w:tc>
          <w:tcPr>
            <w:tcW w:w="1134" w:type="dxa"/>
            <w:tcBorders>
              <w:top w:val="nil"/>
              <w:left w:val="nil"/>
              <w:bottom w:val="single" w:sz="8" w:space="0" w:color="auto"/>
              <w:right w:val="nil"/>
            </w:tcBorders>
            <w:shd w:val="clear" w:color="auto" w:fill="FFFF00"/>
          </w:tcPr>
          <w:p w14:paraId="3315D908" w14:textId="77777777" w:rsidR="003F0900" w:rsidRPr="003F0900" w:rsidRDefault="003F0900" w:rsidP="003F0900">
            <w:pPr>
              <w:jc w:val="right"/>
              <w:rPr>
                <w:rFonts w:ascii="Calibri" w:hAnsi="Calibri" w:cs="Calibri"/>
                <w:b/>
                <w:color w:val="000000"/>
                <w:sz w:val="22"/>
                <w:szCs w:val="22"/>
                <w:lang w:eastAsia="en-IE"/>
              </w:rPr>
            </w:pPr>
            <w:r w:rsidRPr="003F0900">
              <w:rPr>
                <w:rFonts w:ascii="Calibri" w:hAnsi="Calibri" w:cs="Calibri"/>
                <w:b/>
                <w:bCs/>
                <w:color w:val="000000"/>
                <w:sz w:val="22"/>
                <w:szCs w:val="22"/>
              </w:rPr>
              <w:t>757.5</w:t>
            </w:r>
          </w:p>
        </w:tc>
        <w:tc>
          <w:tcPr>
            <w:tcW w:w="1133" w:type="dxa"/>
            <w:tcBorders>
              <w:top w:val="nil"/>
              <w:left w:val="nil"/>
              <w:bottom w:val="single" w:sz="8" w:space="0" w:color="auto"/>
              <w:right w:val="nil"/>
            </w:tcBorders>
            <w:shd w:val="clear" w:color="auto" w:fill="FFFFFF"/>
            <w:hideMark/>
          </w:tcPr>
          <w:p w14:paraId="6833D010" w14:textId="77777777" w:rsidR="003F0900" w:rsidRPr="003F0900" w:rsidRDefault="003F0900" w:rsidP="007A1281">
            <w:pPr>
              <w:ind w:right="70"/>
              <w:jc w:val="right"/>
              <w:rPr>
                <w:rFonts w:ascii="Calibri" w:hAnsi="Calibri" w:cs="Calibri"/>
                <w:color w:val="000000"/>
                <w:sz w:val="22"/>
                <w:szCs w:val="22"/>
                <w:lang w:eastAsia="en-IE"/>
              </w:rPr>
            </w:pPr>
            <w:r w:rsidRPr="003F0900">
              <w:rPr>
                <w:rFonts w:ascii="Calibri" w:hAnsi="Calibri" w:cs="Calibri"/>
                <w:color w:val="000000"/>
                <w:sz w:val="22"/>
                <w:szCs w:val="22"/>
              </w:rPr>
              <w:t>(639.5)</w:t>
            </w:r>
          </w:p>
        </w:tc>
      </w:tr>
      <w:tr w:rsidR="003F0900" w:rsidRPr="003F0900" w14:paraId="185A0FC2" w14:textId="77777777" w:rsidTr="007A1281">
        <w:trPr>
          <w:trHeight w:val="308"/>
        </w:trPr>
        <w:tc>
          <w:tcPr>
            <w:tcW w:w="8397" w:type="dxa"/>
            <w:shd w:val="clear" w:color="auto" w:fill="FFFFFF"/>
            <w:vAlign w:val="center"/>
            <w:hideMark/>
          </w:tcPr>
          <w:p w14:paraId="75FA17CF" w14:textId="77777777" w:rsidR="003F0900" w:rsidRPr="003F0900" w:rsidRDefault="003F0900" w:rsidP="00A3702E">
            <w:pPr>
              <w:ind w:firstLine="37"/>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xml:space="preserve">Other comprehensive income/(loss) for the quarter, net of income tax </w:t>
            </w:r>
          </w:p>
        </w:tc>
        <w:tc>
          <w:tcPr>
            <w:tcW w:w="1134" w:type="dxa"/>
            <w:tcBorders>
              <w:top w:val="single" w:sz="8" w:space="0" w:color="auto"/>
              <w:left w:val="nil"/>
              <w:bottom w:val="single" w:sz="8" w:space="0" w:color="auto"/>
              <w:right w:val="nil"/>
            </w:tcBorders>
            <w:shd w:val="clear" w:color="auto" w:fill="FFFF00"/>
          </w:tcPr>
          <w:p w14:paraId="1670577D" w14:textId="77777777" w:rsidR="003F0900" w:rsidRPr="003F0900" w:rsidRDefault="003F0900" w:rsidP="003F0900">
            <w:pPr>
              <w:jc w:val="right"/>
              <w:rPr>
                <w:rFonts w:ascii="Calibri" w:hAnsi="Calibri" w:cs="Calibri"/>
                <w:b/>
                <w:bCs/>
                <w:color w:val="000000"/>
                <w:sz w:val="22"/>
                <w:szCs w:val="22"/>
                <w:lang w:eastAsia="en-IE"/>
              </w:rPr>
            </w:pPr>
            <w:r w:rsidRPr="003F0900">
              <w:rPr>
                <w:rFonts w:ascii="Calibri" w:hAnsi="Calibri" w:cs="Calibri"/>
                <w:b/>
                <w:bCs/>
                <w:color w:val="000000"/>
                <w:sz w:val="22"/>
                <w:szCs w:val="22"/>
              </w:rPr>
              <w:t>757.5</w:t>
            </w:r>
          </w:p>
        </w:tc>
        <w:tc>
          <w:tcPr>
            <w:tcW w:w="1133" w:type="dxa"/>
            <w:tcBorders>
              <w:top w:val="single" w:sz="8" w:space="0" w:color="auto"/>
              <w:left w:val="nil"/>
              <w:bottom w:val="single" w:sz="8" w:space="0" w:color="auto"/>
              <w:right w:val="nil"/>
            </w:tcBorders>
            <w:shd w:val="clear" w:color="auto" w:fill="FFFFFF"/>
            <w:hideMark/>
          </w:tcPr>
          <w:p w14:paraId="6ED9107A" w14:textId="77777777" w:rsidR="003F0900" w:rsidRPr="003F0900" w:rsidRDefault="003F0900" w:rsidP="007A1281">
            <w:pPr>
              <w:ind w:right="70"/>
              <w:jc w:val="right"/>
              <w:rPr>
                <w:rFonts w:ascii="Calibri" w:hAnsi="Calibri" w:cs="Calibri"/>
                <w:color w:val="000000"/>
                <w:sz w:val="22"/>
                <w:szCs w:val="22"/>
                <w:lang w:eastAsia="en-IE"/>
              </w:rPr>
            </w:pPr>
            <w:r w:rsidRPr="003F0900">
              <w:rPr>
                <w:rFonts w:ascii="Calibri" w:hAnsi="Calibri" w:cs="Calibri"/>
                <w:color w:val="000000"/>
                <w:sz w:val="22"/>
                <w:szCs w:val="22"/>
              </w:rPr>
              <w:t>(639.5)</w:t>
            </w:r>
          </w:p>
        </w:tc>
      </w:tr>
      <w:tr w:rsidR="003F0900" w:rsidRPr="003F0900" w14:paraId="24967068" w14:textId="77777777" w:rsidTr="00B712C9">
        <w:trPr>
          <w:trHeight w:val="278"/>
        </w:trPr>
        <w:tc>
          <w:tcPr>
            <w:tcW w:w="8397" w:type="dxa"/>
            <w:vMerge w:val="restart"/>
            <w:shd w:val="clear" w:color="auto" w:fill="FFFFFF"/>
            <w:vAlign w:val="bottom"/>
            <w:hideMark/>
          </w:tcPr>
          <w:p w14:paraId="521B4DA2" w14:textId="77777777" w:rsidR="003F0900" w:rsidRPr="003F0900" w:rsidRDefault="003F0900" w:rsidP="00A3702E">
            <w:pPr>
              <w:ind w:firstLine="37"/>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Total comprehensive income for the quarter – attributable to equity holders of parent</w:t>
            </w:r>
          </w:p>
        </w:tc>
        <w:tc>
          <w:tcPr>
            <w:tcW w:w="1134" w:type="dxa"/>
            <w:tcBorders>
              <w:top w:val="single" w:sz="8" w:space="0" w:color="auto"/>
              <w:left w:val="nil"/>
              <w:right w:val="nil"/>
            </w:tcBorders>
            <w:shd w:val="clear" w:color="auto" w:fill="FFFF00"/>
            <w:vAlign w:val="center"/>
          </w:tcPr>
          <w:p w14:paraId="7C7E169D" w14:textId="77777777" w:rsidR="003F0900" w:rsidRPr="003F0900" w:rsidRDefault="003F0900" w:rsidP="003F0900">
            <w:pPr>
              <w:jc w:val="right"/>
              <w:rPr>
                <w:rFonts w:ascii="Calibri" w:hAnsi="Calibri" w:cs="Calibri"/>
                <w:b/>
                <w:bCs/>
                <w:color w:val="000000"/>
                <w:sz w:val="22"/>
                <w:szCs w:val="22"/>
                <w:lang w:eastAsia="en-IE"/>
              </w:rPr>
            </w:pPr>
          </w:p>
        </w:tc>
        <w:tc>
          <w:tcPr>
            <w:tcW w:w="1133" w:type="dxa"/>
            <w:tcBorders>
              <w:top w:val="single" w:sz="8" w:space="0" w:color="auto"/>
              <w:left w:val="nil"/>
              <w:right w:val="nil"/>
            </w:tcBorders>
            <w:shd w:val="clear" w:color="auto" w:fill="FFFFFF"/>
            <w:vAlign w:val="bottom"/>
            <w:hideMark/>
          </w:tcPr>
          <w:p w14:paraId="0C369247" w14:textId="77777777" w:rsidR="003F0900" w:rsidRPr="003F0900" w:rsidRDefault="003F0900" w:rsidP="007A1281">
            <w:pPr>
              <w:ind w:right="70"/>
              <w:rPr>
                <w:rFonts w:ascii="Calibri" w:eastAsia="Calibri" w:hAnsi="Calibri" w:cs="Calibri"/>
                <w:sz w:val="22"/>
                <w:szCs w:val="22"/>
                <w:lang w:eastAsia="en-IE"/>
              </w:rPr>
            </w:pPr>
          </w:p>
        </w:tc>
      </w:tr>
      <w:tr w:rsidR="003F0900" w:rsidRPr="003F0900" w14:paraId="7E466B90" w14:textId="77777777" w:rsidTr="00B712C9">
        <w:trPr>
          <w:trHeight w:val="313"/>
        </w:trPr>
        <w:tc>
          <w:tcPr>
            <w:tcW w:w="8397" w:type="dxa"/>
            <w:vMerge/>
            <w:vAlign w:val="center"/>
            <w:hideMark/>
          </w:tcPr>
          <w:p w14:paraId="3A630B9D" w14:textId="77777777" w:rsidR="003F0900" w:rsidRPr="003F0900" w:rsidRDefault="003F0900" w:rsidP="003F0900">
            <w:pPr>
              <w:rPr>
                <w:rFonts w:ascii="Calibri" w:hAnsi="Calibri" w:cs="Calibri"/>
                <w:b/>
                <w:bCs/>
                <w:color w:val="000000"/>
                <w:sz w:val="22"/>
                <w:szCs w:val="22"/>
                <w:lang w:eastAsia="en-IE"/>
              </w:rPr>
            </w:pPr>
          </w:p>
        </w:tc>
        <w:tc>
          <w:tcPr>
            <w:tcW w:w="1134" w:type="dxa"/>
            <w:tcBorders>
              <w:top w:val="nil"/>
              <w:left w:val="nil"/>
              <w:bottom w:val="single" w:sz="12" w:space="0" w:color="auto"/>
              <w:right w:val="nil"/>
            </w:tcBorders>
            <w:shd w:val="clear" w:color="auto" w:fill="FFFF00"/>
          </w:tcPr>
          <w:p w14:paraId="04C16AF8" w14:textId="77777777" w:rsidR="003F0900" w:rsidRPr="003F0900" w:rsidRDefault="003F0900" w:rsidP="003F0900">
            <w:pPr>
              <w:jc w:val="right"/>
              <w:rPr>
                <w:rFonts w:ascii="Calibri" w:hAnsi="Calibri" w:cs="Calibri"/>
                <w:b/>
                <w:bCs/>
                <w:color w:val="000000"/>
                <w:sz w:val="22"/>
                <w:szCs w:val="22"/>
                <w:lang w:eastAsia="en-IE"/>
              </w:rPr>
            </w:pPr>
            <w:r w:rsidRPr="003F0900">
              <w:rPr>
                <w:rFonts w:ascii="Calibri" w:hAnsi="Calibri" w:cs="Calibri"/>
                <w:b/>
                <w:bCs/>
                <w:color w:val="000000"/>
                <w:sz w:val="22"/>
                <w:szCs w:val="22"/>
              </w:rPr>
              <w:t>2,272.7</w:t>
            </w:r>
          </w:p>
        </w:tc>
        <w:tc>
          <w:tcPr>
            <w:tcW w:w="1133" w:type="dxa"/>
            <w:tcBorders>
              <w:top w:val="nil"/>
              <w:left w:val="nil"/>
              <w:bottom w:val="single" w:sz="12" w:space="0" w:color="auto"/>
              <w:right w:val="nil"/>
            </w:tcBorders>
            <w:shd w:val="clear" w:color="auto" w:fill="FFFFFF"/>
            <w:hideMark/>
          </w:tcPr>
          <w:p w14:paraId="0B3152E9" w14:textId="77777777" w:rsidR="003F0900" w:rsidRPr="003F0900" w:rsidRDefault="003F0900" w:rsidP="00B712C9">
            <w:pPr>
              <w:ind w:right="70"/>
              <w:jc w:val="right"/>
              <w:rPr>
                <w:rFonts w:ascii="Calibri" w:hAnsi="Calibri" w:cs="Calibri"/>
                <w:color w:val="000000"/>
                <w:sz w:val="22"/>
                <w:szCs w:val="22"/>
                <w:lang w:eastAsia="en-IE"/>
              </w:rPr>
            </w:pPr>
            <w:r w:rsidRPr="003F0900">
              <w:rPr>
                <w:rFonts w:ascii="Calibri" w:hAnsi="Calibri" w:cs="Calibri"/>
                <w:color w:val="000000"/>
                <w:sz w:val="22"/>
                <w:szCs w:val="22"/>
              </w:rPr>
              <w:t>436.4</w:t>
            </w:r>
          </w:p>
        </w:tc>
      </w:tr>
    </w:tbl>
    <w:p w14:paraId="6E9978FB" w14:textId="77777777" w:rsidR="00C06926" w:rsidRPr="003F0900" w:rsidRDefault="00C06926" w:rsidP="00C52E1F">
      <w:pPr>
        <w:autoSpaceDE w:val="0"/>
        <w:autoSpaceDN w:val="0"/>
        <w:adjustRightInd w:val="0"/>
        <w:rPr>
          <w:rFonts w:ascii="Calibri" w:hAnsi="Calibri" w:cs="Calibri"/>
          <w:b/>
          <w:bCs/>
          <w:color w:val="000000"/>
          <w:sz w:val="22"/>
          <w:szCs w:val="22"/>
        </w:rPr>
      </w:pPr>
    </w:p>
    <w:p w14:paraId="10C33730" w14:textId="77777777" w:rsidR="00CA3F18" w:rsidRPr="00135F6B" w:rsidRDefault="008C4A6F" w:rsidP="00CA3F18">
      <w:pPr>
        <w:autoSpaceDE w:val="0"/>
        <w:autoSpaceDN w:val="0"/>
        <w:adjustRightInd w:val="0"/>
        <w:rPr>
          <w:rFonts w:ascii="Calibri" w:hAnsi="Calibri" w:cs="Calibri"/>
          <w:b/>
          <w:bCs/>
          <w:color w:val="000000"/>
        </w:rPr>
      </w:pPr>
      <w:bookmarkStart w:id="1" w:name="_Hlk54970304"/>
      <w:r>
        <w:rPr>
          <w:rFonts w:ascii="Calibri" w:hAnsi="Calibri" w:cs="Calibri"/>
          <w:b/>
          <w:bCs/>
          <w:color w:val="000000"/>
        </w:rPr>
        <w:br w:type="page"/>
      </w:r>
      <w:r w:rsidR="00CA3F18" w:rsidRPr="00135F6B">
        <w:rPr>
          <w:rFonts w:ascii="Calibri" w:hAnsi="Calibri" w:cs="Calibri"/>
          <w:b/>
          <w:bCs/>
          <w:color w:val="000000"/>
        </w:rPr>
        <w:lastRenderedPageBreak/>
        <w:t>Ryanair Holdings plc and Subsidiaries</w:t>
      </w:r>
    </w:p>
    <w:p w14:paraId="2C28E59C" w14:textId="77777777" w:rsidR="00610CDB" w:rsidRDefault="00CA3F18" w:rsidP="00CA3F18">
      <w:pPr>
        <w:ind w:right="-279"/>
        <w:rPr>
          <w:rFonts w:ascii="Calibri" w:hAnsi="Calibri" w:cs="Calibri"/>
          <w:b/>
          <w:bCs/>
          <w:i/>
          <w:iCs/>
          <w:color w:val="000000"/>
          <w:szCs w:val="28"/>
        </w:rPr>
      </w:pPr>
      <w:r w:rsidRPr="00610CDB">
        <w:rPr>
          <w:rFonts w:ascii="Calibri" w:hAnsi="Calibri" w:cs="Calibri"/>
          <w:b/>
          <w:bCs/>
          <w:i/>
          <w:iCs/>
          <w:color w:val="000000"/>
          <w:szCs w:val="28"/>
        </w:rPr>
        <w:t>Condensed Consolidated Interim Statement of Cash Flows for the Half-Year Ended September 30, 2023</w:t>
      </w:r>
    </w:p>
    <w:p w14:paraId="37FD5BDA" w14:textId="77777777" w:rsidR="00CA3F18" w:rsidRPr="00610CDB" w:rsidRDefault="00CA3F18" w:rsidP="00610CDB">
      <w:pPr>
        <w:ind w:right="-426"/>
        <w:rPr>
          <w:rFonts w:ascii="Calibri" w:hAnsi="Calibri" w:cs="Calibri"/>
          <w:szCs w:val="28"/>
        </w:rPr>
      </w:pPr>
      <w:r w:rsidRPr="00610CDB">
        <w:rPr>
          <w:rFonts w:ascii="Calibri" w:hAnsi="Calibri" w:cs="Calibri"/>
          <w:b/>
          <w:bCs/>
          <w:i/>
          <w:iCs/>
          <w:color w:val="000000"/>
          <w:szCs w:val="28"/>
        </w:rPr>
        <w:t>(unaudited)</w:t>
      </w:r>
    </w:p>
    <w:p w14:paraId="0DB98D4B" w14:textId="77777777" w:rsidR="00CA3F18" w:rsidRPr="00904115" w:rsidRDefault="00CA3F18" w:rsidP="00CA3F18">
      <w:pPr>
        <w:autoSpaceDE w:val="0"/>
        <w:autoSpaceDN w:val="0"/>
        <w:adjustRightInd w:val="0"/>
        <w:ind w:right="4"/>
        <w:rPr>
          <w:rFonts w:ascii="Calibri" w:hAnsi="Calibri" w:cs="Calibri"/>
          <w:b/>
          <w:bCs/>
          <w:color w:val="000000"/>
          <w:sz w:val="12"/>
          <w:szCs w:val="12"/>
        </w:rPr>
      </w:pPr>
    </w:p>
    <w:tbl>
      <w:tblPr>
        <w:tblW w:w="10665" w:type="dxa"/>
        <w:tblInd w:w="108" w:type="dxa"/>
        <w:tblLayout w:type="fixed"/>
        <w:tblLook w:val="04A0" w:firstRow="1" w:lastRow="0" w:firstColumn="1" w:lastColumn="0" w:noHBand="0" w:noVBand="1"/>
      </w:tblPr>
      <w:tblGrid>
        <w:gridCol w:w="295"/>
        <w:gridCol w:w="7252"/>
        <w:gridCol w:w="720"/>
        <w:gridCol w:w="1265"/>
        <w:gridCol w:w="1133"/>
      </w:tblGrid>
      <w:tr w:rsidR="00CA3F18" w:rsidRPr="00D964B7" w14:paraId="77281300" w14:textId="77777777" w:rsidTr="001C5897">
        <w:trPr>
          <w:trHeight w:val="272"/>
        </w:trPr>
        <w:tc>
          <w:tcPr>
            <w:tcW w:w="295" w:type="dxa"/>
            <w:shd w:val="clear" w:color="auto" w:fill="FFFFFF"/>
            <w:vAlign w:val="center"/>
            <w:hideMark/>
          </w:tcPr>
          <w:p w14:paraId="226E3A95"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79CA32C7"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0" w:type="dxa"/>
            <w:shd w:val="clear" w:color="auto" w:fill="FFFFFF"/>
            <w:vAlign w:val="center"/>
            <w:hideMark/>
          </w:tcPr>
          <w:p w14:paraId="5D0AF587"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265" w:type="dxa"/>
            <w:shd w:val="clear" w:color="auto" w:fill="FFFF00"/>
            <w:vAlign w:val="center"/>
            <w:hideMark/>
          </w:tcPr>
          <w:p w14:paraId="087A11FD"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Half-Year</w:t>
            </w:r>
          </w:p>
        </w:tc>
        <w:tc>
          <w:tcPr>
            <w:tcW w:w="1133" w:type="dxa"/>
            <w:shd w:val="clear" w:color="auto" w:fill="FFFFFF"/>
            <w:vAlign w:val="center"/>
            <w:hideMark/>
          </w:tcPr>
          <w:p w14:paraId="4E10D77F" w14:textId="77777777" w:rsidR="00CA3F18" w:rsidRPr="00CA3F18" w:rsidRDefault="00CA3F18" w:rsidP="001C5897">
            <w:pPr>
              <w:jc w:val="right"/>
              <w:rPr>
                <w:rFonts w:ascii="Calibri" w:hAnsi="Calibri" w:cs="Calibri"/>
                <w:bCs/>
                <w:color w:val="000000"/>
                <w:sz w:val="22"/>
                <w:szCs w:val="22"/>
                <w:lang w:eastAsia="en-IE"/>
              </w:rPr>
            </w:pPr>
            <w:r w:rsidRPr="00CA3F18">
              <w:rPr>
                <w:rFonts w:ascii="Calibri" w:hAnsi="Calibri" w:cs="Calibri"/>
                <w:bCs/>
                <w:color w:val="000000"/>
                <w:sz w:val="22"/>
                <w:szCs w:val="22"/>
                <w:lang w:eastAsia="en-IE"/>
              </w:rPr>
              <w:t>Half-Year</w:t>
            </w:r>
          </w:p>
        </w:tc>
      </w:tr>
      <w:tr w:rsidR="00CA3F18" w:rsidRPr="00D964B7" w14:paraId="4BFF69F1" w14:textId="77777777" w:rsidTr="001C5897">
        <w:trPr>
          <w:trHeight w:val="272"/>
        </w:trPr>
        <w:tc>
          <w:tcPr>
            <w:tcW w:w="295" w:type="dxa"/>
            <w:shd w:val="clear" w:color="auto" w:fill="FFFFFF"/>
            <w:vAlign w:val="center"/>
            <w:hideMark/>
          </w:tcPr>
          <w:p w14:paraId="576DEE78"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2F625B05"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0" w:type="dxa"/>
            <w:shd w:val="clear" w:color="auto" w:fill="FFFFFF"/>
            <w:vAlign w:val="center"/>
            <w:hideMark/>
          </w:tcPr>
          <w:p w14:paraId="6B4A9818"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265" w:type="dxa"/>
            <w:shd w:val="clear" w:color="auto" w:fill="FFFF00"/>
            <w:vAlign w:val="center"/>
            <w:hideMark/>
          </w:tcPr>
          <w:p w14:paraId="27B9C349"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Ended</w:t>
            </w:r>
          </w:p>
        </w:tc>
        <w:tc>
          <w:tcPr>
            <w:tcW w:w="1133" w:type="dxa"/>
            <w:shd w:val="clear" w:color="auto" w:fill="FFFFFF"/>
            <w:vAlign w:val="center"/>
            <w:hideMark/>
          </w:tcPr>
          <w:p w14:paraId="1C859705" w14:textId="77777777" w:rsidR="00CA3F18" w:rsidRPr="00CA3F18" w:rsidRDefault="00CA3F18" w:rsidP="001C5897">
            <w:pPr>
              <w:jc w:val="right"/>
              <w:rPr>
                <w:rFonts w:ascii="Calibri" w:hAnsi="Calibri" w:cs="Calibri"/>
                <w:bCs/>
                <w:color w:val="000000"/>
                <w:sz w:val="22"/>
                <w:szCs w:val="22"/>
                <w:lang w:eastAsia="en-IE"/>
              </w:rPr>
            </w:pPr>
            <w:r w:rsidRPr="00CA3F18">
              <w:rPr>
                <w:rFonts w:ascii="Calibri" w:hAnsi="Calibri" w:cs="Calibri"/>
                <w:bCs/>
                <w:color w:val="000000"/>
                <w:sz w:val="22"/>
                <w:szCs w:val="22"/>
                <w:lang w:eastAsia="en-IE"/>
              </w:rPr>
              <w:t>Ended</w:t>
            </w:r>
          </w:p>
        </w:tc>
      </w:tr>
      <w:tr w:rsidR="00CA3F18" w:rsidRPr="00D964B7" w14:paraId="613E9690" w14:textId="77777777" w:rsidTr="001C5897">
        <w:trPr>
          <w:trHeight w:val="272"/>
        </w:trPr>
        <w:tc>
          <w:tcPr>
            <w:tcW w:w="295" w:type="dxa"/>
            <w:vMerge w:val="restart"/>
            <w:shd w:val="clear" w:color="auto" w:fill="FFFFFF"/>
            <w:vAlign w:val="center"/>
            <w:hideMark/>
          </w:tcPr>
          <w:p w14:paraId="20901533"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528A066A"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0" w:type="dxa"/>
            <w:vMerge w:val="restart"/>
            <w:shd w:val="clear" w:color="auto" w:fill="FFFFFF"/>
            <w:vAlign w:val="center"/>
            <w:hideMark/>
          </w:tcPr>
          <w:p w14:paraId="1424F5E4"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265" w:type="dxa"/>
            <w:shd w:val="clear" w:color="auto" w:fill="FFFF00"/>
            <w:vAlign w:val="center"/>
            <w:hideMark/>
          </w:tcPr>
          <w:p w14:paraId="68F9D616"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xml:space="preserve">Sep 30, </w:t>
            </w:r>
          </w:p>
        </w:tc>
        <w:tc>
          <w:tcPr>
            <w:tcW w:w="1133" w:type="dxa"/>
            <w:shd w:val="clear" w:color="auto" w:fill="FFFFFF"/>
            <w:vAlign w:val="center"/>
            <w:hideMark/>
          </w:tcPr>
          <w:p w14:paraId="5396F4EA" w14:textId="77777777" w:rsidR="00CA3F18" w:rsidRPr="00CA3F18" w:rsidRDefault="00CA3F18" w:rsidP="001C5897">
            <w:pPr>
              <w:jc w:val="right"/>
              <w:rPr>
                <w:rFonts w:ascii="Calibri" w:hAnsi="Calibri" w:cs="Calibri"/>
                <w:bCs/>
                <w:color w:val="000000"/>
                <w:sz w:val="22"/>
                <w:szCs w:val="22"/>
                <w:lang w:eastAsia="en-IE"/>
              </w:rPr>
            </w:pPr>
            <w:r w:rsidRPr="00CA3F18">
              <w:rPr>
                <w:rFonts w:ascii="Calibri" w:hAnsi="Calibri" w:cs="Calibri"/>
                <w:bCs/>
                <w:color w:val="000000"/>
                <w:sz w:val="22"/>
                <w:szCs w:val="22"/>
                <w:lang w:eastAsia="en-IE"/>
              </w:rPr>
              <w:t xml:space="preserve">Sep 30, </w:t>
            </w:r>
          </w:p>
        </w:tc>
      </w:tr>
      <w:tr w:rsidR="00CA3F18" w:rsidRPr="00D964B7" w14:paraId="27159B6C" w14:textId="77777777" w:rsidTr="001C5897">
        <w:trPr>
          <w:trHeight w:val="272"/>
        </w:trPr>
        <w:tc>
          <w:tcPr>
            <w:tcW w:w="295" w:type="dxa"/>
            <w:vMerge/>
            <w:vAlign w:val="center"/>
            <w:hideMark/>
          </w:tcPr>
          <w:p w14:paraId="3922FF2F" w14:textId="77777777" w:rsidR="00CA3F18" w:rsidRPr="00D964B7" w:rsidRDefault="00CA3F18" w:rsidP="001C5897">
            <w:pPr>
              <w:rPr>
                <w:rFonts w:ascii="Calibri" w:hAnsi="Calibri" w:cs="Calibri"/>
                <w:color w:val="000000"/>
                <w:sz w:val="22"/>
                <w:szCs w:val="22"/>
                <w:lang w:eastAsia="en-IE"/>
              </w:rPr>
            </w:pPr>
          </w:p>
        </w:tc>
        <w:tc>
          <w:tcPr>
            <w:tcW w:w="7252" w:type="dxa"/>
            <w:shd w:val="clear" w:color="auto" w:fill="FFFFFF"/>
            <w:vAlign w:val="center"/>
            <w:hideMark/>
          </w:tcPr>
          <w:p w14:paraId="0EA484FF"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0" w:type="dxa"/>
            <w:vMerge/>
            <w:vAlign w:val="center"/>
            <w:hideMark/>
          </w:tcPr>
          <w:p w14:paraId="588ED2B9" w14:textId="77777777" w:rsidR="00CA3F18" w:rsidRPr="00D964B7" w:rsidRDefault="00CA3F18" w:rsidP="001C5897">
            <w:pPr>
              <w:rPr>
                <w:rFonts w:ascii="Calibri" w:hAnsi="Calibri" w:cs="Calibri"/>
                <w:b/>
                <w:bCs/>
                <w:color w:val="000000"/>
                <w:sz w:val="22"/>
                <w:szCs w:val="22"/>
                <w:lang w:eastAsia="en-IE"/>
              </w:rPr>
            </w:pPr>
          </w:p>
        </w:tc>
        <w:tc>
          <w:tcPr>
            <w:tcW w:w="1265" w:type="dxa"/>
            <w:shd w:val="clear" w:color="auto" w:fill="FFFF00"/>
            <w:hideMark/>
          </w:tcPr>
          <w:p w14:paraId="7A36E3DC"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2023</w:t>
            </w:r>
          </w:p>
        </w:tc>
        <w:tc>
          <w:tcPr>
            <w:tcW w:w="1133" w:type="dxa"/>
            <w:shd w:val="clear" w:color="auto" w:fill="FFFFFF"/>
            <w:vAlign w:val="center"/>
            <w:hideMark/>
          </w:tcPr>
          <w:p w14:paraId="26D07B44" w14:textId="77777777" w:rsidR="00CA3F18" w:rsidRPr="00CA3F18" w:rsidRDefault="00CA3F18" w:rsidP="001C5897">
            <w:pPr>
              <w:jc w:val="right"/>
              <w:rPr>
                <w:rFonts w:ascii="Calibri" w:hAnsi="Calibri" w:cs="Calibri"/>
                <w:bCs/>
                <w:color w:val="000000"/>
                <w:sz w:val="22"/>
                <w:szCs w:val="22"/>
                <w:lang w:eastAsia="en-IE"/>
              </w:rPr>
            </w:pPr>
            <w:r w:rsidRPr="00CA3F18">
              <w:rPr>
                <w:rFonts w:ascii="Calibri" w:hAnsi="Calibri" w:cs="Calibri"/>
                <w:bCs/>
                <w:color w:val="000000"/>
                <w:sz w:val="22"/>
                <w:szCs w:val="22"/>
                <w:lang w:eastAsia="en-IE"/>
              </w:rPr>
              <w:t>2022</w:t>
            </w:r>
          </w:p>
        </w:tc>
      </w:tr>
      <w:tr w:rsidR="00CA3F18" w:rsidRPr="00D964B7" w14:paraId="36FB73FA" w14:textId="77777777" w:rsidTr="001C5897">
        <w:trPr>
          <w:trHeight w:val="272"/>
        </w:trPr>
        <w:tc>
          <w:tcPr>
            <w:tcW w:w="295" w:type="dxa"/>
            <w:shd w:val="clear" w:color="auto" w:fill="FFFFFF"/>
            <w:vAlign w:val="center"/>
            <w:hideMark/>
          </w:tcPr>
          <w:p w14:paraId="02F84F29"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0B0191F8"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0" w:type="dxa"/>
            <w:shd w:val="clear" w:color="auto" w:fill="FFFFFF"/>
            <w:vAlign w:val="center"/>
            <w:hideMark/>
          </w:tcPr>
          <w:p w14:paraId="564981CE" w14:textId="77777777" w:rsidR="00CA3F18" w:rsidRPr="00D964B7" w:rsidRDefault="00CA3F18" w:rsidP="001C5897">
            <w:pPr>
              <w:jc w:val="right"/>
              <w:rPr>
                <w:rFonts w:ascii="Calibri" w:hAnsi="Calibri" w:cs="Calibri"/>
                <w:b/>
                <w:bCs/>
                <w:color w:val="000000"/>
                <w:sz w:val="22"/>
                <w:szCs w:val="22"/>
                <w:u w:val="single"/>
                <w:lang w:eastAsia="en-IE"/>
              </w:rPr>
            </w:pPr>
            <w:r w:rsidRPr="00D964B7">
              <w:rPr>
                <w:rFonts w:ascii="Calibri" w:hAnsi="Calibri" w:cs="Calibri"/>
                <w:b/>
                <w:bCs/>
                <w:color w:val="000000"/>
                <w:sz w:val="22"/>
                <w:szCs w:val="22"/>
                <w:u w:val="single"/>
                <w:lang w:eastAsia="en-IE"/>
              </w:rPr>
              <w:t>Note</w:t>
            </w:r>
          </w:p>
        </w:tc>
        <w:tc>
          <w:tcPr>
            <w:tcW w:w="1265" w:type="dxa"/>
            <w:shd w:val="clear" w:color="auto" w:fill="FFFF00"/>
            <w:vAlign w:val="center"/>
            <w:hideMark/>
          </w:tcPr>
          <w:p w14:paraId="5D059AD6" w14:textId="77777777" w:rsidR="00CA3F18" w:rsidRPr="00D964B7" w:rsidRDefault="00CA3F18" w:rsidP="001C5897">
            <w:pPr>
              <w:jc w:val="right"/>
              <w:rPr>
                <w:rFonts w:ascii="Calibri" w:hAnsi="Calibri" w:cs="Calibri"/>
                <w:b/>
                <w:bCs/>
                <w:color w:val="000000"/>
                <w:sz w:val="22"/>
                <w:szCs w:val="22"/>
                <w:u w:val="single"/>
                <w:lang w:eastAsia="en-IE"/>
              </w:rPr>
            </w:pPr>
            <w:r w:rsidRPr="00D964B7">
              <w:rPr>
                <w:rFonts w:ascii="Calibri" w:hAnsi="Calibri" w:cs="Calibri"/>
                <w:b/>
                <w:bCs/>
                <w:color w:val="000000"/>
                <w:sz w:val="22"/>
                <w:szCs w:val="22"/>
                <w:u w:val="single"/>
                <w:lang w:eastAsia="en-IE"/>
              </w:rPr>
              <w:t>€M</w:t>
            </w:r>
          </w:p>
        </w:tc>
        <w:tc>
          <w:tcPr>
            <w:tcW w:w="1133" w:type="dxa"/>
            <w:shd w:val="clear" w:color="auto" w:fill="FFFFFF"/>
            <w:vAlign w:val="center"/>
            <w:hideMark/>
          </w:tcPr>
          <w:p w14:paraId="3B11DA96" w14:textId="77777777" w:rsidR="00CA3F18" w:rsidRPr="00CA3F18" w:rsidRDefault="00CA3F18" w:rsidP="001C5897">
            <w:pPr>
              <w:jc w:val="right"/>
              <w:rPr>
                <w:rFonts w:ascii="Calibri" w:hAnsi="Calibri" w:cs="Calibri"/>
                <w:bCs/>
                <w:color w:val="000000"/>
                <w:sz w:val="22"/>
                <w:szCs w:val="22"/>
                <w:u w:val="single"/>
                <w:lang w:eastAsia="en-IE"/>
              </w:rPr>
            </w:pPr>
            <w:r w:rsidRPr="00CA3F18">
              <w:rPr>
                <w:rFonts w:ascii="Calibri" w:hAnsi="Calibri" w:cs="Calibri"/>
                <w:bCs/>
                <w:color w:val="000000"/>
                <w:sz w:val="22"/>
                <w:szCs w:val="22"/>
                <w:u w:val="single"/>
                <w:lang w:eastAsia="en-IE"/>
              </w:rPr>
              <w:t>€M</w:t>
            </w:r>
          </w:p>
        </w:tc>
      </w:tr>
      <w:tr w:rsidR="00CA3F18" w:rsidRPr="00D964B7" w14:paraId="13C5B5C5" w14:textId="77777777" w:rsidTr="001C5897">
        <w:trPr>
          <w:trHeight w:val="272"/>
        </w:trPr>
        <w:tc>
          <w:tcPr>
            <w:tcW w:w="7547" w:type="dxa"/>
            <w:gridSpan w:val="2"/>
            <w:shd w:val="clear" w:color="auto" w:fill="FFFFFF"/>
            <w:vAlign w:val="center"/>
            <w:hideMark/>
          </w:tcPr>
          <w:p w14:paraId="679CFC3C" w14:textId="77777777" w:rsidR="00CA3F18" w:rsidRPr="00D964B7" w:rsidRDefault="00CA3F18" w:rsidP="001C5897">
            <w:pPr>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Operating activities</w:t>
            </w:r>
          </w:p>
        </w:tc>
        <w:tc>
          <w:tcPr>
            <w:tcW w:w="720" w:type="dxa"/>
            <w:shd w:val="clear" w:color="auto" w:fill="FFFFFF"/>
            <w:vAlign w:val="center"/>
            <w:hideMark/>
          </w:tcPr>
          <w:p w14:paraId="0C856F67"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265" w:type="dxa"/>
            <w:shd w:val="clear" w:color="auto" w:fill="FFFF00"/>
            <w:vAlign w:val="center"/>
            <w:hideMark/>
          </w:tcPr>
          <w:p w14:paraId="760F8194" w14:textId="77777777" w:rsidR="00CA3F18" w:rsidRPr="00D964B7" w:rsidRDefault="00CA3F18" w:rsidP="001C5897">
            <w:pPr>
              <w:rPr>
                <w:rFonts w:ascii="Calibri" w:hAnsi="Calibri" w:cs="Calibri"/>
                <w:b/>
                <w:bCs/>
                <w:color w:val="000000"/>
                <w:sz w:val="22"/>
                <w:szCs w:val="22"/>
                <w:lang w:eastAsia="en-IE"/>
              </w:rPr>
            </w:pPr>
          </w:p>
        </w:tc>
        <w:tc>
          <w:tcPr>
            <w:tcW w:w="1133" w:type="dxa"/>
            <w:shd w:val="clear" w:color="auto" w:fill="FFFFFF"/>
            <w:vAlign w:val="center"/>
            <w:hideMark/>
          </w:tcPr>
          <w:p w14:paraId="4BEB0FB0" w14:textId="77777777" w:rsidR="00CA3F18" w:rsidRPr="00D964B7" w:rsidRDefault="00CA3F18" w:rsidP="001C5897">
            <w:pPr>
              <w:rPr>
                <w:rFonts w:ascii="Calibri" w:eastAsia="Calibri" w:hAnsi="Calibri" w:cs="Calibri"/>
                <w:sz w:val="22"/>
                <w:szCs w:val="22"/>
                <w:lang w:eastAsia="en-IE"/>
              </w:rPr>
            </w:pPr>
          </w:p>
        </w:tc>
      </w:tr>
      <w:tr w:rsidR="00CA3F18" w:rsidRPr="00D964B7" w14:paraId="3FA28A16" w14:textId="77777777" w:rsidTr="001C5897">
        <w:trPr>
          <w:trHeight w:val="272"/>
        </w:trPr>
        <w:tc>
          <w:tcPr>
            <w:tcW w:w="295" w:type="dxa"/>
            <w:shd w:val="clear" w:color="auto" w:fill="FFFFFF"/>
            <w:vAlign w:val="center"/>
            <w:hideMark/>
          </w:tcPr>
          <w:p w14:paraId="22DB1073"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4912C300"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Profit after tax</w:t>
            </w:r>
          </w:p>
        </w:tc>
        <w:tc>
          <w:tcPr>
            <w:tcW w:w="720" w:type="dxa"/>
            <w:shd w:val="clear" w:color="auto" w:fill="FFFFFF"/>
            <w:vAlign w:val="center"/>
            <w:hideMark/>
          </w:tcPr>
          <w:p w14:paraId="6FCFABD1" w14:textId="77777777" w:rsidR="00CA3F18" w:rsidRPr="00D964B7" w:rsidRDefault="00CA3F18" w:rsidP="001C5897">
            <w:pPr>
              <w:rPr>
                <w:rFonts w:ascii="Calibri" w:hAnsi="Calibri" w:cs="Calibri"/>
                <w:color w:val="000000"/>
                <w:sz w:val="22"/>
                <w:szCs w:val="22"/>
                <w:lang w:eastAsia="en-IE"/>
              </w:rPr>
            </w:pPr>
          </w:p>
        </w:tc>
        <w:tc>
          <w:tcPr>
            <w:tcW w:w="1265" w:type="dxa"/>
            <w:shd w:val="clear" w:color="auto" w:fill="FFFF00"/>
          </w:tcPr>
          <w:p w14:paraId="0CFF6272" w14:textId="77777777" w:rsidR="00CA3F18" w:rsidRPr="00D964B7" w:rsidRDefault="00CA3F18" w:rsidP="001C5897">
            <w:pPr>
              <w:jc w:val="right"/>
              <w:rPr>
                <w:rFonts w:ascii="Calibri" w:eastAsia="Calibri" w:hAnsi="Calibri" w:cs="Calibri"/>
                <w:b/>
                <w:sz w:val="22"/>
                <w:szCs w:val="22"/>
                <w:lang w:eastAsia="en-IE"/>
              </w:rPr>
            </w:pPr>
            <w:r w:rsidRPr="00D964B7">
              <w:rPr>
                <w:rFonts w:ascii="Calibri" w:hAnsi="Calibri" w:cs="Calibri"/>
                <w:b/>
                <w:bCs/>
                <w:color w:val="000000"/>
                <w:sz w:val="22"/>
                <w:szCs w:val="22"/>
              </w:rPr>
              <w:t>2,178.1</w:t>
            </w:r>
          </w:p>
        </w:tc>
        <w:tc>
          <w:tcPr>
            <w:tcW w:w="1133" w:type="dxa"/>
            <w:shd w:val="clear" w:color="auto" w:fill="FFFFFF"/>
            <w:hideMark/>
          </w:tcPr>
          <w:p w14:paraId="3C706A15" w14:textId="77777777" w:rsidR="00CA3F18" w:rsidRPr="00D964B7" w:rsidRDefault="00CA3F18" w:rsidP="001C5897">
            <w:pPr>
              <w:jc w:val="right"/>
              <w:rPr>
                <w:rFonts w:ascii="Calibri" w:hAnsi="Calibri" w:cs="Calibri"/>
                <w:bCs/>
                <w:color w:val="000000"/>
                <w:sz w:val="22"/>
                <w:szCs w:val="22"/>
                <w:lang w:eastAsia="en-IE"/>
              </w:rPr>
            </w:pPr>
            <w:r w:rsidRPr="00D964B7">
              <w:rPr>
                <w:rFonts w:ascii="Calibri" w:hAnsi="Calibri" w:cs="Calibri"/>
                <w:color w:val="000000"/>
                <w:sz w:val="22"/>
                <w:szCs w:val="22"/>
              </w:rPr>
              <w:t>1,263.4</w:t>
            </w:r>
          </w:p>
        </w:tc>
      </w:tr>
      <w:tr w:rsidR="00CA3F18" w:rsidRPr="00D964B7" w14:paraId="198D7EBB" w14:textId="77777777" w:rsidTr="001C5897">
        <w:trPr>
          <w:trHeight w:val="113"/>
        </w:trPr>
        <w:tc>
          <w:tcPr>
            <w:tcW w:w="295" w:type="dxa"/>
            <w:shd w:val="clear" w:color="auto" w:fill="FFFFFF"/>
            <w:vAlign w:val="center"/>
            <w:hideMark/>
          </w:tcPr>
          <w:p w14:paraId="59983B64"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402B5D85" w14:textId="77777777" w:rsidR="00CA3F18" w:rsidRPr="00D964B7" w:rsidRDefault="00CA3F18" w:rsidP="001C5897">
            <w:pPr>
              <w:ind w:right="-395"/>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0" w:type="dxa"/>
            <w:shd w:val="clear" w:color="auto" w:fill="FFFFFF"/>
            <w:vAlign w:val="center"/>
            <w:hideMark/>
          </w:tcPr>
          <w:p w14:paraId="5AAF8A43" w14:textId="77777777" w:rsidR="00CA3F18" w:rsidRPr="00D964B7" w:rsidRDefault="00CA3F18" w:rsidP="001C5897">
            <w:pPr>
              <w:rPr>
                <w:rFonts w:ascii="Calibri" w:hAnsi="Calibri" w:cs="Calibri"/>
                <w:color w:val="000000"/>
                <w:sz w:val="22"/>
                <w:szCs w:val="22"/>
                <w:lang w:eastAsia="en-IE"/>
              </w:rPr>
            </w:pPr>
          </w:p>
        </w:tc>
        <w:tc>
          <w:tcPr>
            <w:tcW w:w="1265" w:type="dxa"/>
            <w:shd w:val="clear" w:color="auto" w:fill="FFFF00"/>
            <w:vAlign w:val="center"/>
          </w:tcPr>
          <w:p w14:paraId="1B58091B" w14:textId="77777777" w:rsidR="00CA3F18" w:rsidRPr="00D964B7" w:rsidRDefault="00CA3F18" w:rsidP="001C5897">
            <w:pPr>
              <w:jc w:val="right"/>
              <w:rPr>
                <w:rFonts w:ascii="Calibri" w:eastAsia="Calibri" w:hAnsi="Calibri" w:cs="Calibri"/>
                <w:b/>
                <w:sz w:val="22"/>
                <w:szCs w:val="22"/>
                <w:lang w:eastAsia="en-IE"/>
              </w:rPr>
            </w:pPr>
          </w:p>
        </w:tc>
        <w:tc>
          <w:tcPr>
            <w:tcW w:w="1133" w:type="dxa"/>
            <w:shd w:val="clear" w:color="auto" w:fill="FFFFFF"/>
            <w:vAlign w:val="center"/>
            <w:hideMark/>
          </w:tcPr>
          <w:p w14:paraId="1B61FF57" w14:textId="77777777" w:rsidR="00CA3F18" w:rsidRPr="00D964B7" w:rsidRDefault="00CA3F18" w:rsidP="001C5897">
            <w:pPr>
              <w:jc w:val="right"/>
              <w:rPr>
                <w:rFonts w:ascii="Calibri" w:eastAsia="Calibri" w:hAnsi="Calibri" w:cs="Calibri"/>
                <w:bCs/>
                <w:sz w:val="22"/>
                <w:szCs w:val="22"/>
                <w:lang w:eastAsia="en-IE"/>
              </w:rPr>
            </w:pPr>
          </w:p>
        </w:tc>
      </w:tr>
      <w:tr w:rsidR="00CA3F18" w:rsidRPr="00D964B7" w14:paraId="2674392F" w14:textId="77777777" w:rsidTr="001C5897">
        <w:trPr>
          <w:trHeight w:val="272"/>
        </w:trPr>
        <w:tc>
          <w:tcPr>
            <w:tcW w:w="7547" w:type="dxa"/>
            <w:gridSpan w:val="2"/>
            <w:shd w:val="clear" w:color="auto" w:fill="FFFFFF"/>
            <w:vAlign w:val="center"/>
            <w:hideMark/>
          </w:tcPr>
          <w:p w14:paraId="64438268" w14:textId="77777777" w:rsidR="00CA3F18" w:rsidRPr="00D964B7" w:rsidRDefault="00CA3F18" w:rsidP="001C5897">
            <w:pPr>
              <w:ind w:right="-111"/>
              <w:rPr>
                <w:rFonts w:ascii="Calibri" w:hAnsi="Calibri" w:cs="Calibri"/>
                <w:b/>
                <w:bCs/>
                <w:i/>
                <w:iCs/>
                <w:color w:val="000000"/>
                <w:sz w:val="22"/>
                <w:szCs w:val="22"/>
                <w:lang w:eastAsia="en-IE"/>
              </w:rPr>
            </w:pPr>
            <w:r w:rsidRPr="00D964B7">
              <w:rPr>
                <w:rFonts w:ascii="Calibri" w:hAnsi="Calibri" w:cs="Calibri"/>
                <w:b/>
                <w:bCs/>
                <w:i/>
                <w:iCs/>
                <w:color w:val="000000"/>
                <w:sz w:val="22"/>
                <w:szCs w:val="22"/>
                <w:lang w:eastAsia="en-IE"/>
              </w:rPr>
              <w:t>Adjustments to reconcile profit after tax to net cash from operating activities</w:t>
            </w:r>
          </w:p>
        </w:tc>
        <w:tc>
          <w:tcPr>
            <w:tcW w:w="720" w:type="dxa"/>
            <w:shd w:val="clear" w:color="auto" w:fill="FFFFFF"/>
            <w:vAlign w:val="center"/>
            <w:hideMark/>
          </w:tcPr>
          <w:p w14:paraId="0CEEABA6" w14:textId="77777777" w:rsidR="00CA3F18" w:rsidRPr="00D964B7" w:rsidRDefault="00CA3F18" w:rsidP="001C5897">
            <w:pPr>
              <w:jc w:val="right"/>
              <w:rPr>
                <w:rFonts w:ascii="Calibri" w:hAnsi="Calibri" w:cs="Calibri"/>
                <w:bCs/>
                <w:color w:val="000000"/>
                <w:sz w:val="22"/>
                <w:szCs w:val="22"/>
                <w:lang w:eastAsia="en-IE"/>
              </w:rPr>
            </w:pPr>
            <w:r w:rsidRPr="00D964B7">
              <w:rPr>
                <w:rFonts w:ascii="Calibri" w:hAnsi="Calibri" w:cs="Calibri"/>
                <w:bCs/>
                <w:color w:val="000000"/>
                <w:sz w:val="22"/>
                <w:szCs w:val="22"/>
                <w:lang w:eastAsia="en-IE"/>
              </w:rPr>
              <w:t> </w:t>
            </w:r>
          </w:p>
        </w:tc>
        <w:tc>
          <w:tcPr>
            <w:tcW w:w="1265" w:type="dxa"/>
            <w:shd w:val="clear" w:color="auto" w:fill="FFFF00"/>
            <w:vAlign w:val="center"/>
          </w:tcPr>
          <w:p w14:paraId="3B3BA6F1" w14:textId="77777777" w:rsidR="00CA3F18" w:rsidRPr="00D964B7" w:rsidRDefault="00CA3F18" w:rsidP="001C5897">
            <w:pPr>
              <w:jc w:val="right"/>
              <w:rPr>
                <w:rFonts w:ascii="Calibri" w:hAnsi="Calibri" w:cs="Calibri"/>
                <w:b/>
                <w:bCs/>
                <w:color w:val="000000"/>
                <w:sz w:val="22"/>
                <w:szCs w:val="22"/>
                <w:lang w:eastAsia="en-IE"/>
              </w:rPr>
            </w:pPr>
          </w:p>
        </w:tc>
        <w:tc>
          <w:tcPr>
            <w:tcW w:w="1133" w:type="dxa"/>
            <w:shd w:val="clear" w:color="auto" w:fill="FFFFFF"/>
            <w:vAlign w:val="center"/>
            <w:hideMark/>
          </w:tcPr>
          <w:p w14:paraId="7A8048C2" w14:textId="77777777" w:rsidR="00CA3F18" w:rsidRPr="00D964B7" w:rsidRDefault="00CA3F18" w:rsidP="001C5897">
            <w:pPr>
              <w:jc w:val="right"/>
              <w:rPr>
                <w:rFonts w:ascii="Calibri" w:eastAsia="Calibri" w:hAnsi="Calibri" w:cs="Calibri"/>
                <w:bCs/>
                <w:sz w:val="22"/>
                <w:szCs w:val="22"/>
                <w:lang w:eastAsia="en-IE"/>
              </w:rPr>
            </w:pPr>
          </w:p>
        </w:tc>
      </w:tr>
      <w:tr w:rsidR="00CA3F18" w:rsidRPr="00D964B7" w14:paraId="2C07630E" w14:textId="77777777" w:rsidTr="001C5897">
        <w:trPr>
          <w:trHeight w:val="272"/>
        </w:trPr>
        <w:tc>
          <w:tcPr>
            <w:tcW w:w="295" w:type="dxa"/>
            <w:shd w:val="clear" w:color="auto" w:fill="FFFFFF"/>
            <w:vAlign w:val="center"/>
            <w:hideMark/>
          </w:tcPr>
          <w:p w14:paraId="53C2798B"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66BDAF8C"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Depreciation</w:t>
            </w:r>
          </w:p>
        </w:tc>
        <w:tc>
          <w:tcPr>
            <w:tcW w:w="720" w:type="dxa"/>
            <w:shd w:val="clear" w:color="auto" w:fill="FFFFFF"/>
            <w:vAlign w:val="center"/>
            <w:hideMark/>
          </w:tcPr>
          <w:p w14:paraId="160476D6" w14:textId="77777777" w:rsidR="00CA3F18" w:rsidRPr="00D964B7" w:rsidRDefault="00CA3F18" w:rsidP="001C5897">
            <w:pPr>
              <w:rPr>
                <w:rFonts w:ascii="Calibri" w:hAnsi="Calibri" w:cs="Calibri"/>
                <w:color w:val="000000"/>
                <w:sz w:val="22"/>
                <w:szCs w:val="22"/>
                <w:lang w:eastAsia="en-IE"/>
              </w:rPr>
            </w:pPr>
          </w:p>
        </w:tc>
        <w:tc>
          <w:tcPr>
            <w:tcW w:w="1265" w:type="dxa"/>
            <w:shd w:val="clear" w:color="auto" w:fill="FFFF00"/>
          </w:tcPr>
          <w:p w14:paraId="444FB593" w14:textId="77777777" w:rsidR="00CA3F18" w:rsidRPr="00D964B7" w:rsidRDefault="00CA3F18" w:rsidP="001C5897">
            <w:pPr>
              <w:jc w:val="right"/>
              <w:rPr>
                <w:rFonts w:ascii="Calibri" w:eastAsia="Calibri" w:hAnsi="Calibri" w:cs="Calibri"/>
                <w:b/>
                <w:sz w:val="22"/>
                <w:szCs w:val="22"/>
                <w:lang w:eastAsia="en-IE"/>
              </w:rPr>
            </w:pPr>
            <w:r>
              <w:rPr>
                <w:rFonts w:ascii="Calibri" w:hAnsi="Calibri" w:cs="Calibri"/>
                <w:b/>
                <w:bCs/>
                <w:color w:val="000000"/>
                <w:sz w:val="22"/>
                <w:szCs w:val="22"/>
              </w:rPr>
              <w:t>558.8</w:t>
            </w:r>
          </w:p>
        </w:tc>
        <w:tc>
          <w:tcPr>
            <w:tcW w:w="1133" w:type="dxa"/>
            <w:shd w:val="clear" w:color="auto" w:fill="FFFFFF"/>
            <w:hideMark/>
          </w:tcPr>
          <w:p w14:paraId="40F5AD55" w14:textId="77777777" w:rsidR="00CA3F18" w:rsidRPr="00D964B7" w:rsidRDefault="00CA3F18" w:rsidP="001C5897">
            <w:pPr>
              <w:jc w:val="right"/>
              <w:rPr>
                <w:rFonts w:ascii="Calibri" w:hAnsi="Calibri" w:cs="Calibri"/>
                <w:bCs/>
                <w:color w:val="000000"/>
                <w:sz w:val="22"/>
                <w:szCs w:val="22"/>
                <w:lang w:eastAsia="en-IE"/>
              </w:rPr>
            </w:pPr>
            <w:r w:rsidRPr="00622BA6">
              <w:rPr>
                <w:rFonts w:ascii="Calibri" w:hAnsi="Calibri" w:cs="Calibri"/>
                <w:color w:val="000000"/>
                <w:sz w:val="22"/>
                <w:szCs w:val="22"/>
              </w:rPr>
              <w:t>453.1</w:t>
            </w:r>
          </w:p>
        </w:tc>
      </w:tr>
      <w:tr w:rsidR="00CA3F18" w:rsidRPr="00D964B7" w14:paraId="6D37971C" w14:textId="77777777" w:rsidTr="001C5897">
        <w:trPr>
          <w:trHeight w:val="272"/>
        </w:trPr>
        <w:tc>
          <w:tcPr>
            <w:tcW w:w="295" w:type="dxa"/>
            <w:shd w:val="clear" w:color="auto" w:fill="FFFFFF"/>
            <w:vAlign w:val="center"/>
            <w:hideMark/>
          </w:tcPr>
          <w:p w14:paraId="326FED5F"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0AF234D3"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Decrease/(increase) in inventories</w:t>
            </w:r>
          </w:p>
        </w:tc>
        <w:tc>
          <w:tcPr>
            <w:tcW w:w="720" w:type="dxa"/>
            <w:shd w:val="clear" w:color="auto" w:fill="FFFFFF"/>
            <w:vAlign w:val="center"/>
            <w:hideMark/>
          </w:tcPr>
          <w:p w14:paraId="08E137EE" w14:textId="77777777" w:rsidR="00CA3F18" w:rsidRPr="00D964B7" w:rsidRDefault="00CA3F18" w:rsidP="001C5897">
            <w:pPr>
              <w:rPr>
                <w:rFonts w:ascii="Calibri" w:hAnsi="Calibri" w:cs="Calibri"/>
                <w:color w:val="000000"/>
                <w:sz w:val="22"/>
                <w:szCs w:val="22"/>
                <w:lang w:eastAsia="en-IE"/>
              </w:rPr>
            </w:pPr>
          </w:p>
        </w:tc>
        <w:tc>
          <w:tcPr>
            <w:tcW w:w="1265" w:type="dxa"/>
            <w:shd w:val="clear" w:color="auto" w:fill="FFFF00"/>
          </w:tcPr>
          <w:p w14:paraId="432B5E8E" w14:textId="77777777" w:rsidR="00CA3F18" w:rsidRPr="00D964B7" w:rsidRDefault="00CA3F18" w:rsidP="001C5897">
            <w:pPr>
              <w:jc w:val="right"/>
              <w:rPr>
                <w:rFonts w:ascii="Calibri" w:eastAsia="Calibri" w:hAnsi="Calibri" w:cs="Calibri"/>
                <w:b/>
                <w:sz w:val="22"/>
                <w:szCs w:val="22"/>
                <w:lang w:eastAsia="en-IE"/>
              </w:rPr>
            </w:pPr>
            <w:r>
              <w:rPr>
                <w:rFonts w:ascii="Calibri" w:hAnsi="Calibri" w:cs="Calibri"/>
                <w:b/>
                <w:bCs/>
                <w:color w:val="000000"/>
                <w:sz w:val="22"/>
                <w:szCs w:val="22"/>
              </w:rPr>
              <w:t>0.3</w:t>
            </w:r>
          </w:p>
        </w:tc>
        <w:tc>
          <w:tcPr>
            <w:tcW w:w="1133" w:type="dxa"/>
            <w:shd w:val="clear" w:color="auto" w:fill="FFFFFF"/>
            <w:hideMark/>
          </w:tcPr>
          <w:p w14:paraId="71D75728" w14:textId="77777777" w:rsidR="00CA3F18" w:rsidRPr="00D964B7" w:rsidRDefault="00CA3F18" w:rsidP="001C5897">
            <w:pPr>
              <w:jc w:val="right"/>
              <w:rPr>
                <w:rFonts w:ascii="Calibri" w:hAnsi="Calibri" w:cs="Calibri"/>
                <w:bCs/>
                <w:color w:val="000000"/>
                <w:sz w:val="22"/>
                <w:szCs w:val="22"/>
                <w:lang w:eastAsia="en-IE"/>
              </w:rPr>
            </w:pPr>
            <w:r w:rsidRPr="00622BA6">
              <w:rPr>
                <w:rFonts w:ascii="Calibri" w:hAnsi="Calibri" w:cs="Calibri"/>
                <w:color w:val="000000"/>
                <w:sz w:val="22"/>
                <w:szCs w:val="22"/>
              </w:rPr>
              <w:t>(0.2)</w:t>
            </w:r>
          </w:p>
        </w:tc>
      </w:tr>
      <w:tr w:rsidR="00CA3F18" w:rsidRPr="00D964B7" w14:paraId="41301138" w14:textId="77777777" w:rsidTr="001C5897">
        <w:trPr>
          <w:trHeight w:val="272"/>
        </w:trPr>
        <w:tc>
          <w:tcPr>
            <w:tcW w:w="295" w:type="dxa"/>
            <w:shd w:val="clear" w:color="auto" w:fill="FFFFFF"/>
            <w:vAlign w:val="center"/>
            <w:hideMark/>
          </w:tcPr>
          <w:p w14:paraId="08ACF780"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6E9F9362"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Tax expense</w:t>
            </w:r>
          </w:p>
        </w:tc>
        <w:tc>
          <w:tcPr>
            <w:tcW w:w="720" w:type="dxa"/>
            <w:shd w:val="clear" w:color="auto" w:fill="FFFFFF"/>
            <w:vAlign w:val="center"/>
            <w:hideMark/>
          </w:tcPr>
          <w:p w14:paraId="7AE6050B" w14:textId="77777777" w:rsidR="00CA3F18" w:rsidRPr="00D964B7" w:rsidRDefault="00CA3F18" w:rsidP="001C5897">
            <w:pPr>
              <w:rPr>
                <w:rFonts w:ascii="Calibri" w:hAnsi="Calibri" w:cs="Calibri"/>
                <w:color w:val="000000"/>
                <w:sz w:val="22"/>
                <w:szCs w:val="22"/>
                <w:lang w:eastAsia="en-IE"/>
              </w:rPr>
            </w:pPr>
          </w:p>
        </w:tc>
        <w:tc>
          <w:tcPr>
            <w:tcW w:w="1265" w:type="dxa"/>
            <w:shd w:val="clear" w:color="auto" w:fill="FFFF00"/>
          </w:tcPr>
          <w:p w14:paraId="655C6D4E" w14:textId="77777777" w:rsidR="00CA3F18" w:rsidRPr="00D964B7" w:rsidRDefault="00CA3F18" w:rsidP="001C5897">
            <w:pPr>
              <w:jc w:val="right"/>
              <w:rPr>
                <w:rFonts w:ascii="Calibri" w:eastAsia="Calibri" w:hAnsi="Calibri" w:cs="Calibri"/>
                <w:b/>
                <w:sz w:val="22"/>
                <w:szCs w:val="22"/>
                <w:lang w:eastAsia="en-IE"/>
              </w:rPr>
            </w:pPr>
            <w:r>
              <w:rPr>
                <w:rFonts w:ascii="Calibri" w:hAnsi="Calibri" w:cs="Calibri"/>
                <w:b/>
                <w:bCs/>
                <w:color w:val="000000"/>
                <w:sz w:val="22"/>
                <w:szCs w:val="22"/>
              </w:rPr>
              <w:t>280.4</w:t>
            </w:r>
          </w:p>
        </w:tc>
        <w:tc>
          <w:tcPr>
            <w:tcW w:w="1133" w:type="dxa"/>
            <w:shd w:val="clear" w:color="auto" w:fill="FFFFFF"/>
            <w:hideMark/>
          </w:tcPr>
          <w:p w14:paraId="25DA4259" w14:textId="77777777" w:rsidR="00CA3F18" w:rsidRPr="00D964B7" w:rsidRDefault="00CA3F18" w:rsidP="001C5897">
            <w:pPr>
              <w:jc w:val="right"/>
              <w:rPr>
                <w:rFonts w:ascii="Calibri" w:hAnsi="Calibri" w:cs="Calibri"/>
                <w:bCs/>
                <w:color w:val="000000"/>
                <w:sz w:val="22"/>
                <w:szCs w:val="22"/>
                <w:lang w:eastAsia="en-IE"/>
              </w:rPr>
            </w:pPr>
            <w:r w:rsidRPr="00622BA6">
              <w:rPr>
                <w:rFonts w:ascii="Calibri" w:hAnsi="Calibri" w:cs="Calibri"/>
                <w:color w:val="000000"/>
                <w:sz w:val="22"/>
                <w:szCs w:val="22"/>
              </w:rPr>
              <w:t>159.3</w:t>
            </w:r>
          </w:p>
        </w:tc>
      </w:tr>
      <w:tr w:rsidR="00CA3F18" w:rsidRPr="00D964B7" w14:paraId="78EF5CFF" w14:textId="77777777" w:rsidTr="001C5897">
        <w:trPr>
          <w:trHeight w:val="272"/>
        </w:trPr>
        <w:tc>
          <w:tcPr>
            <w:tcW w:w="295" w:type="dxa"/>
            <w:shd w:val="clear" w:color="auto" w:fill="FFFFFF"/>
            <w:vAlign w:val="center"/>
            <w:hideMark/>
          </w:tcPr>
          <w:p w14:paraId="6C1176B8"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750467D4"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Share based payments</w:t>
            </w:r>
          </w:p>
        </w:tc>
        <w:tc>
          <w:tcPr>
            <w:tcW w:w="720" w:type="dxa"/>
            <w:shd w:val="clear" w:color="auto" w:fill="FFFFFF"/>
            <w:vAlign w:val="center"/>
            <w:hideMark/>
          </w:tcPr>
          <w:p w14:paraId="45101AF0" w14:textId="77777777" w:rsidR="00CA3F18" w:rsidRPr="00D964B7" w:rsidRDefault="00CA3F18" w:rsidP="001C5897">
            <w:pPr>
              <w:jc w:val="right"/>
              <w:rPr>
                <w:rFonts w:ascii="Calibri" w:hAnsi="Calibri" w:cs="Calibri"/>
                <w:b/>
                <w:bCs/>
                <w:color w:val="000000"/>
                <w:sz w:val="22"/>
                <w:szCs w:val="22"/>
                <w:lang w:eastAsia="en-IE"/>
              </w:rPr>
            </w:pPr>
          </w:p>
        </w:tc>
        <w:tc>
          <w:tcPr>
            <w:tcW w:w="1265" w:type="dxa"/>
            <w:shd w:val="clear" w:color="auto" w:fill="FFFF00"/>
          </w:tcPr>
          <w:p w14:paraId="15E64AD2" w14:textId="77777777" w:rsidR="00CA3F18" w:rsidRPr="00D964B7" w:rsidRDefault="00CA3F18" w:rsidP="001C5897">
            <w:pPr>
              <w:jc w:val="right"/>
              <w:rPr>
                <w:rFonts w:ascii="Calibri" w:eastAsia="Calibri" w:hAnsi="Calibri" w:cs="Calibri"/>
                <w:b/>
                <w:sz w:val="22"/>
                <w:szCs w:val="22"/>
                <w:lang w:eastAsia="en-IE"/>
              </w:rPr>
            </w:pPr>
            <w:r>
              <w:rPr>
                <w:rFonts w:ascii="Calibri" w:hAnsi="Calibri" w:cs="Calibri"/>
                <w:b/>
                <w:bCs/>
                <w:color w:val="000000"/>
                <w:sz w:val="22"/>
                <w:szCs w:val="22"/>
              </w:rPr>
              <w:t>9.9</w:t>
            </w:r>
          </w:p>
        </w:tc>
        <w:tc>
          <w:tcPr>
            <w:tcW w:w="1133" w:type="dxa"/>
            <w:shd w:val="clear" w:color="auto" w:fill="FFFFFF"/>
            <w:hideMark/>
          </w:tcPr>
          <w:p w14:paraId="3ED127C4" w14:textId="77777777" w:rsidR="00CA3F18" w:rsidRPr="00D964B7" w:rsidRDefault="00CA3F18" w:rsidP="001C5897">
            <w:pPr>
              <w:jc w:val="right"/>
              <w:rPr>
                <w:rFonts w:ascii="Calibri" w:hAnsi="Calibri" w:cs="Calibri"/>
                <w:bCs/>
                <w:color w:val="000000"/>
                <w:sz w:val="22"/>
                <w:szCs w:val="22"/>
                <w:lang w:eastAsia="en-IE"/>
              </w:rPr>
            </w:pPr>
            <w:r w:rsidRPr="00622BA6">
              <w:rPr>
                <w:rFonts w:ascii="Calibri" w:hAnsi="Calibri" w:cs="Calibri"/>
                <w:color w:val="000000"/>
                <w:sz w:val="22"/>
                <w:szCs w:val="22"/>
              </w:rPr>
              <w:t>8.4</w:t>
            </w:r>
          </w:p>
        </w:tc>
      </w:tr>
      <w:tr w:rsidR="00CA3F18" w:rsidRPr="00D964B7" w14:paraId="08980EAD" w14:textId="77777777" w:rsidTr="001C5897">
        <w:trPr>
          <w:trHeight w:val="272"/>
        </w:trPr>
        <w:tc>
          <w:tcPr>
            <w:tcW w:w="295" w:type="dxa"/>
            <w:shd w:val="clear" w:color="auto" w:fill="FFFFFF"/>
            <w:vAlign w:val="center"/>
            <w:hideMark/>
          </w:tcPr>
          <w:p w14:paraId="11CF97D4" w14:textId="77777777" w:rsidR="00CA3F18" w:rsidRPr="00D964B7" w:rsidRDefault="00CA3F18" w:rsidP="001C5897">
            <w:pPr>
              <w:jc w:val="center"/>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640056C9"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Increase in trade receivables</w:t>
            </w:r>
          </w:p>
        </w:tc>
        <w:tc>
          <w:tcPr>
            <w:tcW w:w="720" w:type="dxa"/>
            <w:shd w:val="clear" w:color="auto" w:fill="FFFFFF"/>
            <w:vAlign w:val="center"/>
            <w:hideMark/>
          </w:tcPr>
          <w:p w14:paraId="7C0E54C0" w14:textId="77777777" w:rsidR="00CA3F18" w:rsidRPr="00D964B7" w:rsidRDefault="00CA3F18" w:rsidP="001C5897">
            <w:pPr>
              <w:rPr>
                <w:rFonts w:ascii="Calibri" w:hAnsi="Calibri" w:cs="Calibri"/>
                <w:color w:val="000000"/>
                <w:sz w:val="22"/>
                <w:szCs w:val="22"/>
                <w:lang w:eastAsia="en-IE"/>
              </w:rPr>
            </w:pPr>
          </w:p>
        </w:tc>
        <w:tc>
          <w:tcPr>
            <w:tcW w:w="1265" w:type="dxa"/>
            <w:shd w:val="clear" w:color="auto" w:fill="FFFF00"/>
          </w:tcPr>
          <w:p w14:paraId="4CD653FE" w14:textId="77777777" w:rsidR="00CA3F18" w:rsidRPr="00D964B7" w:rsidRDefault="00CA3F18" w:rsidP="001C5897">
            <w:pPr>
              <w:jc w:val="right"/>
              <w:rPr>
                <w:rFonts w:ascii="Calibri" w:eastAsia="Calibri" w:hAnsi="Calibri" w:cs="Calibri"/>
                <w:b/>
                <w:sz w:val="22"/>
                <w:szCs w:val="22"/>
                <w:lang w:eastAsia="en-IE"/>
              </w:rPr>
            </w:pPr>
            <w:r w:rsidRPr="00BA6B0D">
              <w:rPr>
                <w:rFonts w:ascii="Calibri" w:hAnsi="Calibri" w:cs="Calibri"/>
                <w:b/>
                <w:bCs/>
                <w:color w:val="000000"/>
                <w:sz w:val="22"/>
                <w:szCs w:val="22"/>
              </w:rPr>
              <w:t>(</w:t>
            </w:r>
            <w:r>
              <w:rPr>
                <w:rFonts w:ascii="Calibri" w:hAnsi="Calibri" w:cs="Calibri"/>
                <w:b/>
                <w:bCs/>
                <w:color w:val="000000"/>
                <w:sz w:val="22"/>
                <w:szCs w:val="22"/>
              </w:rPr>
              <w:t>8.6</w:t>
            </w:r>
            <w:r w:rsidRPr="00BA6B0D">
              <w:rPr>
                <w:rFonts w:ascii="Calibri" w:hAnsi="Calibri" w:cs="Calibri"/>
                <w:b/>
                <w:bCs/>
                <w:color w:val="000000"/>
                <w:sz w:val="22"/>
                <w:szCs w:val="22"/>
              </w:rPr>
              <w:t>)</w:t>
            </w:r>
          </w:p>
        </w:tc>
        <w:tc>
          <w:tcPr>
            <w:tcW w:w="1133" w:type="dxa"/>
            <w:shd w:val="clear" w:color="auto" w:fill="FFFFFF"/>
            <w:hideMark/>
          </w:tcPr>
          <w:p w14:paraId="5561160F" w14:textId="77777777" w:rsidR="00CA3F18" w:rsidRPr="00D964B7" w:rsidRDefault="00CA3F18" w:rsidP="001C5897">
            <w:pPr>
              <w:jc w:val="right"/>
              <w:rPr>
                <w:rFonts w:ascii="Calibri" w:hAnsi="Calibri" w:cs="Calibri"/>
                <w:bCs/>
                <w:color w:val="000000"/>
                <w:sz w:val="22"/>
                <w:szCs w:val="22"/>
                <w:lang w:eastAsia="en-IE"/>
              </w:rPr>
            </w:pPr>
            <w:r w:rsidRPr="00622BA6">
              <w:rPr>
                <w:rFonts w:ascii="Calibri" w:hAnsi="Calibri" w:cs="Calibri"/>
                <w:color w:val="000000"/>
                <w:sz w:val="22"/>
                <w:szCs w:val="22"/>
              </w:rPr>
              <w:t>(34.5)</w:t>
            </w:r>
          </w:p>
        </w:tc>
      </w:tr>
      <w:tr w:rsidR="00CA3F18" w:rsidRPr="00D964B7" w14:paraId="5CB933B6" w14:textId="77777777" w:rsidTr="001C5897">
        <w:trPr>
          <w:trHeight w:val="272"/>
        </w:trPr>
        <w:tc>
          <w:tcPr>
            <w:tcW w:w="295" w:type="dxa"/>
            <w:shd w:val="clear" w:color="auto" w:fill="FFFFFF"/>
            <w:vAlign w:val="center"/>
            <w:hideMark/>
          </w:tcPr>
          <w:p w14:paraId="4C77B26D"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2704E68D"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Increase in other assets</w:t>
            </w:r>
          </w:p>
        </w:tc>
        <w:tc>
          <w:tcPr>
            <w:tcW w:w="720" w:type="dxa"/>
            <w:shd w:val="clear" w:color="auto" w:fill="FFFFFF"/>
            <w:vAlign w:val="center"/>
            <w:hideMark/>
          </w:tcPr>
          <w:p w14:paraId="020D78BB" w14:textId="77777777" w:rsidR="00CA3F18" w:rsidRPr="00D964B7" w:rsidRDefault="00CA3F18" w:rsidP="001C5897">
            <w:pPr>
              <w:rPr>
                <w:rFonts w:ascii="Calibri" w:hAnsi="Calibri" w:cs="Calibri"/>
                <w:color w:val="000000"/>
                <w:sz w:val="22"/>
                <w:szCs w:val="22"/>
                <w:lang w:eastAsia="en-IE"/>
              </w:rPr>
            </w:pPr>
          </w:p>
        </w:tc>
        <w:tc>
          <w:tcPr>
            <w:tcW w:w="1265" w:type="dxa"/>
            <w:shd w:val="clear" w:color="auto" w:fill="FFFF00"/>
          </w:tcPr>
          <w:p w14:paraId="59DD58AD" w14:textId="77777777" w:rsidR="00CA3F18" w:rsidRPr="00D964B7" w:rsidRDefault="00CA3F18" w:rsidP="001C5897">
            <w:pPr>
              <w:jc w:val="right"/>
              <w:rPr>
                <w:rFonts w:ascii="Calibri" w:eastAsia="Calibri" w:hAnsi="Calibri" w:cs="Calibri"/>
                <w:b/>
                <w:sz w:val="22"/>
                <w:szCs w:val="22"/>
                <w:lang w:eastAsia="en-IE"/>
              </w:rPr>
            </w:pPr>
            <w:r w:rsidRPr="00BA6B0D">
              <w:rPr>
                <w:rFonts w:ascii="Calibri" w:hAnsi="Calibri" w:cs="Calibri"/>
                <w:b/>
                <w:bCs/>
                <w:color w:val="000000"/>
                <w:sz w:val="22"/>
                <w:szCs w:val="22"/>
              </w:rPr>
              <w:t>(1</w:t>
            </w:r>
            <w:r>
              <w:rPr>
                <w:rFonts w:ascii="Calibri" w:hAnsi="Calibri" w:cs="Calibri"/>
                <w:b/>
                <w:bCs/>
                <w:color w:val="000000"/>
                <w:sz w:val="22"/>
                <w:szCs w:val="22"/>
              </w:rPr>
              <w:t>36.8</w:t>
            </w:r>
            <w:r w:rsidRPr="00BA6B0D">
              <w:rPr>
                <w:rFonts w:ascii="Calibri" w:hAnsi="Calibri" w:cs="Calibri"/>
                <w:b/>
                <w:bCs/>
                <w:color w:val="000000"/>
                <w:sz w:val="22"/>
                <w:szCs w:val="22"/>
              </w:rPr>
              <w:t>)</w:t>
            </w:r>
          </w:p>
        </w:tc>
        <w:tc>
          <w:tcPr>
            <w:tcW w:w="1133" w:type="dxa"/>
            <w:shd w:val="clear" w:color="auto" w:fill="FFFFFF"/>
            <w:hideMark/>
          </w:tcPr>
          <w:p w14:paraId="1B9FCE47" w14:textId="77777777" w:rsidR="00CA3F18" w:rsidRPr="00D964B7" w:rsidRDefault="00CA3F18" w:rsidP="001C5897">
            <w:pPr>
              <w:jc w:val="right"/>
              <w:rPr>
                <w:rFonts w:ascii="Calibri" w:hAnsi="Calibri" w:cs="Calibri"/>
                <w:bCs/>
                <w:color w:val="000000"/>
                <w:sz w:val="22"/>
                <w:szCs w:val="22"/>
                <w:lang w:eastAsia="en-IE"/>
              </w:rPr>
            </w:pPr>
            <w:r w:rsidRPr="00622BA6">
              <w:rPr>
                <w:rFonts w:ascii="Calibri" w:hAnsi="Calibri" w:cs="Calibri"/>
                <w:color w:val="000000"/>
                <w:sz w:val="22"/>
                <w:szCs w:val="22"/>
              </w:rPr>
              <w:t>(254.4)</w:t>
            </w:r>
          </w:p>
        </w:tc>
      </w:tr>
      <w:tr w:rsidR="00CA3F18" w:rsidRPr="00D964B7" w14:paraId="0884F124" w14:textId="77777777" w:rsidTr="001C5897">
        <w:trPr>
          <w:trHeight w:val="272"/>
        </w:trPr>
        <w:tc>
          <w:tcPr>
            <w:tcW w:w="295" w:type="dxa"/>
            <w:shd w:val="clear" w:color="auto" w:fill="FFFFFF"/>
            <w:vAlign w:val="center"/>
            <w:hideMark/>
          </w:tcPr>
          <w:p w14:paraId="4801B69E"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04C79BA7"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Increase in trade payables</w:t>
            </w:r>
          </w:p>
        </w:tc>
        <w:tc>
          <w:tcPr>
            <w:tcW w:w="720" w:type="dxa"/>
            <w:shd w:val="clear" w:color="auto" w:fill="FFFFFF"/>
            <w:vAlign w:val="center"/>
            <w:hideMark/>
          </w:tcPr>
          <w:p w14:paraId="78AAF762" w14:textId="77777777" w:rsidR="00CA3F18" w:rsidRPr="00D964B7" w:rsidRDefault="00CA3F18" w:rsidP="001C5897">
            <w:pPr>
              <w:jc w:val="right"/>
              <w:rPr>
                <w:rFonts w:ascii="Calibri" w:hAnsi="Calibri" w:cs="Calibri"/>
                <w:b/>
                <w:color w:val="000000"/>
                <w:sz w:val="22"/>
                <w:szCs w:val="22"/>
                <w:lang w:eastAsia="en-IE"/>
              </w:rPr>
            </w:pPr>
          </w:p>
        </w:tc>
        <w:tc>
          <w:tcPr>
            <w:tcW w:w="1265" w:type="dxa"/>
            <w:shd w:val="clear" w:color="auto" w:fill="FFFF00"/>
          </w:tcPr>
          <w:p w14:paraId="51E160C3" w14:textId="77777777" w:rsidR="00CA3F18" w:rsidRPr="00D964B7" w:rsidRDefault="00CA3F18" w:rsidP="001C5897">
            <w:pPr>
              <w:jc w:val="right"/>
              <w:rPr>
                <w:rFonts w:ascii="Calibri" w:eastAsia="Calibri" w:hAnsi="Calibri" w:cs="Calibri"/>
                <w:b/>
                <w:sz w:val="22"/>
                <w:szCs w:val="22"/>
                <w:lang w:eastAsia="en-IE"/>
              </w:rPr>
            </w:pPr>
            <w:r w:rsidRPr="00BA6B0D">
              <w:rPr>
                <w:rFonts w:ascii="Calibri" w:hAnsi="Calibri" w:cs="Calibri"/>
                <w:b/>
                <w:bCs/>
                <w:color w:val="000000"/>
                <w:sz w:val="22"/>
                <w:szCs w:val="22"/>
              </w:rPr>
              <w:t>2</w:t>
            </w:r>
            <w:r>
              <w:rPr>
                <w:rFonts w:ascii="Calibri" w:hAnsi="Calibri" w:cs="Calibri"/>
                <w:b/>
                <w:bCs/>
                <w:color w:val="000000"/>
                <w:sz w:val="22"/>
                <w:szCs w:val="22"/>
              </w:rPr>
              <w:t>32</w:t>
            </w:r>
            <w:r w:rsidRPr="00BA6B0D">
              <w:rPr>
                <w:rFonts w:ascii="Calibri" w:hAnsi="Calibri" w:cs="Calibri"/>
                <w:b/>
                <w:bCs/>
                <w:color w:val="000000"/>
                <w:sz w:val="22"/>
                <w:szCs w:val="22"/>
              </w:rPr>
              <w:t>.7</w:t>
            </w:r>
          </w:p>
        </w:tc>
        <w:tc>
          <w:tcPr>
            <w:tcW w:w="1133" w:type="dxa"/>
            <w:shd w:val="clear" w:color="auto" w:fill="FFFFFF"/>
            <w:hideMark/>
          </w:tcPr>
          <w:p w14:paraId="4E4A03E9" w14:textId="77777777" w:rsidR="00CA3F18" w:rsidRPr="00D964B7" w:rsidRDefault="00CA3F18" w:rsidP="001C5897">
            <w:pPr>
              <w:jc w:val="right"/>
              <w:rPr>
                <w:rFonts w:ascii="Calibri" w:hAnsi="Calibri" w:cs="Calibri"/>
                <w:bCs/>
                <w:color w:val="000000"/>
                <w:sz w:val="22"/>
                <w:szCs w:val="22"/>
                <w:lang w:eastAsia="en-IE"/>
              </w:rPr>
            </w:pPr>
            <w:r w:rsidRPr="00622BA6">
              <w:rPr>
                <w:rFonts w:ascii="Calibri" w:hAnsi="Calibri" w:cs="Calibri"/>
                <w:color w:val="000000"/>
                <w:sz w:val="22"/>
                <w:szCs w:val="22"/>
              </w:rPr>
              <w:t>262.3</w:t>
            </w:r>
          </w:p>
        </w:tc>
      </w:tr>
      <w:tr w:rsidR="00CA3F18" w:rsidRPr="00D964B7" w14:paraId="4392C466" w14:textId="77777777" w:rsidTr="001C5897">
        <w:trPr>
          <w:trHeight w:val="272"/>
        </w:trPr>
        <w:tc>
          <w:tcPr>
            <w:tcW w:w="295" w:type="dxa"/>
            <w:shd w:val="clear" w:color="auto" w:fill="FFFFFF"/>
            <w:vAlign w:val="center"/>
            <w:hideMark/>
          </w:tcPr>
          <w:p w14:paraId="6F23B057"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4730F7A2" w14:textId="77777777" w:rsidR="00CA3F18" w:rsidRPr="00D964B7" w:rsidRDefault="00757AE3" w:rsidP="001C5897">
            <w:pPr>
              <w:rPr>
                <w:rFonts w:ascii="Calibri" w:hAnsi="Calibri" w:cs="Calibri"/>
                <w:color w:val="000000"/>
                <w:sz w:val="22"/>
                <w:szCs w:val="22"/>
                <w:lang w:eastAsia="en-IE"/>
              </w:rPr>
            </w:pPr>
            <w:r>
              <w:rPr>
                <w:rFonts w:ascii="Calibri" w:hAnsi="Calibri" w:cs="Calibri"/>
                <w:color w:val="000000"/>
                <w:sz w:val="22"/>
                <w:szCs w:val="22"/>
                <w:lang w:eastAsia="en-IE"/>
              </w:rPr>
              <w:t>De</w:t>
            </w:r>
            <w:r w:rsidR="00CA3F18" w:rsidRPr="00D964B7">
              <w:rPr>
                <w:rFonts w:ascii="Calibri" w:hAnsi="Calibri" w:cs="Calibri"/>
                <w:color w:val="000000"/>
                <w:sz w:val="22"/>
                <w:szCs w:val="22"/>
                <w:lang w:eastAsia="en-IE"/>
              </w:rPr>
              <w:t>crease in accrued expenses and other liabilities</w:t>
            </w:r>
          </w:p>
        </w:tc>
        <w:tc>
          <w:tcPr>
            <w:tcW w:w="720" w:type="dxa"/>
            <w:shd w:val="clear" w:color="auto" w:fill="FFFFFF"/>
            <w:vAlign w:val="center"/>
            <w:hideMark/>
          </w:tcPr>
          <w:p w14:paraId="3C98EFC6" w14:textId="77777777" w:rsidR="00CA3F18" w:rsidRPr="00D964B7" w:rsidRDefault="00CA3F18" w:rsidP="001C5897">
            <w:pPr>
              <w:rPr>
                <w:rFonts w:ascii="Calibri" w:hAnsi="Calibri" w:cs="Calibri"/>
                <w:color w:val="000000"/>
                <w:sz w:val="22"/>
                <w:szCs w:val="22"/>
                <w:lang w:eastAsia="en-IE"/>
              </w:rPr>
            </w:pPr>
          </w:p>
        </w:tc>
        <w:tc>
          <w:tcPr>
            <w:tcW w:w="1265" w:type="dxa"/>
            <w:shd w:val="clear" w:color="auto" w:fill="FFFF00"/>
          </w:tcPr>
          <w:p w14:paraId="52334450" w14:textId="77777777" w:rsidR="00CA3F18" w:rsidRPr="00D964B7" w:rsidRDefault="00CA3F18" w:rsidP="001C5897">
            <w:pPr>
              <w:jc w:val="right"/>
              <w:rPr>
                <w:rFonts w:ascii="Calibri" w:eastAsia="Calibri" w:hAnsi="Calibri" w:cs="Calibri"/>
                <w:b/>
                <w:sz w:val="22"/>
                <w:szCs w:val="22"/>
                <w:lang w:eastAsia="en-IE"/>
              </w:rPr>
            </w:pPr>
            <w:r w:rsidRPr="00BA6B0D">
              <w:rPr>
                <w:rFonts w:ascii="Calibri" w:hAnsi="Calibri" w:cs="Calibri"/>
                <w:b/>
                <w:bCs/>
                <w:sz w:val="22"/>
                <w:szCs w:val="22"/>
              </w:rPr>
              <w:t>(1,4</w:t>
            </w:r>
            <w:r>
              <w:rPr>
                <w:rFonts w:ascii="Calibri" w:hAnsi="Calibri" w:cs="Calibri"/>
                <w:b/>
                <w:bCs/>
                <w:sz w:val="22"/>
                <w:szCs w:val="22"/>
              </w:rPr>
              <w:t>41</w:t>
            </w:r>
            <w:r w:rsidRPr="00BA6B0D">
              <w:rPr>
                <w:rFonts w:ascii="Calibri" w:hAnsi="Calibri" w:cs="Calibri"/>
                <w:b/>
                <w:bCs/>
                <w:sz w:val="22"/>
                <w:szCs w:val="22"/>
              </w:rPr>
              <w:t>.</w:t>
            </w:r>
            <w:r>
              <w:rPr>
                <w:rFonts w:ascii="Calibri" w:hAnsi="Calibri" w:cs="Calibri"/>
                <w:b/>
                <w:bCs/>
                <w:sz w:val="22"/>
                <w:szCs w:val="22"/>
              </w:rPr>
              <w:t>0</w:t>
            </w:r>
            <w:r w:rsidRPr="00BA6B0D">
              <w:rPr>
                <w:rFonts w:ascii="Calibri" w:hAnsi="Calibri" w:cs="Calibri"/>
                <w:b/>
                <w:bCs/>
                <w:sz w:val="22"/>
                <w:szCs w:val="22"/>
              </w:rPr>
              <w:t>)</w:t>
            </w:r>
          </w:p>
        </w:tc>
        <w:tc>
          <w:tcPr>
            <w:tcW w:w="1133" w:type="dxa"/>
            <w:shd w:val="clear" w:color="auto" w:fill="FFFFFF"/>
            <w:hideMark/>
          </w:tcPr>
          <w:p w14:paraId="13D0928C" w14:textId="77777777" w:rsidR="00CA3F18" w:rsidRPr="00D964B7" w:rsidRDefault="00CA3F18" w:rsidP="001C5897">
            <w:pPr>
              <w:jc w:val="right"/>
              <w:rPr>
                <w:rFonts w:ascii="Calibri" w:hAnsi="Calibri" w:cs="Calibri"/>
                <w:bCs/>
                <w:color w:val="000000"/>
                <w:sz w:val="22"/>
                <w:szCs w:val="22"/>
                <w:lang w:eastAsia="en-IE"/>
              </w:rPr>
            </w:pPr>
            <w:r w:rsidRPr="00622BA6">
              <w:rPr>
                <w:rFonts w:ascii="Calibri" w:hAnsi="Calibri" w:cs="Calibri"/>
                <w:sz w:val="22"/>
                <w:szCs w:val="22"/>
              </w:rPr>
              <w:t>(259.8)</w:t>
            </w:r>
          </w:p>
        </w:tc>
      </w:tr>
      <w:tr w:rsidR="00CA3F18" w:rsidRPr="00D964B7" w14:paraId="364061EB" w14:textId="77777777" w:rsidTr="001C5897">
        <w:trPr>
          <w:trHeight w:val="272"/>
        </w:trPr>
        <w:tc>
          <w:tcPr>
            <w:tcW w:w="295" w:type="dxa"/>
            <w:shd w:val="clear" w:color="auto" w:fill="FFFFFF"/>
            <w:vAlign w:val="center"/>
            <w:hideMark/>
          </w:tcPr>
          <w:p w14:paraId="70855817"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46915ECB"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Increase in provisions</w:t>
            </w:r>
          </w:p>
        </w:tc>
        <w:tc>
          <w:tcPr>
            <w:tcW w:w="720" w:type="dxa"/>
            <w:shd w:val="clear" w:color="auto" w:fill="FFFFFF"/>
            <w:vAlign w:val="center"/>
            <w:hideMark/>
          </w:tcPr>
          <w:p w14:paraId="51EE7613" w14:textId="77777777" w:rsidR="00CA3F18" w:rsidRPr="00D964B7" w:rsidRDefault="00CA3F18" w:rsidP="001C5897">
            <w:pPr>
              <w:rPr>
                <w:rFonts w:ascii="Calibri" w:hAnsi="Calibri" w:cs="Calibri"/>
                <w:color w:val="000000"/>
                <w:sz w:val="22"/>
                <w:szCs w:val="22"/>
                <w:lang w:eastAsia="en-IE"/>
              </w:rPr>
            </w:pPr>
          </w:p>
        </w:tc>
        <w:tc>
          <w:tcPr>
            <w:tcW w:w="1265" w:type="dxa"/>
            <w:shd w:val="clear" w:color="auto" w:fill="FFFF00"/>
          </w:tcPr>
          <w:p w14:paraId="4434990F" w14:textId="77777777" w:rsidR="00CA3F18" w:rsidRPr="00D964B7" w:rsidRDefault="00CA3F18" w:rsidP="001C5897">
            <w:pPr>
              <w:jc w:val="right"/>
              <w:rPr>
                <w:rFonts w:ascii="Calibri" w:eastAsia="Calibri" w:hAnsi="Calibri" w:cs="Calibri"/>
                <w:b/>
                <w:sz w:val="22"/>
                <w:szCs w:val="22"/>
                <w:lang w:eastAsia="en-IE"/>
              </w:rPr>
            </w:pPr>
            <w:r w:rsidRPr="00BA6B0D">
              <w:rPr>
                <w:rFonts w:ascii="Calibri" w:hAnsi="Calibri" w:cs="Calibri"/>
                <w:b/>
                <w:bCs/>
                <w:color w:val="000000"/>
                <w:sz w:val="22"/>
                <w:szCs w:val="22"/>
              </w:rPr>
              <w:t>0.6</w:t>
            </w:r>
          </w:p>
        </w:tc>
        <w:tc>
          <w:tcPr>
            <w:tcW w:w="1133" w:type="dxa"/>
            <w:shd w:val="clear" w:color="auto" w:fill="FFFFFF"/>
            <w:hideMark/>
          </w:tcPr>
          <w:p w14:paraId="30E0AC57" w14:textId="77777777" w:rsidR="00CA3F18" w:rsidRPr="00D964B7" w:rsidRDefault="00CA3F18" w:rsidP="001C5897">
            <w:pPr>
              <w:jc w:val="right"/>
              <w:rPr>
                <w:rFonts w:ascii="Calibri" w:hAnsi="Calibri" w:cs="Calibri"/>
                <w:bCs/>
                <w:color w:val="000000"/>
                <w:sz w:val="22"/>
                <w:szCs w:val="22"/>
                <w:lang w:eastAsia="en-IE"/>
              </w:rPr>
            </w:pPr>
            <w:r w:rsidRPr="00622BA6">
              <w:rPr>
                <w:rFonts w:ascii="Calibri" w:hAnsi="Calibri" w:cs="Calibri"/>
                <w:color w:val="000000"/>
                <w:sz w:val="22"/>
                <w:szCs w:val="22"/>
              </w:rPr>
              <w:t>60.8</w:t>
            </w:r>
          </w:p>
        </w:tc>
      </w:tr>
      <w:tr w:rsidR="00CA3F18" w:rsidRPr="00D964B7" w14:paraId="118FBF7B" w14:textId="77777777" w:rsidTr="001C5897">
        <w:trPr>
          <w:trHeight w:val="272"/>
        </w:trPr>
        <w:tc>
          <w:tcPr>
            <w:tcW w:w="295" w:type="dxa"/>
            <w:shd w:val="clear" w:color="auto" w:fill="FFFFFF"/>
            <w:vAlign w:val="center"/>
            <w:hideMark/>
          </w:tcPr>
          <w:p w14:paraId="5EF945D1"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1BF84DC7"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(Decrease)/increase in finance income</w:t>
            </w:r>
          </w:p>
        </w:tc>
        <w:tc>
          <w:tcPr>
            <w:tcW w:w="720" w:type="dxa"/>
            <w:shd w:val="clear" w:color="auto" w:fill="FFFFFF"/>
            <w:vAlign w:val="center"/>
            <w:hideMark/>
          </w:tcPr>
          <w:p w14:paraId="1FCC7F85" w14:textId="77777777" w:rsidR="00CA3F18" w:rsidRPr="00D964B7" w:rsidRDefault="00CA3F18" w:rsidP="001C5897">
            <w:pPr>
              <w:rPr>
                <w:rFonts w:ascii="Calibri" w:hAnsi="Calibri" w:cs="Calibri"/>
                <w:color w:val="000000"/>
                <w:sz w:val="22"/>
                <w:szCs w:val="22"/>
                <w:lang w:eastAsia="en-IE"/>
              </w:rPr>
            </w:pPr>
          </w:p>
        </w:tc>
        <w:tc>
          <w:tcPr>
            <w:tcW w:w="1265" w:type="dxa"/>
            <w:shd w:val="clear" w:color="auto" w:fill="FFFF00"/>
          </w:tcPr>
          <w:p w14:paraId="0344DBF3" w14:textId="77777777" w:rsidR="00CA3F18" w:rsidRPr="00D964B7" w:rsidRDefault="00CA3F18" w:rsidP="001C5897">
            <w:pPr>
              <w:jc w:val="right"/>
              <w:rPr>
                <w:rFonts w:ascii="Calibri" w:eastAsia="Calibri" w:hAnsi="Calibri" w:cs="Calibri"/>
                <w:b/>
                <w:sz w:val="22"/>
                <w:szCs w:val="22"/>
                <w:lang w:eastAsia="en-IE"/>
              </w:rPr>
            </w:pPr>
            <w:r>
              <w:rPr>
                <w:rFonts w:ascii="Calibri" w:hAnsi="Calibri" w:cs="Calibri"/>
                <w:b/>
                <w:bCs/>
                <w:color w:val="000000"/>
                <w:sz w:val="22"/>
                <w:szCs w:val="22"/>
              </w:rPr>
              <w:t>(</w:t>
            </w:r>
            <w:r w:rsidRPr="00BA6B0D">
              <w:rPr>
                <w:rFonts w:ascii="Calibri" w:hAnsi="Calibri" w:cs="Calibri"/>
                <w:b/>
                <w:bCs/>
                <w:color w:val="000000"/>
                <w:sz w:val="22"/>
                <w:szCs w:val="22"/>
              </w:rPr>
              <w:t>4.3</w:t>
            </w:r>
            <w:r>
              <w:rPr>
                <w:rFonts w:ascii="Calibri" w:hAnsi="Calibri" w:cs="Calibri"/>
                <w:b/>
                <w:bCs/>
                <w:color w:val="000000"/>
                <w:sz w:val="22"/>
                <w:szCs w:val="22"/>
              </w:rPr>
              <w:t>)</w:t>
            </w:r>
          </w:p>
        </w:tc>
        <w:tc>
          <w:tcPr>
            <w:tcW w:w="1133" w:type="dxa"/>
            <w:shd w:val="clear" w:color="auto" w:fill="FFFFFF"/>
            <w:hideMark/>
          </w:tcPr>
          <w:p w14:paraId="03B6A976" w14:textId="77777777" w:rsidR="00CA3F18" w:rsidRPr="00D964B7" w:rsidRDefault="00CA3F18" w:rsidP="001C5897">
            <w:pPr>
              <w:jc w:val="right"/>
              <w:rPr>
                <w:rFonts w:ascii="Calibri" w:hAnsi="Calibri" w:cs="Calibri"/>
                <w:bCs/>
                <w:color w:val="000000"/>
                <w:sz w:val="22"/>
                <w:szCs w:val="22"/>
                <w:lang w:eastAsia="en-IE"/>
              </w:rPr>
            </w:pPr>
            <w:r w:rsidRPr="00622BA6">
              <w:rPr>
                <w:rFonts w:ascii="Calibri" w:hAnsi="Calibri" w:cs="Calibri"/>
                <w:color w:val="000000"/>
                <w:sz w:val="22"/>
                <w:szCs w:val="22"/>
              </w:rPr>
              <w:t>0.9</w:t>
            </w:r>
          </w:p>
        </w:tc>
      </w:tr>
      <w:tr w:rsidR="00CA3F18" w:rsidRPr="00D964B7" w14:paraId="34856292" w14:textId="77777777" w:rsidTr="001C5897">
        <w:trPr>
          <w:trHeight w:val="272"/>
        </w:trPr>
        <w:tc>
          <w:tcPr>
            <w:tcW w:w="295" w:type="dxa"/>
            <w:shd w:val="clear" w:color="auto" w:fill="FFFFFF"/>
            <w:vAlign w:val="center"/>
          </w:tcPr>
          <w:p w14:paraId="52B19136" w14:textId="77777777" w:rsidR="00CA3F18" w:rsidRPr="00D964B7" w:rsidRDefault="00CA3F18" w:rsidP="001C5897">
            <w:pPr>
              <w:jc w:val="right"/>
              <w:rPr>
                <w:rFonts w:ascii="Calibri" w:hAnsi="Calibri" w:cs="Calibri"/>
                <w:color w:val="000000"/>
                <w:sz w:val="22"/>
                <w:szCs w:val="22"/>
                <w:lang w:eastAsia="en-IE"/>
              </w:rPr>
            </w:pPr>
          </w:p>
        </w:tc>
        <w:tc>
          <w:tcPr>
            <w:tcW w:w="7252" w:type="dxa"/>
            <w:shd w:val="clear" w:color="auto" w:fill="FFFFFF"/>
            <w:vAlign w:val="center"/>
          </w:tcPr>
          <w:p w14:paraId="011CB6C6"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Increase in finance expense</w:t>
            </w:r>
          </w:p>
        </w:tc>
        <w:tc>
          <w:tcPr>
            <w:tcW w:w="720" w:type="dxa"/>
            <w:shd w:val="clear" w:color="auto" w:fill="FFFFFF"/>
            <w:vAlign w:val="center"/>
          </w:tcPr>
          <w:p w14:paraId="459C862C" w14:textId="77777777" w:rsidR="00CA3F18" w:rsidRPr="00D964B7" w:rsidRDefault="00CA3F18" w:rsidP="001C5897">
            <w:pPr>
              <w:rPr>
                <w:rFonts w:ascii="Calibri" w:hAnsi="Calibri" w:cs="Calibri"/>
                <w:color w:val="000000"/>
                <w:sz w:val="22"/>
                <w:szCs w:val="22"/>
                <w:lang w:eastAsia="en-IE"/>
              </w:rPr>
            </w:pPr>
          </w:p>
        </w:tc>
        <w:tc>
          <w:tcPr>
            <w:tcW w:w="1265" w:type="dxa"/>
            <w:shd w:val="clear" w:color="auto" w:fill="FFFF00"/>
          </w:tcPr>
          <w:p w14:paraId="20D42153" w14:textId="77777777" w:rsidR="00CA3F18" w:rsidRPr="00D964B7" w:rsidRDefault="00CA3F18" w:rsidP="001C5897">
            <w:pPr>
              <w:jc w:val="right"/>
              <w:rPr>
                <w:rFonts w:ascii="Calibri" w:eastAsia="Calibri" w:hAnsi="Calibri" w:cs="Calibri"/>
                <w:b/>
                <w:sz w:val="22"/>
                <w:szCs w:val="22"/>
                <w:lang w:eastAsia="en-IE"/>
              </w:rPr>
            </w:pPr>
            <w:r w:rsidRPr="00BA6B0D">
              <w:rPr>
                <w:rFonts w:ascii="Calibri" w:hAnsi="Calibri" w:cs="Calibri"/>
                <w:b/>
                <w:bCs/>
                <w:color w:val="000000"/>
                <w:sz w:val="22"/>
                <w:szCs w:val="22"/>
              </w:rPr>
              <w:t>(14.6)</w:t>
            </w:r>
          </w:p>
        </w:tc>
        <w:tc>
          <w:tcPr>
            <w:tcW w:w="1133" w:type="dxa"/>
            <w:shd w:val="clear" w:color="auto" w:fill="FFFFFF"/>
          </w:tcPr>
          <w:p w14:paraId="050F3C35" w14:textId="77777777" w:rsidR="00CA3F18" w:rsidRPr="00D964B7" w:rsidRDefault="00CA3F18" w:rsidP="001C5897">
            <w:pPr>
              <w:jc w:val="right"/>
              <w:rPr>
                <w:rFonts w:ascii="Calibri" w:eastAsia="Calibri" w:hAnsi="Calibri" w:cs="Calibri"/>
                <w:bCs/>
                <w:sz w:val="22"/>
                <w:szCs w:val="22"/>
                <w:lang w:eastAsia="en-IE"/>
              </w:rPr>
            </w:pPr>
            <w:r w:rsidRPr="00622BA6">
              <w:rPr>
                <w:rFonts w:ascii="Calibri" w:hAnsi="Calibri" w:cs="Calibri"/>
                <w:color w:val="000000"/>
                <w:sz w:val="22"/>
                <w:szCs w:val="22"/>
              </w:rPr>
              <w:t>(11.9)</w:t>
            </w:r>
          </w:p>
        </w:tc>
      </w:tr>
      <w:tr w:rsidR="00CA3F18" w:rsidRPr="00D964B7" w14:paraId="5D8E8734" w14:textId="77777777" w:rsidTr="001C5897">
        <w:trPr>
          <w:trHeight w:val="272"/>
        </w:trPr>
        <w:tc>
          <w:tcPr>
            <w:tcW w:w="295" w:type="dxa"/>
            <w:shd w:val="clear" w:color="auto" w:fill="FFFFFF"/>
            <w:vAlign w:val="center"/>
            <w:hideMark/>
          </w:tcPr>
          <w:p w14:paraId="7C23400B"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6F5CF15C"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Foreign exchange and fair value*</w:t>
            </w:r>
          </w:p>
        </w:tc>
        <w:tc>
          <w:tcPr>
            <w:tcW w:w="720" w:type="dxa"/>
            <w:shd w:val="clear" w:color="auto" w:fill="FFFFFF"/>
            <w:vAlign w:val="center"/>
            <w:hideMark/>
          </w:tcPr>
          <w:p w14:paraId="5BA450EE" w14:textId="77777777" w:rsidR="00CA3F18" w:rsidRPr="00D964B7" w:rsidRDefault="00CA3F18" w:rsidP="001C5897">
            <w:pPr>
              <w:rPr>
                <w:rFonts w:ascii="Calibri" w:hAnsi="Calibri" w:cs="Calibri"/>
                <w:color w:val="000000"/>
                <w:sz w:val="22"/>
                <w:szCs w:val="22"/>
                <w:lang w:eastAsia="en-IE"/>
              </w:rPr>
            </w:pPr>
          </w:p>
        </w:tc>
        <w:tc>
          <w:tcPr>
            <w:tcW w:w="1265" w:type="dxa"/>
            <w:shd w:val="clear" w:color="auto" w:fill="FFFF00"/>
          </w:tcPr>
          <w:p w14:paraId="49C193B3" w14:textId="77777777" w:rsidR="00CA3F18" w:rsidRPr="00D964B7" w:rsidRDefault="00CA3F18" w:rsidP="001C5897">
            <w:pPr>
              <w:jc w:val="right"/>
              <w:rPr>
                <w:rFonts w:ascii="Calibri" w:eastAsia="Calibri" w:hAnsi="Calibri" w:cs="Calibri"/>
                <w:b/>
                <w:sz w:val="22"/>
                <w:szCs w:val="22"/>
                <w:lang w:eastAsia="en-IE"/>
              </w:rPr>
            </w:pPr>
            <w:r w:rsidRPr="00BA6B0D">
              <w:rPr>
                <w:rFonts w:ascii="Calibri" w:hAnsi="Calibri" w:cs="Calibri"/>
                <w:b/>
                <w:bCs/>
                <w:color w:val="000000"/>
                <w:sz w:val="22"/>
                <w:szCs w:val="22"/>
              </w:rPr>
              <w:t>9.7</w:t>
            </w:r>
          </w:p>
        </w:tc>
        <w:tc>
          <w:tcPr>
            <w:tcW w:w="1133" w:type="dxa"/>
            <w:shd w:val="clear" w:color="auto" w:fill="FFFFFF"/>
            <w:hideMark/>
          </w:tcPr>
          <w:p w14:paraId="224C20AE" w14:textId="77777777" w:rsidR="00CA3F18" w:rsidRPr="00D964B7" w:rsidRDefault="00CA3F18" w:rsidP="001C5897">
            <w:pPr>
              <w:jc w:val="right"/>
              <w:rPr>
                <w:rFonts w:ascii="Calibri" w:hAnsi="Calibri" w:cs="Calibri"/>
                <w:bCs/>
                <w:color w:val="000000"/>
                <w:sz w:val="22"/>
                <w:szCs w:val="22"/>
                <w:lang w:eastAsia="en-IE"/>
              </w:rPr>
            </w:pPr>
            <w:r w:rsidRPr="00622BA6">
              <w:rPr>
                <w:rFonts w:ascii="Calibri" w:hAnsi="Calibri" w:cs="Calibri"/>
                <w:color w:val="000000"/>
                <w:sz w:val="22"/>
                <w:szCs w:val="22"/>
              </w:rPr>
              <w:t>110.0</w:t>
            </w:r>
          </w:p>
        </w:tc>
      </w:tr>
      <w:tr w:rsidR="00CA3F18" w:rsidRPr="00D964B7" w14:paraId="2154A640" w14:textId="77777777" w:rsidTr="001C5897">
        <w:trPr>
          <w:trHeight w:val="281"/>
        </w:trPr>
        <w:tc>
          <w:tcPr>
            <w:tcW w:w="295" w:type="dxa"/>
            <w:shd w:val="clear" w:color="auto" w:fill="FFFFFF"/>
            <w:vAlign w:val="center"/>
            <w:hideMark/>
          </w:tcPr>
          <w:p w14:paraId="3FE5C77B"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6D22A19B"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Income tax paid</w:t>
            </w:r>
          </w:p>
        </w:tc>
        <w:tc>
          <w:tcPr>
            <w:tcW w:w="720" w:type="dxa"/>
            <w:shd w:val="clear" w:color="auto" w:fill="FFFFFF"/>
            <w:vAlign w:val="center"/>
            <w:hideMark/>
          </w:tcPr>
          <w:p w14:paraId="649EB509" w14:textId="77777777" w:rsidR="00CA3F18" w:rsidRPr="00D964B7" w:rsidRDefault="00CA3F18" w:rsidP="001C5897">
            <w:pPr>
              <w:rPr>
                <w:rFonts w:ascii="Calibri" w:hAnsi="Calibri" w:cs="Calibri"/>
                <w:color w:val="000000"/>
                <w:sz w:val="22"/>
                <w:szCs w:val="22"/>
                <w:lang w:eastAsia="en-IE"/>
              </w:rPr>
            </w:pPr>
          </w:p>
        </w:tc>
        <w:tc>
          <w:tcPr>
            <w:tcW w:w="1265" w:type="dxa"/>
            <w:shd w:val="clear" w:color="auto" w:fill="FFFF00"/>
          </w:tcPr>
          <w:p w14:paraId="379412AE" w14:textId="77777777" w:rsidR="00CA3F18" w:rsidRPr="00D964B7" w:rsidRDefault="00CA3F18" w:rsidP="001C5897">
            <w:pPr>
              <w:jc w:val="right"/>
              <w:rPr>
                <w:rFonts w:ascii="Calibri" w:eastAsia="Calibri" w:hAnsi="Calibri" w:cs="Calibri"/>
                <w:b/>
                <w:sz w:val="22"/>
                <w:szCs w:val="22"/>
                <w:lang w:eastAsia="en-IE"/>
              </w:rPr>
            </w:pPr>
            <w:r w:rsidRPr="00BA6B0D">
              <w:rPr>
                <w:rFonts w:ascii="Calibri" w:hAnsi="Calibri" w:cs="Calibri"/>
                <w:b/>
                <w:bCs/>
                <w:color w:val="000000"/>
                <w:sz w:val="22"/>
                <w:szCs w:val="22"/>
              </w:rPr>
              <w:t>(24.</w:t>
            </w:r>
            <w:r>
              <w:rPr>
                <w:rFonts w:ascii="Calibri" w:hAnsi="Calibri" w:cs="Calibri"/>
                <w:b/>
                <w:bCs/>
                <w:color w:val="000000"/>
                <w:sz w:val="22"/>
                <w:szCs w:val="22"/>
              </w:rPr>
              <w:t>8</w:t>
            </w:r>
            <w:r w:rsidRPr="00BA6B0D">
              <w:rPr>
                <w:rFonts w:ascii="Calibri" w:hAnsi="Calibri" w:cs="Calibri"/>
                <w:b/>
                <w:bCs/>
                <w:color w:val="000000"/>
                <w:sz w:val="22"/>
                <w:szCs w:val="22"/>
              </w:rPr>
              <w:t>)</w:t>
            </w:r>
          </w:p>
        </w:tc>
        <w:tc>
          <w:tcPr>
            <w:tcW w:w="1133" w:type="dxa"/>
            <w:shd w:val="clear" w:color="auto" w:fill="FFFFFF"/>
            <w:hideMark/>
          </w:tcPr>
          <w:p w14:paraId="469D7314" w14:textId="77777777" w:rsidR="00CA3F18" w:rsidRPr="00D964B7" w:rsidRDefault="00CA3F18" w:rsidP="001C5897">
            <w:pPr>
              <w:jc w:val="right"/>
              <w:rPr>
                <w:rFonts w:ascii="Calibri" w:hAnsi="Calibri" w:cs="Calibri"/>
                <w:bCs/>
                <w:color w:val="000000"/>
                <w:sz w:val="22"/>
                <w:szCs w:val="22"/>
                <w:lang w:eastAsia="en-IE"/>
              </w:rPr>
            </w:pPr>
            <w:r w:rsidRPr="00622BA6">
              <w:rPr>
                <w:rFonts w:ascii="Calibri" w:hAnsi="Calibri" w:cs="Calibri"/>
                <w:color w:val="000000"/>
                <w:sz w:val="22"/>
                <w:szCs w:val="22"/>
              </w:rPr>
              <w:t>(0.7)</w:t>
            </w:r>
          </w:p>
        </w:tc>
      </w:tr>
      <w:tr w:rsidR="00CA3F18" w:rsidRPr="00D964B7" w14:paraId="3C637054" w14:textId="77777777" w:rsidTr="001C5897">
        <w:trPr>
          <w:trHeight w:val="281"/>
        </w:trPr>
        <w:tc>
          <w:tcPr>
            <w:tcW w:w="7547" w:type="dxa"/>
            <w:gridSpan w:val="2"/>
            <w:shd w:val="clear" w:color="auto" w:fill="FFFFFF"/>
            <w:vAlign w:val="center"/>
            <w:hideMark/>
          </w:tcPr>
          <w:p w14:paraId="477AB2E0" w14:textId="77777777" w:rsidR="00CA3F18" w:rsidRPr="00D964B7" w:rsidRDefault="00CA3F18" w:rsidP="001C5897">
            <w:pPr>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Net cash inflow from operating activities</w:t>
            </w:r>
          </w:p>
        </w:tc>
        <w:tc>
          <w:tcPr>
            <w:tcW w:w="720" w:type="dxa"/>
            <w:shd w:val="clear" w:color="auto" w:fill="FFFFFF"/>
            <w:vAlign w:val="center"/>
            <w:hideMark/>
          </w:tcPr>
          <w:p w14:paraId="492D1C1B"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265" w:type="dxa"/>
            <w:tcBorders>
              <w:top w:val="single" w:sz="8" w:space="0" w:color="auto"/>
              <w:left w:val="nil"/>
              <w:bottom w:val="single" w:sz="8" w:space="0" w:color="auto"/>
              <w:right w:val="nil"/>
            </w:tcBorders>
            <w:shd w:val="clear" w:color="auto" w:fill="FFFF00"/>
            <w:vAlign w:val="center"/>
          </w:tcPr>
          <w:p w14:paraId="629C24C1"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1,</w:t>
            </w:r>
            <w:r w:rsidR="00062384">
              <w:rPr>
                <w:rFonts w:ascii="Calibri" w:hAnsi="Calibri" w:cs="Calibri"/>
                <w:b/>
                <w:bCs/>
                <w:color w:val="000000"/>
                <w:sz w:val="22"/>
                <w:szCs w:val="22"/>
                <w:lang w:eastAsia="en-IE"/>
              </w:rPr>
              <w:t>640</w:t>
            </w:r>
            <w:r w:rsidRPr="00D964B7">
              <w:rPr>
                <w:rFonts w:ascii="Calibri" w:hAnsi="Calibri" w:cs="Calibri"/>
                <w:b/>
                <w:bCs/>
                <w:color w:val="000000"/>
                <w:sz w:val="22"/>
                <w:szCs w:val="22"/>
                <w:lang w:eastAsia="en-IE"/>
              </w:rPr>
              <w:t>.</w:t>
            </w:r>
            <w:r w:rsidR="00062384">
              <w:rPr>
                <w:rFonts w:ascii="Calibri" w:hAnsi="Calibri" w:cs="Calibri"/>
                <w:b/>
                <w:bCs/>
                <w:color w:val="000000"/>
                <w:sz w:val="22"/>
                <w:szCs w:val="22"/>
                <w:lang w:eastAsia="en-IE"/>
              </w:rPr>
              <w:t>4</w:t>
            </w:r>
          </w:p>
        </w:tc>
        <w:tc>
          <w:tcPr>
            <w:tcW w:w="1133" w:type="dxa"/>
            <w:tcBorders>
              <w:top w:val="single" w:sz="8" w:space="0" w:color="auto"/>
              <w:left w:val="nil"/>
              <w:bottom w:val="single" w:sz="8" w:space="0" w:color="auto"/>
              <w:right w:val="nil"/>
            </w:tcBorders>
            <w:shd w:val="clear" w:color="auto" w:fill="FFFFFF"/>
            <w:hideMark/>
          </w:tcPr>
          <w:p w14:paraId="1B3ADE00" w14:textId="77777777" w:rsidR="00CA3F18" w:rsidRPr="00CA3F18" w:rsidRDefault="00CA3F18" w:rsidP="001C5897">
            <w:pPr>
              <w:jc w:val="right"/>
              <w:rPr>
                <w:rFonts w:ascii="Calibri" w:hAnsi="Calibri" w:cs="Calibri"/>
                <w:color w:val="000000"/>
                <w:sz w:val="22"/>
                <w:szCs w:val="22"/>
                <w:lang w:eastAsia="en-IE"/>
              </w:rPr>
            </w:pPr>
            <w:r w:rsidRPr="00CA3F18">
              <w:rPr>
                <w:rFonts w:ascii="Calibri" w:hAnsi="Calibri" w:cs="Calibri"/>
                <w:color w:val="000000"/>
                <w:sz w:val="22"/>
                <w:szCs w:val="22"/>
              </w:rPr>
              <w:t>1,</w:t>
            </w:r>
            <w:r w:rsidR="00062384">
              <w:rPr>
                <w:rFonts w:ascii="Calibri" w:hAnsi="Calibri" w:cs="Calibri"/>
                <w:color w:val="000000"/>
                <w:sz w:val="22"/>
                <w:szCs w:val="22"/>
              </w:rPr>
              <w:t>756</w:t>
            </w:r>
            <w:r w:rsidRPr="00CA3F18">
              <w:rPr>
                <w:rFonts w:ascii="Calibri" w:hAnsi="Calibri" w:cs="Calibri"/>
                <w:color w:val="000000"/>
                <w:sz w:val="22"/>
                <w:szCs w:val="22"/>
              </w:rPr>
              <w:t>.</w:t>
            </w:r>
            <w:r w:rsidR="00062384">
              <w:rPr>
                <w:rFonts w:ascii="Calibri" w:hAnsi="Calibri" w:cs="Calibri"/>
                <w:color w:val="000000"/>
                <w:sz w:val="22"/>
                <w:szCs w:val="22"/>
              </w:rPr>
              <w:t>7</w:t>
            </w:r>
          </w:p>
        </w:tc>
      </w:tr>
      <w:tr w:rsidR="00CA3F18" w:rsidRPr="00D964B7" w14:paraId="2254D445" w14:textId="77777777" w:rsidTr="001C5897">
        <w:trPr>
          <w:trHeight w:val="113"/>
        </w:trPr>
        <w:tc>
          <w:tcPr>
            <w:tcW w:w="295" w:type="dxa"/>
            <w:shd w:val="clear" w:color="auto" w:fill="FFFFFF"/>
            <w:vAlign w:val="center"/>
          </w:tcPr>
          <w:p w14:paraId="4DD9278C" w14:textId="77777777" w:rsidR="00CA3F18" w:rsidRPr="00D964B7" w:rsidRDefault="00CA3F18" w:rsidP="001C5897">
            <w:pPr>
              <w:jc w:val="right"/>
              <w:rPr>
                <w:rFonts w:ascii="Calibri" w:hAnsi="Calibri" w:cs="Calibri"/>
                <w:color w:val="000000"/>
                <w:sz w:val="22"/>
                <w:szCs w:val="22"/>
                <w:lang w:eastAsia="en-IE"/>
              </w:rPr>
            </w:pPr>
          </w:p>
        </w:tc>
        <w:tc>
          <w:tcPr>
            <w:tcW w:w="7252" w:type="dxa"/>
            <w:shd w:val="clear" w:color="auto" w:fill="FFFFFF"/>
            <w:vAlign w:val="center"/>
            <w:hideMark/>
          </w:tcPr>
          <w:p w14:paraId="1ECF0851"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0" w:type="dxa"/>
            <w:shd w:val="clear" w:color="auto" w:fill="FFFFFF"/>
            <w:vAlign w:val="center"/>
            <w:hideMark/>
          </w:tcPr>
          <w:p w14:paraId="077ED8D5" w14:textId="77777777" w:rsidR="00CA3F18" w:rsidRPr="00D964B7" w:rsidRDefault="00CA3F18" w:rsidP="001C5897">
            <w:pPr>
              <w:rPr>
                <w:rFonts w:ascii="Calibri" w:hAnsi="Calibri" w:cs="Calibri"/>
                <w:color w:val="000000"/>
                <w:sz w:val="22"/>
                <w:szCs w:val="22"/>
                <w:lang w:eastAsia="en-IE"/>
              </w:rPr>
            </w:pPr>
          </w:p>
        </w:tc>
        <w:tc>
          <w:tcPr>
            <w:tcW w:w="1265" w:type="dxa"/>
            <w:shd w:val="clear" w:color="auto" w:fill="FFFF00"/>
            <w:vAlign w:val="center"/>
          </w:tcPr>
          <w:p w14:paraId="285108D8" w14:textId="77777777" w:rsidR="00CA3F18" w:rsidRPr="00D964B7" w:rsidRDefault="00CA3F18" w:rsidP="001C5897">
            <w:pPr>
              <w:jc w:val="right"/>
              <w:rPr>
                <w:rFonts w:ascii="Calibri" w:eastAsia="Calibri" w:hAnsi="Calibri" w:cs="Calibri"/>
                <w:b/>
                <w:sz w:val="22"/>
                <w:szCs w:val="22"/>
                <w:lang w:eastAsia="en-IE"/>
              </w:rPr>
            </w:pPr>
            <w:r w:rsidRPr="00D964B7">
              <w:rPr>
                <w:rFonts w:ascii="Calibri" w:hAnsi="Calibri" w:cs="Calibri"/>
                <w:color w:val="000000"/>
                <w:sz w:val="22"/>
                <w:szCs w:val="22"/>
                <w:lang w:eastAsia="en-IE"/>
              </w:rPr>
              <w:t> </w:t>
            </w:r>
          </w:p>
        </w:tc>
        <w:tc>
          <w:tcPr>
            <w:tcW w:w="1133" w:type="dxa"/>
            <w:shd w:val="clear" w:color="auto" w:fill="FFFFFF"/>
            <w:vAlign w:val="center"/>
            <w:hideMark/>
          </w:tcPr>
          <w:p w14:paraId="47CD196A" w14:textId="77777777" w:rsidR="00CA3F18" w:rsidRPr="00CA3F18" w:rsidRDefault="00CA3F18" w:rsidP="001C5897">
            <w:pPr>
              <w:jc w:val="right"/>
              <w:rPr>
                <w:rFonts w:ascii="Calibri" w:eastAsia="Calibri" w:hAnsi="Calibri" w:cs="Calibri"/>
                <w:sz w:val="22"/>
                <w:szCs w:val="22"/>
                <w:lang w:eastAsia="en-IE"/>
              </w:rPr>
            </w:pPr>
          </w:p>
        </w:tc>
      </w:tr>
      <w:tr w:rsidR="00CA3F18" w:rsidRPr="00D964B7" w14:paraId="5AB151E6" w14:textId="77777777" w:rsidTr="001C5897">
        <w:trPr>
          <w:trHeight w:val="272"/>
        </w:trPr>
        <w:tc>
          <w:tcPr>
            <w:tcW w:w="7547" w:type="dxa"/>
            <w:gridSpan w:val="2"/>
            <w:shd w:val="clear" w:color="auto" w:fill="FFFFFF"/>
            <w:vAlign w:val="center"/>
            <w:hideMark/>
          </w:tcPr>
          <w:p w14:paraId="2B602FF6" w14:textId="77777777" w:rsidR="00CA3F18" w:rsidRPr="00D964B7" w:rsidRDefault="00CA3F18" w:rsidP="001C5897">
            <w:pPr>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Investing activities</w:t>
            </w:r>
          </w:p>
        </w:tc>
        <w:tc>
          <w:tcPr>
            <w:tcW w:w="720" w:type="dxa"/>
            <w:shd w:val="clear" w:color="auto" w:fill="FFFFFF"/>
            <w:vAlign w:val="center"/>
            <w:hideMark/>
          </w:tcPr>
          <w:p w14:paraId="241CC27E"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265" w:type="dxa"/>
            <w:shd w:val="clear" w:color="auto" w:fill="FFFF00"/>
            <w:vAlign w:val="center"/>
          </w:tcPr>
          <w:p w14:paraId="7E5E123E" w14:textId="77777777" w:rsidR="00CA3F18" w:rsidRPr="00D964B7" w:rsidRDefault="00CA3F18" w:rsidP="001C5897">
            <w:pPr>
              <w:jc w:val="right"/>
              <w:rPr>
                <w:rFonts w:ascii="Calibri" w:hAnsi="Calibri" w:cs="Calibri"/>
                <w:b/>
                <w:bCs/>
                <w:color w:val="000000"/>
                <w:sz w:val="22"/>
                <w:szCs w:val="22"/>
                <w:lang w:eastAsia="en-IE"/>
              </w:rPr>
            </w:pPr>
          </w:p>
        </w:tc>
        <w:tc>
          <w:tcPr>
            <w:tcW w:w="1133" w:type="dxa"/>
            <w:shd w:val="clear" w:color="auto" w:fill="FFFFFF"/>
            <w:vAlign w:val="center"/>
            <w:hideMark/>
          </w:tcPr>
          <w:p w14:paraId="79EED6BF" w14:textId="77777777" w:rsidR="00CA3F18" w:rsidRPr="00CA3F18" w:rsidRDefault="00CA3F18" w:rsidP="001C5897">
            <w:pPr>
              <w:jc w:val="right"/>
              <w:rPr>
                <w:rFonts w:ascii="Calibri" w:eastAsia="Calibri" w:hAnsi="Calibri" w:cs="Calibri"/>
                <w:sz w:val="22"/>
                <w:szCs w:val="22"/>
                <w:lang w:eastAsia="en-IE"/>
              </w:rPr>
            </w:pPr>
          </w:p>
        </w:tc>
      </w:tr>
      <w:tr w:rsidR="00CA3F18" w:rsidRPr="00D964B7" w14:paraId="5E6406CD" w14:textId="77777777" w:rsidTr="001C5897">
        <w:trPr>
          <w:trHeight w:val="272"/>
        </w:trPr>
        <w:tc>
          <w:tcPr>
            <w:tcW w:w="295" w:type="dxa"/>
            <w:shd w:val="clear" w:color="auto" w:fill="FFFFFF"/>
            <w:vAlign w:val="center"/>
            <w:hideMark/>
          </w:tcPr>
          <w:p w14:paraId="5F9FCFC7"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10F2DC5D"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 xml:space="preserve">Capital expenditure - purchase of property, </w:t>
            </w:r>
            <w:proofErr w:type="gramStart"/>
            <w:r w:rsidRPr="00D964B7">
              <w:rPr>
                <w:rFonts w:ascii="Calibri" w:hAnsi="Calibri" w:cs="Calibri"/>
                <w:color w:val="000000"/>
                <w:sz w:val="22"/>
                <w:szCs w:val="22"/>
                <w:lang w:eastAsia="en-IE"/>
              </w:rPr>
              <w:t>plant</w:t>
            </w:r>
            <w:proofErr w:type="gramEnd"/>
            <w:r w:rsidRPr="00D964B7">
              <w:rPr>
                <w:rFonts w:ascii="Calibri" w:hAnsi="Calibri" w:cs="Calibri"/>
                <w:color w:val="000000"/>
                <w:sz w:val="22"/>
                <w:szCs w:val="22"/>
                <w:lang w:eastAsia="en-IE"/>
              </w:rPr>
              <w:t xml:space="preserve"> and equipment</w:t>
            </w:r>
          </w:p>
        </w:tc>
        <w:tc>
          <w:tcPr>
            <w:tcW w:w="720" w:type="dxa"/>
            <w:shd w:val="clear" w:color="auto" w:fill="FFFFFF"/>
            <w:vAlign w:val="center"/>
            <w:hideMark/>
          </w:tcPr>
          <w:p w14:paraId="4FFC91CF" w14:textId="77777777" w:rsidR="00CA3F18" w:rsidRPr="00D964B7" w:rsidRDefault="00CA3F18" w:rsidP="001C5897">
            <w:pPr>
              <w:jc w:val="right"/>
              <w:rPr>
                <w:rFonts w:ascii="Calibri" w:hAnsi="Calibri" w:cs="Calibri"/>
                <w:b/>
                <w:color w:val="000000"/>
                <w:sz w:val="22"/>
                <w:szCs w:val="22"/>
                <w:lang w:eastAsia="en-IE"/>
              </w:rPr>
            </w:pPr>
          </w:p>
        </w:tc>
        <w:tc>
          <w:tcPr>
            <w:tcW w:w="1265" w:type="dxa"/>
            <w:shd w:val="clear" w:color="auto" w:fill="FFFF00"/>
          </w:tcPr>
          <w:p w14:paraId="27728A9E" w14:textId="77777777" w:rsidR="00CA3F18" w:rsidRPr="00D964B7" w:rsidRDefault="00CA3F18" w:rsidP="001C5897">
            <w:pPr>
              <w:jc w:val="right"/>
              <w:rPr>
                <w:rFonts w:ascii="Calibri" w:eastAsia="Calibri" w:hAnsi="Calibri" w:cs="Calibri"/>
                <w:b/>
                <w:sz w:val="22"/>
                <w:szCs w:val="22"/>
                <w:lang w:eastAsia="en-IE"/>
              </w:rPr>
            </w:pPr>
            <w:r w:rsidRPr="00BA6B0D">
              <w:rPr>
                <w:rFonts w:ascii="Calibri" w:hAnsi="Calibri" w:cs="Calibri"/>
                <w:b/>
                <w:bCs/>
                <w:color w:val="000000"/>
                <w:sz w:val="22"/>
                <w:szCs w:val="22"/>
              </w:rPr>
              <w:t>(1,5</w:t>
            </w:r>
            <w:r>
              <w:rPr>
                <w:rFonts w:ascii="Calibri" w:hAnsi="Calibri" w:cs="Calibri"/>
                <w:b/>
                <w:bCs/>
                <w:color w:val="000000"/>
                <w:sz w:val="22"/>
                <w:szCs w:val="22"/>
              </w:rPr>
              <w:t>85.0</w:t>
            </w:r>
            <w:r w:rsidRPr="00BA6B0D">
              <w:rPr>
                <w:rFonts w:ascii="Calibri" w:hAnsi="Calibri" w:cs="Calibri"/>
                <w:b/>
                <w:bCs/>
                <w:color w:val="000000"/>
                <w:sz w:val="22"/>
                <w:szCs w:val="22"/>
              </w:rPr>
              <w:t>)</w:t>
            </w:r>
          </w:p>
        </w:tc>
        <w:tc>
          <w:tcPr>
            <w:tcW w:w="1133" w:type="dxa"/>
            <w:shd w:val="clear" w:color="auto" w:fill="FFFFFF"/>
            <w:hideMark/>
          </w:tcPr>
          <w:p w14:paraId="703C8FC2" w14:textId="77777777" w:rsidR="00CA3F18" w:rsidRPr="00CA3F18" w:rsidRDefault="00CA3F18" w:rsidP="001C5897">
            <w:pPr>
              <w:jc w:val="right"/>
              <w:rPr>
                <w:rFonts w:ascii="Calibri" w:hAnsi="Calibri" w:cs="Calibri"/>
                <w:color w:val="000000"/>
                <w:sz w:val="22"/>
                <w:szCs w:val="22"/>
                <w:lang w:eastAsia="en-IE"/>
              </w:rPr>
            </w:pPr>
            <w:r w:rsidRPr="00CA3F18">
              <w:rPr>
                <w:rFonts w:ascii="Calibri" w:hAnsi="Calibri" w:cs="Calibri"/>
                <w:color w:val="000000"/>
                <w:sz w:val="22"/>
                <w:szCs w:val="22"/>
              </w:rPr>
              <w:t>(899.6)</w:t>
            </w:r>
          </w:p>
        </w:tc>
      </w:tr>
      <w:tr w:rsidR="00CA3F18" w:rsidRPr="00D964B7" w14:paraId="0A9EBE5F" w14:textId="77777777" w:rsidTr="001C5897">
        <w:trPr>
          <w:trHeight w:val="272"/>
        </w:trPr>
        <w:tc>
          <w:tcPr>
            <w:tcW w:w="295" w:type="dxa"/>
            <w:shd w:val="clear" w:color="auto" w:fill="FFFFFF"/>
            <w:vAlign w:val="center"/>
          </w:tcPr>
          <w:p w14:paraId="3E65D418" w14:textId="77777777" w:rsidR="00CA3F18" w:rsidRPr="00D964B7" w:rsidRDefault="00CA3F18" w:rsidP="001C5897">
            <w:pPr>
              <w:jc w:val="right"/>
              <w:rPr>
                <w:rFonts w:ascii="Calibri" w:hAnsi="Calibri" w:cs="Calibri"/>
                <w:color w:val="000000"/>
                <w:sz w:val="22"/>
                <w:szCs w:val="22"/>
                <w:lang w:eastAsia="en-IE"/>
              </w:rPr>
            </w:pPr>
          </w:p>
        </w:tc>
        <w:tc>
          <w:tcPr>
            <w:tcW w:w="7252" w:type="dxa"/>
            <w:shd w:val="clear" w:color="auto" w:fill="FFFFFF"/>
            <w:vAlign w:val="center"/>
          </w:tcPr>
          <w:p w14:paraId="63866C97" w14:textId="77777777" w:rsidR="00CA3F18" w:rsidRPr="00D964B7" w:rsidRDefault="00CA3F18" w:rsidP="001C5897">
            <w:pPr>
              <w:rPr>
                <w:rFonts w:ascii="Calibri" w:hAnsi="Calibri" w:cs="Calibri"/>
                <w:color w:val="000000"/>
                <w:sz w:val="22"/>
                <w:szCs w:val="22"/>
                <w:lang w:eastAsia="en-IE"/>
              </w:rPr>
            </w:pPr>
            <w:r>
              <w:rPr>
                <w:rFonts w:ascii="Calibri" w:hAnsi="Calibri" w:cs="Calibri"/>
                <w:color w:val="000000"/>
                <w:sz w:val="22"/>
                <w:szCs w:val="22"/>
                <w:lang w:eastAsia="en-IE"/>
              </w:rPr>
              <w:t>Disposal proceeds</w:t>
            </w:r>
          </w:p>
        </w:tc>
        <w:tc>
          <w:tcPr>
            <w:tcW w:w="720" w:type="dxa"/>
            <w:shd w:val="clear" w:color="auto" w:fill="FFFFFF"/>
            <w:vAlign w:val="center"/>
          </w:tcPr>
          <w:p w14:paraId="3700CED3" w14:textId="77777777" w:rsidR="00CA3F18" w:rsidRPr="00D964B7" w:rsidRDefault="00CA3F18" w:rsidP="001C5897">
            <w:pPr>
              <w:jc w:val="right"/>
              <w:rPr>
                <w:rFonts w:ascii="Calibri" w:hAnsi="Calibri" w:cs="Calibri"/>
                <w:b/>
                <w:color w:val="000000"/>
                <w:sz w:val="22"/>
                <w:szCs w:val="22"/>
                <w:lang w:eastAsia="en-IE"/>
              </w:rPr>
            </w:pPr>
          </w:p>
        </w:tc>
        <w:tc>
          <w:tcPr>
            <w:tcW w:w="1265" w:type="dxa"/>
            <w:shd w:val="clear" w:color="auto" w:fill="FFFF00"/>
          </w:tcPr>
          <w:p w14:paraId="350B32B2" w14:textId="77777777" w:rsidR="00CA3F18" w:rsidRPr="00D964B7" w:rsidRDefault="00CA3F18" w:rsidP="001C5897">
            <w:pPr>
              <w:jc w:val="right"/>
              <w:rPr>
                <w:rFonts w:ascii="Calibri" w:eastAsia="Calibri" w:hAnsi="Calibri" w:cs="Calibri"/>
                <w:b/>
                <w:sz w:val="22"/>
                <w:szCs w:val="22"/>
                <w:lang w:eastAsia="en-IE"/>
              </w:rPr>
            </w:pPr>
            <w:r w:rsidRPr="00BA6B0D">
              <w:rPr>
                <w:rFonts w:ascii="Calibri" w:hAnsi="Calibri" w:cs="Calibri"/>
                <w:b/>
                <w:bCs/>
                <w:color w:val="000000"/>
                <w:sz w:val="22"/>
                <w:szCs w:val="22"/>
              </w:rPr>
              <w:t>-</w:t>
            </w:r>
          </w:p>
        </w:tc>
        <w:tc>
          <w:tcPr>
            <w:tcW w:w="1133" w:type="dxa"/>
            <w:shd w:val="clear" w:color="auto" w:fill="FFFFFF"/>
          </w:tcPr>
          <w:p w14:paraId="09A4996E" w14:textId="77777777" w:rsidR="00CA3F18" w:rsidRPr="00CA3F18" w:rsidRDefault="00CA3F18" w:rsidP="001C5897">
            <w:pPr>
              <w:jc w:val="right"/>
              <w:rPr>
                <w:rFonts w:ascii="Calibri" w:eastAsia="Calibri" w:hAnsi="Calibri" w:cs="Calibri"/>
                <w:sz w:val="22"/>
                <w:szCs w:val="22"/>
                <w:lang w:eastAsia="en-IE"/>
              </w:rPr>
            </w:pPr>
            <w:r w:rsidRPr="00CA3F18">
              <w:rPr>
                <w:rFonts w:ascii="Calibri" w:hAnsi="Calibri" w:cs="Calibri"/>
                <w:color w:val="000000"/>
                <w:sz w:val="22"/>
                <w:szCs w:val="22"/>
              </w:rPr>
              <w:t>4.9</w:t>
            </w:r>
          </w:p>
        </w:tc>
      </w:tr>
      <w:tr w:rsidR="00CA3F18" w:rsidRPr="00D964B7" w14:paraId="118E6AAD" w14:textId="77777777" w:rsidTr="001C5897">
        <w:trPr>
          <w:trHeight w:val="272"/>
        </w:trPr>
        <w:tc>
          <w:tcPr>
            <w:tcW w:w="295" w:type="dxa"/>
            <w:shd w:val="clear" w:color="auto" w:fill="FFFFFF"/>
            <w:vAlign w:val="center"/>
          </w:tcPr>
          <w:p w14:paraId="06F9F8D7" w14:textId="77777777" w:rsidR="00CA3F18" w:rsidRPr="00D964B7" w:rsidRDefault="00CA3F18" w:rsidP="001C5897">
            <w:pPr>
              <w:jc w:val="right"/>
              <w:rPr>
                <w:rFonts w:ascii="Calibri" w:hAnsi="Calibri" w:cs="Calibri"/>
                <w:color w:val="000000"/>
                <w:sz w:val="22"/>
                <w:szCs w:val="22"/>
                <w:lang w:eastAsia="en-IE"/>
              </w:rPr>
            </w:pPr>
          </w:p>
        </w:tc>
        <w:tc>
          <w:tcPr>
            <w:tcW w:w="7252" w:type="dxa"/>
            <w:shd w:val="clear" w:color="auto" w:fill="FFFFFF"/>
            <w:vAlign w:val="center"/>
          </w:tcPr>
          <w:p w14:paraId="3ECBF7AB"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Supplier reimbursements</w:t>
            </w:r>
          </w:p>
        </w:tc>
        <w:tc>
          <w:tcPr>
            <w:tcW w:w="720" w:type="dxa"/>
            <w:shd w:val="clear" w:color="auto" w:fill="FFFFFF"/>
            <w:vAlign w:val="center"/>
          </w:tcPr>
          <w:p w14:paraId="31E9315D" w14:textId="77777777" w:rsidR="00CA3F18" w:rsidRPr="00D964B7" w:rsidRDefault="00CA3F18" w:rsidP="001C5897">
            <w:pPr>
              <w:jc w:val="right"/>
              <w:rPr>
                <w:rFonts w:ascii="Calibri" w:hAnsi="Calibri" w:cs="Calibri"/>
                <w:b/>
                <w:color w:val="000000"/>
                <w:sz w:val="22"/>
                <w:szCs w:val="22"/>
                <w:lang w:eastAsia="en-IE"/>
              </w:rPr>
            </w:pPr>
          </w:p>
        </w:tc>
        <w:tc>
          <w:tcPr>
            <w:tcW w:w="1265" w:type="dxa"/>
            <w:shd w:val="clear" w:color="auto" w:fill="FFFF00"/>
          </w:tcPr>
          <w:p w14:paraId="5A17993F" w14:textId="77777777" w:rsidR="00CA3F18" w:rsidRPr="00D964B7" w:rsidRDefault="00CA3F18" w:rsidP="001C5897">
            <w:pPr>
              <w:jc w:val="right"/>
              <w:rPr>
                <w:rFonts w:ascii="Calibri" w:eastAsia="Calibri" w:hAnsi="Calibri" w:cs="Calibri"/>
                <w:b/>
                <w:sz w:val="22"/>
                <w:szCs w:val="22"/>
                <w:lang w:eastAsia="en-IE"/>
              </w:rPr>
            </w:pPr>
            <w:r w:rsidRPr="00BA6B0D">
              <w:rPr>
                <w:rFonts w:ascii="Calibri" w:hAnsi="Calibri" w:cs="Calibri"/>
                <w:b/>
                <w:bCs/>
                <w:color w:val="000000"/>
                <w:sz w:val="22"/>
                <w:szCs w:val="22"/>
              </w:rPr>
              <w:t>-</w:t>
            </w:r>
          </w:p>
        </w:tc>
        <w:tc>
          <w:tcPr>
            <w:tcW w:w="1133" w:type="dxa"/>
            <w:shd w:val="clear" w:color="auto" w:fill="FFFFFF"/>
          </w:tcPr>
          <w:p w14:paraId="565EE545" w14:textId="77777777" w:rsidR="00CA3F18" w:rsidRPr="00CA3F18" w:rsidRDefault="00CA3F18" w:rsidP="001C5897">
            <w:pPr>
              <w:jc w:val="right"/>
              <w:rPr>
                <w:rFonts w:ascii="Calibri" w:hAnsi="Calibri" w:cs="Calibri"/>
                <w:color w:val="000000"/>
                <w:sz w:val="22"/>
                <w:szCs w:val="22"/>
                <w:lang w:eastAsia="en-IE"/>
              </w:rPr>
            </w:pPr>
            <w:r w:rsidRPr="00CA3F18">
              <w:rPr>
                <w:rFonts w:ascii="Calibri" w:hAnsi="Calibri" w:cs="Calibri"/>
                <w:color w:val="000000"/>
                <w:sz w:val="22"/>
                <w:szCs w:val="22"/>
              </w:rPr>
              <w:t>127.5</w:t>
            </w:r>
          </w:p>
        </w:tc>
      </w:tr>
      <w:tr w:rsidR="00CA3F18" w:rsidRPr="00D964B7" w14:paraId="104AE9FA" w14:textId="77777777" w:rsidTr="001C5897">
        <w:trPr>
          <w:trHeight w:val="272"/>
        </w:trPr>
        <w:tc>
          <w:tcPr>
            <w:tcW w:w="295" w:type="dxa"/>
            <w:shd w:val="clear" w:color="auto" w:fill="FFFFFF"/>
            <w:vAlign w:val="center"/>
            <w:hideMark/>
          </w:tcPr>
          <w:p w14:paraId="1F9F23D3"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372E193D" w14:textId="77777777" w:rsidR="00CA3F18" w:rsidRPr="00D964B7" w:rsidRDefault="00CA3F18" w:rsidP="001C5897">
            <w:pPr>
              <w:rPr>
                <w:rFonts w:ascii="Calibri" w:hAnsi="Calibri" w:cs="Calibri"/>
                <w:color w:val="000000"/>
                <w:sz w:val="22"/>
                <w:szCs w:val="22"/>
                <w:lang w:eastAsia="en-IE"/>
              </w:rPr>
            </w:pPr>
            <w:r>
              <w:rPr>
                <w:rFonts w:ascii="Calibri" w:hAnsi="Calibri" w:cs="Calibri"/>
                <w:color w:val="000000"/>
                <w:sz w:val="22"/>
                <w:szCs w:val="22"/>
                <w:lang w:eastAsia="en-IE"/>
              </w:rPr>
              <w:t>Decrease/</w:t>
            </w:r>
            <w:r w:rsidRPr="00D964B7">
              <w:rPr>
                <w:rFonts w:ascii="Calibri" w:hAnsi="Calibri" w:cs="Calibri"/>
                <w:color w:val="000000"/>
                <w:sz w:val="22"/>
                <w:szCs w:val="22"/>
                <w:lang w:eastAsia="en-IE"/>
              </w:rPr>
              <w:t>(</w:t>
            </w:r>
            <w:r>
              <w:rPr>
                <w:rFonts w:ascii="Calibri" w:hAnsi="Calibri" w:cs="Calibri"/>
                <w:color w:val="000000"/>
                <w:sz w:val="22"/>
                <w:szCs w:val="22"/>
                <w:lang w:eastAsia="en-IE"/>
              </w:rPr>
              <w:t>i</w:t>
            </w:r>
            <w:r w:rsidRPr="00D964B7">
              <w:rPr>
                <w:rFonts w:ascii="Calibri" w:hAnsi="Calibri" w:cs="Calibri"/>
                <w:color w:val="000000"/>
                <w:sz w:val="22"/>
                <w:szCs w:val="22"/>
                <w:lang w:eastAsia="en-IE"/>
              </w:rPr>
              <w:t>ncrease) in financial assets: cash &gt; 3 months</w:t>
            </w:r>
          </w:p>
        </w:tc>
        <w:tc>
          <w:tcPr>
            <w:tcW w:w="720" w:type="dxa"/>
            <w:shd w:val="clear" w:color="auto" w:fill="FFFFFF"/>
            <w:vAlign w:val="center"/>
            <w:hideMark/>
          </w:tcPr>
          <w:p w14:paraId="7E8B0CDA" w14:textId="77777777" w:rsidR="00CA3F18" w:rsidRPr="00D964B7" w:rsidRDefault="00CA3F18" w:rsidP="001C5897">
            <w:pPr>
              <w:rPr>
                <w:rFonts w:ascii="Calibri" w:hAnsi="Calibri" w:cs="Calibri"/>
                <w:color w:val="000000"/>
                <w:sz w:val="22"/>
                <w:szCs w:val="22"/>
                <w:lang w:eastAsia="en-IE"/>
              </w:rPr>
            </w:pPr>
          </w:p>
        </w:tc>
        <w:tc>
          <w:tcPr>
            <w:tcW w:w="1265" w:type="dxa"/>
            <w:shd w:val="clear" w:color="auto" w:fill="FFFF00"/>
          </w:tcPr>
          <w:p w14:paraId="37790347" w14:textId="77777777" w:rsidR="00CA3F18" w:rsidRPr="00D964B7" w:rsidRDefault="00CA3F18" w:rsidP="001C5897">
            <w:pPr>
              <w:jc w:val="right"/>
              <w:rPr>
                <w:rFonts w:ascii="Calibri" w:eastAsia="Calibri" w:hAnsi="Calibri" w:cs="Calibri"/>
                <w:b/>
                <w:sz w:val="22"/>
                <w:szCs w:val="22"/>
                <w:lang w:eastAsia="en-IE"/>
              </w:rPr>
            </w:pPr>
            <w:r w:rsidRPr="00BA6B0D">
              <w:rPr>
                <w:rFonts w:ascii="Calibri" w:hAnsi="Calibri" w:cs="Calibri"/>
                <w:b/>
                <w:bCs/>
                <w:color w:val="000000"/>
                <w:sz w:val="22"/>
                <w:szCs w:val="22"/>
              </w:rPr>
              <w:t>691.3</w:t>
            </w:r>
          </w:p>
        </w:tc>
        <w:tc>
          <w:tcPr>
            <w:tcW w:w="1133" w:type="dxa"/>
            <w:shd w:val="clear" w:color="auto" w:fill="FFFFFF"/>
            <w:hideMark/>
          </w:tcPr>
          <w:p w14:paraId="387F8CD7" w14:textId="77777777" w:rsidR="00CA3F18" w:rsidRPr="00CA3F18" w:rsidRDefault="00CA3F18" w:rsidP="001C5897">
            <w:pPr>
              <w:jc w:val="right"/>
              <w:rPr>
                <w:rFonts w:ascii="Calibri" w:eastAsia="Calibri" w:hAnsi="Calibri" w:cs="Calibri"/>
                <w:sz w:val="22"/>
                <w:szCs w:val="22"/>
                <w:lang w:eastAsia="en-IE"/>
              </w:rPr>
            </w:pPr>
            <w:r w:rsidRPr="00CA3F18">
              <w:rPr>
                <w:rFonts w:ascii="Calibri" w:hAnsi="Calibri" w:cs="Calibri"/>
                <w:color w:val="000000"/>
                <w:sz w:val="22"/>
                <w:szCs w:val="22"/>
              </w:rPr>
              <w:t>(1,910.6)</w:t>
            </w:r>
          </w:p>
        </w:tc>
      </w:tr>
      <w:tr w:rsidR="00CA3F18" w:rsidRPr="00D964B7" w14:paraId="28C81C27" w14:textId="77777777" w:rsidTr="001C5897">
        <w:trPr>
          <w:trHeight w:val="281"/>
        </w:trPr>
        <w:tc>
          <w:tcPr>
            <w:tcW w:w="7547" w:type="dxa"/>
            <w:gridSpan w:val="2"/>
            <w:shd w:val="clear" w:color="auto" w:fill="FFFFFF"/>
            <w:vAlign w:val="center"/>
            <w:hideMark/>
          </w:tcPr>
          <w:p w14:paraId="24FED571" w14:textId="77777777" w:rsidR="00CA3F18" w:rsidRPr="00D964B7" w:rsidRDefault="00CA3F18" w:rsidP="001C5897">
            <w:pPr>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Net cash used in investing activities</w:t>
            </w:r>
          </w:p>
        </w:tc>
        <w:tc>
          <w:tcPr>
            <w:tcW w:w="720" w:type="dxa"/>
            <w:shd w:val="clear" w:color="auto" w:fill="FFFFFF"/>
            <w:vAlign w:val="center"/>
            <w:hideMark/>
          </w:tcPr>
          <w:p w14:paraId="5F4F1DAD"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265" w:type="dxa"/>
            <w:tcBorders>
              <w:top w:val="single" w:sz="8" w:space="0" w:color="auto"/>
              <w:left w:val="nil"/>
              <w:bottom w:val="single" w:sz="8" w:space="0" w:color="auto"/>
              <w:right w:val="nil"/>
            </w:tcBorders>
            <w:shd w:val="clear" w:color="auto" w:fill="FFFF00"/>
            <w:vAlign w:val="center"/>
          </w:tcPr>
          <w:p w14:paraId="79325694"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(8</w:t>
            </w:r>
            <w:r w:rsidR="00062384">
              <w:rPr>
                <w:rFonts w:ascii="Calibri" w:hAnsi="Calibri" w:cs="Calibri"/>
                <w:b/>
                <w:bCs/>
                <w:color w:val="000000"/>
                <w:sz w:val="22"/>
                <w:szCs w:val="22"/>
                <w:lang w:eastAsia="en-IE"/>
              </w:rPr>
              <w:t>9</w:t>
            </w:r>
            <w:r w:rsidRPr="00D964B7">
              <w:rPr>
                <w:rFonts w:ascii="Calibri" w:hAnsi="Calibri" w:cs="Calibri"/>
                <w:b/>
                <w:bCs/>
                <w:color w:val="000000"/>
                <w:sz w:val="22"/>
                <w:szCs w:val="22"/>
                <w:lang w:eastAsia="en-IE"/>
              </w:rPr>
              <w:t>3.</w:t>
            </w:r>
            <w:r w:rsidR="00062384">
              <w:rPr>
                <w:rFonts w:ascii="Calibri" w:hAnsi="Calibri" w:cs="Calibri"/>
                <w:b/>
                <w:bCs/>
                <w:color w:val="000000"/>
                <w:sz w:val="22"/>
                <w:szCs w:val="22"/>
                <w:lang w:eastAsia="en-IE"/>
              </w:rPr>
              <w:t>7</w:t>
            </w:r>
            <w:r w:rsidRPr="00D964B7">
              <w:rPr>
                <w:rFonts w:ascii="Calibri" w:hAnsi="Calibri" w:cs="Calibri"/>
                <w:b/>
                <w:bCs/>
                <w:color w:val="000000"/>
                <w:sz w:val="22"/>
                <w:szCs w:val="22"/>
                <w:lang w:eastAsia="en-IE"/>
              </w:rPr>
              <w:t>)</w:t>
            </w:r>
          </w:p>
        </w:tc>
        <w:tc>
          <w:tcPr>
            <w:tcW w:w="1133" w:type="dxa"/>
            <w:tcBorders>
              <w:top w:val="single" w:sz="8" w:space="0" w:color="auto"/>
              <w:left w:val="nil"/>
              <w:bottom w:val="single" w:sz="8" w:space="0" w:color="auto"/>
              <w:right w:val="nil"/>
            </w:tcBorders>
            <w:shd w:val="clear" w:color="auto" w:fill="FFFFFF"/>
            <w:hideMark/>
          </w:tcPr>
          <w:p w14:paraId="1B3058B7" w14:textId="77777777" w:rsidR="00CA3F18" w:rsidRPr="00CA3F18" w:rsidRDefault="00CA3F18" w:rsidP="001C5897">
            <w:pPr>
              <w:jc w:val="right"/>
              <w:rPr>
                <w:rFonts w:ascii="Calibri" w:hAnsi="Calibri" w:cs="Calibri"/>
                <w:color w:val="000000"/>
                <w:sz w:val="22"/>
                <w:szCs w:val="22"/>
                <w:lang w:eastAsia="en-IE"/>
              </w:rPr>
            </w:pPr>
            <w:r w:rsidRPr="00CA3F18">
              <w:rPr>
                <w:rFonts w:ascii="Calibri" w:hAnsi="Calibri" w:cs="Calibri"/>
                <w:color w:val="000000"/>
                <w:sz w:val="22"/>
                <w:szCs w:val="22"/>
              </w:rPr>
              <w:t>(</w:t>
            </w:r>
            <w:r w:rsidR="00062384">
              <w:rPr>
                <w:rFonts w:ascii="Calibri" w:hAnsi="Calibri" w:cs="Calibri"/>
                <w:color w:val="000000"/>
                <w:sz w:val="22"/>
                <w:szCs w:val="22"/>
              </w:rPr>
              <w:t>2,677.8</w:t>
            </w:r>
            <w:r w:rsidRPr="00CA3F18">
              <w:rPr>
                <w:rFonts w:ascii="Calibri" w:hAnsi="Calibri" w:cs="Calibri"/>
                <w:color w:val="000000"/>
                <w:sz w:val="22"/>
                <w:szCs w:val="22"/>
              </w:rPr>
              <w:t>)</w:t>
            </w:r>
          </w:p>
        </w:tc>
      </w:tr>
      <w:tr w:rsidR="00CA3F18" w:rsidRPr="00D964B7" w14:paraId="55A777D2" w14:textId="77777777" w:rsidTr="001C5897">
        <w:trPr>
          <w:trHeight w:val="113"/>
        </w:trPr>
        <w:tc>
          <w:tcPr>
            <w:tcW w:w="295" w:type="dxa"/>
            <w:shd w:val="clear" w:color="auto" w:fill="FFFFFF"/>
            <w:vAlign w:val="center"/>
            <w:hideMark/>
          </w:tcPr>
          <w:p w14:paraId="1FECDC70"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7252" w:type="dxa"/>
            <w:shd w:val="clear" w:color="auto" w:fill="FFFFFF"/>
            <w:vAlign w:val="center"/>
            <w:hideMark/>
          </w:tcPr>
          <w:p w14:paraId="5CD1671D"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720" w:type="dxa"/>
            <w:shd w:val="clear" w:color="auto" w:fill="FFFFFF"/>
            <w:vAlign w:val="center"/>
            <w:hideMark/>
          </w:tcPr>
          <w:p w14:paraId="686DA6BD" w14:textId="77777777" w:rsidR="00CA3F18" w:rsidRPr="00D964B7" w:rsidRDefault="00CA3F18" w:rsidP="001C5897">
            <w:pPr>
              <w:rPr>
                <w:rFonts w:ascii="Calibri" w:hAnsi="Calibri" w:cs="Calibri"/>
                <w:b/>
                <w:bCs/>
                <w:color w:val="000000"/>
                <w:sz w:val="22"/>
                <w:szCs w:val="22"/>
                <w:lang w:eastAsia="en-IE"/>
              </w:rPr>
            </w:pPr>
          </w:p>
        </w:tc>
        <w:tc>
          <w:tcPr>
            <w:tcW w:w="1265" w:type="dxa"/>
            <w:shd w:val="clear" w:color="auto" w:fill="FFFF00"/>
            <w:vAlign w:val="center"/>
          </w:tcPr>
          <w:p w14:paraId="51A28D61" w14:textId="77777777" w:rsidR="00CA3F18" w:rsidRPr="00D964B7" w:rsidRDefault="00CA3F18" w:rsidP="001C5897">
            <w:pPr>
              <w:jc w:val="right"/>
              <w:rPr>
                <w:rFonts w:ascii="Calibri" w:eastAsia="Calibri" w:hAnsi="Calibri" w:cs="Calibri"/>
                <w:sz w:val="22"/>
                <w:szCs w:val="22"/>
                <w:lang w:eastAsia="en-IE"/>
              </w:rPr>
            </w:pPr>
          </w:p>
        </w:tc>
        <w:tc>
          <w:tcPr>
            <w:tcW w:w="1133" w:type="dxa"/>
            <w:shd w:val="clear" w:color="auto" w:fill="FFFFFF"/>
            <w:vAlign w:val="center"/>
            <w:hideMark/>
          </w:tcPr>
          <w:p w14:paraId="6416B194" w14:textId="77777777" w:rsidR="00CA3F18" w:rsidRPr="00CA3F18" w:rsidRDefault="00CA3F18" w:rsidP="001C5897">
            <w:pPr>
              <w:jc w:val="right"/>
              <w:rPr>
                <w:rFonts w:ascii="Calibri" w:eastAsia="Calibri" w:hAnsi="Calibri" w:cs="Calibri"/>
                <w:sz w:val="22"/>
                <w:szCs w:val="22"/>
                <w:lang w:eastAsia="en-IE"/>
              </w:rPr>
            </w:pPr>
          </w:p>
        </w:tc>
      </w:tr>
      <w:tr w:rsidR="00CA3F18" w:rsidRPr="00D964B7" w14:paraId="537FF287" w14:textId="77777777" w:rsidTr="001C5897">
        <w:trPr>
          <w:trHeight w:val="272"/>
        </w:trPr>
        <w:tc>
          <w:tcPr>
            <w:tcW w:w="7547" w:type="dxa"/>
            <w:gridSpan w:val="2"/>
            <w:shd w:val="clear" w:color="auto" w:fill="FFFFFF"/>
            <w:vAlign w:val="center"/>
            <w:hideMark/>
          </w:tcPr>
          <w:p w14:paraId="14AC9333" w14:textId="77777777" w:rsidR="00CA3F18" w:rsidRPr="00D964B7" w:rsidRDefault="00CA3F18" w:rsidP="001C5897">
            <w:pPr>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Financing activities</w:t>
            </w:r>
          </w:p>
        </w:tc>
        <w:tc>
          <w:tcPr>
            <w:tcW w:w="720" w:type="dxa"/>
            <w:shd w:val="clear" w:color="auto" w:fill="FFFFFF"/>
            <w:vAlign w:val="center"/>
            <w:hideMark/>
          </w:tcPr>
          <w:p w14:paraId="3B97D22F"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265" w:type="dxa"/>
            <w:shd w:val="clear" w:color="auto" w:fill="FFFF00"/>
            <w:vAlign w:val="center"/>
          </w:tcPr>
          <w:p w14:paraId="4A6739ED" w14:textId="77777777" w:rsidR="00CA3F18" w:rsidRPr="00D964B7" w:rsidRDefault="00CA3F18" w:rsidP="001C5897">
            <w:pPr>
              <w:jc w:val="right"/>
              <w:rPr>
                <w:rFonts w:ascii="Calibri" w:hAnsi="Calibri" w:cs="Calibri"/>
                <w:b/>
                <w:bCs/>
                <w:color w:val="000000"/>
                <w:sz w:val="22"/>
                <w:szCs w:val="22"/>
                <w:lang w:eastAsia="en-IE"/>
              </w:rPr>
            </w:pPr>
          </w:p>
        </w:tc>
        <w:tc>
          <w:tcPr>
            <w:tcW w:w="1133" w:type="dxa"/>
            <w:shd w:val="clear" w:color="auto" w:fill="FFFFFF"/>
            <w:vAlign w:val="center"/>
            <w:hideMark/>
          </w:tcPr>
          <w:p w14:paraId="752625AA" w14:textId="77777777" w:rsidR="00CA3F18" w:rsidRPr="00CA3F18" w:rsidRDefault="00CA3F18" w:rsidP="001C5897">
            <w:pPr>
              <w:jc w:val="right"/>
              <w:rPr>
                <w:rFonts w:ascii="Calibri" w:eastAsia="Calibri" w:hAnsi="Calibri" w:cs="Calibri"/>
                <w:sz w:val="22"/>
                <w:szCs w:val="22"/>
                <w:lang w:eastAsia="en-IE"/>
              </w:rPr>
            </w:pPr>
          </w:p>
        </w:tc>
      </w:tr>
      <w:tr w:rsidR="00CA3F18" w:rsidRPr="00D964B7" w14:paraId="6015B42A" w14:textId="77777777" w:rsidTr="001C5897">
        <w:trPr>
          <w:trHeight w:val="272"/>
        </w:trPr>
        <w:tc>
          <w:tcPr>
            <w:tcW w:w="295" w:type="dxa"/>
            <w:shd w:val="clear" w:color="auto" w:fill="FFFFFF"/>
            <w:vAlign w:val="center"/>
            <w:hideMark/>
          </w:tcPr>
          <w:p w14:paraId="6E8803F9"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730D6CFA"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Net proceeds from shares issued</w:t>
            </w:r>
          </w:p>
        </w:tc>
        <w:tc>
          <w:tcPr>
            <w:tcW w:w="720" w:type="dxa"/>
            <w:shd w:val="clear" w:color="auto" w:fill="FFFFFF"/>
            <w:vAlign w:val="center"/>
            <w:hideMark/>
          </w:tcPr>
          <w:p w14:paraId="651AA708"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11</w:t>
            </w:r>
          </w:p>
        </w:tc>
        <w:tc>
          <w:tcPr>
            <w:tcW w:w="1265" w:type="dxa"/>
            <w:shd w:val="clear" w:color="auto" w:fill="FFFF00"/>
          </w:tcPr>
          <w:p w14:paraId="4A86D39E" w14:textId="77777777" w:rsidR="00CA3F18" w:rsidRPr="00D964B7" w:rsidRDefault="00CA3F18" w:rsidP="001C5897">
            <w:pPr>
              <w:jc w:val="right"/>
              <w:rPr>
                <w:rFonts w:ascii="Calibri" w:eastAsia="Calibri" w:hAnsi="Calibri" w:cs="Calibri"/>
                <w:b/>
                <w:sz w:val="22"/>
                <w:szCs w:val="22"/>
                <w:lang w:eastAsia="en-IE"/>
              </w:rPr>
            </w:pPr>
            <w:r w:rsidRPr="00BA6B0D">
              <w:rPr>
                <w:rFonts w:ascii="Calibri" w:hAnsi="Calibri" w:cs="Calibri"/>
                <w:b/>
                <w:bCs/>
                <w:color w:val="000000"/>
                <w:sz w:val="22"/>
                <w:szCs w:val="22"/>
              </w:rPr>
              <w:t>3.1</w:t>
            </w:r>
          </w:p>
        </w:tc>
        <w:tc>
          <w:tcPr>
            <w:tcW w:w="1133" w:type="dxa"/>
            <w:shd w:val="clear" w:color="auto" w:fill="FFFFFF"/>
            <w:hideMark/>
          </w:tcPr>
          <w:p w14:paraId="31713BF3" w14:textId="77777777" w:rsidR="00CA3F18" w:rsidRPr="00CA3F18" w:rsidRDefault="00CA3F18" w:rsidP="001C5897">
            <w:pPr>
              <w:jc w:val="right"/>
              <w:rPr>
                <w:rFonts w:ascii="Calibri" w:hAnsi="Calibri" w:cs="Calibri"/>
                <w:color w:val="000000"/>
                <w:sz w:val="22"/>
                <w:szCs w:val="22"/>
                <w:lang w:eastAsia="en-IE"/>
              </w:rPr>
            </w:pPr>
            <w:r w:rsidRPr="00CA3F18">
              <w:rPr>
                <w:rFonts w:ascii="Calibri" w:hAnsi="Calibri" w:cs="Calibri"/>
                <w:color w:val="000000"/>
                <w:sz w:val="22"/>
                <w:szCs w:val="22"/>
              </w:rPr>
              <w:t>19.1</w:t>
            </w:r>
          </w:p>
        </w:tc>
      </w:tr>
      <w:tr w:rsidR="00CA3F18" w:rsidRPr="00D964B7" w14:paraId="61326856" w14:textId="77777777" w:rsidTr="001C5897">
        <w:trPr>
          <w:trHeight w:val="272"/>
        </w:trPr>
        <w:tc>
          <w:tcPr>
            <w:tcW w:w="295" w:type="dxa"/>
            <w:shd w:val="clear" w:color="auto" w:fill="FFFFFF"/>
            <w:vAlign w:val="center"/>
            <w:hideMark/>
          </w:tcPr>
          <w:p w14:paraId="3BAD95C3"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0D571FE7"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Repayment of borrowings</w:t>
            </w:r>
          </w:p>
        </w:tc>
        <w:tc>
          <w:tcPr>
            <w:tcW w:w="720" w:type="dxa"/>
            <w:shd w:val="clear" w:color="auto" w:fill="FFFFFF"/>
            <w:vAlign w:val="center"/>
            <w:hideMark/>
          </w:tcPr>
          <w:p w14:paraId="626F8E06" w14:textId="77777777" w:rsidR="00CA3F18" w:rsidRPr="00D964B7" w:rsidRDefault="00CA3F18" w:rsidP="001C5897">
            <w:pPr>
              <w:rPr>
                <w:rFonts w:ascii="Calibri" w:hAnsi="Calibri" w:cs="Calibri"/>
                <w:color w:val="000000"/>
                <w:sz w:val="22"/>
                <w:szCs w:val="22"/>
                <w:lang w:eastAsia="en-IE"/>
              </w:rPr>
            </w:pPr>
          </w:p>
        </w:tc>
        <w:tc>
          <w:tcPr>
            <w:tcW w:w="1265" w:type="dxa"/>
            <w:shd w:val="clear" w:color="auto" w:fill="FFFF00"/>
          </w:tcPr>
          <w:p w14:paraId="6CA8635B" w14:textId="77777777" w:rsidR="00CA3F18" w:rsidRPr="00D964B7" w:rsidRDefault="00CA3F18" w:rsidP="001C5897">
            <w:pPr>
              <w:jc w:val="right"/>
              <w:rPr>
                <w:rFonts w:ascii="Calibri" w:eastAsia="Calibri" w:hAnsi="Calibri" w:cs="Calibri"/>
                <w:b/>
                <w:sz w:val="22"/>
                <w:szCs w:val="22"/>
                <w:lang w:eastAsia="en-IE"/>
              </w:rPr>
            </w:pPr>
            <w:r w:rsidRPr="00BA6B0D">
              <w:rPr>
                <w:rFonts w:ascii="Calibri" w:hAnsi="Calibri" w:cs="Calibri"/>
                <w:b/>
                <w:bCs/>
                <w:color w:val="000000"/>
                <w:sz w:val="22"/>
                <w:szCs w:val="22"/>
              </w:rPr>
              <w:t>(1,070.2)</w:t>
            </w:r>
          </w:p>
        </w:tc>
        <w:tc>
          <w:tcPr>
            <w:tcW w:w="1133" w:type="dxa"/>
            <w:shd w:val="clear" w:color="auto" w:fill="FFFFFF"/>
            <w:hideMark/>
          </w:tcPr>
          <w:p w14:paraId="12F87879" w14:textId="77777777" w:rsidR="00CA3F18" w:rsidRPr="00CA3F18" w:rsidRDefault="00CA3F18" w:rsidP="001C5897">
            <w:pPr>
              <w:jc w:val="right"/>
              <w:rPr>
                <w:rFonts w:ascii="Calibri" w:hAnsi="Calibri" w:cs="Calibri"/>
                <w:color w:val="000000"/>
                <w:sz w:val="22"/>
                <w:szCs w:val="22"/>
                <w:lang w:eastAsia="en-IE"/>
              </w:rPr>
            </w:pPr>
            <w:r w:rsidRPr="00CA3F18">
              <w:rPr>
                <w:rFonts w:ascii="Calibri" w:hAnsi="Calibri" w:cs="Calibri"/>
                <w:color w:val="000000"/>
                <w:sz w:val="22"/>
                <w:szCs w:val="22"/>
              </w:rPr>
              <w:t>(80.7)</w:t>
            </w:r>
          </w:p>
        </w:tc>
      </w:tr>
      <w:tr w:rsidR="00CA3F18" w:rsidRPr="00D964B7" w14:paraId="3FD1DD95" w14:textId="77777777" w:rsidTr="001C5897">
        <w:trPr>
          <w:trHeight w:val="281"/>
        </w:trPr>
        <w:tc>
          <w:tcPr>
            <w:tcW w:w="295" w:type="dxa"/>
            <w:shd w:val="clear" w:color="auto" w:fill="FFFFFF"/>
            <w:vAlign w:val="center"/>
            <w:hideMark/>
          </w:tcPr>
          <w:p w14:paraId="65D995CA"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67544B76"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Lease liabilities paid</w:t>
            </w:r>
          </w:p>
        </w:tc>
        <w:tc>
          <w:tcPr>
            <w:tcW w:w="720" w:type="dxa"/>
            <w:shd w:val="clear" w:color="auto" w:fill="FFFFFF"/>
            <w:vAlign w:val="center"/>
            <w:hideMark/>
          </w:tcPr>
          <w:p w14:paraId="27DFC8FB" w14:textId="77777777" w:rsidR="00CA3F18" w:rsidRPr="00D964B7" w:rsidRDefault="00CA3F18" w:rsidP="001C5897">
            <w:pPr>
              <w:rPr>
                <w:rFonts w:ascii="Calibri" w:hAnsi="Calibri" w:cs="Calibri"/>
                <w:color w:val="000000"/>
                <w:sz w:val="22"/>
                <w:szCs w:val="22"/>
                <w:lang w:eastAsia="en-IE"/>
              </w:rPr>
            </w:pPr>
          </w:p>
        </w:tc>
        <w:tc>
          <w:tcPr>
            <w:tcW w:w="1265" w:type="dxa"/>
            <w:shd w:val="clear" w:color="auto" w:fill="FFFF00"/>
          </w:tcPr>
          <w:p w14:paraId="4F2E1A3A" w14:textId="77777777" w:rsidR="00CA3F18" w:rsidRPr="00D964B7" w:rsidRDefault="00CA3F18" w:rsidP="001C5897">
            <w:pPr>
              <w:jc w:val="right"/>
              <w:rPr>
                <w:rFonts w:ascii="Calibri" w:eastAsia="Calibri" w:hAnsi="Calibri" w:cs="Calibri"/>
                <w:b/>
                <w:sz w:val="22"/>
                <w:szCs w:val="22"/>
                <w:lang w:eastAsia="en-IE"/>
              </w:rPr>
            </w:pPr>
            <w:r w:rsidRPr="00BA6B0D">
              <w:rPr>
                <w:rFonts w:ascii="Calibri" w:hAnsi="Calibri" w:cs="Calibri"/>
                <w:b/>
                <w:bCs/>
                <w:color w:val="000000"/>
                <w:sz w:val="22"/>
                <w:szCs w:val="22"/>
              </w:rPr>
              <w:t>(22.5)</w:t>
            </w:r>
          </w:p>
        </w:tc>
        <w:tc>
          <w:tcPr>
            <w:tcW w:w="1133" w:type="dxa"/>
            <w:shd w:val="clear" w:color="auto" w:fill="FFFFFF"/>
            <w:hideMark/>
          </w:tcPr>
          <w:p w14:paraId="36B10321" w14:textId="77777777" w:rsidR="00CA3F18" w:rsidRPr="00CA3F18" w:rsidRDefault="00CA3F18" w:rsidP="001C5897">
            <w:pPr>
              <w:jc w:val="right"/>
              <w:rPr>
                <w:rFonts w:ascii="Calibri" w:hAnsi="Calibri" w:cs="Calibri"/>
                <w:color w:val="000000"/>
                <w:sz w:val="22"/>
                <w:szCs w:val="22"/>
                <w:lang w:eastAsia="en-IE"/>
              </w:rPr>
            </w:pPr>
            <w:r w:rsidRPr="00CA3F18">
              <w:rPr>
                <w:rFonts w:ascii="Calibri" w:hAnsi="Calibri" w:cs="Calibri"/>
                <w:color w:val="000000"/>
                <w:sz w:val="22"/>
                <w:szCs w:val="22"/>
              </w:rPr>
              <w:t>(26.2)</w:t>
            </w:r>
          </w:p>
        </w:tc>
      </w:tr>
      <w:tr w:rsidR="00CA3F18" w:rsidRPr="00D964B7" w14:paraId="37A6C1B6" w14:textId="77777777" w:rsidTr="001C5897">
        <w:trPr>
          <w:trHeight w:val="281"/>
        </w:trPr>
        <w:tc>
          <w:tcPr>
            <w:tcW w:w="7547" w:type="dxa"/>
            <w:gridSpan w:val="2"/>
            <w:shd w:val="clear" w:color="auto" w:fill="FFFFFF"/>
            <w:vAlign w:val="center"/>
            <w:hideMark/>
          </w:tcPr>
          <w:p w14:paraId="712E79BD" w14:textId="77777777" w:rsidR="00CA3F18" w:rsidRPr="00D964B7" w:rsidRDefault="00CA3F18" w:rsidP="001C5897">
            <w:pPr>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Net cash used in financing activities</w:t>
            </w:r>
          </w:p>
        </w:tc>
        <w:tc>
          <w:tcPr>
            <w:tcW w:w="720" w:type="dxa"/>
            <w:shd w:val="clear" w:color="auto" w:fill="FFFFFF"/>
            <w:vAlign w:val="center"/>
            <w:hideMark/>
          </w:tcPr>
          <w:p w14:paraId="1F0134FC"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265" w:type="dxa"/>
            <w:tcBorders>
              <w:top w:val="single" w:sz="8" w:space="0" w:color="auto"/>
              <w:left w:val="nil"/>
              <w:bottom w:val="single" w:sz="8" w:space="0" w:color="auto"/>
              <w:right w:val="nil"/>
            </w:tcBorders>
            <w:shd w:val="clear" w:color="auto" w:fill="FFFF00"/>
            <w:vAlign w:val="center"/>
          </w:tcPr>
          <w:p w14:paraId="0C5A5BA0" w14:textId="77777777" w:rsidR="00CA3F18" w:rsidRPr="00062384" w:rsidRDefault="00062384" w:rsidP="001C5897">
            <w:pPr>
              <w:jc w:val="right"/>
              <w:rPr>
                <w:rFonts w:ascii="Calibri" w:hAnsi="Calibri" w:cs="Calibri"/>
                <w:b/>
                <w:bCs/>
                <w:color w:val="000000"/>
                <w:sz w:val="22"/>
                <w:szCs w:val="22"/>
                <w:lang w:eastAsia="en-IE"/>
              </w:rPr>
            </w:pPr>
            <w:r w:rsidRPr="00062384">
              <w:rPr>
                <w:rFonts w:ascii="Calibri" w:hAnsi="Calibri" w:cs="Calibri"/>
                <w:b/>
                <w:bCs/>
                <w:color w:val="000000"/>
                <w:sz w:val="22"/>
                <w:szCs w:val="22"/>
              </w:rPr>
              <w:t>(1,089.6)</w:t>
            </w:r>
          </w:p>
        </w:tc>
        <w:tc>
          <w:tcPr>
            <w:tcW w:w="1133" w:type="dxa"/>
            <w:tcBorders>
              <w:top w:val="single" w:sz="8" w:space="0" w:color="auto"/>
              <w:left w:val="nil"/>
              <w:bottom w:val="single" w:sz="8" w:space="0" w:color="auto"/>
              <w:right w:val="nil"/>
            </w:tcBorders>
            <w:shd w:val="clear" w:color="auto" w:fill="FFFFFF"/>
            <w:hideMark/>
          </w:tcPr>
          <w:p w14:paraId="0179C5D2" w14:textId="77777777" w:rsidR="00CA3F18" w:rsidRPr="00CA3F18" w:rsidRDefault="00062384" w:rsidP="001C5897">
            <w:pPr>
              <w:jc w:val="right"/>
              <w:rPr>
                <w:rFonts w:ascii="Calibri" w:hAnsi="Calibri" w:cs="Calibri"/>
                <w:color w:val="000000"/>
                <w:sz w:val="22"/>
                <w:szCs w:val="22"/>
                <w:lang w:eastAsia="en-IE"/>
              </w:rPr>
            </w:pPr>
            <w:r>
              <w:rPr>
                <w:rFonts w:ascii="Calibri" w:hAnsi="Calibri" w:cs="Calibri"/>
                <w:color w:val="000000"/>
                <w:sz w:val="22"/>
                <w:szCs w:val="22"/>
                <w:lang w:eastAsia="en-IE"/>
              </w:rPr>
              <w:t>(87.8)</w:t>
            </w:r>
          </w:p>
        </w:tc>
      </w:tr>
      <w:tr w:rsidR="00CA3F18" w:rsidRPr="00D964B7" w14:paraId="07C8F90A" w14:textId="77777777" w:rsidTr="001C5897">
        <w:trPr>
          <w:trHeight w:val="113"/>
        </w:trPr>
        <w:tc>
          <w:tcPr>
            <w:tcW w:w="295" w:type="dxa"/>
            <w:shd w:val="clear" w:color="auto" w:fill="FFFFFF"/>
            <w:vAlign w:val="center"/>
            <w:hideMark/>
          </w:tcPr>
          <w:p w14:paraId="13623458"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7252" w:type="dxa"/>
            <w:shd w:val="clear" w:color="auto" w:fill="FFFFFF"/>
            <w:vAlign w:val="center"/>
            <w:hideMark/>
          </w:tcPr>
          <w:p w14:paraId="397ECF03"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0" w:type="dxa"/>
            <w:shd w:val="clear" w:color="auto" w:fill="FFFFFF"/>
            <w:vAlign w:val="center"/>
            <w:hideMark/>
          </w:tcPr>
          <w:p w14:paraId="50D88506" w14:textId="77777777" w:rsidR="00CA3F18" w:rsidRPr="00D964B7" w:rsidRDefault="00CA3F18" w:rsidP="001C5897">
            <w:pPr>
              <w:rPr>
                <w:rFonts w:ascii="Calibri" w:hAnsi="Calibri" w:cs="Calibri"/>
                <w:color w:val="000000"/>
                <w:sz w:val="22"/>
                <w:szCs w:val="22"/>
                <w:lang w:eastAsia="en-IE"/>
              </w:rPr>
            </w:pPr>
          </w:p>
        </w:tc>
        <w:tc>
          <w:tcPr>
            <w:tcW w:w="1265" w:type="dxa"/>
            <w:shd w:val="clear" w:color="auto" w:fill="FFFF00"/>
            <w:vAlign w:val="center"/>
          </w:tcPr>
          <w:p w14:paraId="1D741657" w14:textId="77777777" w:rsidR="00CA3F18" w:rsidRPr="00D964B7" w:rsidRDefault="00CA3F18" w:rsidP="001C5897">
            <w:pPr>
              <w:jc w:val="right"/>
              <w:rPr>
                <w:rFonts w:ascii="Calibri" w:eastAsia="Calibri" w:hAnsi="Calibri" w:cs="Calibri"/>
                <w:b/>
                <w:sz w:val="22"/>
                <w:szCs w:val="22"/>
                <w:lang w:eastAsia="en-IE"/>
              </w:rPr>
            </w:pPr>
          </w:p>
        </w:tc>
        <w:tc>
          <w:tcPr>
            <w:tcW w:w="1133" w:type="dxa"/>
            <w:shd w:val="clear" w:color="auto" w:fill="FFFFFF"/>
            <w:vAlign w:val="center"/>
            <w:hideMark/>
          </w:tcPr>
          <w:p w14:paraId="0989D54F" w14:textId="77777777" w:rsidR="00CA3F18" w:rsidRPr="00D964B7" w:rsidRDefault="00CA3F18" w:rsidP="001C5897">
            <w:pPr>
              <w:jc w:val="right"/>
              <w:rPr>
                <w:rFonts w:ascii="Calibri" w:eastAsia="Calibri" w:hAnsi="Calibri" w:cs="Calibri"/>
                <w:bCs/>
                <w:sz w:val="22"/>
                <w:szCs w:val="22"/>
                <w:lang w:eastAsia="en-IE"/>
              </w:rPr>
            </w:pPr>
          </w:p>
        </w:tc>
      </w:tr>
      <w:tr w:rsidR="00CA3F18" w:rsidRPr="00D964B7" w14:paraId="368F135B" w14:textId="77777777" w:rsidTr="001C5897">
        <w:trPr>
          <w:trHeight w:val="272"/>
        </w:trPr>
        <w:tc>
          <w:tcPr>
            <w:tcW w:w="7547" w:type="dxa"/>
            <w:gridSpan w:val="2"/>
            <w:shd w:val="clear" w:color="auto" w:fill="FFFFFF"/>
            <w:vAlign w:val="center"/>
            <w:hideMark/>
          </w:tcPr>
          <w:p w14:paraId="4406B718" w14:textId="77777777" w:rsidR="00CA3F18" w:rsidRPr="00D964B7" w:rsidRDefault="00CA3F18" w:rsidP="001C5897">
            <w:pPr>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Decrease in cash and cash equivalents</w:t>
            </w:r>
          </w:p>
        </w:tc>
        <w:tc>
          <w:tcPr>
            <w:tcW w:w="720" w:type="dxa"/>
            <w:shd w:val="clear" w:color="auto" w:fill="FFFFFF"/>
            <w:vAlign w:val="center"/>
            <w:hideMark/>
          </w:tcPr>
          <w:p w14:paraId="50AAF1FA"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265" w:type="dxa"/>
            <w:shd w:val="clear" w:color="auto" w:fill="FFFF00"/>
            <w:vAlign w:val="center"/>
          </w:tcPr>
          <w:p w14:paraId="4911F0FE"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w:t>
            </w:r>
            <w:r>
              <w:rPr>
                <w:rFonts w:ascii="Calibri" w:hAnsi="Calibri" w:cs="Calibri"/>
                <w:b/>
                <w:bCs/>
                <w:color w:val="000000"/>
                <w:sz w:val="22"/>
                <w:szCs w:val="22"/>
                <w:lang w:eastAsia="en-IE"/>
              </w:rPr>
              <w:t>3</w:t>
            </w:r>
            <w:r w:rsidRPr="00D964B7">
              <w:rPr>
                <w:rFonts w:ascii="Calibri" w:hAnsi="Calibri" w:cs="Calibri"/>
                <w:b/>
                <w:bCs/>
                <w:color w:val="000000"/>
                <w:sz w:val="22"/>
                <w:szCs w:val="22"/>
                <w:lang w:eastAsia="en-IE"/>
              </w:rPr>
              <w:t>4</w:t>
            </w:r>
            <w:r>
              <w:rPr>
                <w:rFonts w:ascii="Calibri" w:hAnsi="Calibri" w:cs="Calibri"/>
                <w:b/>
                <w:bCs/>
                <w:color w:val="000000"/>
                <w:sz w:val="22"/>
                <w:szCs w:val="22"/>
                <w:lang w:eastAsia="en-IE"/>
              </w:rPr>
              <w:t>2</w:t>
            </w:r>
            <w:r w:rsidRPr="00D964B7">
              <w:rPr>
                <w:rFonts w:ascii="Calibri" w:hAnsi="Calibri" w:cs="Calibri"/>
                <w:b/>
                <w:bCs/>
                <w:color w:val="000000"/>
                <w:sz w:val="22"/>
                <w:szCs w:val="22"/>
                <w:lang w:eastAsia="en-IE"/>
              </w:rPr>
              <w:t>.</w:t>
            </w:r>
            <w:r>
              <w:rPr>
                <w:rFonts w:ascii="Calibri" w:hAnsi="Calibri" w:cs="Calibri"/>
                <w:b/>
                <w:bCs/>
                <w:color w:val="000000"/>
                <w:sz w:val="22"/>
                <w:szCs w:val="22"/>
                <w:lang w:eastAsia="en-IE"/>
              </w:rPr>
              <w:t>9</w:t>
            </w:r>
            <w:r w:rsidRPr="00D964B7">
              <w:rPr>
                <w:rFonts w:ascii="Calibri" w:hAnsi="Calibri" w:cs="Calibri"/>
                <w:b/>
                <w:bCs/>
                <w:color w:val="000000"/>
                <w:sz w:val="22"/>
                <w:szCs w:val="22"/>
                <w:lang w:eastAsia="en-IE"/>
              </w:rPr>
              <w:t>)</w:t>
            </w:r>
          </w:p>
        </w:tc>
        <w:tc>
          <w:tcPr>
            <w:tcW w:w="1133" w:type="dxa"/>
            <w:shd w:val="clear" w:color="auto" w:fill="FFFFFF"/>
            <w:vAlign w:val="center"/>
          </w:tcPr>
          <w:p w14:paraId="50570CB3" w14:textId="77777777" w:rsidR="00CA3F18" w:rsidRPr="00D964B7" w:rsidRDefault="00CA3F18" w:rsidP="001C5897">
            <w:pPr>
              <w:jc w:val="right"/>
              <w:rPr>
                <w:rFonts w:ascii="Calibri" w:hAnsi="Calibri" w:cs="Calibri"/>
                <w:bCs/>
                <w:color w:val="000000"/>
                <w:sz w:val="22"/>
                <w:szCs w:val="22"/>
                <w:lang w:eastAsia="en-IE"/>
              </w:rPr>
            </w:pPr>
            <w:r>
              <w:rPr>
                <w:rFonts w:ascii="Calibri" w:hAnsi="Calibri" w:cs="Calibri"/>
                <w:bCs/>
                <w:color w:val="000000"/>
                <w:sz w:val="22"/>
                <w:szCs w:val="22"/>
                <w:lang w:eastAsia="en-IE"/>
              </w:rPr>
              <w:t>(1,008.9)</w:t>
            </w:r>
          </w:p>
        </w:tc>
      </w:tr>
      <w:tr w:rsidR="00CA3F18" w:rsidRPr="00D964B7" w14:paraId="09AE5B8E" w14:textId="77777777" w:rsidTr="001C5897">
        <w:trPr>
          <w:trHeight w:val="272"/>
        </w:trPr>
        <w:tc>
          <w:tcPr>
            <w:tcW w:w="295" w:type="dxa"/>
            <w:shd w:val="clear" w:color="auto" w:fill="FFFFFF"/>
            <w:vAlign w:val="center"/>
            <w:hideMark/>
          </w:tcPr>
          <w:p w14:paraId="29E66C37" w14:textId="77777777" w:rsidR="00CA3F18" w:rsidRPr="00D964B7" w:rsidRDefault="00CA3F18" w:rsidP="001C5897">
            <w:pPr>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7252" w:type="dxa"/>
            <w:shd w:val="clear" w:color="auto" w:fill="FFFFFF"/>
            <w:vAlign w:val="center"/>
            <w:hideMark/>
          </w:tcPr>
          <w:p w14:paraId="07D251E0"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 xml:space="preserve">Net foreign exchange </w:t>
            </w:r>
            <w:r>
              <w:rPr>
                <w:rFonts w:ascii="Calibri" w:hAnsi="Calibri" w:cs="Calibri"/>
                <w:color w:val="000000"/>
                <w:sz w:val="22"/>
                <w:szCs w:val="22"/>
                <w:lang w:eastAsia="en-IE"/>
              </w:rPr>
              <w:t>differences</w:t>
            </w:r>
          </w:p>
        </w:tc>
        <w:tc>
          <w:tcPr>
            <w:tcW w:w="720" w:type="dxa"/>
            <w:shd w:val="clear" w:color="auto" w:fill="FFFFFF"/>
            <w:vAlign w:val="center"/>
            <w:hideMark/>
          </w:tcPr>
          <w:p w14:paraId="2A9BB453" w14:textId="77777777" w:rsidR="00CA3F18" w:rsidRPr="00D964B7" w:rsidRDefault="00CA3F18" w:rsidP="001C5897">
            <w:pPr>
              <w:rPr>
                <w:rFonts w:ascii="Calibri" w:hAnsi="Calibri" w:cs="Calibri"/>
                <w:color w:val="000000"/>
                <w:sz w:val="22"/>
                <w:szCs w:val="22"/>
                <w:lang w:eastAsia="en-IE"/>
              </w:rPr>
            </w:pPr>
          </w:p>
        </w:tc>
        <w:tc>
          <w:tcPr>
            <w:tcW w:w="1265" w:type="dxa"/>
            <w:shd w:val="clear" w:color="auto" w:fill="FFFF00"/>
            <w:vAlign w:val="center"/>
          </w:tcPr>
          <w:p w14:paraId="3261A59A" w14:textId="77777777" w:rsidR="00CA3F18" w:rsidRPr="00D964B7" w:rsidRDefault="00CA3F18" w:rsidP="001C5897">
            <w:pPr>
              <w:jc w:val="right"/>
              <w:rPr>
                <w:rFonts w:ascii="Calibri" w:eastAsia="Calibri" w:hAnsi="Calibri" w:cs="Calibri"/>
                <w:b/>
                <w:sz w:val="22"/>
                <w:szCs w:val="22"/>
                <w:lang w:eastAsia="en-IE"/>
              </w:rPr>
            </w:pPr>
            <w:r>
              <w:rPr>
                <w:rFonts w:ascii="Calibri" w:eastAsia="Calibri" w:hAnsi="Calibri" w:cs="Calibri"/>
                <w:b/>
                <w:sz w:val="22"/>
                <w:szCs w:val="22"/>
                <w:lang w:eastAsia="en-IE"/>
              </w:rPr>
              <w:t>4.1</w:t>
            </w:r>
          </w:p>
        </w:tc>
        <w:tc>
          <w:tcPr>
            <w:tcW w:w="1133" w:type="dxa"/>
            <w:shd w:val="clear" w:color="auto" w:fill="FFFFFF"/>
            <w:vAlign w:val="center"/>
          </w:tcPr>
          <w:p w14:paraId="671AC96D" w14:textId="77777777" w:rsidR="00CA3F18" w:rsidRPr="00D964B7" w:rsidRDefault="00CA3F18" w:rsidP="001C5897">
            <w:pPr>
              <w:jc w:val="right"/>
              <w:rPr>
                <w:rFonts w:ascii="Calibri" w:hAnsi="Calibri" w:cs="Calibri"/>
                <w:bCs/>
                <w:color w:val="000000"/>
                <w:sz w:val="22"/>
                <w:szCs w:val="22"/>
                <w:lang w:eastAsia="en-IE"/>
              </w:rPr>
            </w:pPr>
            <w:r>
              <w:rPr>
                <w:rFonts w:ascii="Calibri" w:hAnsi="Calibri" w:cs="Calibri"/>
                <w:bCs/>
                <w:color w:val="000000"/>
                <w:sz w:val="22"/>
                <w:szCs w:val="22"/>
                <w:lang w:eastAsia="en-IE"/>
              </w:rPr>
              <w:t>64.1</w:t>
            </w:r>
          </w:p>
        </w:tc>
      </w:tr>
      <w:tr w:rsidR="00CA3F18" w:rsidRPr="00D964B7" w14:paraId="07064116" w14:textId="77777777" w:rsidTr="001C5897">
        <w:trPr>
          <w:trHeight w:val="281"/>
        </w:trPr>
        <w:tc>
          <w:tcPr>
            <w:tcW w:w="295" w:type="dxa"/>
            <w:shd w:val="clear" w:color="auto" w:fill="FFFFFF"/>
            <w:noWrap/>
            <w:vAlign w:val="center"/>
            <w:hideMark/>
          </w:tcPr>
          <w:p w14:paraId="00FAFADB"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noWrap/>
            <w:vAlign w:val="bottom"/>
            <w:hideMark/>
          </w:tcPr>
          <w:p w14:paraId="377653BD"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 xml:space="preserve">Cash and cash equivalents at beginning of the </w:t>
            </w:r>
            <w:r>
              <w:rPr>
                <w:rFonts w:ascii="Calibri" w:hAnsi="Calibri" w:cs="Calibri"/>
                <w:color w:val="000000"/>
                <w:sz w:val="22"/>
                <w:szCs w:val="22"/>
                <w:lang w:eastAsia="en-IE"/>
              </w:rPr>
              <w:t>period</w:t>
            </w:r>
          </w:p>
        </w:tc>
        <w:tc>
          <w:tcPr>
            <w:tcW w:w="720" w:type="dxa"/>
            <w:shd w:val="clear" w:color="auto" w:fill="FFFFFF"/>
            <w:vAlign w:val="center"/>
            <w:hideMark/>
          </w:tcPr>
          <w:p w14:paraId="51774BA2" w14:textId="77777777" w:rsidR="00CA3F18" w:rsidRPr="00D964B7" w:rsidRDefault="00CA3F18" w:rsidP="001C5897">
            <w:pPr>
              <w:rPr>
                <w:rFonts w:ascii="Calibri" w:hAnsi="Calibri" w:cs="Calibri"/>
                <w:color w:val="000000"/>
                <w:sz w:val="22"/>
                <w:szCs w:val="22"/>
                <w:lang w:eastAsia="en-IE"/>
              </w:rPr>
            </w:pPr>
          </w:p>
        </w:tc>
        <w:tc>
          <w:tcPr>
            <w:tcW w:w="1265" w:type="dxa"/>
            <w:tcBorders>
              <w:top w:val="nil"/>
              <w:left w:val="nil"/>
              <w:bottom w:val="single" w:sz="8" w:space="0" w:color="auto"/>
              <w:right w:val="nil"/>
            </w:tcBorders>
            <w:shd w:val="clear" w:color="auto" w:fill="FFFF00"/>
            <w:vAlign w:val="center"/>
          </w:tcPr>
          <w:p w14:paraId="689D6037" w14:textId="77777777" w:rsidR="00CA3F18" w:rsidRPr="00D964B7" w:rsidRDefault="00CA3F18" w:rsidP="001C5897">
            <w:pPr>
              <w:jc w:val="right"/>
              <w:rPr>
                <w:rFonts w:ascii="Calibri" w:eastAsia="Calibri" w:hAnsi="Calibri" w:cs="Calibri"/>
                <w:b/>
                <w:sz w:val="22"/>
                <w:szCs w:val="22"/>
                <w:lang w:eastAsia="en-IE"/>
              </w:rPr>
            </w:pPr>
            <w:r w:rsidRPr="00D964B7">
              <w:rPr>
                <w:rFonts w:ascii="Calibri" w:eastAsia="Calibri" w:hAnsi="Calibri" w:cs="Calibri"/>
                <w:b/>
                <w:sz w:val="22"/>
                <w:szCs w:val="22"/>
                <w:lang w:eastAsia="en-IE"/>
              </w:rPr>
              <w:t>3,599.3</w:t>
            </w:r>
          </w:p>
        </w:tc>
        <w:tc>
          <w:tcPr>
            <w:tcW w:w="1133" w:type="dxa"/>
            <w:tcBorders>
              <w:top w:val="nil"/>
              <w:left w:val="nil"/>
              <w:bottom w:val="single" w:sz="8" w:space="0" w:color="auto"/>
              <w:right w:val="nil"/>
            </w:tcBorders>
            <w:shd w:val="clear" w:color="auto" w:fill="FFFFFF"/>
            <w:vAlign w:val="center"/>
          </w:tcPr>
          <w:p w14:paraId="7880FA10" w14:textId="77777777" w:rsidR="00CA3F18" w:rsidRPr="00D964B7" w:rsidRDefault="00CA3F18" w:rsidP="001C5897">
            <w:pPr>
              <w:jc w:val="right"/>
              <w:rPr>
                <w:rFonts w:ascii="Calibri" w:eastAsia="Calibri" w:hAnsi="Calibri" w:cs="Calibri"/>
                <w:bCs/>
                <w:sz w:val="22"/>
                <w:szCs w:val="22"/>
                <w:lang w:eastAsia="en-IE"/>
              </w:rPr>
            </w:pPr>
            <w:r>
              <w:rPr>
                <w:rFonts w:ascii="Calibri" w:eastAsia="Calibri" w:hAnsi="Calibri" w:cs="Calibri"/>
                <w:bCs/>
                <w:sz w:val="22"/>
                <w:szCs w:val="22"/>
                <w:lang w:eastAsia="en-IE"/>
              </w:rPr>
              <w:t>2,669.0</w:t>
            </w:r>
          </w:p>
        </w:tc>
      </w:tr>
      <w:tr w:rsidR="00CA3F18" w:rsidRPr="00D964B7" w14:paraId="3E514042" w14:textId="77777777" w:rsidTr="001C5897">
        <w:trPr>
          <w:trHeight w:val="281"/>
        </w:trPr>
        <w:tc>
          <w:tcPr>
            <w:tcW w:w="7547" w:type="dxa"/>
            <w:gridSpan w:val="2"/>
            <w:shd w:val="clear" w:color="auto" w:fill="FFFFFF"/>
            <w:vAlign w:val="center"/>
            <w:hideMark/>
          </w:tcPr>
          <w:p w14:paraId="15FB937B" w14:textId="77777777" w:rsidR="00CA3F18" w:rsidRPr="00D964B7" w:rsidRDefault="00CA3F18" w:rsidP="001C5897">
            <w:pPr>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xml:space="preserve">Cash and cash equivalents at end of the </w:t>
            </w:r>
            <w:r>
              <w:rPr>
                <w:rFonts w:ascii="Calibri" w:hAnsi="Calibri" w:cs="Calibri"/>
                <w:b/>
                <w:bCs/>
                <w:color w:val="000000"/>
                <w:sz w:val="22"/>
                <w:szCs w:val="22"/>
                <w:lang w:eastAsia="en-IE"/>
              </w:rPr>
              <w:t>period</w:t>
            </w:r>
          </w:p>
        </w:tc>
        <w:tc>
          <w:tcPr>
            <w:tcW w:w="720" w:type="dxa"/>
            <w:shd w:val="clear" w:color="auto" w:fill="FFFFFF"/>
            <w:vAlign w:val="center"/>
            <w:hideMark/>
          </w:tcPr>
          <w:p w14:paraId="6F5588C8" w14:textId="77777777" w:rsidR="00CA3F18" w:rsidRPr="00D964B7" w:rsidRDefault="00CA3F18" w:rsidP="001C5897">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10</w:t>
            </w:r>
            <w:r w:rsidRPr="00D964B7">
              <w:rPr>
                <w:rFonts w:ascii="Calibri" w:hAnsi="Calibri" w:cs="Calibri"/>
                <w:b/>
                <w:bCs/>
                <w:color w:val="000000"/>
                <w:sz w:val="22"/>
                <w:szCs w:val="22"/>
                <w:lang w:eastAsia="en-IE"/>
              </w:rPr>
              <w:t> </w:t>
            </w:r>
          </w:p>
        </w:tc>
        <w:tc>
          <w:tcPr>
            <w:tcW w:w="1265" w:type="dxa"/>
            <w:tcBorders>
              <w:top w:val="single" w:sz="8" w:space="0" w:color="auto"/>
              <w:left w:val="nil"/>
              <w:bottom w:val="single" w:sz="8" w:space="0" w:color="auto"/>
              <w:right w:val="nil"/>
            </w:tcBorders>
            <w:shd w:val="clear" w:color="auto" w:fill="FFFF00"/>
            <w:vAlign w:val="center"/>
          </w:tcPr>
          <w:p w14:paraId="3F6D5C37" w14:textId="77777777" w:rsidR="00CA3F18" w:rsidRPr="00D964B7" w:rsidRDefault="00CA3F18" w:rsidP="001C5897">
            <w:pPr>
              <w:jc w:val="right"/>
              <w:rPr>
                <w:rFonts w:ascii="Calibri" w:eastAsia="Calibri" w:hAnsi="Calibri" w:cs="Calibri"/>
                <w:b/>
                <w:sz w:val="22"/>
                <w:szCs w:val="22"/>
                <w:lang w:eastAsia="en-IE"/>
              </w:rPr>
            </w:pPr>
            <w:r>
              <w:rPr>
                <w:rFonts w:ascii="Calibri" w:eastAsia="Calibri" w:hAnsi="Calibri" w:cs="Calibri"/>
                <w:b/>
                <w:sz w:val="22"/>
                <w:szCs w:val="22"/>
                <w:lang w:eastAsia="en-IE"/>
              </w:rPr>
              <w:t>3,260.5</w:t>
            </w:r>
          </w:p>
        </w:tc>
        <w:tc>
          <w:tcPr>
            <w:tcW w:w="1133" w:type="dxa"/>
            <w:tcBorders>
              <w:top w:val="single" w:sz="8" w:space="0" w:color="auto"/>
              <w:left w:val="nil"/>
              <w:bottom w:val="single" w:sz="8" w:space="0" w:color="auto"/>
              <w:right w:val="nil"/>
            </w:tcBorders>
            <w:shd w:val="clear" w:color="auto" w:fill="FFFFFF"/>
            <w:vAlign w:val="center"/>
          </w:tcPr>
          <w:p w14:paraId="617771AF" w14:textId="77777777" w:rsidR="00CA3F18" w:rsidRPr="00D964B7" w:rsidRDefault="00CA3F18" w:rsidP="001C5897">
            <w:pPr>
              <w:jc w:val="right"/>
              <w:rPr>
                <w:rFonts w:ascii="Calibri" w:eastAsia="Calibri" w:hAnsi="Calibri" w:cs="Calibri"/>
                <w:bCs/>
                <w:sz w:val="22"/>
                <w:szCs w:val="22"/>
                <w:lang w:eastAsia="en-IE"/>
              </w:rPr>
            </w:pPr>
            <w:r>
              <w:rPr>
                <w:rFonts w:ascii="Calibri" w:eastAsia="Calibri" w:hAnsi="Calibri" w:cs="Calibri"/>
                <w:bCs/>
                <w:sz w:val="22"/>
                <w:szCs w:val="22"/>
                <w:lang w:eastAsia="en-IE"/>
              </w:rPr>
              <w:t>1,724.2</w:t>
            </w:r>
          </w:p>
        </w:tc>
      </w:tr>
      <w:tr w:rsidR="00CA3F18" w:rsidRPr="00D964B7" w14:paraId="4618C23F" w14:textId="77777777" w:rsidTr="001C5897">
        <w:trPr>
          <w:trHeight w:val="170"/>
        </w:trPr>
        <w:tc>
          <w:tcPr>
            <w:tcW w:w="7547" w:type="dxa"/>
            <w:gridSpan w:val="2"/>
            <w:shd w:val="clear" w:color="auto" w:fill="FFFFFF"/>
            <w:vAlign w:val="center"/>
          </w:tcPr>
          <w:p w14:paraId="4E1AFD37" w14:textId="77777777" w:rsidR="00CA3F18" w:rsidRPr="00D964B7" w:rsidRDefault="00CA3F18" w:rsidP="001C5897">
            <w:pPr>
              <w:rPr>
                <w:rFonts w:ascii="Calibri" w:hAnsi="Calibri" w:cs="Calibri"/>
                <w:b/>
                <w:bCs/>
                <w:color w:val="000000"/>
                <w:sz w:val="22"/>
                <w:szCs w:val="22"/>
                <w:lang w:eastAsia="en-IE"/>
              </w:rPr>
            </w:pPr>
          </w:p>
        </w:tc>
        <w:tc>
          <w:tcPr>
            <w:tcW w:w="720" w:type="dxa"/>
            <w:shd w:val="clear" w:color="auto" w:fill="FFFFFF"/>
            <w:vAlign w:val="center"/>
          </w:tcPr>
          <w:p w14:paraId="7C710DA1" w14:textId="77777777" w:rsidR="00CA3F18" w:rsidRPr="00D964B7" w:rsidRDefault="00CA3F18" w:rsidP="001C5897">
            <w:pPr>
              <w:jc w:val="right"/>
              <w:rPr>
                <w:rFonts w:ascii="Calibri" w:hAnsi="Calibri" w:cs="Calibri"/>
                <w:b/>
                <w:bCs/>
                <w:color w:val="000000"/>
                <w:sz w:val="22"/>
                <w:szCs w:val="22"/>
                <w:lang w:eastAsia="en-IE"/>
              </w:rPr>
            </w:pPr>
          </w:p>
        </w:tc>
        <w:tc>
          <w:tcPr>
            <w:tcW w:w="1265" w:type="dxa"/>
            <w:tcBorders>
              <w:left w:val="nil"/>
              <w:right w:val="nil"/>
            </w:tcBorders>
            <w:shd w:val="clear" w:color="auto" w:fill="FFFF00"/>
            <w:vAlign w:val="center"/>
          </w:tcPr>
          <w:p w14:paraId="1824D3D9" w14:textId="77777777" w:rsidR="00CA3F18" w:rsidRPr="00D964B7" w:rsidRDefault="00CA3F18" w:rsidP="001C5897">
            <w:pPr>
              <w:jc w:val="right"/>
              <w:rPr>
                <w:rFonts w:ascii="Calibri" w:hAnsi="Calibri" w:cs="Calibri"/>
                <w:b/>
                <w:bCs/>
                <w:color w:val="000000"/>
                <w:sz w:val="22"/>
                <w:szCs w:val="22"/>
                <w:lang w:eastAsia="en-IE"/>
              </w:rPr>
            </w:pPr>
          </w:p>
        </w:tc>
        <w:tc>
          <w:tcPr>
            <w:tcW w:w="1133" w:type="dxa"/>
            <w:tcBorders>
              <w:top w:val="single" w:sz="8" w:space="0" w:color="auto"/>
              <w:left w:val="nil"/>
              <w:right w:val="nil"/>
            </w:tcBorders>
            <w:shd w:val="clear" w:color="auto" w:fill="FFFFFF"/>
            <w:vAlign w:val="center"/>
          </w:tcPr>
          <w:p w14:paraId="57DFF722" w14:textId="77777777" w:rsidR="00CA3F18" w:rsidRPr="00D964B7" w:rsidRDefault="00CA3F18" w:rsidP="001C5897">
            <w:pPr>
              <w:jc w:val="right"/>
              <w:rPr>
                <w:rFonts w:ascii="Calibri" w:hAnsi="Calibri" w:cs="Calibri"/>
                <w:b/>
                <w:bCs/>
                <w:color w:val="000000"/>
                <w:sz w:val="22"/>
                <w:szCs w:val="22"/>
                <w:lang w:eastAsia="en-IE"/>
              </w:rPr>
            </w:pPr>
          </w:p>
        </w:tc>
      </w:tr>
      <w:tr w:rsidR="00CA3F18" w:rsidRPr="00D964B7" w14:paraId="01F1B815" w14:textId="77777777" w:rsidTr="001C5897">
        <w:trPr>
          <w:trHeight w:val="281"/>
        </w:trPr>
        <w:tc>
          <w:tcPr>
            <w:tcW w:w="7547" w:type="dxa"/>
            <w:gridSpan w:val="2"/>
            <w:shd w:val="clear" w:color="auto" w:fill="FFFFFF"/>
          </w:tcPr>
          <w:p w14:paraId="3EE0BE22" w14:textId="77777777" w:rsidR="00CA3F18" w:rsidRPr="00D964B7" w:rsidRDefault="00CA3F18" w:rsidP="001C5897">
            <w:pPr>
              <w:autoSpaceDE w:val="0"/>
              <w:autoSpaceDN w:val="0"/>
              <w:adjustRightInd w:val="0"/>
              <w:ind w:right="4"/>
              <w:rPr>
                <w:rFonts w:ascii="Calibri" w:hAnsi="Calibri" w:cs="Calibri"/>
                <w:b/>
                <w:bCs/>
                <w:color w:val="000000"/>
                <w:sz w:val="22"/>
                <w:szCs w:val="22"/>
              </w:rPr>
            </w:pPr>
            <w:r w:rsidRPr="00D964B7">
              <w:rPr>
                <w:rFonts w:ascii="Calibri" w:hAnsi="Calibri" w:cs="Calibri"/>
                <w:b/>
                <w:bCs/>
                <w:color w:val="000000"/>
                <w:sz w:val="22"/>
                <w:szCs w:val="22"/>
              </w:rPr>
              <w:t xml:space="preserve">Included in the cash flows from operating activities for the </w:t>
            </w:r>
            <w:r>
              <w:rPr>
                <w:rFonts w:ascii="Calibri" w:hAnsi="Calibri" w:cs="Calibri"/>
                <w:b/>
                <w:bCs/>
                <w:color w:val="000000"/>
                <w:sz w:val="22"/>
                <w:szCs w:val="22"/>
              </w:rPr>
              <w:t>half-year</w:t>
            </w:r>
            <w:r w:rsidRPr="00D964B7">
              <w:rPr>
                <w:rFonts w:ascii="Calibri" w:hAnsi="Calibri" w:cs="Calibri"/>
                <w:b/>
                <w:bCs/>
                <w:color w:val="000000"/>
                <w:sz w:val="22"/>
                <w:szCs w:val="22"/>
              </w:rPr>
              <w:t xml:space="preserve"> are the following amounts:</w:t>
            </w:r>
          </w:p>
        </w:tc>
        <w:tc>
          <w:tcPr>
            <w:tcW w:w="720" w:type="dxa"/>
            <w:shd w:val="clear" w:color="auto" w:fill="FFFFFF"/>
            <w:vAlign w:val="center"/>
          </w:tcPr>
          <w:p w14:paraId="4EEAF09F" w14:textId="77777777" w:rsidR="00CA3F18" w:rsidRPr="00D964B7" w:rsidRDefault="00CA3F18" w:rsidP="001C5897">
            <w:pPr>
              <w:jc w:val="right"/>
              <w:rPr>
                <w:rFonts w:ascii="Calibri" w:hAnsi="Calibri" w:cs="Calibri"/>
                <w:b/>
                <w:bCs/>
                <w:color w:val="000000"/>
                <w:sz w:val="22"/>
                <w:szCs w:val="22"/>
                <w:lang w:eastAsia="en-IE"/>
              </w:rPr>
            </w:pPr>
          </w:p>
        </w:tc>
        <w:tc>
          <w:tcPr>
            <w:tcW w:w="1265" w:type="dxa"/>
            <w:tcBorders>
              <w:top w:val="nil"/>
              <w:left w:val="nil"/>
              <w:right w:val="nil"/>
            </w:tcBorders>
            <w:shd w:val="clear" w:color="auto" w:fill="FFFF00"/>
            <w:vAlign w:val="center"/>
          </w:tcPr>
          <w:p w14:paraId="261DEE89" w14:textId="77777777" w:rsidR="00CA3F18" w:rsidRPr="00D964B7" w:rsidRDefault="00CA3F18" w:rsidP="001C5897">
            <w:pPr>
              <w:jc w:val="right"/>
              <w:rPr>
                <w:rFonts w:ascii="Calibri" w:hAnsi="Calibri" w:cs="Calibri"/>
                <w:b/>
                <w:bCs/>
                <w:color w:val="000000"/>
                <w:sz w:val="22"/>
                <w:szCs w:val="22"/>
                <w:lang w:eastAsia="en-IE"/>
              </w:rPr>
            </w:pPr>
          </w:p>
        </w:tc>
        <w:tc>
          <w:tcPr>
            <w:tcW w:w="1133" w:type="dxa"/>
            <w:tcBorders>
              <w:top w:val="nil"/>
              <w:left w:val="nil"/>
              <w:right w:val="nil"/>
            </w:tcBorders>
            <w:shd w:val="clear" w:color="auto" w:fill="FFFFFF"/>
            <w:vAlign w:val="center"/>
          </w:tcPr>
          <w:p w14:paraId="6554D163" w14:textId="77777777" w:rsidR="00CA3F18" w:rsidRPr="00D964B7" w:rsidRDefault="00CA3F18" w:rsidP="001C5897">
            <w:pPr>
              <w:jc w:val="right"/>
              <w:rPr>
                <w:rFonts w:ascii="Calibri" w:hAnsi="Calibri" w:cs="Calibri"/>
                <w:b/>
                <w:bCs/>
                <w:color w:val="000000"/>
                <w:sz w:val="22"/>
                <w:szCs w:val="22"/>
                <w:lang w:eastAsia="en-IE"/>
              </w:rPr>
            </w:pPr>
          </w:p>
        </w:tc>
      </w:tr>
      <w:tr w:rsidR="00CA3F18" w:rsidRPr="00D964B7" w14:paraId="2B0D8618" w14:textId="77777777" w:rsidTr="001C5897">
        <w:trPr>
          <w:trHeight w:val="281"/>
        </w:trPr>
        <w:tc>
          <w:tcPr>
            <w:tcW w:w="7547" w:type="dxa"/>
            <w:gridSpan w:val="2"/>
            <w:shd w:val="clear" w:color="auto" w:fill="FFFFFF"/>
          </w:tcPr>
          <w:p w14:paraId="312FAD6F" w14:textId="77777777" w:rsidR="00CA3F18" w:rsidRPr="00D964B7" w:rsidRDefault="00CA3F18" w:rsidP="001C5897">
            <w:pPr>
              <w:ind w:firstLine="321"/>
              <w:rPr>
                <w:rFonts w:ascii="Calibri" w:hAnsi="Calibri" w:cs="Calibri"/>
                <w:b/>
                <w:bCs/>
                <w:color w:val="000000"/>
                <w:sz w:val="22"/>
                <w:szCs w:val="22"/>
                <w:lang w:eastAsia="en-IE"/>
              </w:rPr>
            </w:pPr>
            <w:r w:rsidRPr="00D964B7">
              <w:rPr>
                <w:rFonts w:ascii="Calibri" w:hAnsi="Calibri" w:cs="Calibri"/>
                <w:color w:val="000000"/>
                <w:sz w:val="22"/>
                <w:szCs w:val="22"/>
              </w:rPr>
              <w:t>Interest income received</w:t>
            </w:r>
          </w:p>
        </w:tc>
        <w:tc>
          <w:tcPr>
            <w:tcW w:w="720" w:type="dxa"/>
            <w:shd w:val="clear" w:color="auto" w:fill="FFFFFF"/>
            <w:vAlign w:val="center"/>
          </w:tcPr>
          <w:p w14:paraId="0D1D50D3" w14:textId="77777777" w:rsidR="00CA3F18" w:rsidRPr="00D964B7" w:rsidRDefault="00CA3F18" w:rsidP="001C5897">
            <w:pPr>
              <w:jc w:val="right"/>
              <w:rPr>
                <w:rFonts w:ascii="Calibri" w:hAnsi="Calibri" w:cs="Calibri"/>
                <w:b/>
                <w:bCs/>
                <w:color w:val="000000"/>
                <w:sz w:val="22"/>
                <w:szCs w:val="22"/>
                <w:lang w:eastAsia="en-IE"/>
              </w:rPr>
            </w:pPr>
          </w:p>
        </w:tc>
        <w:tc>
          <w:tcPr>
            <w:tcW w:w="1265" w:type="dxa"/>
            <w:tcBorders>
              <w:left w:val="nil"/>
              <w:right w:val="nil"/>
            </w:tcBorders>
            <w:shd w:val="clear" w:color="auto" w:fill="FFFF00"/>
          </w:tcPr>
          <w:p w14:paraId="38B25C6F" w14:textId="77777777" w:rsidR="00CA3F18" w:rsidRPr="00D964B7" w:rsidRDefault="00CA3F18" w:rsidP="001C5897">
            <w:pPr>
              <w:jc w:val="right"/>
              <w:rPr>
                <w:rFonts w:ascii="Calibri" w:hAnsi="Calibri" w:cs="Calibri"/>
                <w:b/>
                <w:bCs/>
                <w:color w:val="000000"/>
                <w:sz w:val="22"/>
                <w:szCs w:val="22"/>
                <w:lang w:eastAsia="en-IE"/>
              </w:rPr>
            </w:pPr>
            <w:r w:rsidRPr="00BA6B0D">
              <w:rPr>
                <w:rFonts w:ascii="Calibri" w:hAnsi="Calibri" w:cs="Calibri"/>
                <w:b/>
                <w:bCs/>
                <w:color w:val="000000"/>
                <w:sz w:val="22"/>
                <w:szCs w:val="22"/>
              </w:rPr>
              <w:t>72.5</w:t>
            </w:r>
          </w:p>
        </w:tc>
        <w:tc>
          <w:tcPr>
            <w:tcW w:w="1133" w:type="dxa"/>
            <w:tcBorders>
              <w:left w:val="nil"/>
              <w:right w:val="nil"/>
            </w:tcBorders>
            <w:shd w:val="clear" w:color="auto" w:fill="FFFFFF"/>
          </w:tcPr>
          <w:p w14:paraId="2D90E77E" w14:textId="77777777" w:rsidR="00CA3F18" w:rsidRPr="00D964B7" w:rsidRDefault="00CA3F18" w:rsidP="001C5897">
            <w:pPr>
              <w:jc w:val="right"/>
              <w:rPr>
                <w:rFonts w:ascii="Calibri" w:eastAsia="Calibri" w:hAnsi="Calibri" w:cs="Calibri"/>
                <w:b/>
                <w:sz w:val="22"/>
                <w:szCs w:val="22"/>
                <w:lang w:eastAsia="en-IE"/>
              </w:rPr>
            </w:pPr>
            <w:r w:rsidRPr="00622BA6">
              <w:rPr>
                <w:rFonts w:ascii="Calibri" w:hAnsi="Calibri" w:cs="Calibri"/>
                <w:color w:val="000000"/>
                <w:sz w:val="22"/>
                <w:szCs w:val="22"/>
              </w:rPr>
              <w:t>3.1</w:t>
            </w:r>
          </w:p>
        </w:tc>
      </w:tr>
      <w:tr w:rsidR="00CA3F18" w:rsidRPr="00D964B7" w14:paraId="1DB31309" w14:textId="77777777" w:rsidTr="001C5897">
        <w:trPr>
          <w:trHeight w:val="281"/>
        </w:trPr>
        <w:tc>
          <w:tcPr>
            <w:tcW w:w="7547" w:type="dxa"/>
            <w:gridSpan w:val="2"/>
            <w:shd w:val="clear" w:color="auto" w:fill="FFFFFF"/>
          </w:tcPr>
          <w:p w14:paraId="40DE1ED6" w14:textId="77777777" w:rsidR="00CA3F18" w:rsidRPr="00D964B7" w:rsidRDefault="00CA3F18" w:rsidP="001C5897">
            <w:pPr>
              <w:ind w:firstLine="321"/>
              <w:rPr>
                <w:rFonts w:ascii="Calibri" w:hAnsi="Calibri" w:cs="Calibri"/>
                <w:b/>
                <w:bCs/>
                <w:color w:val="000000"/>
                <w:sz w:val="22"/>
                <w:szCs w:val="22"/>
                <w:lang w:eastAsia="en-IE"/>
              </w:rPr>
            </w:pPr>
            <w:r w:rsidRPr="00D964B7">
              <w:rPr>
                <w:rFonts w:ascii="Calibri" w:hAnsi="Calibri" w:cs="Calibri"/>
                <w:color w:val="000000"/>
                <w:sz w:val="22"/>
                <w:szCs w:val="22"/>
              </w:rPr>
              <w:t>Interest expense paid</w:t>
            </w:r>
          </w:p>
        </w:tc>
        <w:tc>
          <w:tcPr>
            <w:tcW w:w="720" w:type="dxa"/>
            <w:shd w:val="clear" w:color="auto" w:fill="FFFFFF"/>
            <w:vAlign w:val="center"/>
          </w:tcPr>
          <w:p w14:paraId="2451C299" w14:textId="77777777" w:rsidR="00CA3F18" w:rsidRPr="00D964B7" w:rsidRDefault="00CA3F18" w:rsidP="001C5897">
            <w:pPr>
              <w:jc w:val="right"/>
              <w:rPr>
                <w:rFonts w:ascii="Calibri" w:hAnsi="Calibri" w:cs="Calibri"/>
                <w:b/>
                <w:bCs/>
                <w:color w:val="000000"/>
                <w:sz w:val="22"/>
                <w:szCs w:val="22"/>
                <w:lang w:eastAsia="en-IE"/>
              </w:rPr>
            </w:pPr>
          </w:p>
        </w:tc>
        <w:tc>
          <w:tcPr>
            <w:tcW w:w="1265" w:type="dxa"/>
            <w:tcBorders>
              <w:left w:val="nil"/>
              <w:right w:val="nil"/>
            </w:tcBorders>
            <w:shd w:val="clear" w:color="auto" w:fill="FFFF00"/>
          </w:tcPr>
          <w:p w14:paraId="6FA32CAA" w14:textId="77777777" w:rsidR="00CA3F18" w:rsidRPr="00D964B7" w:rsidRDefault="00CA3F18" w:rsidP="001C5897">
            <w:pPr>
              <w:jc w:val="right"/>
              <w:rPr>
                <w:rFonts w:ascii="Calibri" w:hAnsi="Calibri" w:cs="Calibri"/>
                <w:b/>
                <w:bCs/>
                <w:color w:val="000000"/>
                <w:sz w:val="22"/>
                <w:szCs w:val="22"/>
                <w:lang w:eastAsia="en-IE"/>
              </w:rPr>
            </w:pPr>
            <w:r w:rsidRPr="00BA6B0D">
              <w:rPr>
                <w:rFonts w:ascii="Calibri" w:hAnsi="Calibri" w:cs="Calibri"/>
                <w:b/>
                <w:bCs/>
                <w:color w:val="000000"/>
                <w:sz w:val="22"/>
                <w:szCs w:val="22"/>
              </w:rPr>
              <w:t>(68.9)</w:t>
            </w:r>
          </w:p>
        </w:tc>
        <w:tc>
          <w:tcPr>
            <w:tcW w:w="1133" w:type="dxa"/>
            <w:tcBorders>
              <w:left w:val="nil"/>
              <w:right w:val="nil"/>
            </w:tcBorders>
            <w:shd w:val="clear" w:color="auto" w:fill="FFFFFF"/>
          </w:tcPr>
          <w:p w14:paraId="61F561BA" w14:textId="77777777" w:rsidR="00CA3F18" w:rsidRPr="00D964B7" w:rsidRDefault="00CA3F18" w:rsidP="001C5897">
            <w:pPr>
              <w:jc w:val="right"/>
              <w:rPr>
                <w:rFonts w:ascii="Calibri" w:hAnsi="Calibri" w:cs="Calibri"/>
                <w:color w:val="000000"/>
                <w:sz w:val="22"/>
                <w:szCs w:val="22"/>
                <w:highlight w:val="yellow"/>
                <w:lang w:eastAsia="en-IE"/>
              </w:rPr>
            </w:pPr>
            <w:r w:rsidRPr="00622BA6">
              <w:rPr>
                <w:rFonts w:ascii="Calibri" w:hAnsi="Calibri" w:cs="Calibri"/>
                <w:color w:val="000000"/>
                <w:sz w:val="22"/>
                <w:szCs w:val="22"/>
              </w:rPr>
              <w:t>(46.3)</w:t>
            </w:r>
          </w:p>
        </w:tc>
      </w:tr>
    </w:tbl>
    <w:p w14:paraId="79EDFA69" w14:textId="77777777" w:rsidR="00CA3F18" w:rsidRDefault="00CA3F18" w:rsidP="00CA3F18">
      <w:pPr>
        <w:autoSpaceDE w:val="0"/>
        <w:autoSpaceDN w:val="0"/>
        <w:adjustRightInd w:val="0"/>
        <w:ind w:right="4"/>
        <w:rPr>
          <w:rFonts w:ascii="Calibri" w:hAnsi="Calibri" w:cs="Calibri"/>
          <w:i/>
          <w:iCs/>
          <w:sz w:val="21"/>
          <w:szCs w:val="21"/>
        </w:rPr>
      </w:pPr>
    </w:p>
    <w:p w14:paraId="39AC8C8D" w14:textId="77777777" w:rsidR="00CA3F18" w:rsidRPr="00F8167A" w:rsidRDefault="00CA3F18" w:rsidP="00CA3F18">
      <w:pPr>
        <w:autoSpaceDE w:val="0"/>
        <w:autoSpaceDN w:val="0"/>
        <w:adjustRightInd w:val="0"/>
        <w:ind w:right="-426"/>
        <w:rPr>
          <w:rFonts w:ascii="Calibri" w:hAnsi="Calibri" w:cs="Calibri"/>
          <w:b/>
          <w:bCs/>
          <w:i/>
          <w:iCs/>
          <w:color w:val="000000"/>
          <w:sz w:val="22"/>
          <w:szCs w:val="22"/>
        </w:rPr>
      </w:pPr>
      <w:r w:rsidRPr="00F8167A">
        <w:rPr>
          <w:rFonts w:ascii="Calibri" w:hAnsi="Calibri" w:cs="Calibri"/>
          <w:i/>
          <w:iCs/>
          <w:sz w:val="22"/>
          <w:szCs w:val="22"/>
        </w:rPr>
        <w:t xml:space="preserve">*The </w:t>
      </w:r>
      <w:r w:rsidRPr="00F8167A">
        <w:rPr>
          <w:rFonts w:ascii="Calibri" w:hAnsi="Calibri" w:cs="Calibri"/>
          <w:i/>
          <w:sz w:val="22"/>
          <w:szCs w:val="22"/>
        </w:rPr>
        <w:t xml:space="preserve">half-year ended September 30, </w:t>
      </w:r>
      <w:proofErr w:type="gramStart"/>
      <w:r w:rsidRPr="00F8167A">
        <w:rPr>
          <w:rFonts w:ascii="Calibri" w:hAnsi="Calibri" w:cs="Calibri"/>
          <w:i/>
          <w:sz w:val="22"/>
          <w:szCs w:val="22"/>
        </w:rPr>
        <w:t>2022</w:t>
      </w:r>
      <w:proofErr w:type="gramEnd"/>
      <w:r w:rsidRPr="00F8167A">
        <w:rPr>
          <w:rFonts w:ascii="Calibri" w:hAnsi="Calibri" w:cs="Calibri"/>
          <w:i/>
          <w:iCs/>
          <w:sz w:val="22"/>
          <w:szCs w:val="22"/>
        </w:rPr>
        <w:t xml:space="preserve"> includes an exceptional loss of €122.8M pre-tax, attributable to the fair value measurement of jet fuel call options.</w:t>
      </w:r>
    </w:p>
    <w:bookmarkEnd w:id="1"/>
    <w:p w14:paraId="2B98C12F" w14:textId="77777777" w:rsidR="00A32677" w:rsidRPr="00EA7F9B" w:rsidRDefault="00CA3F18" w:rsidP="00A32677">
      <w:pPr>
        <w:autoSpaceDE w:val="0"/>
        <w:autoSpaceDN w:val="0"/>
        <w:adjustRightInd w:val="0"/>
        <w:ind w:left="142" w:right="4"/>
        <w:rPr>
          <w:rFonts w:ascii="Calibri" w:hAnsi="Calibri" w:cs="Calibri"/>
          <w:b/>
          <w:bCs/>
          <w:color w:val="000000"/>
        </w:rPr>
      </w:pPr>
      <w:r>
        <w:rPr>
          <w:rFonts w:ascii="Calibri" w:hAnsi="Calibri" w:cs="Calibri"/>
          <w:b/>
          <w:bCs/>
          <w:color w:val="000000"/>
        </w:rPr>
        <w:br w:type="page"/>
      </w:r>
      <w:r w:rsidR="00A32677" w:rsidRPr="00EA7F9B">
        <w:rPr>
          <w:rFonts w:ascii="Calibri" w:hAnsi="Calibri" w:cs="Calibri"/>
          <w:b/>
          <w:bCs/>
          <w:color w:val="000000"/>
        </w:rPr>
        <w:lastRenderedPageBreak/>
        <w:t xml:space="preserve">Ryanair Holdings plc and Subsidiaries  </w:t>
      </w:r>
    </w:p>
    <w:p w14:paraId="1E37F840" w14:textId="77777777" w:rsidR="00A32677" w:rsidRDefault="00A32677" w:rsidP="00A32677">
      <w:pPr>
        <w:tabs>
          <w:tab w:val="left" w:pos="7655"/>
        </w:tabs>
        <w:ind w:left="142" w:right="-851"/>
        <w:rPr>
          <w:rFonts w:ascii="Calibri" w:hAnsi="Calibri" w:cs="Calibri"/>
          <w:b/>
          <w:bCs/>
          <w:i/>
          <w:iCs/>
          <w:color w:val="000000"/>
        </w:rPr>
      </w:pPr>
      <w:r w:rsidRPr="00BF0AD6">
        <w:rPr>
          <w:rFonts w:ascii="Calibri" w:hAnsi="Calibri" w:cs="Calibri"/>
          <w:b/>
          <w:bCs/>
          <w:i/>
          <w:iCs/>
          <w:color w:val="000000"/>
        </w:rPr>
        <w:t>Condensed Consolidated Interim Statement of Changes in Shareholders’ Equity for the Half-Year Ended</w:t>
      </w:r>
    </w:p>
    <w:p w14:paraId="643B705C" w14:textId="77777777" w:rsidR="00A32677" w:rsidRPr="00BF0AD6" w:rsidRDefault="00A32677" w:rsidP="00A32677">
      <w:pPr>
        <w:tabs>
          <w:tab w:val="left" w:pos="7655"/>
        </w:tabs>
        <w:ind w:left="142" w:right="-851"/>
        <w:rPr>
          <w:rFonts w:ascii="Calibri" w:hAnsi="Calibri" w:cs="Calibri"/>
          <w:b/>
          <w:bCs/>
          <w:i/>
          <w:iCs/>
          <w:color w:val="000000"/>
        </w:rPr>
      </w:pPr>
      <w:r w:rsidRPr="00BF0AD6">
        <w:rPr>
          <w:rFonts w:ascii="Calibri" w:hAnsi="Calibri" w:cs="Calibri"/>
          <w:b/>
          <w:bCs/>
          <w:i/>
          <w:iCs/>
          <w:color w:val="000000"/>
        </w:rPr>
        <w:t>September 30, 2023 (unaudited)</w:t>
      </w:r>
    </w:p>
    <w:p w14:paraId="575273B4" w14:textId="77777777" w:rsidR="00A32677" w:rsidRPr="00EA7F9B" w:rsidRDefault="00A32677" w:rsidP="00A32677">
      <w:pPr>
        <w:rPr>
          <w:rFonts w:ascii="Calibri" w:hAnsi="Calibri" w:cs="Calibri"/>
          <w:b/>
        </w:rPr>
      </w:pPr>
    </w:p>
    <w:tbl>
      <w:tblPr>
        <w:tblW w:w="10773" w:type="dxa"/>
        <w:tblInd w:w="108" w:type="dxa"/>
        <w:tblLayout w:type="fixed"/>
        <w:tblLook w:val="04A0" w:firstRow="1" w:lastRow="0" w:firstColumn="1" w:lastColumn="0" w:noHBand="0" w:noVBand="1"/>
      </w:tblPr>
      <w:tblGrid>
        <w:gridCol w:w="2977"/>
        <w:gridCol w:w="992"/>
        <w:gridCol w:w="851"/>
        <w:gridCol w:w="978"/>
        <w:gridCol w:w="14"/>
        <w:gridCol w:w="992"/>
        <w:gridCol w:w="993"/>
        <w:gridCol w:w="992"/>
        <w:gridCol w:w="992"/>
        <w:gridCol w:w="992"/>
      </w:tblGrid>
      <w:tr w:rsidR="00A32677" w:rsidRPr="00BF0AD6" w14:paraId="751195F9" w14:textId="77777777" w:rsidTr="00EE6630">
        <w:trPr>
          <w:trHeight w:val="227"/>
        </w:trPr>
        <w:tc>
          <w:tcPr>
            <w:tcW w:w="2977" w:type="dxa"/>
            <w:shd w:val="clear" w:color="auto" w:fill="FFFFFF"/>
            <w:vAlign w:val="bottom"/>
            <w:hideMark/>
          </w:tcPr>
          <w:p w14:paraId="112DAB04" w14:textId="77777777" w:rsidR="00A32677" w:rsidRPr="00BF0AD6" w:rsidRDefault="00A32677" w:rsidP="00EE6630">
            <w:pPr>
              <w:ind w:right="-112"/>
              <w:rPr>
                <w:rFonts w:ascii="Calibri" w:hAnsi="Calibri" w:cs="Calibri"/>
                <w:color w:val="000000"/>
                <w:sz w:val="18"/>
                <w:szCs w:val="18"/>
                <w:lang w:eastAsia="en-IE"/>
              </w:rPr>
            </w:pPr>
            <w:r w:rsidRPr="00BF0AD6">
              <w:rPr>
                <w:rFonts w:ascii="Calibri" w:hAnsi="Calibri" w:cs="Calibri"/>
                <w:color w:val="000000"/>
                <w:sz w:val="18"/>
                <w:szCs w:val="18"/>
                <w:lang w:eastAsia="en-IE"/>
              </w:rPr>
              <w:t> </w:t>
            </w:r>
          </w:p>
        </w:tc>
        <w:tc>
          <w:tcPr>
            <w:tcW w:w="992" w:type="dxa"/>
            <w:tcBorders>
              <w:top w:val="single" w:sz="8" w:space="0" w:color="auto"/>
              <w:left w:val="single" w:sz="8" w:space="0" w:color="auto"/>
              <w:bottom w:val="nil"/>
              <w:right w:val="single" w:sz="8" w:space="0" w:color="auto"/>
            </w:tcBorders>
            <w:shd w:val="clear" w:color="auto" w:fill="FFFFFF"/>
            <w:noWrap/>
            <w:vAlign w:val="center"/>
            <w:hideMark/>
          </w:tcPr>
          <w:p w14:paraId="20067E24" w14:textId="77777777" w:rsidR="00A32677" w:rsidRPr="00BF0AD6" w:rsidRDefault="00A32677" w:rsidP="001C5897">
            <w:pPr>
              <w:jc w:val="center"/>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c>
          <w:tcPr>
            <w:tcW w:w="851" w:type="dxa"/>
            <w:shd w:val="clear" w:color="auto" w:fill="FFFFFF"/>
            <w:noWrap/>
            <w:vAlign w:val="center"/>
            <w:hideMark/>
          </w:tcPr>
          <w:p w14:paraId="3421DBB5" w14:textId="77777777" w:rsidR="00A32677" w:rsidRPr="00BF0AD6" w:rsidRDefault="00A32677" w:rsidP="001C5897">
            <w:pPr>
              <w:jc w:val="center"/>
              <w:rPr>
                <w:rFonts w:ascii="Calibri" w:hAnsi="Calibri" w:cs="Calibri"/>
                <w:color w:val="000000"/>
                <w:sz w:val="18"/>
                <w:szCs w:val="18"/>
                <w:lang w:eastAsia="en-IE"/>
              </w:rPr>
            </w:pPr>
            <w:r w:rsidRPr="00BF0AD6">
              <w:rPr>
                <w:rFonts w:ascii="Calibri" w:hAnsi="Calibri" w:cs="Calibri"/>
                <w:color w:val="000000"/>
                <w:sz w:val="18"/>
                <w:szCs w:val="18"/>
                <w:lang w:eastAsia="en-IE"/>
              </w:rPr>
              <w:t> </w:t>
            </w:r>
          </w:p>
        </w:tc>
        <w:tc>
          <w:tcPr>
            <w:tcW w:w="978" w:type="dxa"/>
            <w:shd w:val="clear" w:color="auto" w:fill="FFFFFF"/>
            <w:noWrap/>
            <w:vAlign w:val="center"/>
            <w:hideMark/>
          </w:tcPr>
          <w:p w14:paraId="11F6842D" w14:textId="77777777" w:rsidR="00A32677" w:rsidRPr="00BF0AD6" w:rsidRDefault="00A32677" w:rsidP="001C5897">
            <w:pPr>
              <w:jc w:val="center"/>
              <w:rPr>
                <w:rFonts w:ascii="Calibri" w:hAnsi="Calibri" w:cs="Calibri"/>
                <w:color w:val="000000"/>
                <w:sz w:val="18"/>
                <w:szCs w:val="18"/>
                <w:lang w:eastAsia="en-IE"/>
              </w:rPr>
            </w:pPr>
            <w:r w:rsidRPr="00BF0AD6">
              <w:rPr>
                <w:rFonts w:ascii="Calibri" w:hAnsi="Calibri" w:cs="Calibri"/>
                <w:color w:val="000000"/>
                <w:sz w:val="18"/>
                <w:szCs w:val="18"/>
                <w:lang w:eastAsia="en-IE"/>
              </w:rPr>
              <w:t> </w:t>
            </w:r>
          </w:p>
        </w:tc>
        <w:tc>
          <w:tcPr>
            <w:tcW w:w="1006" w:type="dxa"/>
            <w:gridSpan w:val="2"/>
            <w:shd w:val="clear" w:color="auto" w:fill="FFFFFF"/>
            <w:noWrap/>
            <w:vAlign w:val="center"/>
            <w:hideMark/>
          </w:tcPr>
          <w:p w14:paraId="39396886" w14:textId="77777777" w:rsidR="00A32677" w:rsidRPr="00BF0AD6" w:rsidRDefault="00A32677" w:rsidP="001C5897">
            <w:pPr>
              <w:jc w:val="center"/>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c>
          <w:tcPr>
            <w:tcW w:w="993" w:type="dxa"/>
            <w:shd w:val="clear" w:color="auto" w:fill="FFFFFF"/>
            <w:noWrap/>
            <w:vAlign w:val="center"/>
            <w:hideMark/>
          </w:tcPr>
          <w:p w14:paraId="6A6B9CAB" w14:textId="77777777" w:rsidR="00A32677" w:rsidRPr="00BF0AD6" w:rsidRDefault="00A32677" w:rsidP="001C5897">
            <w:pPr>
              <w:jc w:val="center"/>
              <w:rPr>
                <w:rFonts w:ascii="Calibri" w:hAnsi="Calibri" w:cs="Calibri"/>
                <w:color w:val="000000"/>
                <w:sz w:val="18"/>
                <w:szCs w:val="18"/>
                <w:lang w:eastAsia="en-IE"/>
              </w:rPr>
            </w:pPr>
            <w:r w:rsidRPr="00BF0AD6">
              <w:rPr>
                <w:rFonts w:ascii="Calibri" w:hAnsi="Calibri" w:cs="Calibri"/>
                <w:color w:val="000000"/>
                <w:sz w:val="18"/>
                <w:szCs w:val="18"/>
                <w:lang w:eastAsia="en-IE"/>
              </w:rPr>
              <w:t> </w:t>
            </w:r>
          </w:p>
        </w:tc>
        <w:tc>
          <w:tcPr>
            <w:tcW w:w="992" w:type="dxa"/>
            <w:tcBorders>
              <w:top w:val="single" w:sz="8" w:space="0" w:color="auto"/>
              <w:left w:val="single" w:sz="8" w:space="0" w:color="auto"/>
              <w:bottom w:val="nil"/>
              <w:right w:val="nil"/>
            </w:tcBorders>
            <w:shd w:val="clear" w:color="auto" w:fill="FFFFFF"/>
            <w:noWrap/>
            <w:vAlign w:val="center"/>
            <w:hideMark/>
          </w:tcPr>
          <w:p w14:paraId="3D662A9B" w14:textId="77777777" w:rsidR="00A32677" w:rsidRPr="00BF0AD6" w:rsidRDefault="00A32677" w:rsidP="001C5897">
            <w:pPr>
              <w:jc w:val="center"/>
              <w:rPr>
                <w:rFonts w:ascii="Calibri" w:hAnsi="Calibri" w:cs="Calibri"/>
                <w:color w:val="000000"/>
                <w:sz w:val="18"/>
                <w:szCs w:val="18"/>
                <w:lang w:eastAsia="en-IE"/>
              </w:rPr>
            </w:pPr>
            <w:r w:rsidRPr="00BF0AD6">
              <w:rPr>
                <w:rFonts w:ascii="Calibri" w:hAnsi="Calibri" w:cs="Calibri"/>
                <w:color w:val="000000"/>
                <w:sz w:val="18"/>
                <w:szCs w:val="18"/>
                <w:lang w:eastAsia="en-IE"/>
              </w:rPr>
              <w:t> </w:t>
            </w:r>
          </w:p>
        </w:tc>
        <w:tc>
          <w:tcPr>
            <w:tcW w:w="992" w:type="dxa"/>
            <w:tcBorders>
              <w:top w:val="single" w:sz="8" w:space="0" w:color="auto"/>
              <w:left w:val="nil"/>
              <w:bottom w:val="nil"/>
              <w:right w:val="single" w:sz="8" w:space="0" w:color="auto"/>
            </w:tcBorders>
            <w:shd w:val="clear" w:color="auto" w:fill="FFFFFF"/>
            <w:noWrap/>
            <w:vAlign w:val="center"/>
            <w:hideMark/>
          </w:tcPr>
          <w:p w14:paraId="137D5806" w14:textId="77777777" w:rsidR="00A32677" w:rsidRPr="00BF0AD6" w:rsidRDefault="00A32677" w:rsidP="001C5897">
            <w:pPr>
              <w:jc w:val="center"/>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c>
          <w:tcPr>
            <w:tcW w:w="992" w:type="dxa"/>
            <w:shd w:val="clear" w:color="auto" w:fill="FFFFFF"/>
            <w:noWrap/>
            <w:vAlign w:val="center"/>
            <w:hideMark/>
          </w:tcPr>
          <w:p w14:paraId="4AA69E3E"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r>
      <w:tr w:rsidR="00A32677" w:rsidRPr="00BF0AD6" w14:paraId="7DD71BE1" w14:textId="77777777" w:rsidTr="00EE6630">
        <w:trPr>
          <w:trHeight w:val="227"/>
        </w:trPr>
        <w:tc>
          <w:tcPr>
            <w:tcW w:w="2977" w:type="dxa"/>
            <w:shd w:val="clear" w:color="auto" w:fill="FFFFFF"/>
            <w:vAlign w:val="center"/>
            <w:hideMark/>
          </w:tcPr>
          <w:p w14:paraId="3EB36F69" w14:textId="77777777" w:rsidR="00A32677" w:rsidRPr="00BF0AD6" w:rsidRDefault="00A32677" w:rsidP="00EE6630">
            <w:pPr>
              <w:ind w:right="-112"/>
              <w:rPr>
                <w:rFonts w:ascii="Calibri" w:hAnsi="Calibri" w:cs="Calibri"/>
                <w:b/>
                <w:bCs/>
                <w:color w:val="000000"/>
                <w:sz w:val="18"/>
                <w:szCs w:val="18"/>
                <w:lang w:eastAsia="en-IE"/>
              </w:rPr>
            </w:pPr>
            <w:bookmarkStart w:id="2" w:name="_Hlk69294647"/>
            <w:r w:rsidRPr="00BF0AD6">
              <w:rPr>
                <w:rFonts w:ascii="Calibri" w:hAnsi="Calibri" w:cs="Calibri"/>
                <w:b/>
                <w:bCs/>
                <w:color w:val="000000"/>
                <w:sz w:val="18"/>
                <w:szCs w:val="18"/>
                <w:lang w:eastAsia="en-IE"/>
              </w:rPr>
              <w:t> </w:t>
            </w:r>
          </w:p>
        </w:tc>
        <w:tc>
          <w:tcPr>
            <w:tcW w:w="992" w:type="dxa"/>
            <w:tcBorders>
              <w:top w:val="nil"/>
              <w:left w:val="single" w:sz="8" w:space="0" w:color="auto"/>
              <w:bottom w:val="nil"/>
              <w:right w:val="single" w:sz="8" w:space="0" w:color="auto"/>
            </w:tcBorders>
            <w:shd w:val="clear" w:color="auto" w:fill="FFFFFF"/>
            <w:noWrap/>
            <w:vAlign w:val="center"/>
            <w:hideMark/>
          </w:tcPr>
          <w:p w14:paraId="04C5F606"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c>
          <w:tcPr>
            <w:tcW w:w="851" w:type="dxa"/>
            <w:shd w:val="clear" w:color="auto" w:fill="FFFFFF"/>
            <w:noWrap/>
            <w:vAlign w:val="center"/>
            <w:hideMark/>
          </w:tcPr>
          <w:p w14:paraId="397C06B7"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Issued</w:t>
            </w:r>
          </w:p>
        </w:tc>
        <w:tc>
          <w:tcPr>
            <w:tcW w:w="978" w:type="dxa"/>
            <w:shd w:val="clear" w:color="auto" w:fill="FFFFFF"/>
            <w:noWrap/>
            <w:vAlign w:val="center"/>
            <w:hideMark/>
          </w:tcPr>
          <w:p w14:paraId="661A7FB5"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Share</w:t>
            </w:r>
          </w:p>
        </w:tc>
        <w:tc>
          <w:tcPr>
            <w:tcW w:w="1006" w:type="dxa"/>
            <w:gridSpan w:val="2"/>
            <w:shd w:val="clear" w:color="auto" w:fill="FFFFFF"/>
            <w:noWrap/>
            <w:vAlign w:val="center"/>
            <w:hideMark/>
          </w:tcPr>
          <w:p w14:paraId="21A22BCE"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Other</w:t>
            </w:r>
          </w:p>
        </w:tc>
        <w:tc>
          <w:tcPr>
            <w:tcW w:w="993" w:type="dxa"/>
            <w:shd w:val="clear" w:color="auto" w:fill="FFFFFF"/>
            <w:noWrap/>
            <w:vAlign w:val="center"/>
            <w:hideMark/>
          </w:tcPr>
          <w:p w14:paraId="65774AA3"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c>
          <w:tcPr>
            <w:tcW w:w="992" w:type="dxa"/>
            <w:tcBorders>
              <w:top w:val="nil"/>
              <w:left w:val="single" w:sz="8" w:space="0" w:color="auto"/>
              <w:bottom w:val="nil"/>
              <w:right w:val="nil"/>
            </w:tcBorders>
            <w:shd w:val="clear" w:color="auto" w:fill="FFFFFF"/>
            <w:noWrap/>
            <w:vAlign w:val="center"/>
            <w:hideMark/>
          </w:tcPr>
          <w:p w14:paraId="2C773006"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Other</w:t>
            </w:r>
          </w:p>
        </w:tc>
        <w:tc>
          <w:tcPr>
            <w:tcW w:w="992" w:type="dxa"/>
            <w:tcBorders>
              <w:top w:val="nil"/>
              <w:left w:val="nil"/>
              <w:bottom w:val="nil"/>
              <w:right w:val="single" w:sz="8" w:space="0" w:color="auto"/>
            </w:tcBorders>
            <w:shd w:val="clear" w:color="auto" w:fill="FFFFFF"/>
            <w:noWrap/>
            <w:vAlign w:val="center"/>
            <w:hideMark/>
          </w:tcPr>
          <w:p w14:paraId="737A23BA"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c>
          <w:tcPr>
            <w:tcW w:w="992" w:type="dxa"/>
            <w:shd w:val="clear" w:color="auto" w:fill="FFFFFF"/>
            <w:noWrap/>
            <w:vAlign w:val="center"/>
            <w:hideMark/>
          </w:tcPr>
          <w:p w14:paraId="2FB996B3"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r>
      <w:tr w:rsidR="00A32677" w:rsidRPr="00BF0AD6" w14:paraId="6E03BC20" w14:textId="77777777" w:rsidTr="00EE6630">
        <w:trPr>
          <w:trHeight w:val="227"/>
        </w:trPr>
        <w:tc>
          <w:tcPr>
            <w:tcW w:w="2977" w:type="dxa"/>
            <w:shd w:val="clear" w:color="auto" w:fill="FFFFFF"/>
            <w:vAlign w:val="center"/>
            <w:hideMark/>
          </w:tcPr>
          <w:p w14:paraId="40557230" w14:textId="77777777" w:rsidR="00A32677" w:rsidRPr="00BF0AD6" w:rsidRDefault="00A32677" w:rsidP="00EE6630">
            <w:pPr>
              <w:ind w:right="-112"/>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c>
          <w:tcPr>
            <w:tcW w:w="992" w:type="dxa"/>
            <w:tcBorders>
              <w:top w:val="nil"/>
              <w:left w:val="single" w:sz="8" w:space="0" w:color="auto"/>
              <w:bottom w:val="nil"/>
              <w:right w:val="single" w:sz="8" w:space="0" w:color="auto"/>
            </w:tcBorders>
            <w:shd w:val="clear" w:color="auto" w:fill="FFFFFF"/>
            <w:noWrap/>
            <w:vAlign w:val="center"/>
            <w:hideMark/>
          </w:tcPr>
          <w:p w14:paraId="290A6133"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Ordinary</w:t>
            </w:r>
          </w:p>
        </w:tc>
        <w:tc>
          <w:tcPr>
            <w:tcW w:w="851" w:type="dxa"/>
            <w:shd w:val="clear" w:color="auto" w:fill="FFFFFF"/>
            <w:noWrap/>
            <w:vAlign w:val="center"/>
            <w:hideMark/>
          </w:tcPr>
          <w:p w14:paraId="0E3F9921"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Share</w:t>
            </w:r>
          </w:p>
        </w:tc>
        <w:tc>
          <w:tcPr>
            <w:tcW w:w="978" w:type="dxa"/>
            <w:shd w:val="clear" w:color="auto" w:fill="FFFFFF"/>
            <w:noWrap/>
            <w:vAlign w:val="center"/>
            <w:hideMark/>
          </w:tcPr>
          <w:p w14:paraId="38E231EC"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Premium</w:t>
            </w:r>
          </w:p>
        </w:tc>
        <w:tc>
          <w:tcPr>
            <w:tcW w:w="1006" w:type="dxa"/>
            <w:gridSpan w:val="2"/>
            <w:shd w:val="clear" w:color="auto" w:fill="FFFFFF"/>
            <w:noWrap/>
            <w:vAlign w:val="center"/>
            <w:hideMark/>
          </w:tcPr>
          <w:p w14:paraId="58A207A5"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Undenom.</w:t>
            </w:r>
          </w:p>
        </w:tc>
        <w:tc>
          <w:tcPr>
            <w:tcW w:w="993" w:type="dxa"/>
            <w:shd w:val="clear" w:color="auto" w:fill="FFFFFF"/>
            <w:noWrap/>
            <w:vAlign w:val="center"/>
            <w:hideMark/>
          </w:tcPr>
          <w:p w14:paraId="5B0C27C5"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Retained</w:t>
            </w:r>
          </w:p>
        </w:tc>
        <w:tc>
          <w:tcPr>
            <w:tcW w:w="992" w:type="dxa"/>
            <w:tcBorders>
              <w:top w:val="nil"/>
              <w:left w:val="single" w:sz="8" w:space="0" w:color="auto"/>
              <w:bottom w:val="nil"/>
              <w:right w:val="nil"/>
            </w:tcBorders>
            <w:shd w:val="clear" w:color="auto" w:fill="FFFFFF"/>
            <w:noWrap/>
            <w:vAlign w:val="center"/>
            <w:hideMark/>
          </w:tcPr>
          <w:p w14:paraId="7C5EA0CE"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Reserves</w:t>
            </w:r>
          </w:p>
        </w:tc>
        <w:tc>
          <w:tcPr>
            <w:tcW w:w="992" w:type="dxa"/>
            <w:tcBorders>
              <w:top w:val="nil"/>
              <w:left w:val="nil"/>
              <w:bottom w:val="nil"/>
              <w:right w:val="single" w:sz="8" w:space="0" w:color="auto"/>
            </w:tcBorders>
            <w:shd w:val="clear" w:color="auto" w:fill="FFFFFF"/>
            <w:noWrap/>
            <w:vAlign w:val="center"/>
            <w:hideMark/>
          </w:tcPr>
          <w:p w14:paraId="554C02C9"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Other</w:t>
            </w:r>
          </w:p>
        </w:tc>
        <w:tc>
          <w:tcPr>
            <w:tcW w:w="992" w:type="dxa"/>
            <w:shd w:val="clear" w:color="auto" w:fill="FFFFFF"/>
            <w:noWrap/>
            <w:vAlign w:val="center"/>
            <w:hideMark/>
          </w:tcPr>
          <w:p w14:paraId="6013ADE9"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r>
      <w:tr w:rsidR="00A32677" w:rsidRPr="00BF0AD6" w14:paraId="507F5759" w14:textId="77777777" w:rsidTr="00EE6630">
        <w:trPr>
          <w:trHeight w:val="227"/>
        </w:trPr>
        <w:tc>
          <w:tcPr>
            <w:tcW w:w="2977" w:type="dxa"/>
            <w:shd w:val="clear" w:color="auto" w:fill="FFFFFF"/>
            <w:vAlign w:val="center"/>
            <w:hideMark/>
          </w:tcPr>
          <w:p w14:paraId="20551AD4" w14:textId="77777777" w:rsidR="00A32677" w:rsidRPr="00BF0AD6" w:rsidRDefault="00A32677" w:rsidP="00EE6630">
            <w:pPr>
              <w:ind w:right="-112"/>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c>
          <w:tcPr>
            <w:tcW w:w="992" w:type="dxa"/>
            <w:tcBorders>
              <w:top w:val="nil"/>
              <w:left w:val="single" w:sz="8" w:space="0" w:color="auto"/>
              <w:bottom w:val="nil"/>
              <w:right w:val="single" w:sz="8" w:space="0" w:color="auto"/>
            </w:tcBorders>
            <w:shd w:val="clear" w:color="auto" w:fill="FFFFFF"/>
            <w:noWrap/>
            <w:vAlign w:val="center"/>
            <w:hideMark/>
          </w:tcPr>
          <w:p w14:paraId="7BF2EC96"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Shares</w:t>
            </w:r>
          </w:p>
        </w:tc>
        <w:tc>
          <w:tcPr>
            <w:tcW w:w="851" w:type="dxa"/>
            <w:shd w:val="clear" w:color="auto" w:fill="FFFFFF"/>
            <w:noWrap/>
            <w:vAlign w:val="center"/>
            <w:hideMark/>
          </w:tcPr>
          <w:p w14:paraId="316B31D3"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Capital</w:t>
            </w:r>
          </w:p>
        </w:tc>
        <w:tc>
          <w:tcPr>
            <w:tcW w:w="978" w:type="dxa"/>
            <w:shd w:val="clear" w:color="auto" w:fill="FFFFFF"/>
            <w:noWrap/>
            <w:vAlign w:val="center"/>
            <w:hideMark/>
          </w:tcPr>
          <w:p w14:paraId="786344E4"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Account</w:t>
            </w:r>
          </w:p>
        </w:tc>
        <w:tc>
          <w:tcPr>
            <w:tcW w:w="1006" w:type="dxa"/>
            <w:gridSpan w:val="2"/>
            <w:shd w:val="clear" w:color="auto" w:fill="FFFFFF"/>
            <w:noWrap/>
            <w:vAlign w:val="center"/>
            <w:hideMark/>
          </w:tcPr>
          <w:p w14:paraId="1356C57C"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Capital</w:t>
            </w:r>
          </w:p>
        </w:tc>
        <w:tc>
          <w:tcPr>
            <w:tcW w:w="993" w:type="dxa"/>
            <w:shd w:val="clear" w:color="auto" w:fill="FFFFFF"/>
            <w:noWrap/>
            <w:vAlign w:val="center"/>
            <w:hideMark/>
          </w:tcPr>
          <w:p w14:paraId="02E2D3D5"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Earnings</w:t>
            </w:r>
          </w:p>
        </w:tc>
        <w:tc>
          <w:tcPr>
            <w:tcW w:w="992" w:type="dxa"/>
            <w:tcBorders>
              <w:top w:val="nil"/>
              <w:left w:val="single" w:sz="8" w:space="0" w:color="auto"/>
              <w:bottom w:val="nil"/>
              <w:right w:val="nil"/>
            </w:tcBorders>
            <w:shd w:val="clear" w:color="auto" w:fill="FFFFFF"/>
            <w:noWrap/>
            <w:vAlign w:val="center"/>
            <w:hideMark/>
          </w:tcPr>
          <w:p w14:paraId="52E5452E"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Hedging</w:t>
            </w:r>
          </w:p>
        </w:tc>
        <w:tc>
          <w:tcPr>
            <w:tcW w:w="992" w:type="dxa"/>
            <w:tcBorders>
              <w:top w:val="nil"/>
              <w:left w:val="nil"/>
              <w:bottom w:val="nil"/>
              <w:right w:val="single" w:sz="8" w:space="0" w:color="auto"/>
            </w:tcBorders>
            <w:shd w:val="clear" w:color="auto" w:fill="FFFFFF"/>
            <w:noWrap/>
            <w:vAlign w:val="center"/>
            <w:hideMark/>
          </w:tcPr>
          <w:p w14:paraId="409BD566"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Reserves</w:t>
            </w:r>
          </w:p>
        </w:tc>
        <w:tc>
          <w:tcPr>
            <w:tcW w:w="992" w:type="dxa"/>
            <w:shd w:val="clear" w:color="auto" w:fill="FFFFFF"/>
            <w:noWrap/>
            <w:vAlign w:val="center"/>
            <w:hideMark/>
          </w:tcPr>
          <w:p w14:paraId="355672D0"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Total</w:t>
            </w:r>
          </w:p>
        </w:tc>
      </w:tr>
      <w:tr w:rsidR="00A32677" w:rsidRPr="00BF0AD6" w14:paraId="39E7292C" w14:textId="77777777" w:rsidTr="00EE6630">
        <w:trPr>
          <w:trHeight w:val="227"/>
        </w:trPr>
        <w:tc>
          <w:tcPr>
            <w:tcW w:w="2977" w:type="dxa"/>
            <w:shd w:val="clear" w:color="auto" w:fill="FFFFFF"/>
            <w:vAlign w:val="center"/>
            <w:hideMark/>
          </w:tcPr>
          <w:p w14:paraId="4046DD9B" w14:textId="77777777" w:rsidR="00A32677" w:rsidRPr="00BF0AD6" w:rsidRDefault="00A32677" w:rsidP="00EE6630">
            <w:pPr>
              <w:ind w:right="-112"/>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c>
          <w:tcPr>
            <w:tcW w:w="992" w:type="dxa"/>
            <w:tcBorders>
              <w:top w:val="nil"/>
              <w:left w:val="single" w:sz="8" w:space="0" w:color="auto"/>
              <w:right w:val="single" w:sz="8" w:space="0" w:color="auto"/>
            </w:tcBorders>
            <w:shd w:val="clear" w:color="auto" w:fill="FFFFFF"/>
            <w:noWrap/>
            <w:vAlign w:val="center"/>
            <w:hideMark/>
          </w:tcPr>
          <w:p w14:paraId="79B048D7"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M</w:t>
            </w:r>
          </w:p>
        </w:tc>
        <w:tc>
          <w:tcPr>
            <w:tcW w:w="851" w:type="dxa"/>
            <w:shd w:val="clear" w:color="auto" w:fill="FFFFFF"/>
            <w:noWrap/>
            <w:vAlign w:val="center"/>
            <w:hideMark/>
          </w:tcPr>
          <w:p w14:paraId="7AE74F85"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€M</w:t>
            </w:r>
          </w:p>
        </w:tc>
        <w:tc>
          <w:tcPr>
            <w:tcW w:w="978" w:type="dxa"/>
            <w:shd w:val="clear" w:color="auto" w:fill="FFFFFF"/>
            <w:noWrap/>
            <w:vAlign w:val="center"/>
            <w:hideMark/>
          </w:tcPr>
          <w:p w14:paraId="16E2A56B"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€M</w:t>
            </w:r>
          </w:p>
        </w:tc>
        <w:tc>
          <w:tcPr>
            <w:tcW w:w="1006" w:type="dxa"/>
            <w:gridSpan w:val="2"/>
            <w:shd w:val="clear" w:color="auto" w:fill="FFFFFF"/>
            <w:noWrap/>
            <w:vAlign w:val="center"/>
            <w:hideMark/>
          </w:tcPr>
          <w:p w14:paraId="0FF0B657"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€M</w:t>
            </w:r>
          </w:p>
        </w:tc>
        <w:tc>
          <w:tcPr>
            <w:tcW w:w="993" w:type="dxa"/>
            <w:shd w:val="clear" w:color="auto" w:fill="FFFFFF"/>
            <w:noWrap/>
            <w:vAlign w:val="center"/>
            <w:hideMark/>
          </w:tcPr>
          <w:p w14:paraId="208FF17D"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€M</w:t>
            </w:r>
          </w:p>
        </w:tc>
        <w:tc>
          <w:tcPr>
            <w:tcW w:w="992" w:type="dxa"/>
            <w:tcBorders>
              <w:top w:val="nil"/>
              <w:left w:val="single" w:sz="8" w:space="0" w:color="auto"/>
              <w:right w:val="nil"/>
            </w:tcBorders>
            <w:shd w:val="clear" w:color="auto" w:fill="FFFFFF"/>
            <w:noWrap/>
            <w:vAlign w:val="center"/>
            <w:hideMark/>
          </w:tcPr>
          <w:p w14:paraId="4D2FFFA2"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€M</w:t>
            </w:r>
          </w:p>
        </w:tc>
        <w:tc>
          <w:tcPr>
            <w:tcW w:w="992" w:type="dxa"/>
            <w:tcBorders>
              <w:top w:val="nil"/>
              <w:left w:val="nil"/>
              <w:right w:val="single" w:sz="8" w:space="0" w:color="auto"/>
            </w:tcBorders>
            <w:shd w:val="clear" w:color="auto" w:fill="FFFFFF"/>
            <w:noWrap/>
            <w:vAlign w:val="center"/>
            <w:hideMark/>
          </w:tcPr>
          <w:p w14:paraId="456EBEAC"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€M</w:t>
            </w:r>
          </w:p>
        </w:tc>
        <w:tc>
          <w:tcPr>
            <w:tcW w:w="992" w:type="dxa"/>
            <w:shd w:val="clear" w:color="auto" w:fill="FFFFFF"/>
            <w:noWrap/>
            <w:vAlign w:val="center"/>
            <w:hideMark/>
          </w:tcPr>
          <w:p w14:paraId="449597A3"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€M</w:t>
            </w:r>
          </w:p>
        </w:tc>
      </w:tr>
      <w:tr w:rsidR="00A32677" w:rsidRPr="00BF0AD6" w14:paraId="5F8EF158" w14:textId="77777777" w:rsidTr="00EE6630">
        <w:trPr>
          <w:trHeight w:val="227"/>
        </w:trPr>
        <w:tc>
          <w:tcPr>
            <w:tcW w:w="2977" w:type="dxa"/>
            <w:shd w:val="clear" w:color="auto" w:fill="FFFFFF"/>
            <w:vAlign w:val="center"/>
          </w:tcPr>
          <w:p w14:paraId="74235878" w14:textId="77777777" w:rsidR="00A32677" w:rsidRPr="00BF0AD6" w:rsidRDefault="00A32677" w:rsidP="00EE6630">
            <w:pPr>
              <w:ind w:right="-112"/>
              <w:rPr>
                <w:rFonts w:ascii="Calibri" w:hAnsi="Calibri" w:cs="Calibri"/>
                <w:b/>
                <w:bCs/>
                <w:color w:val="000000"/>
                <w:sz w:val="18"/>
                <w:szCs w:val="18"/>
                <w:lang w:eastAsia="en-IE"/>
              </w:rPr>
            </w:pPr>
          </w:p>
        </w:tc>
        <w:tc>
          <w:tcPr>
            <w:tcW w:w="992" w:type="dxa"/>
            <w:tcBorders>
              <w:top w:val="nil"/>
              <w:left w:val="single" w:sz="8" w:space="0" w:color="auto"/>
              <w:bottom w:val="single" w:sz="12" w:space="0" w:color="auto"/>
              <w:right w:val="single" w:sz="8" w:space="0" w:color="auto"/>
            </w:tcBorders>
            <w:shd w:val="clear" w:color="auto" w:fill="FFFFFF"/>
            <w:noWrap/>
            <w:vAlign w:val="center"/>
          </w:tcPr>
          <w:p w14:paraId="0B05EB7C" w14:textId="77777777" w:rsidR="00A32677" w:rsidRPr="00BF0AD6" w:rsidRDefault="00A32677" w:rsidP="001C5897">
            <w:pPr>
              <w:jc w:val="right"/>
              <w:rPr>
                <w:rFonts w:ascii="Calibri" w:hAnsi="Calibri" w:cs="Calibri"/>
                <w:b/>
                <w:bCs/>
                <w:color w:val="000000"/>
                <w:sz w:val="18"/>
                <w:szCs w:val="18"/>
                <w:lang w:eastAsia="en-IE"/>
              </w:rPr>
            </w:pPr>
          </w:p>
        </w:tc>
        <w:tc>
          <w:tcPr>
            <w:tcW w:w="851" w:type="dxa"/>
            <w:tcBorders>
              <w:bottom w:val="single" w:sz="12" w:space="0" w:color="auto"/>
            </w:tcBorders>
            <w:shd w:val="clear" w:color="auto" w:fill="FFFFFF"/>
            <w:noWrap/>
            <w:vAlign w:val="center"/>
          </w:tcPr>
          <w:p w14:paraId="7D279922" w14:textId="77777777" w:rsidR="00A32677" w:rsidRPr="00BF0AD6" w:rsidRDefault="00A32677" w:rsidP="001C5897">
            <w:pPr>
              <w:jc w:val="right"/>
              <w:rPr>
                <w:rFonts w:ascii="Calibri" w:hAnsi="Calibri" w:cs="Calibri"/>
                <w:b/>
                <w:bCs/>
                <w:color w:val="000000"/>
                <w:sz w:val="18"/>
                <w:szCs w:val="18"/>
                <w:lang w:eastAsia="en-IE"/>
              </w:rPr>
            </w:pPr>
          </w:p>
        </w:tc>
        <w:tc>
          <w:tcPr>
            <w:tcW w:w="978" w:type="dxa"/>
            <w:tcBorders>
              <w:bottom w:val="single" w:sz="12" w:space="0" w:color="auto"/>
            </w:tcBorders>
            <w:shd w:val="clear" w:color="auto" w:fill="FFFFFF"/>
            <w:noWrap/>
            <w:vAlign w:val="center"/>
          </w:tcPr>
          <w:p w14:paraId="732AAA2E" w14:textId="77777777" w:rsidR="00A32677" w:rsidRPr="00BF0AD6" w:rsidRDefault="00A32677" w:rsidP="001C5897">
            <w:pPr>
              <w:jc w:val="right"/>
              <w:rPr>
                <w:rFonts w:ascii="Calibri" w:hAnsi="Calibri" w:cs="Calibri"/>
                <w:b/>
                <w:bCs/>
                <w:color w:val="000000"/>
                <w:sz w:val="18"/>
                <w:szCs w:val="18"/>
                <w:lang w:eastAsia="en-IE"/>
              </w:rPr>
            </w:pPr>
          </w:p>
        </w:tc>
        <w:tc>
          <w:tcPr>
            <w:tcW w:w="1006" w:type="dxa"/>
            <w:gridSpan w:val="2"/>
            <w:tcBorders>
              <w:bottom w:val="single" w:sz="12" w:space="0" w:color="auto"/>
            </w:tcBorders>
            <w:shd w:val="clear" w:color="auto" w:fill="FFFFFF"/>
            <w:noWrap/>
            <w:vAlign w:val="center"/>
          </w:tcPr>
          <w:p w14:paraId="46CF983A" w14:textId="77777777" w:rsidR="00A32677" w:rsidRPr="00BF0AD6" w:rsidRDefault="00A32677" w:rsidP="001C5897">
            <w:pPr>
              <w:jc w:val="right"/>
              <w:rPr>
                <w:rFonts w:ascii="Calibri" w:hAnsi="Calibri" w:cs="Calibri"/>
                <w:b/>
                <w:bCs/>
                <w:color w:val="000000"/>
                <w:sz w:val="18"/>
                <w:szCs w:val="18"/>
                <w:lang w:eastAsia="en-IE"/>
              </w:rPr>
            </w:pPr>
          </w:p>
        </w:tc>
        <w:tc>
          <w:tcPr>
            <w:tcW w:w="993" w:type="dxa"/>
            <w:tcBorders>
              <w:bottom w:val="single" w:sz="12" w:space="0" w:color="auto"/>
            </w:tcBorders>
            <w:shd w:val="clear" w:color="auto" w:fill="FFFFFF"/>
            <w:noWrap/>
            <w:vAlign w:val="center"/>
          </w:tcPr>
          <w:p w14:paraId="250FCA1B" w14:textId="77777777" w:rsidR="00A32677" w:rsidRPr="00BF0AD6" w:rsidRDefault="00A32677" w:rsidP="001C5897">
            <w:pPr>
              <w:jc w:val="right"/>
              <w:rPr>
                <w:rFonts w:ascii="Calibri" w:hAnsi="Calibri" w:cs="Calibri"/>
                <w:b/>
                <w:bCs/>
                <w:color w:val="000000"/>
                <w:sz w:val="18"/>
                <w:szCs w:val="18"/>
                <w:lang w:eastAsia="en-IE"/>
              </w:rPr>
            </w:pPr>
          </w:p>
        </w:tc>
        <w:tc>
          <w:tcPr>
            <w:tcW w:w="992" w:type="dxa"/>
            <w:tcBorders>
              <w:top w:val="nil"/>
              <w:left w:val="single" w:sz="8" w:space="0" w:color="auto"/>
              <w:bottom w:val="single" w:sz="12" w:space="0" w:color="auto"/>
              <w:right w:val="nil"/>
            </w:tcBorders>
            <w:shd w:val="clear" w:color="auto" w:fill="FFFFFF"/>
            <w:noWrap/>
            <w:vAlign w:val="center"/>
          </w:tcPr>
          <w:p w14:paraId="69C929E6" w14:textId="77777777" w:rsidR="00A32677" w:rsidRPr="00BF0AD6" w:rsidRDefault="00A32677" w:rsidP="001C5897">
            <w:pPr>
              <w:jc w:val="right"/>
              <w:rPr>
                <w:rFonts w:ascii="Calibri" w:hAnsi="Calibri" w:cs="Calibri"/>
                <w:b/>
                <w:bCs/>
                <w:color w:val="000000"/>
                <w:sz w:val="18"/>
                <w:szCs w:val="18"/>
                <w:lang w:eastAsia="en-IE"/>
              </w:rPr>
            </w:pPr>
          </w:p>
        </w:tc>
        <w:tc>
          <w:tcPr>
            <w:tcW w:w="992" w:type="dxa"/>
            <w:tcBorders>
              <w:top w:val="nil"/>
              <w:left w:val="nil"/>
              <w:bottom w:val="single" w:sz="12" w:space="0" w:color="auto"/>
              <w:right w:val="single" w:sz="8" w:space="0" w:color="auto"/>
            </w:tcBorders>
            <w:shd w:val="clear" w:color="auto" w:fill="FFFFFF"/>
            <w:noWrap/>
            <w:vAlign w:val="center"/>
          </w:tcPr>
          <w:p w14:paraId="65595051" w14:textId="77777777" w:rsidR="00A32677" w:rsidRPr="00BF0AD6" w:rsidRDefault="00A32677" w:rsidP="001C5897">
            <w:pPr>
              <w:jc w:val="right"/>
              <w:rPr>
                <w:rFonts w:ascii="Calibri" w:hAnsi="Calibri" w:cs="Calibri"/>
                <w:b/>
                <w:bCs/>
                <w:color w:val="000000"/>
                <w:sz w:val="18"/>
                <w:szCs w:val="18"/>
                <w:lang w:eastAsia="en-IE"/>
              </w:rPr>
            </w:pPr>
          </w:p>
        </w:tc>
        <w:tc>
          <w:tcPr>
            <w:tcW w:w="992" w:type="dxa"/>
            <w:tcBorders>
              <w:bottom w:val="single" w:sz="12" w:space="0" w:color="auto"/>
            </w:tcBorders>
            <w:shd w:val="clear" w:color="auto" w:fill="FFFFFF"/>
            <w:noWrap/>
            <w:vAlign w:val="center"/>
          </w:tcPr>
          <w:p w14:paraId="2E6B259E" w14:textId="77777777" w:rsidR="00A32677" w:rsidRPr="00BF0AD6" w:rsidRDefault="00A32677" w:rsidP="001C5897">
            <w:pPr>
              <w:jc w:val="right"/>
              <w:rPr>
                <w:rFonts w:ascii="Calibri" w:hAnsi="Calibri" w:cs="Calibri"/>
                <w:b/>
                <w:bCs/>
                <w:color w:val="000000"/>
                <w:sz w:val="18"/>
                <w:szCs w:val="18"/>
                <w:lang w:eastAsia="en-IE"/>
              </w:rPr>
            </w:pPr>
          </w:p>
        </w:tc>
      </w:tr>
      <w:tr w:rsidR="00A32677" w:rsidRPr="00BF0AD6" w14:paraId="301F7E97" w14:textId="77777777" w:rsidTr="00EE6630">
        <w:trPr>
          <w:trHeight w:val="227"/>
        </w:trPr>
        <w:tc>
          <w:tcPr>
            <w:tcW w:w="2977" w:type="dxa"/>
            <w:shd w:val="clear" w:color="auto" w:fill="FFFFFF"/>
            <w:vAlign w:val="bottom"/>
            <w:hideMark/>
          </w:tcPr>
          <w:p w14:paraId="09CD99BC" w14:textId="77777777" w:rsidR="00A32677" w:rsidRPr="00BF0AD6" w:rsidRDefault="00A32677" w:rsidP="00EE6630">
            <w:pPr>
              <w:ind w:right="-112"/>
              <w:rPr>
                <w:rFonts w:ascii="Calibri" w:hAnsi="Calibri" w:cs="Calibri"/>
                <w:b/>
                <w:bCs/>
                <w:color w:val="000000"/>
                <w:sz w:val="18"/>
                <w:szCs w:val="18"/>
                <w:lang w:eastAsia="en-IE"/>
              </w:rPr>
            </w:pPr>
            <w:r w:rsidRPr="00E62280">
              <w:rPr>
                <w:rFonts w:ascii="Calibri" w:hAnsi="Calibri" w:cs="Calibri"/>
                <w:b/>
                <w:bCs/>
                <w:color w:val="000000"/>
                <w:sz w:val="18"/>
                <w:szCs w:val="18"/>
              </w:rPr>
              <w:t xml:space="preserve">Balance </w:t>
            </w:r>
            <w:proofErr w:type="gramStart"/>
            <w:r w:rsidRPr="00E62280">
              <w:rPr>
                <w:rFonts w:ascii="Calibri" w:hAnsi="Calibri" w:cs="Calibri"/>
                <w:b/>
                <w:bCs/>
                <w:color w:val="000000"/>
                <w:sz w:val="18"/>
                <w:szCs w:val="18"/>
              </w:rPr>
              <w:t>at</w:t>
            </w:r>
            <w:proofErr w:type="gramEnd"/>
            <w:r w:rsidRPr="00E62280">
              <w:rPr>
                <w:rFonts w:ascii="Calibri" w:hAnsi="Calibri" w:cs="Calibri"/>
                <w:b/>
                <w:bCs/>
                <w:color w:val="000000"/>
                <w:sz w:val="18"/>
                <w:szCs w:val="18"/>
              </w:rPr>
              <w:t xml:space="preserve"> March 31, 202</w:t>
            </w:r>
            <w:r>
              <w:rPr>
                <w:rFonts w:ascii="Calibri" w:hAnsi="Calibri" w:cs="Calibri"/>
                <w:b/>
                <w:bCs/>
                <w:color w:val="000000"/>
                <w:sz w:val="18"/>
                <w:szCs w:val="18"/>
              </w:rPr>
              <w:t>2</w:t>
            </w:r>
          </w:p>
        </w:tc>
        <w:tc>
          <w:tcPr>
            <w:tcW w:w="992" w:type="dxa"/>
            <w:tcBorders>
              <w:top w:val="single" w:sz="12" w:space="0" w:color="auto"/>
              <w:left w:val="single" w:sz="8" w:space="0" w:color="auto"/>
              <w:bottom w:val="single" w:sz="12" w:space="0" w:color="auto"/>
              <w:right w:val="single" w:sz="8" w:space="0" w:color="auto"/>
            </w:tcBorders>
            <w:shd w:val="clear" w:color="auto" w:fill="FFFFFF"/>
            <w:noWrap/>
            <w:vAlign w:val="bottom"/>
            <w:hideMark/>
          </w:tcPr>
          <w:p w14:paraId="2F8F6FD4"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1,134.6</w:t>
            </w:r>
          </w:p>
        </w:tc>
        <w:tc>
          <w:tcPr>
            <w:tcW w:w="851" w:type="dxa"/>
            <w:tcBorders>
              <w:top w:val="single" w:sz="12" w:space="0" w:color="auto"/>
              <w:left w:val="nil"/>
              <w:bottom w:val="single" w:sz="12" w:space="0" w:color="auto"/>
              <w:right w:val="nil"/>
            </w:tcBorders>
            <w:shd w:val="clear" w:color="auto" w:fill="FFFFFF"/>
            <w:noWrap/>
            <w:vAlign w:val="bottom"/>
            <w:hideMark/>
          </w:tcPr>
          <w:p w14:paraId="2CC1EA23"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6.8</w:t>
            </w:r>
          </w:p>
        </w:tc>
        <w:tc>
          <w:tcPr>
            <w:tcW w:w="978" w:type="dxa"/>
            <w:tcBorders>
              <w:top w:val="single" w:sz="12" w:space="0" w:color="auto"/>
              <w:left w:val="nil"/>
              <w:bottom w:val="single" w:sz="12" w:space="0" w:color="auto"/>
              <w:right w:val="nil"/>
            </w:tcBorders>
            <w:shd w:val="clear" w:color="auto" w:fill="FFFFFF"/>
            <w:noWrap/>
            <w:vAlign w:val="bottom"/>
            <w:hideMark/>
          </w:tcPr>
          <w:p w14:paraId="26401D8E"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1,328.2</w:t>
            </w:r>
          </w:p>
        </w:tc>
        <w:tc>
          <w:tcPr>
            <w:tcW w:w="1006" w:type="dxa"/>
            <w:gridSpan w:val="2"/>
            <w:tcBorders>
              <w:top w:val="single" w:sz="12" w:space="0" w:color="auto"/>
              <w:left w:val="nil"/>
              <w:bottom w:val="single" w:sz="12" w:space="0" w:color="auto"/>
              <w:right w:val="nil"/>
            </w:tcBorders>
            <w:shd w:val="clear" w:color="auto" w:fill="FFFFFF"/>
            <w:noWrap/>
            <w:vAlign w:val="bottom"/>
            <w:hideMark/>
          </w:tcPr>
          <w:p w14:paraId="04BA8617"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3.5</w:t>
            </w:r>
          </w:p>
        </w:tc>
        <w:tc>
          <w:tcPr>
            <w:tcW w:w="993" w:type="dxa"/>
            <w:tcBorders>
              <w:top w:val="single" w:sz="12" w:space="0" w:color="auto"/>
              <w:left w:val="nil"/>
              <w:bottom w:val="single" w:sz="12" w:space="0" w:color="auto"/>
              <w:right w:val="nil"/>
            </w:tcBorders>
            <w:shd w:val="clear" w:color="auto" w:fill="FFFFFF"/>
            <w:noWrap/>
            <w:vAlign w:val="bottom"/>
            <w:hideMark/>
          </w:tcPr>
          <w:p w14:paraId="02B6C7FF"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2,880.9</w:t>
            </w:r>
          </w:p>
        </w:tc>
        <w:tc>
          <w:tcPr>
            <w:tcW w:w="992" w:type="dxa"/>
            <w:tcBorders>
              <w:top w:val="single" w:sz="12" w:space="0" w:color="auto"/>
              <w:left w:val="single" w:sz="8" w:space="0" w:color="auto"/>
              <w:bottom w:val="single" w:sz="12" w:space="0" w:color="auto"/>
              <w:right w:val="nil"/>
            </w:tcBorders>
            <w:shd w:val="clear" w:color="auto" w:fill="FFFFFF"/>
            <w:noWrap/>
            <w:vAlign w:val="bottom"/>
            <w:hideMark/>
          </w:tcPr>
          <w:p w14:paraId="3923387C"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1,295.4</w:t>
            </w:r>
          </w:p>
        </w:tc>
        <w:tc>
          <w:tcPr>
            <w:tcW w:w="992" w:type="dxa"/>
            <w:tcBorders>
              <w:top w:val="single" w:sz="12" w:space="0" w:color="auto"/>
              <w:left w:val="nil"/>
              <w:bottom w:val="single" w:sz="12" w:space="0" w:color="auto"/>
              <w:right w:val="single" w:sz="8" w:space="0" w:color="auto"/>
            </w:tcBorders>
            <w:shd w:val="clear" w:color="auto" w:fill="FFFFFF"/>
            <w:noWrap/>
            <w:vAlign w:val="bottom"/>
            <w:hideMark/>
          </w:tcPr>
          <w:p w14:paraId="173AC564"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30.5</w:t>
            </w:r>
          </w:p>
        </w:tc>
        <w:tc>
          <w:tcPr>
            <w:tcW w:w="992" w:type="dxa"/>
            <w:tcBorders>
              <w:top w:val="single" w:sz="12" w:space="0" w:color="auto"/>
              <w:left w:val="nil"/>
              <w:bottom w:val="single" w:sz="12" w:space="0" w:color="auto"/>
              <w:right w:val="nil"/>
            </w:tcBorders>
            <w:shd w:val="clear" w:color="auto" w:fill="FFFFFF"/>
            <w:noWrap/>
            <w:vAlign w:val="bottom"/>
            <w:hideMark/>
          </w:tcPr>
          <w:p w14:paraId="44B35DBA"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5,545.3</w:t>
            </w:r>
          </w:p>
        </w:tc>
      </w:tr>
      <w:tr w:rsidR="00A32677" w:rsidRPr="00BF0AD6" w14:paraId="370F5812" w14:textId="77777777" w:rsidTr="00EE6630">
        <w:trPr>
          <w:trHeight w:val="227"/>
        </w:trPr>
        <w:tc>
          <w:tcPr>
            <w:tcW w:w="2977" w:type="dxa"/>
            <w:shd w:val="clear" w:color="auto" w:fill="FFFFFF"/>
            <w:vAlign w:val="bottom"/>
            <w:hideMark/>
          </w:tcPr>
          <w:p w14:paraId="43482E6A" w14:textId="77777777" w:rsidR="00A32677" w:rsidRPr="00BF0AD6" w:rsidRDefault="00A32677" w:rsidP="00EE6630">
            <w:pPr>
              <w:ind w:right="-112"/>
              <w:rPr>
                <w:rFonts w:ascii="Calibri" w:hAnsi="Calibri" w:cs="Calibri"/>
                <w:color w:val="000000"/>
                <w:sz w:val="18"/>
                <w:szCs w:val="18"/>
                <w:lang w:eastAsia="en-IE"/>
              </w:rPr>
            </w:pPr>
            <w:r>
              <w:rPr>
                <w:rFonts w:ascii="Calibri" w:hAnsi="Calibri" w:cs="Calibri"/>
                <w:bCs/>
                <w:color w:val="000000"/>
                <w:sz w:val="18"/>
                <w:szCs w:val="18"/>
              </w:rPr>
              <w:t>Profit</w:t>
            </w:r>
            <w:r w:rsidRPr="00961843">
              <w:rPr>
                <w:rFonts w:ascii="Calibri" w:hAnsi="Calibri" w:cs="Calibri"/>
                <w:bCs/>
                <w:color w:val="000000"/>
                <w:sz w:val="18"/>
                <w:szCs w:val="18"/>
              </w:rPr>
              <w:t xml:space="preserve"> for</w:t>
            </w:r>
            <w:r w:rsidRPr="00E62280">
              <w:rPr>
                <w:rFonts w:ascii="Calibri" w:hAnsi="Calibri" w:cs="Calibri"/>
                <w:bCs/>
                <w:color w:val="000000"/>
                <w:sz w:val="18"/>
                <w:szCs w:val="18"/>
              </w:rPr>
              <w:t xml:space="preserve"> the half-year</w:t>
            </w:r>
          </w:p>
        </w:tc>
        <w:tc>
          <w:tcPr>
            <w:tcW w:w="992" w:type="dxa"/>
            <w:tcBorders>
              <w:top w:val="single" w:sz="12" w:space="0" w:color="auto"/>
              <w:left w:val="single" w:sz="8" w:space="0" w:color="auto"/>
              <w:bottom w:val="nil"/>
              <w:right w:val="single" w:sz="8" w:space="0" w:color="auto"/>
            </w:tcBorders>
            <w:shd w:val="clear" w:color="auto" w:fill="FFFFFF"/>
            <w:noWrap/>
            <w:vAlign w:val="bottom"/>
          </w:tcPr>
          <w:p w14:paraId="43295DE4"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851" w:type="dxa"/>
            <w:tcBorders>
              <w:top w:val="single" w:sz="12" w:space="0" w:color="auto"/>
            </w:tcBorders>
            <w:shd w:val="clear" w:color="auto" w:fill="FFFFFF"/>
            <w:noWrap/>
            <w:vAlign w:val="bottom"/>
          </w:tcPr>
          <w:p w14:paraId="2503D550"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978" w:type="dxa"/>
            <w:tcBorders>
              <w:top w:val="single" w:sz="12" w:space="0" w:color="auto"/>
            </w:tcBorders>
            <w:shd w:val="clear" w:color="auto" w:fill="FFFFFF"/>
            <w:noWrap/>
            <w:vAlign w:val="bottom"/>
          </w:tcPr>
          <w:p w14:paraId="1F1B1D9B"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1006" w:type="dxa"/>
            <w:gridSpan w:val="2"/>
            <w:tcBorders>
              <w:top w:val="single" w:sz="12" w:space="0" w:color="auto"/>
            </w:tcBorders>
            <w:shd w:val="clear" w:color="auto" w:fill="FFFFFF"/>
            <w:noWrap/>
            <w:vAlign w:val="bottom"/>
          </w:tcPr>
          <w:p w14:paraId="6E4B77FB"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993" w:type="dxa"/>
            <w:tcBorders>
              <w:top w:val="single" w:sz="12" w:space="0" w:color="auto"/>
            </w:tcBorders>
            <w:shd w:val="clear" w:color="auto" w:fill="FFFFFF"/>
            <w:noWrap/>
            <w:vAlign w:val="bottom"/>
          </w:tcPr>
          <w:p w14:paraId="6046CC9F"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1,263.4</w:t>
            </w:r>
          </w:p>
        </w:tc>
        <w:tc>
          <w:tcPr>
            <w:tcW w:w="992" w:type="dxa"/>
            <w:tcBorders>
              <w:top w:val="single" w:sz="12" w:space="0" w:color="auto"/>
              <w:left w:val="single" w:sz="8" w:space="0" w:color="auto"/>
              <w:bottom w:val="nil"/>
              <w:right w:val="nil"/>
            </w:tcBorders>
            <w:shd w:val="clear" w:color="auto" w:fill="FFFFFF"/>
            <w:noWrap/>
            <w:vAlign w:val="bottom"/>
          </w:tcPr>
          <w:p w14:paraId="1724D418"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992" w:type="dxa"/>
            <w:tcBorders>
              <w:top w:val="single" w:sz="12" w:space="0" w:color="auto"/>
              <w:left w:val="nil"/>
              <w:bottom w:val="nil"/>
              <w:right w:val="single" w:sz="8" w:space="0" w:color="auto"/>
            </w:tcBorders>
            <w:shd w:val="clear" w:color="auto" w:fill="FFFFFF"/>
            <w:noWrap/>
            <w:vAlign w:val="bottom"/>
          </w:tcPr>
          <w:p w14:paraId="7AE95882"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992" w:type="dxa"/>
            <w:tcBorders>
              <w:top w:val="single" w:sz="12" w:space="0" w:color="auto"/>
            </w:tcBorders>
            <w:shd w:val="clear" w:color="auto" w:fill="FFFFFF"/>
            <w:noWrap/>
            <w:vAlign w:val="bottom"/>
          </w:tcPr>
          <w:p w14:paraId="64F5717B"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1,263.4</w:t>
            </w:r>
          </w:p>
        </w:tc>
      </w:tr>
      <w:tr w:rsidR="00A32677" w:rsidRPr="00BF0AD6" w14:paraId="3CA6E351" w14:textId="77777777" w:rsidTr="00EE6630">
        <w:trPr>
          <w:trHeight w:val="227"/>
        </w:trPr>
        <w:tc>
          <w:tcPr>
            <w:tcW w:w="2977" w:type="dxa"/>
            <w:shd w:val="clear" w:color="auto" w:fill="FFFFFF"/>
            <w:vAlign w:val="bottom"/>
            <w:hideMark/>
          </w:tcPr>
          <w:p w14:paraId="62B282F4" w14:textId="77777777" w:rsidR="00A32677" w:rsidRPr="00BF0AD6" w:rsidRDefault="00A32677" w:rsidP="00EE6630">
            <w:pPr>
              <w:ind w:right="-112"/>
              <w:rPr>
                <w:rFonts w:ascii="Calibri" w:hAnsi="Calibri" w:cs="Calibri"/>
                <w:i/>
                <w:iCs/>
                <w:color w:val="000000"/>
                <w:sz w:val="18"/>
                <w:szCs w:val="18"/>
                <w:lang w:eastAsia="en-IE"/>
              </w:rPr>
            </w:pPr>
            <w:r w:rsidRPr="00E62280">
              <w:rPr>
                <w:rFonts w:ascii="Calibri" w:hAnsi="Calibri" w:cs="Calibri"/>
                <w:bCs/>
                <w:i/>
                <w:color w:val="000000"/>
                <w:sz w:val="18"/>
                <w:szCs w:val="18"/>
              </w:rPr>
              <w:t xml:space="preserve">Other comprehensive </w:t>
            </w:r>
            <w:r>
              <w:rPr>
                <w:rFonts w:ascii="Calibri" w:hAnsi="Calibri" w:cs="Calibri"/>
                <w:bCs/>
                <w:i/>
                <w:color w:val="000000"/>
                <w:sz w:val="18"/>
                <w:szCs w:val="18"/>
              </w:rPr>
              <w:t>loss</w:t>
            </w:r>
          </w:p>
        </w:tc>
        <w:tc>
          <w:tcPr>
            <w:tcW w:w="992" w:type="dxa"/>
            <w:tcBorders>
              <w:top w:val="nil"/>
              <w:left w:val="single" w:sz="8" w:space="0" w:color="auto"/>
              <w:bottom w:val="nil"/>
              <w:right w:val="single" w:sz="8" w:space="0" w:color="auto"/>
            </w:tcBorders>
            <w:shd w:val="clear" w:color="auto" w:fill="FFFFFF"/>
            <w:noWrap/>
            <w:vAlign w:val="bottom"/>
          </w:tcPr>
          <w:p w14:paraId="7556B15D" w14:textId="77777777" w:rsidR="00A32677" w:rsidRPr="00757AE3" w:rsidRDefault="00A32677" w:rsidP="001C5897">
            <w:pPr>
              <w:jc w:val="right"/>
              <w:rPr>
                <w:rFonts w:ascii="Calibri" w:hAnsi="Calibri" w:cs="Calibri"/>
                <w:i/>
                <w:iCs/>
                <w:color w:val="000000"/>
                <w:sz w:val="18"/>
                <w:szCs w:val="18"/>
                <w:lang w:eastAsia="en-IE"/>
              </w:rPr>
            </w:pPr>
          </w:p>
        </w:tc>
        <w:tc>
          <w:tcPr>
            <w:tcW w:w="851" w:type="dxa"/>
            <w:shd w:val="clear" w:color="auto" w:fill="FFFFFF"/>
            <w:noWrap/>
            <w:vAlign w:val="bottom"/>
          </w:tcPr>
          <w:p w14:paraId="19DF3E1D" w14:textId="77777777" w:rsidR="00A32677" w:rsidRPr="00757AE3" w:rsidRDefault="00A32677" w:rsidP="001C5897">
            <w:pPr>
              <w:jc w:val="right"/>
              <w:rPr>
                <w:rFonts w:ascii="Calibri" w:eastAsia="Calibri" w:hAnsi="Calibri" w:cs="Calibri"/>
                <w:sz w:val="18"/>
                <w:szCs w:val="18"/>
                <w:lang w:eastAsia="en-IE"/>
              </w:rPr>
            </w:pPr>
          </w:p>
        </w:tc>
        <w:tc>
          <w:tcPr>
            <w:tcW w:w="978" w:type="dxa"/>
            <w:shd w:val="clear" w:color="auto" w:fill="FFFFFF"/>
            <w:noWrap/>
            <w:vAlign w:val="bottom"/>
          </w:tcPr>
          <w:p w14:paraId="245EA5CB" w14:textId="77777777" w:rsidR="00A32677" w:rsidRPr="00757AE3" w:rsidRDefault="00A32677" w:rsidP="001C5897">
            <w:pPr>
              <w:jc w:val="right"/>
              <w:rPr>
                <w:rFonts w:ascii="Calibri" w:eastAsia="Calibri" w:hAnsi="Calibri" w:cs="Calibri"/>
                <w:sz w:val="18"/>
                <w:szCs w:val="18"/>
                <w:lang w:eastAsia="en-IE"/>
              </w:rPr>
            </w:pPr>
          </w:p>
        </w:tc>
        <w:tc>
          <w:tcPr>
            <w:tcW w:w="1006" w:type="dxa"/>
            <w:gridSpan w:val="2"/>
            <w:shd w:val="clear" w:color="auto" w:fill="FFFFFF"/>
            <w:noWrap/>
            <w:vAlign w:val="bottom"/>
          </w:tcPr>
          <w:p w14:paraId="5E0B2C9E" w14:textId="77777777" w:rsidR="00A32677" w:rsidRPr="00757AE3" w:rsidRDefault="00A32677" w:rsidP="001C5897">
            <w:pPr>
              <w:jc w:val="right"/>
              <w:rPr>
                <w:rFonts w:ascii="Calibri" w:eastAsia="Calibri" w:hAnsi="Calibri" w:cs="Calibri"/>
                <w:sz w:val="18"/>
                <w:szCs w:val="18"/>
                <w:lang w:eastAsia="en-IE"/>
              </w:rPr>
            </w:pPr>
          </w:p>
        </w:tc>
        <w:tc>
          <w:tcPr>
            <w:tcW w:w="993" w:type="dxa"/>
            <w:shd w:val="clear" w:color="auto" w:fill="FFFFFF"/>
            <w:noWrap/>
            <w:vAlign w:val="bottom"/>
          </w:tcPr>
          <w:p w14:paraId="6DBB9B5D" w14:textId="77777777" w:rsidR="00A32677" w:rsidRPr="00757AE3" w:rsidRDefault="00A32677" w:rsidP="001C5897">
            <w:pPr>
              <w:jc w:val="right"/>
              <w:rPr>
                <w:rFonts w:ascii="Calibri" w:eastAsia="Calibri" w:hAnsi="Calibri" w:cs="Calibri"/>
                <w:sz w:val="18"/>
                <w:szCs w:val="18"/>
                <w:lang w:eastAsia="en-IE"/>
              </w:rPr>
            </w:pPr>
          </w:p>
        </w:tc>
        <w:tc>
          <w:tcPr>
            <w:tcW w:w="992" w:type="dxa"/>
            <w:tcBorders>
              <w:top w:val="nil"/>
              <w:left w:val="single" w:sz="8" w:space="0" w:color="auto"/>
              <w:bottom w:val="nil"/>
              <w:right w:val="nil"/>
            </w:tcBorders>
            <w:shd w:val="clear" w:color="auto" w:fill="FFFFFF"/>
            <w:noWrap/>
            <w:vAlign w:val="bottom"/>
          </w:tcPr>
          <w:p w14:paraId="51442330" w14:textId="77777777" w:rsidR="00A32677" w:rsidRPr="00757AE3" w:rsidRDefault="00A32677" w:rsidP="001C5897">
            <w:pPr>
              <w:jc w:val="right"/>
              <w:rPr>
                <w:rFonts w:ascii="Calibri" w:eastAsia="Calibri" w:hAnsi="Calibri" w:cs="Calibri"/>
                <w:sz w:val="18"/>
                <w:szCs w:val="18"/>
                <w:lang w:eastAsia="en-IE"/>
              </w:rPr>
            </w:pPr>
          </w:p>
        </w:tc>
        <w:tc>
          <w:tcPr>
            <w:tcW w:w="992" w:type="dxa"/>
            <w:tcBorders>
              <w:top w:val="nil"/>
              <w:left w:val="nil"/>
              <w:bottom w:val="nil"/>
              <w:right w:val="single" w:sz="8" w:space="0" w:color="auto"/>
            </w:tcBorders>
            <w:shd w:val="clear" w:color="auto" w:fill="FFFFFF"/>
            <w:noWrap/>
            <w:vAlign w:val="bottom"/>
          </w:tcPr>
          <w:p w14:paraId="3E06D190" w14:textId="77777777" w:rsidR="00A32677" w:rsidRPr="00757AE3" w:rsidRDefault="00A32677" w:rsidP="001C5897">
            <w:pPr>
              <w:jc w:val="right"/>
              <w:rPr>
                <w:rFonts w:ascii="Calibri" w:eastAsia="Calibri" w:hAnsi="Calibri" w:cs="Calibri"/>
                <w:sz w:val="18"/>
                <w:szCs w:val="18"/>
                <w:lang w:eastAsia="en-IE"/>
              </w:rPr>
            </w:pPr>
          </w:p>
        </w:tc>
        <w:tc>
          <w:tcPr>
            <w:tcW w:w="992" w:type="dxa"/>
            <w:shd w:val="clear" w:color="auto" w:fill="FFFFFF"/>
            <w:noWrap/>
            <w:vAlign w:val="bottom"/>
          </w:tcPr>
          <w:p w14:paraId="26A25516" w14:textId="77777777" w:rsidR="00A32677" w:rsidRPr="00757AE3" w:rsidRDefault="00A32677" w:rsidP="001C5897">
            <w:pPr>
              <w:jc w:val="right"/>
              <w:rPr>
                <w:rFonts w:ascii="Calibri" w:hAnsi="Calibri" w:cs="Calibri"/>
                <w:color w:val="000000"/>
                <w:sz w:val="18"/>
                <w:szCs w:val="18"/>
                <w:lang w:eastAsia="en-IE"/>
              </w:rPr>
            </w:pPr>
          </w:p>
        </w:tc>
      </w:tr>
      <w:tr w:rsidR="00A32677" w:rsidRPr="00BF0AD6" w14:paraId="05095A2A" w14:textId="77777777" w:rsidTr="00EE6630">
        <w:trPr>
          <w:trHeight w:val="227"/>
        </w:trPr>
        <w:tc>
          <w:tcPr>
            <w:tcW w:w="2977" w:type="dxa"/>
            <w:shd w:val="clear" w:color="auto" w:fill="FFFFFF"/>
            <w:vAlign w:val="bottom"/>
            <w:hideMark/>
          </w:tcPr>
          <w:p w14:paraId="696B6859" w14:textId="77777777" w:rsidR="00A32677" w:rsidRPr="00BF0AD6" w:rsidRDefault="00A32677" w:rsidP="00EE6630">
            <w:pPr>
              <w:ind w:right="-112"/>
              <w:rPr>
                <w:rFonts w:ascii="Calibri" w:hAnsi="Calibri" w:cs="Calibri"/>
                <w:color w:val="000000"/>
                <w:sz w:val="18"/>
                <w:szCs w:val="18"/>
                <w:lang w:eastAsia="en-IE"/>
              </w:rPr>
            </w:pPr>
            <w:r w:rsidRPr="00E62280">
              <w:rPr>
                <w:rFonts w:ascii="Calibri" w:hAnsi="Calibri" w:cs="Calibri"/>
                <w:bCs/>
                <w:color w:val="000000"/>
                <w:sz w:val="18"/>
                <w:szCs w:val="18"/>
              </w:rPr>
              <w:t>Net movements in cash flow reserve</w:t>
            </w:r>
          </w:p>
        </w:tc>
        <w:tc>
          <w:tcPr>
            <w:tcW w:w="992" w:type="dxa"/>
            <w:tcBorders>
              <w:top w:val="nil"/>
              <w:left w:val="single" w:sz="8" w:space="0" w:color="auto"/>
              <w:bottom w:val="nil"/>
              <w:right w:val="single" w:sz="8" w:space="0" w:color="auto"/>
            </w:tcBorders>
            <w:shd w:val="clear" w:color="auto" w:fill="FFFFFF"/>
            <w:noWrap/>
            <w:vAlign w:val="bottom"/>
          </w:tcPr>
          <w:p w14:paraId="588F1AF0"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851" w:type="dxa"/>
            <w:shd w:val="clear" w:color="auto" w:fill="FFFFFF"/>
            <w:noWrap/>
            <w:vAlign w:val="bottom"/>
          </w:tcPr>
          <w:p w14:paraId="050945A7"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978" w:type="dxa"/>
            <w:shd w:val="clear" w:color="auto" w:fill="FFFFFF"/>
            <w:noWrap/>
            <w:vAlign w:val="bottom"/>
          </w:tcPr>
          <w:p w14:paraId="4FC1D0B0"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1006" w:type="dxa"/>
            <w:gridSpan w:val="2"/>
            <w:shd w:val="clear" w:color="auto" w:fill="FFFFFF"/>
            <w:noWrap/>
            <w:vAlign w:val="bottom"/>
          </w:tcPr>
          <w:p w14:paraId="596FD28B"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993" w:type="dxa"/>
            <w:shd w:val="clear" w:color="auto" w:fill="FFFFFF"/>
            <w:noWrap/>
            <w:vAlign w:val="bottom"/>
          </w:tcPr>
          <w:p w14:paraId="31ECF9D6"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992" w:type="dxa"/>
            <w:tcBorders>
              <w:top w:val="nil"/>
              <w:left w:val="single" w:sz="8" w:space="0" w:color="auto"/>
              <w:bottom w:val="nil"/>
              <w:right w:val="nil"/>
            </w:tcBorders>
            <w:shd w:val="clear" w:color="auto" w:fill="FFFFFF"/>
            <w:noWrap/>
            <w:vAlign w:val="bottom"/>
          </w:tcPr>
          <w:p w14:paraId="6B394A53"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(170.2)</w:t>
            </w:r>
          </w:p>
        </w:tc>
        <w:tc>
          <w:tcPr>
            <w:tcW w:w="992" w:type="dxa"/>
            <w:tcBorders>
              <w:top w:val="nil"/>
              <w:left w:val="nil"/>
              <w:bottom w:val="nil"/>
              <w:right w:val="single" w:sz="8" w:space="0" w:color="auto"/>
            </w:tcBorders>
            <w:shd w:val="clear" w:color="auto" w:fill="FFFFFF"/>
            <w:noWrap/>
            <w:vAlign w:val="bottom"/>
          </w:tcPr>
          <w:p w14:paraId="0FE54C37"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992" w:type="dxa"/>
            <w:shd w:val="clear" w:color="auto" w:fill="FFFFFF"/>
            <w:noWrap/>
            <w:vAlign w:val="bottom"/>
          </w:tcPr>
          <w:p w14:paraId="6AA98968"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(170.2)</w:t>
            </w:r>
          </w:p>
        </w:tc>
      </w:tr>
      <w:tr w:rsidR="00A32677" w:rsidRPr="00BF0AD6" w14:paraId="4941FD21" w14:textId="77777777" w:rsidTr="00EE6630">
        <w:trPr>
          <w:trHeight w:val="227"/>
        </w:trPr>
        <w:tc>
          <w:tcPr>
            <w:tcW w:w="2977" w:type="dxa"/>
            <w:shd w:val="clear" w:color="auto" w:fill="FFFFFF"/>
            <w:vAlign w:val="bottom"/>
            <w:hideMark/>
          </w:tcPr>
          <w:p w14:paraId="52D4A8A4" w14:textId="77777777" w:rsidR="00A32677" w:rsidRPr="00BF0AD6" w:rsidRDefault="00A32677" w:rsidP="00EE6630">
            <w:pPr>
              <w:ind w:right="-112"/>
              <w:rPr>
                <w:rFonts w:ascii="Calibri" w:hAnsi="Calibri" w:cs="Calibri"/>
                <w:color w:val="000000"/>
                <w:sz w:val="18"/>
                <w:szCs w:val="18"/>
                <w:lang w:eastAsia="en-IE"/>
              </w:rPr>
            </w:pPr>
            <w:r w:rsidRPr="00E62280">
              <w:rPr>
                <w:rFonts w:ascii="Calibri" w:hAnsi="Calibri" w:cs="Calibri"/>
                <w:bCs/>
                <w:color w:val="000000"/>
                <w:sz w:val="18"/>
                <w:szCs w:val="18"/>
              </w:rPr>
              <w:t xml:space="preserve">Total other comprehensive </w:t>
            </w:r>
            <w:r>
              <w:rPr>
                <w:rFonts w:ascii="Calibri" w:hAnsi="Calibri" w:cs="Calibri"/>
                <w:bCs/>
                <w:color w:val="000000"/>
                <w:sz w:val="18"/>
                <w:szCs w:val="18"/>
              </w:rPr>
              <w:t>loss</w:t>
            </w:r>
          </w:p>
        </w:tc>
        <w:tc>
          <w:tcPr>
            <w:tcW w:w="992" w:type="dxa"/>
            <w:tcBorders>
              <w:top w:val="single" w:sz="8" w:space="0" w:color="auto"/>
              <w:left w:val="single" w:sz="8" w:space="0" w:color="auto"/>
              <w:bottom w:val="single" w:sz="8" w:space="0" w:color="auto"/>
              <w:right w:val="single" w:sz="8" w:space="0" w:color="auto"/>
            </w:tcBorders>
            <w:shd w:val="clear" w:color="auto" w:fill="FFFFFF"/>
            <w:noWrap/>
            <w:vAlign w:val="bottom"/>
          </w:tcPr>
          <w:p w14:paraId="43567BF0"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851" w:type="dxa"/>
            <w:tcBorders>
              <w:top w:val="single" w:sz="8" w:space="0" w:color="auto"/>
              <w:left w:val="nil"/>
              <w:bottom w:val="single" w:sz="8" w:space="0" w:color="auto"/>
              <w:right w:val="nil"/>
            </w:tcBorders>
            <w:shd w:val="clear" w:color="auto" w:fill="FFFFFF"/>
            <w:noWrap/>
            <w:vAlign w:val="bottom"/>
          </w:tcPr>
          <w:p w14:paraId="67DD704A"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978" w:type="dxa"/>
            <w:tcBorders>
              <w:top w:val="single" w:sz="8" w:space="0" w:color="auto"/>
              <w:left w:val="nil"/>
              <w:bottom w:val="single" w:sz="8" w:space="0" w:color="auto"/>
              <w:right w:val="nil"/>
            </w:tcBorders>
            <w:shd w:val="clear" w:color="auto" w:fill="FFFFFF"/>
            <w:noWrap/>
            <w:vAlign w:val="bottom"/>
          </w:tcPr>
          <w:p w14:paraId="3529B960"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1006" w:type="dxa"/>
            <w:gridSpan w:val="2"/>
            <w:tcBorders>
              <w:top w:val="single" w:sz="8" w:space="0" w:color="auto"/>
              <w:left w:val="nil"/>
              <w:bottom w:val="single" w:sz="8" w:space="0" w:color="auto"/>
              <w:right w:val="nil"/>
            </w:tcBorders>
            <w:shd w:val="clear" w:color="auto" w:fill="FFFFFF"/>
            <w:noWrap/>
            <w:vAlign w:val="bottom"/>
          </w:tcPr>
          <w:p w14:paraId="1CB96055"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993" w:type="dxa"/>
            <w:tcBorders>
              <w:top w:val="single" w:sz="8" w:space="0" w:color="auto"/>
              <w:left w:val="nil"/>
              <w:bottom w:val="single" w:sz="8" w:space="0" w:color="auto"/>
              <w:right w:val="nil"/>
            </w:tcBorders>
            <w:shd w:val="clear" w:color="auto" w:fill="FFFFFF"/>
            <w:noWrap/>
            <w:vAlign w:val="bottom"/>
          </w:tcPr>
          <w:p w14:paraId="0EB16929"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992" w:type="dxa"/>
            <w:tcBorders>
              <w:top w:val="single" w:sz="8" w:space="0" w:color="auto"/>
              <w:left w:val="single" w:sz="8" w:space="0" w:color="auto"/>
              <w:bottom w:val="single" w:sz="8" w:space="0" w:color="auto"/>
              <w:right w:val="nil"/>
            </w:tcBorders>
            <w:shd w:val="clear" w:color="auto" w:fill="FFFFFF"/>
            <w:noWrap/>
            <w:vAlign w:val="bottom"/>
          </w:tcPr>
          <w:p w14:paraId="471BF9EC"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(170.2)</w:t>
            </w:r>
          </w:p>
        </w:tc>
        <w:tc>
          <w:tcPr>
            <w:tcW w:w="992" w:type="dxa"/>
            <w:tcBorders>
              <w:top w:val="single" w:sz="8" w:space="0" w:color="auto"/>
              <w:left w:val="nil"/>
              <w:bottom w:val="single" w:sz="8" w:space="0" w:color="auto"/>
              <w:right w:val="single" w:sz="8" w:space="0" w:color="auto"/>
            </w:tcBorders>
            <w:shd w:val="clear" w:color="auto" w:fill="FFFFFF"/>
            <w:noWrap/>
            <w:vAlign w:val="bottom"/>
          </w:tcPr>
          <w:p w14:paraId="174FBD23"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992" w:type="dxa"/>
            <w:tcBorders>
              <w:top w:val="single" w:sz="8" w:space="0" w:color="auto"/>
              <w:left w:val="nil"/>
              <w:bottom w:val="single" w:sz="8" w:space="0" w:color="auto"/>
              <w:right w:val="nil"/>
            </w:tcBorders>
            <w:shd w:val="clear" w:color="auto" w:fill="FFFFFF"/>
            <w:noWrap/>
            <w:vAlign w:val="bottom"/>
          </w:tcPr>
          <w:p w14:paraId="6917987E"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(170.2)</w:t>
            </w:r>
          </w:p>
        </w:tc>
      </w:tr>
      <w:tr w:rsidR="00A32677" w:rsidRPr="00BF0AD6" w14:paraId="559F6516" w14:textId="77777777" w:rsidTr="00EE6630">
        <w:trPr>
          <w:trHeight w:val="227"/>
        </w:trPr>
        <w:tc>
          <w:tcPr>
            <w:tcW w:w="2977" w:type="dxa"/>
            <w:shd w:val="clear" w:color="auto" w:fill="FFFFFF"/>
            <w:vAlign w:val="bottom"/>
            <w:hideMark/>
          </w:tcPr>
          <w:p w14:paraId="0398AF49" w14:textId="77777777" w:rsidR="00A32677" w:rsidRPr="00BF0AD6" w:rsidRDefault="00A32677" w:rsidP="00EE6630">
            <w:pPr>
              <w:ind w:right="-112"/>
              <w:rPr>
                <w:rFonts w:ascii="Calibri" w:hAnsi="Calibri" w:cs="Calibri"/>
                <w:color w:val="000000"/>
                <w:sz w:val="18"/>
                <w:szCs w:val="18"/>
                <w:lang w:eastAsia="en-IE"/>
              </w:rPr>
            </w:pPr>
            <w:r w:rsidRPr="00E62280">
              <w:rPr>
                <w:rFonts w:ascii="Calibri" w:hAnsi="Calibri" w:cs="Calibri"/>
                <w:bCs/>
                <w:color w:val="000000"/>
                <w:sz w:val="18"/>
                <w:szCs w:val="18"/>
              </w:rPr>
              <w:t>Total comprehensive income</w:t>
            </w:r>
            <w:r>
              <w:rPr>
                <w:rFonts w:ascii="Calibri" w:hAnsi="Calibri" w:cs="Calibri"/>
                <w:bCs/>
                <w:color w:val="000000"/>
                <w:sz w:val="18"/>
                <w:szCs w:val="18"/>
              </w:rPr>
              <w:t>/(loss)</w:t>
            </w:r>
          </w:p>
        </w:tc>
        <w:tc>
          <w:tcPr>
            <w:tcW w:w="992" w:type="dxa"/>
            <w:tcBorders>
              <w:top w:val="nil"/>
              <w:left w:val="single" w:sz="8" w:space="0" w:color="auto"/>
              <w:bottom w:val="single" w:sz="8" w:space="0" w:color="auto"/>
              <w:right w:val="single" w:sz="8" w:space="0" w:color="auto"/>
            </w:tcBorders>
            <w:shd w:val="clear" w:color="auto" w:fill="FFFFFF"/>
            <w:noWrap/>
            <w:vAlign w:val="bottom"/>
          </w:tcPr>
          <w:p w14:paraId="13894443"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851" w:type="dxa"/>
            <w:tcBorders>
              <w:bottom w:val="single" w:sz="8" w:space="0" w:color="auto"/>
            </w:tcBorders>
            <w:shd w:val="clear" w:color="auto" w:fill="FFFFFF"/>
            <w:noWrap/>
            <w:vAlign w:val="bottom"/>
          </w:tcPr>
          <w:p w14:paraId="140C6F6C"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978" w:type="dxa"/>
            <w:tcBorders>
              <w:bottom w:val="single" w:sz="8" w:space="0" w:color="auto"/>
            </w:tcBorders>
            <w:shd w:val="clear" w:color="auto" w:fill="FFFFFF"/>
            <w:noWrap/>
            <w:vAlign w:val="bottom"/>
          </w:tcPr>
          <w:p w14:paraId="3C1B34BD"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1006" w:type="dxa"/>
            <w:gridSpan w:val="2"/>
            <w:tcBorders>
              <w:bottom w:val="single" w:sz="8" w:space="0" w:color="auto"/>
            </w:tcBorders>
            <w:shd w:val="clear" w:color="auto" w:fill="FFFFFF"/>
            <w:noWrap/>
            <w:vAlign w:val="bottom"/>
          </w:tcPr>
          <w:p w14:paraId="7AC2FA78"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993" w:type="dxa"/>
            <w:tcBorders>
              <w:bottom w:val="single" w:sz="8" w:space="0" w:color="auto"/>
            </w:tcBorders>
            <w:shd w:val="clear" w:color="auto" w:fill="FFFFFF"/>
            <w:noWrap/>
            <w:vAlign w:val="bottom"/>
          </w:tcPr>
          <w:p w14:paraId="250FB632"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1,263.4</w:t>
            </w:r>
          </w:p>
        </w:tc>
        <w:tc>
          <w:tcPr>
            <w:tcW w:w="992" w:type="dxa"/>
            <w:tcBorders>
              <w:top w:val="nil"/>
              <w:left w:val="single" w:sz="8" w:space="0" w:color="auto"/>
              <w:bottom w:val="single" w:sz="8" w:space="0" w:color="auto"/>
              <w:right w:val="nil"/>
            </w:tcBorders>
            <w:shd w:val="clear" w:color="auto" w:fill="FFFFFF"/>
            <w:noWrap/>
            <w:vAlign w:val="bottom"/>
          </w:tcPr>
          <w:p w14:paraId="66CD6584"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(170.2)</w:t>
            </w:r>
          </w:p>
        </w:tc>
        <w:tc>
          <w:tcPr>
            <w:tcW w:w="992" w:type="dxa"/>
            <w:tcBorders>
              <w:top w:val="nil"/>
              <w:left w:val="nil"/>
              <w:bottom w:val="single" w:sz="8" w:space="0" w:color="auto"/>
              <w:right w:val="single" w:sz="8" w:space="0" w:color="auto"/>
            </w:tcBorders>
            <w:shd w:val="clear" w:color="auto" w:fill="FFFFFF"/>
            <w:noWrap/>
            <w:vAlign w:val="bottom"/>
          </w:tcPr>
          <w:p w14:paraId="70BC727C"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992" w:type="dxa"/>
            <w:tcBorders>
              <w:bottom w:val="single" w:sz="8" w:space="0" w:color="auto"/>
            </w:tcBorders>
            <w:shd w:val="clear" w:color="auto" w:fill="FFFFFF"/>
            <w:noWrap/>
            <w:vAlign w:val="bottom"/>
          </w:tcPr>
          <w:p w14:paraId="0880F0B8"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1,093.2</w:t>
            </w:r>
          </w:p>
        </w:tc>
      </w:tr>
      <w:tr w:rsidR="00A32677" w:rsidRPr="00BF0AD6" w14:paraId="474EF3F7" w14:textId="77777777" w:rsidTr="00EE6630">
        <w:trPr>
          <w:trHeight w:val="227"/>
        </w:trPr>
        <w:tc>
          <w:tcPr>
            <w:tcW w:w="2977" w:type="dxa"/>
            <w:shd w:val="clear" w:color="auto" w:fill="FFFFFF"/>
            <w:vAlign w:val="bottom"/>
            <w:hideMark/>
          </w:tcPr>
          <w:p w14:paraId="5EF5D734" w14:textId="77777777" w:rsidR="00A32677" w:rsidRPr="00BF0AD6" w:rsidRDefault="00A32677" w:rsidP="00EE6630">
            <w:pPr>
              <w:ind w:right="-112"/>
              <w:rPr>
                <w:rFonts w:ascii="Calibri" w:hAnsi="Calibri" w:cs="Calibri"/>
                <w:i/>
                <w:iCs/>
                <w:color w:val="000000"/>
                <w:sz w:val="18"/>
                <w:szCs w:val="18"/>
                <w:lang w:eastAsia="en-IE"/>
              </w:rPr>
            </w:pPr>
            <w:r w:rsidRPr="00E62280">
              <w:rPr>
                <w:rFonts w:ascii="Calibri" w:hAnsi="Calibri" w:cs="Calibri"/>
                <w:bCs/>
                <w:i/>
                <w:color w:val="000000"/>
                <w:sz w:val="18"/>
                <w:szCs w:val="18"/>
              </w:rPr>
              <w:t>Transactions with owners of the Company recognised directly in equity</w:t>
            </w:r>
          </w:p>
        </w:tc>
        <w:tc>
          <w:tcPr>
            <w:tcW w:w="992" w:type="dxa"/>
            <w:tcBorders>
              <w:top w:val="single" w:sz="8" w:space="0" w:color="auto"/>
              <w:left w:val="single" w:sz="8" w:space="0" w:color="auto"/>
              <w:right w:val="single" w:sz="8" w:space="0" w:color="auto"/>
            </w:tcBorders>
            <w:vAlign w:val="bottom"/>
          </w:tcPr>
          <w:p w14:paraId="184DDA68" w14:textId="77777777" w:rsidR="00A32677" w:rsidRPr="00757AE3" w:rsidRDefault="00A32677" w:rsidP="001C5897">
            <w:pPr>
              <w:jc w:val="right"/>
              <w:rPr>
                <w:rFonts w:ascii="Calibri" w:hAnsi="Calibri" w:cs="Calibri"/>
                <w:i/>
                <w:iCs/>
                <w:color w:val="000000"/>
                <w:sz w:val="18"/>
                <w:szCs w:val="18"/>
                <w:lang w:eastAsia="en-IE"/>
              </w:rPr>
            </w:pPr>
          </w:p>
        </w:tc>
        <w:tc>
          <w:tcPr>
            <w:tcW w:w="851" w:type="dxa"/>
            <w:tcBorders>
              <w:top w:val="single" w:sz="8" w:space="0" w:color="auto"/>
              <w:left w:val="single" w:sz="8" w:space="0" w:color="auto"/>
              <w:right w:val="nil"/>
            </w:tcBorders>
            <w:vAlign w:val="bottom"/>
          </w:tcPr>
          <w:p w14:paraId="7DC08C90" w14:textId="77777777" w:rsidR="00A32677" w:rsidRPr="00757AE3" w:rsidRDefault="00A32677" w:rsidP="001C5897">
            <w:pPr>
              <w:jc w:val="right"/>
              <w:rPr>
                <w:rFonts w:ascii="Calibri" w:eastAsia="Calibri" w:hAnsi="Calibri" w:cs="Calibri"/>
                <w:sz w:val="18"/>
                <w:szCs w:val="18"/>
                <w:lang w:eastAsia="en-IE"/>
              </w:rPr>
            </w:pPr>
          </w:p>
        </w:tc>
        <w:tc>
          <w:tcPr>
            <w:tcW w:w="978" w:type="dxa"/>
            <w:tcBorders>
              <w:top w:val="single" w:sz="8" w:space="0" w:color="auto"/>
              <w:left w:val="nil"/>
              <w:right w:val="nil"/>
            </w:tcBorders>
            <w:vAlign w:val="bottom"/>
          </w:tcPr>
          <w:p w14:paraId="5EDD66C6" w14:textId="77777777" w:rsidR="00A32677" w:rsidRPr="00757AE3" w:rsidRDefault="00A32677" w:rsidP="001C5897">
            <w:pPr>
              <w:jc w:val="right"/>
              <w:rPr>
                <w:rFonts w:ascii="Calibri" w:eastAsia="Calibri" w:hAnsi="Calibri" w:cs="Calibri"/>
                <w:sz w:val="18"/>
                <w:szCs w:val="18"/>
                <w:lang w:eastAsia="en-IE"/>
              </w:rPr>
            </w:pPr>
          </w:p>
        </w:tc>
        <w:tc>
          <w:tcPr>
            <w:tcW w:w="1006" w:type="dxa"/>
            <w:gridSpan w:val="2"/>
            <w:tcBorders>
              <w:top w:val="single" w:sz="8" w:space="0" w:color="auto"/>
              <w:left w:val="nil"/>
              <w:right w:val="nil"/>
            </w:tcBorders>
            <w:vAlign w:val="bottom"/>
          </w:tcPr>
          <w:p w14:paraId="6EBC9A82" w14:textId="77777777" w:rsidR="00A32677" w:rsidRPr="00757AE3" w:rsidRDefault="00A32677" w:rsidP="001C5897">
            <w:pPr>
              <w:jc w:val="right"/>
              <w:rPr>
                <w:rFonts w:ascii="Calibri" w:eastAsia="Calibri" w:hAnsi="Calibri" w:cs="Calibri"/>
                <w:sz w:val="18"/>
                <w:szCs w:val="18"/>
                <w:lang w:eastAsia="en-IE"/>
              </w:rPr>
            </w:pPr>
          </w:p>
        </w:tc>
        <w:tc>
          <w:tcPr>
            <w:tcW w:w="993" w:type="dxa"/>
            <w:tcBorders>
              <w:top w:val="single" w:sz="8" w:space="0" w:color="auto"/>
              <w:left w:val="nil"/>
              <w:right w:val="single" w:sz="8" w:space="0" w:color="auto"/>
            </w:tcBorders>
            <w:vAlign w:val="bottom"/>
          </w:tcPr>
          <w:p w14:paraId="54807299" w14:textId="77777777" w:rsidR="00A32677" w:rsidRPr="00757AE3" w:rsidRDefault="00A32677" w:rsidP="001C5897">
            <w:pPr>
              <w:jc w:val="right"/>
              <w:rPr>
                <w:rFonts w:ascii="Calibri" w:eastAsia="Calibri" w:hAnsi="Calibri" w:cs="Calibri"/>
                <w:sz w:val="18"/>
                <w:szCs w:val="18"/>
                <w:lang w:eastAsia="en-IE"/>
              </w:rPr>
            </w:pPr>
          </w:p>
        </w:tc>
        <w:tc>
          <w:tcPr>
            <w:tcW w:w="992" w:type="dxa"/>
            <w:tcBorders>
              <w:top w:val="single" w:sz="8" w:space="0" w:color="auto"/>
              <w:left w:val="single" w:sz="8" w:space="0" w:color="auto"/>
              <w:right w:val="nil"/>
            </w:tcBorders>
            <w:vAlign w:val="bottom"/>
          </w:tcPr>
          <w:p w14:paraId="5EB93DB5" w14:textId="77777777" w:rsidR="00A32677" w:rsidRPr="00757AE3" w:rsidRDefault="00A32677" w:rsidP="001C5897">
            <w:pPr>
              <w:jc w:val="right"/>
              <w:rPr>
                <w:rFonts w:ascii="Calibri" w:eastAsia="Calibri" w:hAnsi="Calibri" w:cs="Calibri"/>
                <w:sz w:val="18"/>
                <w:szCs w:val="18"/>
                <w:lang w:eastAsia="en-IE"/>
              </w:rPr>
            </w:pPr>
          </w:p>
        </w:tc>
        <w:tc>
          <w:tcPr>
            <w:tcW w:w="992" w:type="dxa"/>
            <w:tcBorders>
              <w:top w:val="single" w:sz="8" w:space="0" w:color="auto"/>
              <w:left w:val="nil"/>
              <w:right w:val="single" w:sz="8" w:space="0" w:color="auto"/>
            </w:tcBorders>
            <w:vAlign w:val="bottom"/>
          </w:tcPr>
          <w:p w14:paraId="038138B3" w14:textId="77777777" w:rsidR="00A32677" w:rsidRPr="00757AE3" w:rsidRDefault="00A32677" w:rsidP="001C5897">
            <w:pPr>
              <w:jc w:val="right"/>
              <w:rPr>
                <w:rFonts w:ascii="Calibri" w:eastAsia="Calibri" w:hAnsi="Calibri" w:cs="Calibri"/>
                <w:sz w:val="18"/>
                <w:szCs w:val="18"/>
                <w:lang w:eastAsia="en-IE"/>
              </w:rPr>
            </w:pPr>
          </w:p>
        </w:tc>
        <w:tc>
          <w:tcPr>
            <w:tcW w:w="992" w:type="dxa"/>
            <w:tcBorders>
              <w:top w:val="single" w:sz="8" w:space="0" w:color="auto"/>
              <w:left w:val="single" w:sz="8" w:space="0" w:color="auto"/>
              <w:right w:val="nil"/>
            </w:tcBorders>
            <w:vAlign w:val="bottom"/>
          </w:tcPr>
          <w:p w14:paraId="0F68ECBE" w14:textId="77777777" w:rsidR="00A32677" w:rsidRPr="00757AE3" w:rsidRDefault="00A32677" w:rsidP="001C5897">
            <w:pPr>
              <w:jc w:val="right"/>
              <w:rPr>
                <w:rFonts w:ascii="Calibri" w:hAnsi="Calibri" w:cs="Calibri"/>
                <w:color w:val="000000"/>
                <w:sz w:val="18"/>
                <w:szCs w:val="18"/>
                <w:lang w:eastAsia="en-IE"/>
              </w:rPr>
            </w:pPr>
          </w:p>
        </w:tc>
      </w:tr>
      <w:tr w:rsidR="00A32677" w:rsidRPr="00BF0AD6" w14:paraId="3FDD5C56" w14:textId="77777777" w:rsidTr="00EE6630">
        <w:trPr>
          <w:trHeight w:val="227"/>
        </w:trPr>
        <w:tc>
          <w:tcPr>
            <w:tcW w:w="2977" w:type="dxa"/>
            <w:shd w:val="clear" w:color="auto" w:fill="FFFFFF"/>
            <w:vAlign w:val="bottom"/>
            <w:hideMark/>
          </w:tcPr>
          <w:p w14:paraId="3AF21463" w14:textId="77777777" w:rsidR="00A32677" w:rsidRPr="00BF0AD6" w:rsidRDefault="00A32677" w:rsidP="00EE6630">
            <w:pPr>
              <w:ind w:right="-112"/>
              <w:rPr>
                <w:rFonts w:ascii="Calibri" w:hAnsi="Calibri" w:cs="Calibri"/>
                <w:color w:val="000000"/>
                <w:sz w:val="18"/>
                <w:szCs w:val="18"/>
                <w:lang w:eastAsia="en-IE"/>
              </w:rPr>
            </w:pPr>
            <w:r w:rsidRPr="00E62280">
              <w:rPr>
                <w:rFonts w:ascii="Calibri" w:hAnsi="Calibri" w:cs="Calibri"/>
                <w:bCs/>
                <w:color w:val="000000"/>
                <w:sz w:val="18"/>
                <w:szCs w:val="18"/>
              </w:rPr>
              <w:t>Issue of ordinary equity shares</w:t>
            </w:r>
          </w:p>
        </w:tc>
        <w:tc>
          <w:tcPr>
            <w:tcW w:w="992" w:type="dxa"/>
            <w:tcBorders>
              <w:left w:val="single" w:sz="8" w:space="0" w:color="auto"/>
              <w:bottom w:val="nil"/>
              <w:right w:val="single" w:sz="8" w:space="0" w:color="auto"/>
            </w:tcBorders>
            <w:shd w:val="clear" w:color="auto" w:fill="FFFFFF"/>
            <w:noWrap/>
            <w:vAlign w:val="bottom"/>
          </w:tcPr>
          <w:p w14:paraId="7404E2A4"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2.6</w:t>
            </w:r>
          </w:p>
        </w:tc>
        <w:tc>
          <w:tcPr>
            <w:tcW w:w="851" w:type="dxa"/>
            <w:shd w:val="clear" w:color="auto" w:fill="FFFFFF"/>
            <w:noWrap/>
            <w:vAlign w:val="bottom"/>
          </w:tcPr>
          <w:p w14:paraId="7A77B51F"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0.1</w:t>
            </w:r>
          </w:p>
        </w:tc>
        <w:tc>
          <w:tcPr>
            <w:tcW w:w="978" w:type="dxa"/>
            <w:shd w:val="clear" w:color="auto" w:fill="FFFFFF"/>
            <w:noWrap/>
            <w:vAlign w:val="bottom"/>
          </w:tcPr>
          <w:p w14:paraId="5D6C56BA"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32.6</w:t>
            </w:r>
          </w:p>
        </w:tc>
        <w:tc>
          <w:tcPr>
            <w:tcW w:w="1006" w:type="dxa"/>
            <w:gridSpan w:val="2"/>
            <w:shd w:val="clear" w:color="auto" w:fill="FFFFFF"/>
            <w:noWrap/>
            <w:vAlign w:val="bottom"/>
          </w:tcPr>
          <w:p w14:paraId="20481023"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993" w:type="dxa"/>
            <w:shd w:val="clear" w:color="auto" w:fill="FFFFFF"/>
            <w:noWrap/>
            <w:vAlign w:val="bottom"/>
          </w:tcPr>
          <w:p w14:paraId="079FDE25"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(13.5)</w:t>
            </w:r>
          </w:p>
        </w:tc>
        <w:tc>
          <w:tcPr>
            <w:tcW w:w="992" w:type="dxa"/>
            <w:tcBorders>
              <w:left w:val="single" w:sz="8" w:space="0" w:color="auto"/>
              <w:bottom w:val="nil"/>
              <w:right w:val="nil"/>
            </w:tcBorders>
            <w:shd w:val="clear" w:color="auto" w:fill="FFFFFF"/>
            <w:noWrap/>
            <w:vAlign w:val="bottom"/>
          </w:tcPr>
          <w:p w14:paraId="1B19D33D"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992" w:type="dxa"/>
            <w:tcBorders>
              <w:left w:val="nil"/>
              <w:bottom w:val="nil"/>
              <w:right w:val="single" w:sz="8" w:space="0" w:color="auto"/>
            </w:tcBorders>
            <w:shd w:val="clear" w:color="auto" w:fill="FFFFFF"/>
            <w:noWrap/>
            <w:vAlign w:val="bottom"/>
          </w:tcPr>
          <w:p w14:paraId="48C97B90"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w:t>
            </w:r>
          </w:p>
        </w:tc>
        <w:tc>
          <w:tcPr>
            <w:tcW w:w="992" w:type="dxa"/>
            <w:shd w:val="clear" w:color="auto" w:fill="FFFFFF"/>
            <w:noWrap/>
            <w:vAlign w:val="bottom"/>
          </w:tcPr>
          <w:p w14:paraId="74962A30"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19.2</w:t>
            </w:r>
          </w:p>
        </w:tc>
      </w:tr>
      <w:tr w:rsidR="00A32677" w:rsidRPr="00BF0AD6" w14:paraId="07C27CB9" w14:textId="77777777" w:rsidTr="00EE6630">
        <w:trPr>
          <w:trHeight w:val="227"/>
        </w:trPr>
        <w:tc>
          <w:tcPr>
            <w:tcW w:w="2977" w:type="dxa"/>
            <w:shd w:val="clear" w:color="auto" w:fill="FFFFFF"/>
            <w:vAlign w:val="bottom"/>
            <w:hideMark/>
          </w:tcPr>
          <w:p w14:paraId="2A2C3479" w14:textId="77777777" w:rsidR="00A32677" w:rsidRPr="00BF0AD6" w:rsidRDefault="00A32677" w:rsidP="00EE6630">
            <w:pPr>
              <w:ind w:right="-112"/>
              <w:rPr>
                <w:rFonts w:ascii="Calibri" w:hAnsi="Calibri" w:cs="Calibri"/>
                <w:color w:val="000000"/>
                <w:sz w:val="18"/>
                <w:szCs w:val="18"/>
                <w:lang w:eastAsia="en-IE"/>
              </w:rPr>
            </w:pPr>
            <w:r w:rsidRPr="00E62280">
              <w:rPr>
                <w:rFonts w:ascii="Calibri" w:hAnsi="Calibri" w:cs="Calibri"/>
                <w:bCs/>
                <w:color w:val="000000"/>
                <w:sz w:val="18"/>
                <w:szCs w:val="18"/>
              </w:rPr>
              <w:t>Share-based payments</w:t>
            </w:r>
          </w:p>
        </w:tc>
        <w:tc>
          <w:tcPr>
            <w:tcW w:w="992" w:type="dxa"/>
            <w:tcBorders>
              <w:top w:val="nil"/>
              <w:left w:val="single" w:sz="8" w:space="0" w:color="auto"/>
              <w:bottom w:val="nil"/>
              <w:right w:val="single" w:sz="8" w:space="0" w:color="auto"/>
            </w:tcBorders>
            <w:shd w:val="clear" w:color="auto" w:fill="FFFFFF"/>
            <w:noWrap/>
            <w:vAlign w:val="bottom"/>
            <w:hideMark/>
          </w:tcPr>
          <w:p w14:paraId="7CE5C8A4"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w:t>
            </w:r>
          </w:p>
        </w:tc>
        <w:tc>
          <w:tcPr>
            <w:tcW w:w="851" w:type="dxa"/>
            <w:shd w:val="clear" w:color="auto" w:fill="FFFFFF"/>
            <w:noWrap/>
            <w:vAlign w:val="bottom"/>
            <w:hideMark/>
          </w:tcPr>
          <w:p w14:paraId="164F2EBF"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w:t>
            </w:r>
          </w:p>
        </w:tc>
        <w:tc>
          <w:tcPr>
            <w:tcW w:w="978" w:type="dxa"/>
            <w:shd w:val="clear" w:color="auto" w:fill="FFFFFF"/>
            <w:noWrap/>
            <w:vAlign w:val="bottom"/>
            <w:hideMark/>
          </w:tcPr>
          <w:p w14:paraId="76C10FE7"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w:t>
            </w:r>
          </w:p>
        </w:tc>
        <w:tc>
          <w:tcPr>
            <w:tcW w:w="1006" w:type="dxa"/>
            <w:gridSpan w:val="2"/>
            <w:shd w:val="clear" w:color="auto" w:fill="FFFFFF"/>
            <w:noWrap/>
            <w:vAlign w:val="bottom"/>
            <w:hideMark/>
          </w:tcPr>
          <w:p w14:paraId="678C0BCC"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w:t>
            </w:r>
          </w:p>
        </w:tc>
        <w:tc>
          <w:tcPr>
            <w:tcW w:w="993" w:type="dxa"/>
            <w:shd w:val="clear" w:color="auto" w:fill="FFFFFF"/>
            <w:noWrap/>
            <w:vAlign w:val="bottom"/>
            <w:hideMark/>
          </w:tcPr>
          <w:p w14:paraId="02AD8D1F"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w:t>
            </w:r>
          </w:p>
        </w:tc>
        <w:tc>
          <w:tcPr>
            <w:tcW w:w="992" w:type="dxa"/>
            <w:tcBorders>
              <w:top w:val="nil"/>
              <w:left w:val="single" w:sz="8" w:space="0" w:color="auto"/>
              <w:bottom w:val="nil"/>
              <w:right w:val="nil"/>
            </w:tcBorders>
            <w:shd w:val="clear" w:color="auto" w:fill="FFFFFF"/>
            <w:noWrap/>
            <w:vAlign w:val="bottom"/>
            <w:hideMark/>
          </w:tcPr>
          <w:p w14:paraId="570B82FA"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w:t>
            </w:r>
          </w:p>
        </w:tc>
        <w:tc>
          <w:tcPr>
            <w:tcW w:w="992" w:type="dxa"/>
            <w:tcBorders>
              <w:top w:val="nil"/>
              <w:left w:val="nil"/>
              <w:bottom w:val="nil"/>
              <w:right w:val="single" w:sz="8" w:space="0" w:color="auto"/>
            </w:tcBorders>
            <w:shd w:val="clear" w:color="auto" w:fill="FFFFFF"/>
            <w:noWrap/>
            <w:vAlign w:val="bottom"/>
            <w:hideMark/>
          </w:tcPr>
          <w:p w14:paraId="6FAC8ACF"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8.4</w:t>
            </w:r>
          </w:p>
        </w:tc>
        <w:tc>
          <w:tcPr>
            <w:tcW w:w="992" w:type="dxa"/>
            <w:shd w:val="clear" w:color="auto" w:fill="FFFFFF"/>
            <w:noWrap/>
            <w:vAlign w:val="bottom"/>
            <w:hideMark/>
          </w:tcPr>
          <w:p w14:paraId="49561DCF"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8.4</w:t>
            </w:r>
          </w:p>
        </w:tc>
      </w:tr>
      <w:tr w:rsidR="00A32677" w:rsidRPr="00BF0AD6" w14:paraId="5C8C09C0" w14:textId="77777777" w:rsidTr="00EE6630">
        <w:trPr>
          <w:trHeight w:val="227"/>
        </w:trPr>
        <w:tc>
          <w:tcPr>
            <w:tcW w:w="2977" w:type="dxa"/>
            <w:shd w:val="clear" w:color="auto" w:fill="FFFFFF"/>
            <w:vAlign w:val="bottom"/>
            <w:hideMark/>
          </w:tcPr>
          <w:p w14:paraId="4B37759C" w14:textId="77777777" w:rsidR="00A32677" w:rsidRPr="00BF0AD6" w:rsidRDefault="00A32677" w:rsidP="00EE6630">
            <w:pPr>
              <w:ind w:right="-112"/>
              <w:rPr>
                <w:rFonts w:ascii="Calibri" w:hAnsi="Calibri" w:cs="Calibri"/>
                <w:color w:val="000000"/>
                <w:sz w:val="18"/>
                <w:szCs w:val="18"/>
                <w:lang w:eastAsia="en-IE"/>
              </w:rPr>
            </w:pPr>
            <w:r w:rsidRPr="00E62280">
              <w:rPr>
                <w:rFonts w:ascii="Calibri" w:hAnsi="Calibri" w:cs="Calibri"/>
                <w:bCs/>
                <w:color w:val="000000"/>
                <w:sz w:val="18"/>
                <w:szCs w:val="18"/>
              </w:rPr>
              <w:t>Transfer of exercised and expired share</w:t>
            </w:r>
            <w:r>
              <w:rPr>
                <w:rFonts w:ascii="Calibri" w:hAnsi="Calibri" w:cs="Calibri"/>
                <w:bCs/>
                <w:color w:val="000000"/>
                <w:sz w:val="18"/>
                <w:szCs w:val="18"/>
              </w:rPr>
              <w:t>-</w:t>
            </w:r>
            <w:r w:rsidRPr="00E62280">
              <w:rPr>
                <w:rFonts w:ascii="Calibri" w:hAnsi="Calibri" w:cs="Calibri"/>
                <w:bCs/>
                <w:color w:val="000000"/>
                <w:sz w:val="18"/>
                <w:szCs w:val="18"/>
              </w:rPr>
              <w:t>based awards</w:t>
            </w:r>
          </w:p>
        </w:tc>
        <w:tc>
          <w:tcPr>
            <w:tcW w:w="992" w:type="dxa"/>
            <w:tcBorders>
              <w:top w:val="nil"/>
              <w:left w:val="single" w:sz="8" w:space="0" w:color="auto"/>
              <w:bottom w:val="single" w:sz="12" w:space="0" w:color="auto"/>
              <w:right w:val="single" w:sz="8" w:space="0" w:color="auto"/>
            </w:tcBorders>
            <w:shd w:val="clear" w:color="auto" w:fill="FFFFFF"/>
            <w:noWrap/>
            <w:vAlign w:val="bottom"/>
            <w:hideMark/>
          </w:tcPr>
          <w:p w14:paraId="29A7C88D" w14:textId="77777777" w:rsidR="00A32677" w:rsidRPr="00757AE3" w:rsidRDefault="00A32677" w:rsidP="001C5897">
            <w:pPr>
              <w:tabs>
                <w:tab w:val="left" w:pos="457"/>
              </w:tabs>
              <w:jc w:val="right"/>
              <w:rPr>
                <w:rFonts w:ascii="Calibri" w:hAnsi="Calibri" w:cs="Calibri"/>
                <w:sz w:val="18"/>
                <w:szCs w:val="18"/>
              </w:rPr>
            </w:pPr>
          </w:p>
          <w:p w14:paraId="24C58BC3"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w:t>
            </w:r>
          </w:p>
        </w:tc>
        <w:tc>
          <w:tcPr>
            <w:tcW w:w="851" w:type="dxa"/>
            <w:tcBorders>
              <w:bottom w:val="single" w:sz="12" w:space="0" w:color="auto"/>
            </w:tcBorders>
            <w:shd w:val="clear" w:color="auto" w:fill="FFFFFF"/>
            <w:noWrap/>
            <w:vAlign w:val="bottom"/>
            <w:hideMark/>
          </w:tcPr>
          <w:p w14:paraId="498F76B4" w14:textId="77777777" w:rsidR="00A32677" w:rsidRPr="00757AE3" w:rsidRDefault="00A32677" w:rsidP="001C5897">
            <w:pPr>
              <w:keepNext/>
              <w:autoSpaceDE w:val="0"/>
              <w:autoSpaceDN w:val="0"/>
              <w:adjustRightInd w:val="0"/>
              <w:jc w:val="right"/>
              <w:rPr>
                <w:rFonts w:ascii="Calibri" w:hAnsi="Calibri" w:cs="Calibri"/>
                <w:sz w:val="18"/>
                <w:szCs w:val="18"/>
              </w:rPr>
            </w:pPr>
          </w:p>
          <w:p w14:paraId="1FC9C071"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w:t>
            </w:r>
          </w:p>
        </w:tc>
        <w:tc>
          <w:tcPr>
            <w:tcW w:w="978" w:type="dxa"/>
            <w:tcBorders>
              <w:bottom w:val="single" w:sz="12" w:space="0" w:color="auto"/>
            </w:tcBorders>
            <w:shd w:val="clear" w:color="auto" w:fill="FFFFFF"/>
            <w:noWrap/>
            <w:vAlign w:val="bottom"/>
            <w:hideMark/>
          </w:tcPr>
          <w:p w14:paraId="19E87BDB" w14:textId="77777777" w:rsidR="00A32677" w:rsidRPr="00757AE3" w:rsidRDefault="00A32677" w:rsidP="001C5897">
            <w:pPr>
              <w:keepNext/>
              <w:autoSpaceDE w:val="0"/>
              <w:autoSpaceDN w:val="0"/>
              <w:adjustRightInd w:val="0"/>
              <w:jc w:val="right"/>
              <w:rPr>
                <w:rFonts w:ascii="Calibri" w:hAnsi="Calibri" w:cs="Calibri"/>
                <w:sz w:val="18"/>
                <w:szCs w:val="18"/>
              </w:rPr>
            </w:pPr>
          </w:p>
          <w:p w14:paraId="06E43B02"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w:t>
            </w:r>
          </w:p>
        </w:tc>
        <w:tc>
          <w:tcPr>
            <w:tcW w:w="1006" w:type="dxa"/>
            <w:gridSpan w:val="2"/>
            <w:tcBorders>
              <w:bottom w:val="single" w:sz="12" w:space="0" w:color="auto"/>
            </w:tcBorders>
            <w:shd w:val="clear" w:color="auto" w:fill="FFFFFF"/>
            <w:noWrap/>
            <w:vAlign w:val="bottom"/>
            <w:hideMark/>
          </w:tcPr>
          <w:p w14:paraId="7CB862E9" w14:textId="77777777" w:rsidR="00A32677" w:rsidRPr="00757AE3" w:rsidRDefault="00A32677" w:rsidP="001C5897">
            <w:pPr>
              <w:keepNext/>
              <w:autoSpaceDE w:val="0"/>
              <w:autoSpaceDN w:val="0"/>
              <w:adjustRightInd w:val="0"/>
              <w:jc w:val="right"/>
              <w:rPr>
                <w:rFonts w:ascii="Calibri" w:hAnsi="Calibri" w:cs="Calibri"/>
                <w:sz w:val="18"/>
                <w:szCs w:val="18"/>
              </w:rPr>
            </w:pPr>
          </w:p>
          <w:p w14:paraId="48B784C6"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w:t>
            </w:r>
          </w:p>
        </w:tc>
        <w:tc>
          <w:tcPr>
            <w:tcW w:w="993" w:type="dxa"/>
            <w:tcBorders>
              <w:bottom w:val="single" w:sz="12" w:space="0" w:color="auto"/>
            </w:tcBorders>
            <w:shd w:val="clear" w:color="auto" w:fill="FFFFFF"/>
            <w:noWrap/>
            <w:vAlign w:val="bottom"/>
            <w:hideMark/>
          </w:tcPr>
          <w:p w14:paraId="436D6AC8" w14:textId="77777777" w:rsidR="00A32677" w:rsidRPr="00757AE3" w:rsidRDefault="00A32677" w:rsidP="001C5897">
            <w:pPr>
              <w:keepNext/>
              <w:autoSpaceDE w:val="0"/>
              <w:autoSpaceDN w:val="0"/>
              <w:adjustRightInd w:val="0"/>
              <w:jc w:val="right"/>
              <w:rPr>
                <w:rFonts w:ascii="Calibri" w:hAnsi="Calibri" w:cs="Calibri"/>
                <w:sz w:val="18"/>
                <w:szCs w:val="18"/>
              </w:rPr>
            </w:pPr>
          </w:p>
          <w:p w14:paraId="57A6661A"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3.3</w:t>
            </w:r>
          </w:p>
        </w:tc>
        <w:tc>
          <w:tcPr>
            <w:tcW w:w="992" w:type="dxa"/>
            <w:tcBorders>
              <w:top w:val="nil"/>
              <w:left w:val="single" w:sz="8" w:space="0" w:color="auto"/>
              <w:bottom w:val="single" w:sz="12" w:space="0" w:color="auto"/>
              <w:right w:val="nil"/>
            </w:tcBorders>
            <w:shd w:val="clear" w:color="auto" w:fill="FFFFFF"/>
            <w:noWrap/>
            <w:vAlign w:val="bottom"/>
            <w:hideMark/>
          </w:tcPr>
          <w:p w14:paraId="25A7DF6B" w14:textId="77777777" w:rsidR="00A32677" w:rsidRPr="00757AE3" w:rsidRDefault="00A32677" w:rsidP="001C5897">
            <w:pPr>
              <w:keepNext/>
              <w:autoSpaceDE w:val="0"/>
              <w:autoSpaceDN w:val="0"/>
              <w:adjustRightInd w:val="0"/>
              <w:jc w:val="right"/>
              <w:rPr>
                <w:rFonts w:ascii="Calibri" w:hAnsi="Calibri" w:cs="Calibri"/>
                <w:sz w:val="18"/>
                <w:szCs w:val="18"/>
              </w:rPr>
            </w:pPr>
          </w:p>
          <w:p w14:paraId="3432DBE5"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w:t>
            </w:r>
          </w:p>
        </w:tc>
        <w:tc>
          <w:tcPr>
            <w:tcW w:w="992" w:type="dxa"/>
            <w:tcBorders>
              <w:top w:val="nil"/>
              <w:left w:val="nil"/>
              <w:bottom w:val="single" w:sz="12" w:space="0" w:color="auto"/>
              <w:right w:val="single" w:sz="8" w:space="0" w:color="auto"/>
            </w:tcBorders>
            <w:shd w:val="clear" w:color="auto" w:fill="FFFFFF"/>
            <w:noWrap/>
            <w:vAlign w:val="bottom"/>
            <w:hideMark/>
          </w:tcPr>
          <w:p w14:paraId="1E2AB9BC" w14:textId="77777777" w:rsidR="00A32677" w:rsidRPr="00757AE3" w:rsidRDefault="00A32677" w:rsidP="001C5897">
            <w:pPr>
              <w:keepNext/>
              <w:autoSpaceDE w:val="0"/>
              <w:autoSpaceDN w:val="0"/>
              <w:adjustRightInd w:val="0"/>
              <w:jc w:val="right"/>
              <w:rPr>
                <w:rFonts w:ascii="Calibri" w:hAnsi="Calibri" w:cs="Calibri"/>
                <w:sz w:val="18"/>
                <w:szCs w:val="18"/>
              </w:rPr>
            </w:pPr>
          </w:p>
          <w:p w14:paraId="68241718"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(3.3)</w:t>
            </w:r>
          </w:p>
        </w:tc>
        <w:tc>
          <w:tcPr>
            <w:tcW w:w="992" w:type="dxa"/>
            <w:tcBorders>
              <w:bottom w:val="single" w:sz="12" w:space="0" w:color="auto"/>
            </w:tcBorders>
            <w:shd w:val="clear" w:color="auto" w:fill="FFFFFF"/>
            <w:noWrap/>
            <w:vAlign w:val="bottom"/>
            <w:hideMark/>
          </w:tcPr>
          <w:p w14:paraId="4B96DD98" w14:textId="77777777" w:rsidR="00A32677" w:rsidRPr="00757AE3" w:rsidRDefault="00A32677" w:rsidP="001C5897">
            <w:pPr>
              <w:keepNext/>
              <w:tabs>
                <w:tab w:val="left" w:pos="963"/>
              </w:tabs>
              <w:autoSpaceDE w:val="0"/>
              <w:autoSpaceDN w:val="0"/>
              <w:adjustRightInd w:val="0"/>
              <w:jc w:val="right"/>
              <w:rPr>
                <w:rFonts w:ascii="Calibri" w:hAnsi="Calibri" w:cs="Calibri"/>
                <w:sz w:val="18"/>
                <w:szCs w:val="18"/>
              </w:rPr>
            </w:pPr>
          </w:p>
          <w:p w14:paraId="75BFDCF1"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w:t>
            </w:r>
          </w:p>
        </w:tc>
      </w:tr>
      <w:tr w:rsidR="00A32677" w:rsidRPr="00BF0AD6" w14:paraId="1FE0EA80" w14:textId="77777777" w:rsidTr="00EE6630">
        <w:trPr>
          <w:trHeight w:val="227"/>
        </w:trPr>
        <w:tc>
          <w:tcPr>
            <w:tcW w:w="2977" w:type="dxa"/>
            <w:shd w:val="clear" w:color="auto" w:fill="FFFFFF"/>
            <w:vAlign w:val="bottom"/>
          </w:tcPr>
          <w:p w14:paraId="035F02DD" w14:textId="77777777" w:rsidR="00A32677" w:rsidRPr="00BF0AD6" w:rsidRDefault="00A32677" w:rsidP="00EE6630">
            <w:pPr>
              <w:ind w:right="-112"/>
              <w:rPr>
                <w:rFonts w:ascii="Calibri" w:hAnsi="Calibri" w:cs="Calibri"/>
                <w:color w:val="000000"/>
                <w:sz w:val="18"/>
                <w:szCs w:val="18"/>
                <w:lang w:eastAsia="en-IE"/>
              </w:rPr>
            </w:pPr>
            <w:bookmarkStart w:id="3" w:name="OLE_LINK19"/>
            <w:r w:rsidRPr="00E62280">
              <w:rPr>
                <w:rFonts w:ascii="Calibri" w:hAnsi="Calibri" w:cs="Calibri"/>
                <w:b/>
                <w:bCs/>
                <w:color w:val="000000"/>
                <w:sz w:val="18"/>
                <w:szCs w:val="18"/>
              </w:rPr>
              <w:t xml:space="preserve">Balance </w:t>
            </w:r>
            <w:proofErr w:type="gramStart"/>
            <w:r w:rsidRPr="00E62280">
              <w:rPr>
                <w:rFonts w:ascii="Calibri" w:hAnsi="Calibri" w:cs="Calibri"/>
                <w:b/>
                <w:bCs/>
                <w:color w:val="000000"/>
                <w:sz w:val="18"/>
                <w:szCs w:val="18"/>
              </w:rPr>
              <w:t>at</w:t>
            </w:r>
            <w:proofErr w:type="gramEnd"/>
            <w:r w:rsidRPr="00E62280">
              <w:rPr>
                <w:rFonts w:ascii="Calibri" w:hAnsi="Calibri" w:cs="Calibri"/>
                <w:b/>
                <w:bCs/>
                <w:color w:val="000000"/>
                <w:sz w:val="18"/>
                <w:szCs w:val="18"/>
              </w:rPr>
              <w:t xml:space="preserve"> September 30, 202</w:t>
            </w:r>
            <w:r>
              <w:rPr>
                <w:rFonts w:ascii="Calibri" w:hAnsi="Calibri" w:cs="Calibri"/>
                <w:b/>
                <w:bCs/>
                <w:color w:val="000000"/>
                <w:sz w:val="18"/>
                <w:szCs w:val="18"/>
              </w:rPr>
              <w:t>2</w:t>
            </w:r>
            <w:bookmarkEnd w:id="3"/>
          </w:p>
        </w:tc>
        <w:tc>
          <w:tcPr>
            <w:tcW w:w="992" w:type="dxa"/>
            <w:tcBorders>
              <w:top w:val="single" w:sz="12" w:space="0" w:color="auto"/>
              <w:left w:val="single" w:sz="8" w:space="0" w:color="auto"/>
              <w:bottom w:val="single" w:sz="12" w:space="0" w:color="auto"/>
              <w:right w:val="single" w:sz="8" w:space="0" w:color="auto"/>
            </w:tcBorders>
            <w:shd w:val="clear" w:color="auto" w:fill="FFFFFF"/>
            <w:noWrap/>
            <w:vAlign w:val="bottom"/>
          </w:tcPr>
          <w:p w14:paraId="6EFD9247"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1,137.2</w:t>
            </w:r>
          </w:p>
        </w:tc>
        <w:tc>
          <w:tcPr>
            <w:tcW w:w="851" w:type="dxa"/>
            <w:tcBorders>
              <w:top w:val="single" w:sz="12" w:space="0" w:color="auto"/>
              <w:bottom w:val="single" w:sz="12" w:space="0" w:color="auto"/>
            </w:tcBorders>
            <w:shd w:val="clear" w:color="auto" w:fill="FFFFFF"/>
            <w:noWrap/>
            <w:vAlign w:val="bottom"/>
          </w:tcPr>
          <w:p w14:paraId="10E19E43" w14:textId="77777777" w:rsidR="00A32677" w:rsidRPr="00757AE3" w:rsidRDefault="00A32677" w:rsidP="001C5897">
            <w:pPr>
              <w:jc w:val="right"/>
              <w:rPr>
                <w:rFonts w:ascii="Calibri" w:eastAsia="Calibri" w:hAnsi="Calibri" w:cs="Calibri"/>
                <w:sz w:val="18"/>
                <w:szCs w:val="18"/>
                <w:lang w:eastAsia="en-IE"/>
              </w:rPr>
            </w:pPr>
            <w:r w:rsidRPr="00757AE3">
              <w:rPr>
                <w:rFonts w:ascii="Calibri" w:hAnsi="Calibri" w:cs="Calibri"/>
                <w:sz w:val="18"/>
                <w:szCs w:val="18"/>
              </w:rPr>
              <w:t>6.9</w:t>
            </w:r>
          </w:p>
        </w:tc>
        <w:tc>
          <w:tcPr>
            <w:tcW w:w="978" w:type="dxa"/>
            <w:tcBorders>
              <w:top w:val="single" w:sz="12" w:space="0" w:color="auto"/>
              <w:bottom w:val="single" w:sz="12" w:space="0" w:color="auto"/>
            </w:tcBorders>
            <w:shd w:val="clear" w:color="auto" w:fill="FFFFFF"/>
            <w:noWrap/>
            <w:vAlign w:val="bottom"/>
          </w:tcPr>
          <w:p w14:paraId="3A813C8B"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1,360.8</w:t>
            </w:r>
          </w:p>
        </w:tc>
        <w:tc>
          <w:tcPr>
            <w:tcW w:w="1006" w:type="dxa"/>
            <w:gridSpan w:val="2"/>
            <w:tcBorders>
              <w:top w:val="single" w:sz="12" w:space="0" w:color="auto"/>
              <w:bottom w:val="single" w:sz="12" w:space="0" w:color="auto"/>
            </w:tcBorders>
            <w:shd w:val="clear" w:color="auto" w:fill="FFFFFF"/>
            <w:noWrap/>
            <w:vAlign w:val="bottom"/>
          </w:tcPr>
          <w:p w14:paraId="0AFC6FEC" w14:textId="77777777" w:rsidR="00A32677" w:rsidRPr="00757AE3" w:rsidRDefault="00A32677" w:rsidP="001C5897">
            <w:pPr>
              <w:jc w:val="right"/>
              <w:rPr>
                <w:rFonts w:ascii="Calibri" w:eastAsia="Calibri" w:hAnsi="Calibri" w:cs="Calibri"/>
                <w:sz w:val="18"/>
                <w:szCs w:val="18"/>
                <w:lang w:eastAsia="en-IE"/>
              </w:rPr>
            </w:pPr>
            <w:r w:rsidRPr="00757AE3">
              <w:rPr>
                <w:rFonts w:ascii="Calibri" w:hAnsi="Calibri" w:cs="Calibri"/>
                <w:sz w:val="18"/>
                <w:szCs w:val="18"/>
              </w:rPr>
              <w:t>3.5</w:t>
            </w:r>
          </w:p>
        </w:tc>
        <w:tc>
          <w:tcPr>
            <w:tcW w:w="993" w:type="dxa"/>
            <w:tcBorders>
              <w:top w:val="single" w:sz="12" w:space="0" w:color="auto"/>
              <w:bottom w:val="single" w:sz="12" w:space="0" w:color="auto"/>
            </w:tcBorders>
            <w:shd w:val="clear" w:color="auto" w:fill="FFFFFF"/>
            <w:noWrap/>
            <w:vAlign w:val="bottom"/>
          </w:tcPr>
          <w:p w14:paraId="115E78E5" w14:textId="77777777" w:rsidR="00A32677" w:rsidRPr="00757AE3" w:rsidRDefault="00A32677" w:rsidP="001C5897">
            <w:pPr>
              <w:jc w:val="right"/>
              <w:rPr>
                <w:rFonts w:ascii="Calibri" w:eastAsia="Calibri" w:hAnsi="Calibri" w:cs="Calibri"/>
                <w:sz w:val="18"/>
                <w:szCs w:val="18"/>
                <w:lang w:eastAsia="en-IE"/>
              </w:rPr>
            </w:pPr>
            <w:r w:rsidRPr="00757AE3">
              <w:rPr>
                <w:rFonts w:ascii="Calibri" w:hAnsi="Calibri" w:cs="Calibri"/>
                <w:sz w:val="18"/>
                <w:szCs w:val="18"/>
              </w:rPr>
              <w:t>4,134.1</w:t>
            </w:r>
          </w:p>
        </w:tc>
        <w:tc>
          <w:tcPr>
            <w:tcW w:w="992" w:type="dxa"/>
            <w:tcBorders>
              <w:top w:val="single" w:sz="12" w:space="0" w:color="auto"/>
              <w:left w:val="single" w:sz="8" w:space="0" w:color="auto"/>
              <w:bottom w:val="single" w:sz="12" w:space="0" w:color="auto"/>
              <w:right w:val="nil"/>
            </w:tcBorders>
            <w:shd w:val="clear" w:color="auto" w:fill="FFFFFF"/>
            <w:noWrap/>
            <w:vAlign w:val="bottom"/>
          </w:tcPr>
          <w:p w14:paraId="70509998" w14:textId="77777777" w:rsidR="00A32677" w:rsidRPr="00757AE3" w:rsidRDefault="00A32677" w:rsidP="001C5897">
            <w:pPr>
              <w:jc w:val="right"/>
              <w:rPr>
                <w:rFonts w:ascii="Calibri" w:eastAsia="Calibri" w:hAnsi="Calibri" w:cs="Calibri"/>
                <w:sz w:val="18"/>
                <w:szCs w:val="18"/>
                <w:lang w:eastAsia="en-IE"/>
              </w:rPr>
            </w:pPr>
            <w:r w:rsidRPr="00757AE3">
              <w:rPr>
                <w:rFonts w:ascii="Calibri" w:hAnsi="Calibri" w:cs="Calibri"/>
                <w:sz w:val="18"/>
                <w:szCs w:val="18"/>
              </w:rPr>
              <w:t>1,125.2</w:t>
            </w:r>
          </w:p>
        </w:tc>
        <w:tc>
          <w:tcPr>
            <w:tcW w:w="992" w:type="dxa"/>
            <w:tcBorders>
              <w:top w:val="single" w:sz="12" w:space="0" w:color="auto"/>
              <w:left w:val="nil"/>
              <w:bottom w:val="single" w:sz="12" w:space="0" w:color="auto"/>
              <w:right w:val="single" w:sz="8" w:space="0" w:color="auto"/>
            </w:tcBorders>
            <w:shd w:val="clear" w:color="auto" w:fill="FFFFFF"/>
            <w:noWrap/>
            <w:vAlign w:val="bottom"/>
          </w:tcPr>
          <w:p w14:paraId="5F214318" w14:textId="77777777" w:rsidR="00A32677" w:rsidRPr="00757AE3" w:rsidRDefault="00A32677" w:rsidP="001C5897">
            <w:pPr>
              <w:jc w:val="right"/>
              <w:rPr>
                <w:rFonts w:ascii="Calibri" w:eastAsia="Calibri" w:hAnsi="Calibri" w:cs="Calibri"/>
                <w:sz w:val="18"/>
                <w:szCs w:val="18"/>
                <w:lang w:eastAsia="en-IE"/>
              </w:rPr>
            </w:pPr>
            <w:r w:rsidRPr="00757AE3">
              <w:rPr>
                <w:rFonts w:ascii="Calibri" w:hAnsi="Calibri" w:cs="Calibri"/>
                <w:sz w:val="18"/>
                <w:szCs w:val="18"/>
              </w:rPr>
              <w:t>35.6</w:t>
            </w:r>
          </w:p>
        </w:tc>
        <w:tc>
          <w:tcPr>
            <w:tcW w:w="992" w:type="dxa"/>
            <w:tcBorders>
              <w:top w:val="single" w:sz="12" w:space="0" w:color="auto"/>
              <w:bottom w:val="single" w:sz="12" w:space="0" w:color="auto"/>
            </w:tcBorders>
            <w:shd w:val="clear" w:color="auto" w:fill="FFFFFF"/>
            <w:noWrap/>
            <w:vAlign w:val="bottom"/>
          </w:tcPr>
          <w:p w14:paraId="1A17D8B2"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6,666.1</w:t>
            </w:r>
          </w:p>
        </w:tc>
      </w:tr>
      <w:tr w:rsidR="00A32677" w:rsidRPr="00BF0AD6" w14:paraId="792B2379" w14:textId="77777777" w:rsidTr="00EE6630">
        <w:trPr>
          <w:trHeight w:val="227"/>
        </w:trPr>
        <w:tc>
          <w:tcPr>
            <w:tcW w:w="2977" w:type="dxa"/>
            <w:shd w:val="clear" w:color="auto" w:fill="FFFFFF"/>
            <w:vAlign w:val="bottom"/>
          </w:tcPr>
          <w:p w14:paraId="1290EF11" w14:textId="77777777" w:rsidR="00A32677" w:rsidRPr="00BF0AD6" w:rsidRDefault="00A32677" w:rsidP="00EE6630">
            <w:pPr>
              <w:ind w:right="-112"/>
              <w:rPr>
                <w:rFonts w:ascii="Calibri" w:hAnsi="Calibri" w:cs="Calibri"/>
                <w:color w:val="000000"/>
                <w:sz w:val="18"/>
                <w:szCs w:val="18"/>
                <w:lang w:eastAsia="en-IE"/>
              </w:rPr>
            </w:pPr>
            <w:r w:rsidRPr="00F26EAC">
              <w:rPr>
                <w:rFonts w:ascii="Calibri" w:hAnsi="Calibri" w:cs="Calibri"/>
                <w:color w:val="000000"/>
                <w:sz w:val="18"/>
                <w:szCs w:val="18"/>
                <w:lang w:eastAsia="en-IE"/>
              </w:rPr>
              <w:t>Profit for the half-year</w:t>
            </w:r>
          </w:p>
        </w:tc>
        <w:tc>
          <w:tcPr>
            <w:tcW w:w="992" w:type="dxa"/>
            <w:tcBorders>
              <w:top w:val="single" w:sz="12" w:space="0" w:color="auto"/>
              <w:left w:val="single" w:sz="8" w:space="0" w:color="auto"/>
              <w:bottom w:val="nil"/>
              <w:right w:val="single" w:sz="8" w:space="0" w:color="auto"/>
            </w:tcBorders>
            <w:shd w:val="clear" w:color="auto" w:fill="FFFFFF"/>
            <w:noWrap/>
            <w:vAlign w:val="bottom"/>
          </w:tcPr>
          <w:p w14:paraId="5D302C5A"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w:t>
            </w:r>
          </w:p>
        </w:tc>
        <w:tc>
          <w:tcPr>
            <w:tcW w:w="851" w:type="dxa"/>
            <w:tcBorders>
              <w:top w:val="single" w:sz="12" w:space="0" w:color="auto"/>
            </w:tcBorders>
            <w:shd w:val="clear" w:color="auto" w:fill="FFFFFF"/>
            <w:noWrap/>
            <w:vAlign w:val="bottom"/>
          </w:tcPr>
          <w:p w14:paraId="1C2255FC"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78" w:type="dxa"/>
            <w:tcBorders>
              <w:top w:val="single" w:sz="12" w:space="0" w:color="auto"/>
            </w:tcBorders>
            <w:shd w:val="clear" w:color="auto" w:fill="FFFFFF"/>
            <w:noWrap/>
            <w:vAlign w:val="bottom"/>
          </w:tcPr>
          <w:p w14:paraId="6C495D7D" w14:textId="77777777" w:rsidR="00A32677" w:rsidRPr="00757AE3" w:rsidRDefault="00A32677" w:rsidP="001C5897">
            <w:pPr>
              <w:jc w:val="right"/>
              <w:rPr>
                <w:rFonts w:ascii="Calibri" w:hAnsi="Calibri" w:cs="Calibri"/>
                <w:color w:val="000000"/>
                <w:sz w:val="18"/>
                <w:szCs w:val="18"/>
                <w:lang w:eastAsia="en-IE"/>
              </w:rPr>
            </w:pPr>
            <w:r w:rsidRPr="00757AE3">
              <w:rPr>
                <w:rFonts w:ascii="Calibri" w:eastAsia="Calibri" w:hAnsi="Calibri" w:cs="Calibri"/>
                <w:sz w:val="18"/>
                <w:szCs w:val="18"/>
                <w:lang w:eastAsia="en-IE"/>
              </w:rPr>
              <w:t>-</w:t>
            </w:r>
          </w:p>
        </w:tc>
        <w:tc>
          <w:tcPr>
            <w:tcW w:w="1006" w:type="dxa"/>
            <w:gridSpan w:val="2"/>
            <w:tcBorders>
              <w:top w:val="single" w:sz="12" w:space="0" w:color="auto"/>
            </w:tcBorders>
            <w:shd w:val="clear" w:color="auto" w:fill="FFFFFF"/>
            <w:noWrap/>
            <w:vAlign w:val="bottom"/>
          </w:tcPr>
          <w:p w14:paraId="55948669" w14:textId="77777777" w:rsidR="00A32677" w:rsidRPr="00757AE3" w:rsidRDefault="00A32677" w:rsidP="001C5897">
            <w:pPr>
              <w:jc w:val="right"/>
              <w:rPr>
                <w:rFonts w:ascii="Calibri" w:eastAsia="Calibri" w:hAnsi="Calibri" w:cs="Calibri"/>
                <w:sz w:val="18"/>
                <w:szCs w:val="18"/>
                <w:lang w:eastAsia="en-IE"/>
              </w:rPr>
            </w:pPr>
            <w:r w:rsidRPr="00757AE3">
              <w:rPr>
                <w:rFonts w:ascii="Calibri" w:hAnsi="Calibri" w:cs="Calibri"/>
                <w:color w:val="000000"/>
                <w:sz w:val="18"/>
                <w:szCs w:val="18"/>
              </w:rPr>
              <w:t>-</w:t>
            </w:r>
          </w:p>
        </w:tc>
        <w:tc>
          <w:tcPr>
            <w:tcW w:w="993" w:type="dxa"/>
            <w:tcBorders>
              <w:top w:val="single" w:sz="12" w:space="0" w:color="auto"/>
            </w:tcBorders>
            <w:shd w:val="clear" w:color="auto" w:fill="FFFFFF"/>
            <w:noWrap/>
            <w:vAlign w:val="bottom"/>
          </w:tcPr>
          <w:p w14:paraId="3DF549AE"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50.4</w:t>
            </w:r>
          </w:p>
        </w:tc>
        <w:tc>
          <w:tcPr>
            <w:tcW w:w="992" w:type="dxa"/>
            <w:tcBorders>
              <w:top w:val="single" w:sz="12" w:space="0" w:color="auto"/>
              <w:left w:val="single" w:sz="8" w:space="0" w:color="auto"/>
              <w:bottom w:val="nil"/>
              <w:right w:val="nil"/>
            </w:tcBorders>
            <w:shd w:val="clear" w:color="auto" w:fill="FFFFFF"/>
            <w:noWrap/>
            <w:vAlign w:val="bottom"/>
          </w:tcPr>
          <w:p w14:paraId="06186265"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92" w:type="dxa"/>
            <w:tcBorders>
              <w:top w:val="single" w:sz="12" w:space="0" w:color="auto"/>
              <w:left w:val="nil"/>
              <w:bottom w:val="nil"/>
              <w:right w:val="single" w:sz="8" w:space="0" w:color="auto"/>
            </w:tcBorders>
            <w:shd w:val="clear" w:color="auto" w:fill="FFFFFF"/>
            <w:noWrap/>
            <w:vAlign w:val="bottom"/>
          </w:tcPr>
          <w:p w14:paraId="7083696C"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92" w:type="dxa"/>
            <w:tcBorders>
              <w:top w:val="single" w:sz="12" w:space="0" w:color="auto"/>
            </w:tcBorders>
            <w:shd w:val="clear" w:color="auto" w:fill="FFFFFF"/>
            <w:noWrap/>
            <w:vAlign w:val="bottom"/>
          </w:tcPr>
          <w:p w14:paraId="7C703EEE"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50.4</w:t>
            </w:r>
          </w:p>
        </w:tc>
      </w:tr>
      <w:tr w:rsidR="00A32677" w:rsidRPr="00BF0AD6" w14:paraId="42671FC1" w14:textId="77777777" w:rsidTr="00EE6630">
        <w:trPr>
          <w:trHeight w:val="227"/>
        </w:trPr>
        <w:tc>
          <w:tcPr>
            <w:tcW w:w="2977" w:type="dxa"/>
            <w:shd w:val="clear" w:color="auto" w:fill="FFFFFF"/>
            <w:vAlign w:val="bottom"/>
          </w:tcPr>
          <w:p w14:paraId="06FCD245" w14:textId="77777777" w:rsidR="00A32677" w:rsidRPr="00BF0AD6" w:rsidRDefault="00A32677" w:rsidP="00EE6630">
            <w:pPr>
              <w:ind w:right="-112"/>
              <w:rPr>
                <w:rFonts w:ascii="Calibri" w:hAnsi="Calibri" w:cs="Calibri"/>
                <w:color w:val="000000"/>
                <w:sz w:val="18"/>
                <w:szCs w:val="18"/>
                <w:lang w:eastAsia="en-IE"/>
              </w:rPr>
            </w:pPr>
            <w:r w:rsidRPr="00F26EAC">
              <w:rPr>
                <w:rFonts w:ascii="Calibri" w:hAnsi="Calibri" w:cs="Calibri"/>
                <w:i/>
                <w:iCs/>
                <w:color w:val="000000"/>
                <w:sz w:val="18"/>
                <w:szCs w:val="18"/>
                <w:lang w:eastAsia="en-IE"/>
              </w:rPr>
              <w:t>Other comprehensive loss</w:t>
            </w:r>
          </w:p>
        </w:tc>
        <w:tc>
          <w:tcPr>
            <w:tcW w:w="992" w:type="dxa"/>
            <w:tcBorders>
              <w:top w:val="nil"/>
              <w:left w:val="single" w:sz="8" w:space="0" w:color="auto"/>
              <w:bottom w:val="nil"/>
              <w:right w:val="single" w:sz="8" w:space="0" w:color="auto"/>
            </w:tcBorders>
            <w:shd w:val="clear" w:color="auto" w:fill="FFFFFF"/>
            <w:noWrap/>
            <w:vAlign w:val="bottom"/>
          </w:tcPr>
          <w:p w14:paraId="2C1B578A" w14:textId="77777777" w:rsidR="00A32677" w:rsidRPr="00757AE3" w:rsidRDefault="00A32677" w:rsidP="001C5897">
            <w:pPr>
              <w:jc w:val="right"/>
              <w:rPr>
                <w:rFonts w:ascii="Calibri" w:hAnsi="Calibri" w:cs="Calibri"/>
                <w:color w:val="000000"/>
                <w:sz w:val="18"/>
                <w:szCs w:val="18"/>
                <w:lang w:eastAsia="en-IE"/>
              </w:rPr>
            </w:pPr>
          </w:p>
        </w:tc>
        <w:tc>
          <w:tcPr>
            <w:tcW w:w="851" w:type="dxa"/>
            <w:shd w:val="clear" w:color="auto" w:fill="FFFFFF"/>
            <w:noWrap/>
            <w:vAlign w:val="bottom"/>
          </w:tcPr>
          <w:p w14:paraId="2FFA24FF" w14:textId="77777777" w:rsidR="00A32677" w:rsidRPr="00757AE3" w:rsidRDefault="00A32677" w:rsidP="001C5897">
            <w:pPr>
              <w:jc w:val="right"/>
              <w:rPr>
                <w:rFonts w:ascii="Calibri" w:eastAsia="Calibri" w:hAnsi="Calibri" w:cs="Calibri"/>
                <w:sz w:val="18"/>
                <w:szCs w:val="18"/>
                <w:lang w:eastAsia="en-IE"/>
              </w:rPr>
            </w:pPr>
          </w:p>
        </w:tc>
        <w:tc>
          <w:tcPr>
            <w:tcW w:w="978" w:type="dxa"/>
            <w:shd w:val="clear" w:color="auto" w:fill="FFFFFF"/>
            <w:noWrap/>
            <w:vAlign w:val="bottom"/>
          </w:tcPr>
          <w:p w14:paraId="2A6A18A4" w14:textId="77777777" w:rsidR="00A32677" w:rsidRPr="00757AE3" w:rsidRDefault="00A32677" w:rsidP="001C5897">
            <w:pPr>
              <w:jc w:val="right"/>
              <w:rPr>
                <w:rFonts w:ascii="Calibri" w:hAnsi="Calibri" w:cs="Calibri"/>
                <w:color w:val="000000"/>
                <w:sz w:val="18"/>
                <w:szCs w:val="18"/>
                <w:lang w:eastAsia="en-IE"/>
              </w:rPr>
            </w:pPr>
          </w:p>
        </w:tc>
        <w:tc>
          <w:tcPr>
            <w:tcW w:w="1006" w:type="dxa"/>
            <w:gridSpan w:val="2"/>
            <w:shd w:val="clear" w:color="auto" w:fill="FFFFFF"/>
            <w:noWrap/>
            <w:vAlign w:val="bottom"/>
          </w:tcPr>
          <w:p w14:paraId="4340026D" w14:textId="77777777" w:rsidR="00A32677" w:rsidRPr="00757AE3" w:rsidRDefault="00A32677" w:rsidP="001C5897">
            <w:pPr>
              <w:jc w:val="right"/>
              <w:rPr>
                <w:rFonts w:ascii="Calibri" w:eastAsia="Calibri" w:hAnsi="Calibri" w:cs="Calibri"/>
                <w:sz w:val="18"/>
                <w:szCs w:val="18"/>
                <w:lang w:eastAsia="en-IE"/>
              </w:rPr>
            </w:pPr>
          </w:p>
        </w:tc>
        <w:tc>
          <w:tcPr>
            <w:tcW w:w="993" w:type="dxa"/>
            <w:shd w:val="clear" w:color="auto" w:fill="FFFFFF"/>
            <w:noWrap/>
            <w:vAlign w:val="bottom"/>
          </w:tcPr>
          <w:p w14:paraId="09A9E7F1" w14:textId="77777777" w:rsidR="00A32677" w:rsidRPr="00757AE3" w:rsidRDefault="00A32677" w:rsidP="001C5897">
            <w:pPr>
              <w:jc w:val="right"/>
              <w:rPr>
                <w:rFonts w:ascii="Calibri" w:eastAsia="Calibri" w:hAnsi="Calibri" w:cs="Calibri"/>
                <w:sz w:val="18"/>
                <w:szCs w:val="18"/>
                <w:lang w:eastAsia="en-IE"/>
              </w:rPr>
            </w:pPr>
          </w:p>
        </w:tc>
        <w:tc>
          <w:tcPr>
            <w:tcW w:w="992" w:type="dxa"/>
            <w:tcBorders>
              <w:top w:val="nil"/>
              <w:left w:val="single" w:sz="8" w:space="0" w:color="auto"/>
              <w:bottom w:val="nil"/>
              <w:right w:val="nil"/>
            </w:tcBorders>
            <w:shd w:val="clear" w:color="auto" w:fill="FFFFFF"/>
            <w:noWrap/>
            <w:vAlign w:val="bottom"/>
          </w:tcPr>
          <w:p w14:paraId="5633C1F2" w14:textId="77777777" w:rsidR="00A32677" w:rsidRPr="00757AE3" w:rsidRDefault="00A32677" w:rsidP="001C5897">
            <w:pPr>
              <w:jc w:val="right"/>
              <w:rPr>
                <w:rFonts w:ascii="Calibri" w:eastAsia="Calibri" w:hAnsi="Calibri" w:cs="Calibri"/>
                <w:sz w:val="18"/>
                <w:szCs w:val="18"/>
                <w:lang w:eastAsia="en-IE"/>
              </w:rPr>
            </w:pPr>
          </w:p>
        </w:tc>
        <w:tc>
          <w:tcPr>
            <w:tcW w:w="992" w:type="dxa"/>
            <w:tcBorders>
              <w:top w:val="nil"/>
              <w:left w:val="nil"/>
              <w:bottom w:val="nil"/>
              <w:right w:val="single" w:sz="8" w:space="0" w:color="auto"/>
            </w:tcBorders>
            <w:shd w:val="clear" w:color="auto" w:fill="FFFFFF"/>
            <w:noWrap/>
            <w:vAlign w:val="bottom"/>
          </w:tcPr>
          <w:p w14:paraId="1AA44000" w14:textId="77777777" w:rsidR="00A32677" w:rsidRPr="00757AE3" w:rsidRDefault="00A32677" w:rsidP="001C5897">
            <w:pPr>
              <w:jc w:val="right"/>
              <w:rPr>
                <w:rFonts w:ascii="Calibri" w:eastAsia="Calibri" w:hAnsi="Calibri" w:cs="Calibri"/>
                <w:sz w:val="18"/>
                <w:szCs w:val="18"/>
                <w:lang w:eastAsia="en-IE"/>
              </w:rPr>
            </w:pPr>
          </w:p>
        </w:tc>
        <w:tc>
          <w:tcPr>
            <w:tcW w:w="992" w:type="dxa"/>
            <w:shd w:val="clear" w:color="auto" w:fill="FFFFFF"/>
            <w:noWrap/>
            <w:vAlign w:val="bottom"/>
          </w:tcPr>
          <w:p w14:paraId="2A3806BC" w14:textId="77777777" w:rsidR="00A32677" w:rsidRPr="00757AE3" w:rsidRDefault="00A32677" w:rsidP="001C5897">
            <w:pPr>
              <w:jc w:val="right"/>
              <w:rPr>
                <w:rFonts w:ascii="Calibri" w:hAnsi="Calibri" w:cs="Calibri"/>
                <w:color w:val="000000"/>
                <w:sz w:val="18"/>
                <w:szCs w:val="18"/>
                <w:lang w:eastAsia="en-IE"/>
              </w:rPr>
            </w:pPr>
          </w:p>
        </w:tc>
      </w:tr>
      <w:tr w:rsidR="00A32677" w:rsidRPr="00BF0AD6" w14:paraId="62AE5485" w14:textId="77777777" w:rsidTr="00EE6630">
        <w:trPr>
          <w:trHeight w:val="227"/>
        </w:trPr>
        <w:tc>
          <w:tcPr>
            <w:tcW w:w="2977" w:type="dxa"/>
            <w:shd w:val="clear" w:color="auto" w:fill="FFFFFF"/>
            <w:vAlign w:val="bottom"/>
          </w:tcPr>
          <w:p w14:paraId="093A1791" w14:textId="77777777" w:rsidR="00A32677" w:rsidRPr="00BF0AD6" w:rsidRDefault="00A32677" w:rsidP="00EE6630">
            <w:pPr>
              <w:ind w:right="-112"/>
              <w:rPr>
                <w:rFonts w:ascii="Calibri" w:hAnsi="Calibri" w:cs="Calibri"/>
                <w:color w:val="000000"/>
                <w:sz w:val="18"/>
                <w:szCs w:val="18"/>
                <w:lang w:eastAsia="en-IE"/>
              </w:rPr>
            </w:pPr>
            <w:r w:rsidRPr="00F26EAC">
              <w:rPr>
                <w:rFonts w:ascii="Calibri" w:hAnsi="Calibri" w:cs="Calibri"/>
                <w:color w:val="000000"/>
                <w:sz w:val="18"/>
                <w:szCs w:val="18"/>
                <w:lang w:eastAsia="en-IE"/>
              </w:rPr>
              <w:t>Net movements in cash-flow reserve</w:t>
            </w:r>
          </w:p>
        </w:tc>
        <w:tc>
          <w:tcPr>
            <w:tcW w:w="992" w:type="dxa"/>
            <w:tcBorders>
              <w:top w:val="nil"/>
              <w:left w:val="single" w:sz="8" w:space="0" w:color="auto"/>
              <w:bottom w:val="single" w:sz="8" w:space="0" w:color="auto"/>
              <w:right w:val="single" w:sz="8" w:space="0" w:color="auto"/>
            </w:tcBorders>
            <w:shd w:val="clear" w:color="auto" w:fill="FFFFFF"/>
            <w:noWrap/>
            <w:vAlign w:val="bottom"/>
          </w:tcPr>
          <w:p w14:paraId="14A6D119"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w:t>
            </w:r>
          </w:p>
        </w:tc>
        <w:tc>
          <w:tcPr>
            <w:tcW w:w="851" w:type="dxa"/>
            <w:tcBorders>
              <w:bottom w:val="single" w:sz="8" w:space="0" w:color="auto"/>
            </w:tcBorders>
            <w:shd w:val="clear" w:color="auto" w:fill="FFFFFF"/>
            <w:noWrap/>
            <w:vAlign w:val="bottom"/>
          </w:tcPr>
          <w:p w14:paraId="5EB06121"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78" w:type="dxa"/>
            <w:tcBorders>
              <w:bottom w:val="single" w:sz="8" w:space="0" w:color="auto"/>
            </w:tcBorders>
            <w:shd w:val="clear" w:color="auto" w:fill="FFFFFF"/>
            <w:noWrap/>
            <w:vAlign w:val="bottom"/>
          </w:tcPr>
          <w:p w14:paraId="2F8B1FE8" w14:textId="77777777" w:rsidR="00A32677" w:rsidRPr="00757AE3" w:rsidRDefault="00A32677" w:rsidP="001C5897">
            <w:pPr>
              <w:jc w:val="right"/>
              <w:rPr>
                <w:rFonts w:ascii="Calibri" w:hAnsi="Calibri" w:cs="Calibri"/>
                <w:color w:val="000000"/>
                <w:sz w:val="18"/>
                <w:szCs w:val="18"/>
                <w:lang w:eastAsia="en-IE"/>
              </w:rPr>
            </w:pPr>
            <w:r w:rsidRPr="00757AE3">
              <w:rPr>
                <w:rFonts w:ascii="Calibri" w:eastAsia="Calibri" w:hAnsi="Calibri" w:cs="Calibri"/>
                <w:sz w:val="18"/>
                <w:szCs w:val="18"/>
                <w:lang w:eastAsia="en-IE"/>
              </w:rPr>
              <w:t>-</w:t>
            </w:r>
          </w:p>
        </w:tc>
        <w:tc>
          <w:tcPr>
            <w:tcW w:w="1006" w:type="dxa"/>
            <w:gridSpan w:val="2"/>
            <w:tcBorders>
              <w:bottom w:val="single" w:sz="8" w:space="0" w:color="auto"/>
            </w:tcBorders>
            <w:shd w:val="clear" w:color="auto" w:fill="FFFFFF"/>
            <w:noWrap/>
            <w:vAlign w:val="bottom"/>
          </w:tcPr>
          <w:p w14:paraId="0753D6DC" w14:textId="77777777" w:rsidR="00A32677" w:rsidRPr="00757AE3" w:rsidRDefault="00A32677" w:rsidP="001C5897">
            <w:pPr>
              <w:jc w:val="right"/>
              <w:rPr>
                <w:rFonts w:ascii="Calibri" w:eastAsia="Calibri" w:hAnsi="Calibri" w:cs="Calibri"/>
                <w:sz w:val="18"/>
                <w:szCs w:val="18"/>
                <w:lang w:eastAsia="en-IE"/>
              </w:rPr>
            </w:pPr>
            <w:r w:rsidRPr="00757AE3">
              <w:rPr>
                <w:rFonts w:ascii="Calibri" w:hAnsi="Calibri" w:cs="Calibri"/>
                <w:color w:val="000000"/>
                <w:sz w:val="18"/>
                <w:szCs w:val="18"/>
              </w:rPr>
              <w:t>-</w:t>
            </w:r>
          </w:p>
        </w:tc>
        <w:tc>
          <w:tcPr>
            <w:tcW w:w="993" w:type="dxa"/>
            <w:tcBorders>
              <w:bottom w:val="single" w:sz="8" w:space="0" w:color="auto"/>
            </w:tcBorders>
            <w:shd w:val="clear" w:color="auto" w:fill="FFFFFF"/>
            <w:noWrap/>
            <w:vAlign w:val="bottom"/>
          </w:tcPr>
          <w:p w14:paraId="366665A7"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92" w:type="dxa"/>
            <w:tcBorders>
              <w:top w:val="nil"/>
              <w:left w:val="single" w:sz="8" w:space="0" w:color="auto"/>
              <w:bottom w:val="single" w:sz="8" w:space="0" w:color="auto"/>
              <w:right w:val="nil"/>
            </w:tcBorders>
            <w:shd w:val="clear" w:color="auto" w:fill="FFFFFF"/>
            <w:noWrap/>
            <w:vAlign w:val="bottom"/>
          </w:tcPr>
          <w:p w14:paraId="11568632"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(1,093.8)</w:t>
            </w:r>
          </w:p>
        </w:tc>
        <w:tc>
          <w:tcPr>
            <w:tcW w:w="992" w:type="dxa"/>
            <w:tcBorders>
              <w:top w:val="nil"/>
              <w:left w:val="nil"/>
              <w:bottom w:val="single" w:sz="8" w:space="0" w:color="auto"/>
              <w:right w:val="single" w:sz="8" w:space="0" w:color="auto"/>
            </w:tcBorders>
            <w:shd w:val="clear" w:color="auto" w:fill="FFFFFF"/>
            <w:noWrap/>
            <w:vAlign w:val="bottom"/>
          </w:tcPr>
          <w:p w14:paraId="3F66ED6D"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92" w:type="dxa"/>
            <w:tcBorders>
              <w:bottom w:val="single" w:sz="8" w:space="0" w:color="auto"/>
            </w:tcBorders>
            <w:shd w:val="clear" w:color="auto" w:fill="FFFFFF"/>
            <w:noWrap/>
            <w:vAlign w:val="bottom"/>
          </w:tcPr>
          <w:p w14:paraId="6AAF5074" w14:textId="77777777" w:rsidR="00A32677" w:rsidRPr="00757AE3" w:rsidRDefault="00A32677" w:rsidP="001C5897">
            <w:pPr>
              <w:jc w:val="right"/>
              <w:rPr>
                <w:rFonts w:ascii="Calibri" w:hAnsi="Calibri" w:cs="Calibri"/>
                <w:color w:val="000000"/>
                <w:sz w:val="18"/>
                <w:szCs w:val="18"/>
                <w:lang w:eastAsia="en-IE"/>
              </w:rPr>
            </w:pPr>
            <w:r w:rsidRPr="00757AE3">
              <w:rPr>
                <w:rFonts w:ascii="Calibri" w:eastAsia="Calibri" w:hAnsi="Calibri" w:cs="Calibri"/>
                <w:sz w:val="18"/>
                <w:szCs w:val="18"/>
                <w:lang w:eastAsia="en-IE"/>
              </w:rPr>
              <w:t>(1,093.8)</w:t>
            </w:r>
          </w:p>
        </w:tc>
      </w:tr>
      <w:tr w:rsidR="00A32677" w:rsidRPr="00BF0AD6" w14:paraId="4725587C" w14:textId="77777777" w:rsidTr="00EE6630">
        <w:trPr>
          <w:trHeight w:val="227"/>
        </w:trPr>
        <w:tc>
          <w:tcPr>
            <w:tcW w:w="2977" w:type="dxa"/>
            <w:shd w:val="clear" w:color="auto" w:fill="FFFFFF"/>
            <w:vAlign w:val="bottom"/>
          </w:tcPr>
          <w:p w14:paraId="54ED5F1D" w14:textId="77777777" w:rsidR="00A32677" w:rsidRPr="00BF0AD6" w:rsidRDefault="00A32677" w:rsidP="00EE6630">
            <w:pPr>
              <w:ind w:right="-112"/>
              <w:rPr>
                <w:rFonts w:ascii="Calibri" w:hAnsi="Calibri" w:cs="Calibri"/>
                <w:color w:val="000000"/>
                <w:sz w:val="18"/>
                <w:szCs w:val="18"/>
                <w:lang w:eastAsia="en-IE"/>
              </w:rPr>
            </w:pPr>
            <w:r w:rsidRPr="00F26EAC">
              <w:rPr>
                <w:rFonts w:ascii="Calibri" w:hAnsi="Calibri" w:cs="Calibri"/>
                <w:color w:val="000000"/>
                <w:sz w:val="18"/>
                <w:szCs w:val="18"/>
                <w:lang w:eastAsia="en-IE"/>
              </w:rPr>
              <w:t>Total other comprehensive loss</w:t>
            </w:r>
          </w:p>
        </w:tc>
        <w:tc>
          <w:tcPr>
            <w:tcW w:w="992" w:type="dxa"/>
            <w:tcBorders>
              <w:top w:val="single" w:sz="8" w:space="0" w:color="auto"/>
              <w:left w:val="single" w:sz="8" w:space="0" w:color="auto"/>
              <w:bottom w:val="single" w:sz="8" w:space="0" w:color="auto"/>
              <w:right w:val="single" w:sz="8" w:space="0" w:color="auto"/>
            </w:tcBorders>
            <w:shd w:val="clear" w:color="auto" w:fill="FFFFFF"/>
            <w:noWrap/>
            <w:vAlign w:val="bottom"/>
          </w:tcPr>
          <w:p w14:paraId="3166AB7C"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w:t>
            </w:r>
          </w:p>
        </w:tc>
        <w:tc>
          <w:tcPr>
            <w:tcW w:w="851" w:type="dxa"/>
            <w:tcBorders>
              <w:top w:val="single" w:sz="8" w:space="0" w:color="auto"/>
              <w:bottom w:val="single" w:sz="8" w:space="0" w:color="auto"/>
            </w:tcBorders>
            <w:shd w:val="clear" w:color="auto" w:fill="FFFFFF"/>
            <w:noWrap/>
            <w:vAlign w:val="bottom"/>
          </w:tcPr>
          <w:p w14:paraId="4ACD869E"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78" w:type="dxa"/>
            <w:tcBorders>
              <w:top w:val="single" w:sz="8" w:space="0" w:color="auto"/>
              <w:bottom w:val="single" w:sz="8" w:space="0" w:color="auto"/>
            </w:tcBorders>
            <w:shd w:val="clear" w:color="auto" w:fill="FFFFFF"/>
            <w:noWrap/>
            <w:vAlign w:val="bottom"/>
          </w:tcPr>
          <w:p w14:paraId="49B23BAE" w14:textId="77777777" w:rsidR="00A32677" w:rsidRPr="00757AE3" w:rsidRDefault="00A32677" w:rsidP="001C5897">
            <w:pPr>
              <w:jc w:val="right"/>
              <w:rPr>
                <w:rFonts w:ascii="Calibri" w:hAnsi="Calibri" w:cs="Calibri"/>
                <w:color w:val="000000"/>
                <w:sz w:val="18"/>
                <w:szCs w:val="18"/>
                <w:lang w:eastAsia="en-IE"/>
              </w:rPr>
            </w:pPr>
            <w:r w:rsidRPr="00757AE3">
              <w:rPr>
                <w:rFonts w:ascii="Calibri" w:eastAsia="Calibri" w:hAnsi="Calibri" w:cs="Calibri"/>
                <w:sz w:val="18"/>
                <w:szCs w:val="18"/>
                <w:lang w:eastAsia="en-IE"/>
              </w:rPr>
              <w:t>-</w:t>
            </w:r>
          </w:p>
        </w:tc>
        <w:tc>
          <w:tcPr>
            <w:tcW w:w="1006" w:type="dxa"/>
            <w:gridSpan w:val="2"/>
            <w:tcBorders>
              <w:top w:val="single" w:sz="8" w:space="0" w:color="auto"/>
              <w:bottom w:val="single" w:sz="8" w:space="0" w:color="auto"/>
            </w:tcBorders>
            <w:shd w:val="clear" w:color="auto" w:fill="FFFFFF"/>
            <w:noWrap/>
            <w:vAlign w:val="bottom"/>
          </w:tcPr>
          <w:p w14:paraId="55A86BB5" w14:textId="77777777" w:rsidR="00A32677" w:rsidRPr="00757AE3" w:rsidRDefault="00A32677" w:rsidP="001C5897">
            <w:pPr>
              <w:jc w:val="right"/>
              <w:rPr>
                <w:rFonts w:ascii="Calibri" w:eastAsia="Calibri" w:hAnsi="Calibri" w:cs="Calibri"/>
                <w:sz w:val="18"/>
                <w:szCs w:val="18"/>
                <w:lang w:eastAsia="en-IE"/>
              </w:rPr>
            </w:pPr>
            <w:r w:rsidRPr="00757AE3">
              <w:rPr>
                <w:rFonts w:ascii="Calibri" w:hAnsi="Calibri" w:cs="Calibri"/>
                <w:color w:val="000000"/>
                <w:sz w:val="18"/>
                <w:szCs w:val="18"/>
              </w:rPr>
              <w:t>-</w:t>
            </w:r>
          </w:p>
        </w:tc>
        <w:tc>
          <w:tcPr>
            <w:tcW w:w="993" w:type="dxa"/>
            <w:tcBorders>
              <w:top w:val="single" w:sz="8" w:space="0" w:color="auto"/>
              <w:bottom w:val="single" w:sz="8" w:space="0" w:color="auto"/>
            </w:tcBorders>
            <w:shd w:val="clear" w:color="auto" w:fill="FFFFFF"/>
            <w:noWrap/>
            <w:vAlign w:val="bottom"/>
          </w:tcPr>
          <w:p w14:paraId="3938F55E"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92" w:type="dxa"/>
            <w:tcBorders>
              <w:top w:val="single" w:sz="8" w:space="0" w:color="auto"/>
              <w:left w:val="single" w:sz="8" w:space="0" w:color="auto"/>
              <w:bottom w:val="single" w:sz="8" w:space="0" w:color="auto"/>
              <w:right w:val="nil"/>
            </w:tcBorders>
            <w:shd w:val="clear" w:color="auto" w:fill="FFFFFF"/>
            <w:noWrap/>
            <w:vAlign w:val="bottom"/>
          </w:tcPr>
          <w:p w14:paraId="5929DF3A"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(1,093.8)</w:t>
            </w:r>
          </w:p>
        </w:tc>
        <w:tc>
          <w:tcPr>
            <w:tcW w:w="992" w:type="dxa"/>
            <w:tcBorders>
              <w:top w:val="single" w:sz="8" w:space="0" w:color="auto"/>
              <w:left w:val="nil"/>
              <w:bottom w:val="single" w:sz="8" w:space="0" w:color="auto"/>
              <w:right w:val="single" w:sz="8" w:space="0" w:color="auto"/>
            </w:tcBorders>
            <w:shd w:val="clear" w:color="auto" w:fill="FFFFFF"/>
            <w:noWrap/>
            <w:vAlign w:val="bottom"/>
          </w:tcPr>
          <w:p w14:paraId="3665AA3C"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92" w:type="dxa"/>
            <w:tcBorders>
              <w:top w:val="single" w:sz="8" w:space="0" w:color="auto"/>
              <w:bottom w:val="single" w:sz="8" w:space="0" w:color="auto"/>
            </w:tcBorders>
            <w:shd w:val="clear" w:color="auto" w:fill="FFFFFF"/>
            <w:noWrap/>
            <w:vAlign w:val="bottom"/>
          </w:tcPr>
          <w:p w14:paraId="7540846E" w14:textId="77777777" w:rsidR="00A32677" w:rsidRPr="00757AE3" w:rsidRDefault="00A32677" w:rsidP="001C5897">
            <w:pPr>
              <w:jc w:val="right"/>
              <w:rPr>
                <w:rFonts w:ascii="Calibri" w:hAnsi="Calibri" w:cs="Calibri"/>
                <w:color w:val="000000"/>
                <w:sz w:val="18"/>
                <w:szCs w:val="18"/>
                <w:lang w:eastAsia="en-IE"/>
              </w:rPr>
            </w:pPr>
            <w:r w:rsidRPr="00757AE3">
              <w:rPr>
                <w:rFonts w:ascii="Calibri" w:eastAsia="Calibri" w:hAnsi="Calibri" w:cs="Calibri"/>
                <w:sz w:val="18"/>
                <w:szCs w:val="18"/>
                <w:lang w:eastAsia="en-IE"/>
              </w:rPr>
              <w:t>(1,093.8)</w:t>
            </w:r>
          </w:p>
        </w:tc>
      </w:tr>
      <w:tr w:rsidR="00A32677" w:rsidRPr="00BF0AD6" w14:paraId="0A053230" w14:textId="77777777" w:rsidTr="00EE6630">
        <w:trPr>
          <w:trHeight w:val="227"/>
        </w:trPr>
        <w:tc>
          <w:tcPr>
            <w:tcW w:w="2977" w:type="dxa"/>
            <w:shd w:val="clear" w:color="auto" w:fill="FFFFFF"/>
            <w:vAlign w:val="bottom"/>
          </w:tcPr>
          <w:p w14:paraId="7EC075DE" w14:textId="77777777" w:rsidR="00A32677" w:rsidRPr="00BF0AD6" w:rsidRDefault="00A32677" w:rsidP="00EE6630">
            <w:pPr>
              <w:ind w:right="-112"/>
              <w:rPr>
                <w:rFonts w:ascii="Calibri" w:hAnsi="Calibri" w:cs="Calibri"/>
                <w:color w:val="000000"/>
                <w:sz w:val="18"/>
                <w:szCs w:val="18"/>
                <w:lang w:eastAsia="en-IE"/>
              </w:rPr>
            </w:pPr>
            <w:r w:rsidRPr="00F26EAC">
              <w:rPr>
                <w:rFonts w:ascii="Calibri" w:hAnsi="Calibri" w:cs="Calibri"/>
                <w:color w:val="000000"/>
                <w:sz w:val="18"/>
                <w:szCs w:val="18"/>
                <w:lang w:eastAsia="en-IE"/>
              </w:rPr>
              <w:t>Total comprehensive income/(loss)</w:t>
            </w:r>
          </w:p>
        </w:tc>
        <w:tc>
          <w:tcPr>
            <w:tcW w:w="992" w:type="dxa"/>
            <w:tcBorders>
              <w:top w:val="single" w:sz="8" w:space="0" w:color="auto"/>
              <w:left w:val="single" w:sz="8" w:space="0" w:color="auto"/>
              <w:bottom w:val="single" w:sz="8" w:space="0" w:color="auto"/>
              <w:right w:val="single" w:sz="8" w:space="0" w:color="auto"/>
            </w:tcBorders>
            <w:shd w:val="clear" w:color="auto" w:fill="FFFFFF"/>
            <w:noWrap/>
            <w:vAlign w:val="bottom"/>
          </w:tcPr>
          <w:p w14:paraId="3876CA46"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w:t>
            </w:r>
          </w:p>
        </w:tc>
        <w:tc>
          <w:tcPr>
            <w:tcW w:w="851" w:type="dxa"/>
            <w:tcBorders>
              <w:top w:val="single" w:sz="8" w:space="0" w:color="auto"/>
              <w:bottom w:val="single" w:sz="8" w:space="0" w:color="auto"/>
            </w:tcBorders>
            <w:shd w:val="clear" w:color="auto" w:fill="FFFFFF"/>
            <w:noWrap/>
            <w:vAlign w:val="bottom"/>
          </w:tcPr>
          <w:p w14:paraId="403AA663"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78" w:type="dxa"/>
            <w:tcBorders>
              <w:top w:val="single" w:sz="8" w:space="0" w:color="auto"/>
              <w:bottom w:val="single" w:sz="8" w:space="0" w:color="auto"/>
            </w:tcBorders>
            <w:shd w:val="clear" w:color="auto" w:fill="FFFFFF"/>
            <w:noWrap/>
            <w:vAlign w:val="bottom"/>
          </w:tcPr>
          <w:p w14:paraId="250DFE55" w14:textId="77777777" w:rsidR="00A32677" w:rsidRPr="00757AE3" w:rsidRDefault="00A32677" w:rsidP="001C5897">
            <w:pPr>
              <w:jc w:val="right"/>
              <w:rPr>
                <w:rFonts w:ascii="Calibri" w:hAnsi="Calibri" w:cs="Calibri"/>
                <w:color w:val="000000"/>
                <w:sz w:val="18"/>
                <w:szCs w:val="18"/>
                <w:lang w:eastAsia="en-IE"/>
              </w:rPr>
            </w:pPr>
            <w:r w:rsidRPr="00757AE3">
              <w:rPr>
                <w:rFonts w:ascii="Calibri" w:eastAsia="Calibri" w:hAnsi="Calibri" w:cs="Calibri"/>
                <w:sz w:val="18"/>
                <w:szCs w:val="18"/>
                <w:lang w:eastAsia="en-IE"/>
              </w:rPr>
              <w:t>-</w:t>
            </w:r>
          </w:p>
        </w:tc>
        <w:tc>
          <w:tcPr>
            <w:tcW w:w="1006" w:type="dxa"/>
            <w:gridSpan w:val="2"/>
            <w:tcBorders>
              <w:top w:val="single" w:sz="8" w:space="0" w:color="auto"/>
              <w:bottom w:val="single" w:sz="8" w:space="0" w:color="auto"/>
            </w:tcBorders>
            <w:shd w:val="clear" w:color="auto" w:fill="FFFFFF"/>
            <w:noWrap/>
            <w:vAlign w:val="bottom"/>
          </w:tcPr>
          <w:p w14:paraId="24E2B89B" w14:textId="77777777" w:rsidR="00A32677" w:rsidRPr="00757AE3" w:rsidRDefault="00A32677" w:rsidP="001C5897">
            <w:pPr>
              <w:jc w:val="right"/>
              <w:rPr>
                <w:rFonts w:ascii="Calibri" w:eastAsia="Calibri" w:hAnsi="Calibri" w:cs="Calibri"/>
                <w:sz w:val="18"/>
                <w:szCs w:val="18"/>
                <w:lang w:eastAsia="en-IE"/>
              </w:rPr>
            </w:pPr>
            <w:r w:rsidRPr="00757AE3">
              <w:rPr>
                <w:rFonts w:ascii="Calibri" w:hAnsi="Calibri" w:cs="Calibri"/>
                <w:color w:val="000000"/>
                <w:sz w:val="18"/>
                <w:szCs w:val="18"/>
              </w:rPr>
              <w:t>-</w:t>
            </w:r>
          </w:p>
        </w:tc>
        <w:tc>
          <w:tcPr>
            <w:tcW w:w="993" w:type="dxa"/>
            <w:tcBorders>
              <w:top w:val="single" w:sz="8" w:space="0" w:color="auto"/>
              <w:bottom w:val="single" w:sz="8" w:space="0" w:color="auto"/>
            </w:tcBorders>
            <w:shd w:val="clear" w:color="auto" w:fill="FFFFFF"/>
            <w:noWrap/>
            <w:vAlign w:val="bottom"/>
          </w:tcPr>
          <w:p w14:paraId="28D0CEDA"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50.4</w:t>
            </w:r>
          </w:p>
        </w:tc>
        <w:tc>
          <w:tcPr>
            <w:tcW w:w="992" w:type="dxa"/>
            <w:tcBorders>
              <w:top w:val="single" w:sz="8" w:space="0" w:color="auto"/>
              <w:left w:val="single" w:sz="8" w:space="0" w:color="auto"/>
              <w:bottom w:val="single" w:sz="8" w:space="0" w:color="auto"/>
              <w:right w:val="nil"/>
            </w:tcBorders>
            <w:shd w:val="clear" w:color="auto" w:fill="FFFFFF"/>
            <w:noWrap/>
            <w:vAlign w:val="bottom"/>
          </w:tcPr>
          <w:p w14:paraId="6D9C520A"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(1,093.8)</w:t>
            </w:r>
          </w:p>
        </w:tc>
        <w:tc>
          <w:tcPr>
            <w:tcW w:w="992" w:type="dxa"/>
            <w:tcBorders>
              <w:top w:val="single" w:sz="8" w:space="0" w:color="auto"/>
              <w:left w:val="nil"/>
              <w:bottom w:val="single" w:sz="8" w:space="0" w:color="auto"/>
              <w:right w:val="single" w:sz="8" w:space="0" w:color="auto"/>
            </w:tcBorders>
            <w:shd w:val="clear" w:color="auto" w:fill="FFFFFF"/>
            <w:noWrap/>
            <w:vAlign w:val="bottom"/>
          </w:tcPr>
          <w:p w14:paraId="21044976"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92" w:type="dxa"/>
            <w:tcBorders>
              <w:top w:val="single" w:sz="8" w:space="0" w:color="auto"/>
              <w:bottom w:val="single" w:sz="8" w:space="0" w:color="auto"/>
            </w:tcBorders>
            <w:shd w:val="clear" w:color="auto" w:fill="FFFFFF"/>
            <w:noWrap/>
            <w:vAlign w:val="bottom"/>
          </w:tcPr>
          <w:p w14:paraId="3C830936" w14:textId="77777777" w:rsidR="00A32677" w:rsidRPr="00757AE3" w:rsidRDefault="00A32677" w:rsidP="001C5897">
            <w:pPr>
              <w:jc w:val="right"/>
              <w:rPr>
                <w:rFonts w:ascii="Calibri" w:hAnsi="Calibri" w:cs="Calibri"/>
                <w:color w:val="000000"/>
                <w:sz w:val="18"/>
                <w:szCs w:val="18"/>
                <w:lang w:eastAsia="en-IE"/>
              </w:rPr>
            </w:pPr>
            <w:r w:rsidRPr="00757AE3">
              <w:rPr>
                <w:rFonts w:ascii="Calibri" w:eastAsia="Calibri" w:hAnsi="Calibri" w:cs="Calibri"/>
                <w:sz w:val="18"/>
                <w:szCs w:val="18"/>
                <w:lang w:eastAsia="en-IE"/>
              </w:rPr>
              <w:t>(1,043.4)</w:t>
            </w:r>
          </w:p>
        </w:tc>
      </w:tr>
      <w:tr w:rsidR="00A32677" w:rsidRPr="00BF0AD6" w14:paraId="3393D221" w14:textId="77777777" w:rsidTr="00EE6630">
        <w:trPr>
          <w:trHeight w:val="227"/>
        </w:trPr>
        <w:tc>
          <w:tcPr>
            <w:tcW w:w="2977" w:type="dxa"/>
            <w:shd w:val="clear" w:color="auto" w:fill="FFFFFF"/>
            <w:vAlign w:val="bottom"/>
          </w:tcPr>
          <w:p w14:paraId="04631F8D" w14:textId="77777777" w:rsidR="00A32677" w:rsidRPr="00BF0AD6" w:rsidRDefault="00A32677" w:rsidP="00EE6630">
            <w:pPr>
              <w:ind w:right="-112"/>
              <w:rPr>
                <w:rFonts w:ascii="Calibri" w:hAnsi="Calibri" w:cs="Calibri"/>
                <w:color w:val="000000"/>
                <w:sz w:val="18"/>
                <w:szCs w:val="18"/>
                <w:lang w:eastAsia="en-IE"/>
              </w:rPr>
            </w:pPr>
            <w:r w:rsidRPr="00F26EAC">
              <w:rPr>
                <w:rFonts w:ascii="Calibri" w:hAnsi="Calibri" w:cs="Calibri"/>
                <w:i/>
                <w:iCs/>
                <w:color w:val="000000"/>
                <w:sz w:val="18"/>
                <w:szCs w:val="18"/>
                <w:lang w:eastAsia="en-IE"/>
              </w:rPr>
              <w:t>Transactions with owners of the Company recognised directly in equity</w:t>
            </w:r>
          </w:p>
        </w:tc>
        <w:tc>
          <w:tcPr>
            <w:tcW w:w="992" w:type="dxa"/>
            <w:tcBorders>
              <w:top w:val="single" w:sz="8" w:space="0" w:color="auto"/>
              <w:left w:val="single" w:sz="8" w:space="0" w:color="auto"/>
              <w:bottom w:val="nil"/>
              <w:right w:val="single" w:sz="8" w:space="0" w:color="auto"/>
            </w:tcBorders>
            <w:shd w:val="clear" w:color="auto" w:fill="FFFFFF"/>
            <w:noWrap/>
            <w:vAlign w:val="bottom"/>
          </w:tcPr>
          <w:p w14:paraId="69BE1BF8" w14:textId="77777777" w:rsidR="00A32677" w:rsidRPr="00757AE3" w:rsidRDefault="00A32677" w:rsidP="001C5897">
            <w:pPr>
              <w:jc w:val="right"/>
              <w:rPr>
                <w:rFonts w:ascii="Calibri" w:hAnsi="Calibri" w:cs="Calibri"/>
                <w:color w:val="000000"/>
                <w:sz w:val="18"/>
                <w:szCs w:val="18"/>
                <w:lang w:eastAsia="en-IE"/>
              </w:rPr>
            </w:pPr>
          </w:p>
        </w:tc>
        <w:tc>
          <w:tcPr>
            <w:tcW w:w="851" w:type="dxa"/>
            <w:tcBorders>
              <w:top w:val="single" w:sz="8" w:space="0" w:color="auto"/>
            </w:tcBorders>
            <w:shd w:val="clear" w:color="auto" w:fill="FFFFFF"/>
            <w:noWrap/>
            <w:vAlign w:val="bottom"/>
          </w:tcPr>
          <w:p w14:paraId="3D43D854" w14:textId="77777777" w:rsidR="00A32677" w:rsidRPr="00757AE3" w:rsidRDefault="00A32677" w:rsidP="001C5897">
            <w:pPr>
              <w:jc w:val="right"/>
              <w:rPr>
                <w:rFonts w:ascii="Calibri" w:eastAsia="Calibri" w:hAnsi="Calibri" w:cs="Calibri"/>
                <w:sz w:val="18"/>
                <w:szCs w:val="18"/>
                <w:lang w:eastAsia="en-IE"/>
              </w:rPr>
            </w:pPr>
          </w:p>
        </w:tc>
        <w:tc>
          <w:tcPr>
            <w:tcW w:w="978" w:type="dxa"/>
            <w:tcBorders>
              <w:top w:val="single" w:sz="8" w:space="0" w:color="auto"/>
            </w:tcBorders>
            <w:shd w:val="clear" w:color="auto" w:fill="FFFFFF"/>
            <w:noWrap/>
            <w:vAlign w:val="bottom"/>
          </w:tcPr>
          <w:p w14:paraId="6ECEE32F" w14:textId="77777777" w:rsidR="00A32677" w:rsidRPr="00757AE3" w:rsidRDefault="00A32677" w:rsidP="001C5897">
            <w:pPr>
              <w:jc w:val="right"/>
              <w:rPr>
                <w:rFonts w:ascii="Calibri" w:hAnsi="Calibri" w:cs="Calibri"/>
                <w:color w:val="000000"/>
                <w:sz w:val="18"/>
                <w:szCs w:val="18"/>
                <w:lang w:eastAsia="en-IE"/>
              </w:rPr>
            </w:pPr>
          </w:p>
        </w:tc>
        <w:tc>
          <w:tcPr>
            <w:tcW w:w="1006" w:type="dxa"/>
            <w:gridSpan w:val="2"/>
            <w:tcBorders>
              <w:top w:val="single" w:sz="8" w:space="0" w:color="auto"/>
            </w:tcBorders>
            <w:shd w:val="clear" w:color="auto" w:fill="FFFFFF"/>
            <w:noWrap/>
            <w:vAlign w:val="bottom"/>
          </w:tcPr>
          <w:p w14:paraId="11EE65A8" w14:textId="77777777" w:rsidR="00A32677" w:rsidRPr="00757AE3" w:rsidRDefault="00A32677" w:rsidP="001C5897">
            <w:pPr>
              <w:jc w:val="right"/>
              <w:rPr>
                <w:rFonts w:ascii="Calibri" w:eastAsia="Calibri" w:hAnsi="Calibri" w:cs="Calibri"/>
                <w:sz w:val="18"/>
                <w:szCs w:val="18"/>
                <w:lang w:eastAsia="en-IE"/>
              </w:rPr>
            </w:pPr>
          </w:p>
        </w:tc>
        <w:tc>
          <w:tcPr>
            <w:tcW w:w="993" w:type="dxa"/>
            <w:tcBorders>
              <w:top w:val="single" w:sz="8" w:space="0" w:color="auto"/>
            </w:tcBorders>
            <w:shd w:val="clear" w:color="auto" w:fill="FFFFFF"/>
            <w:noWrap/>
            <w:vAlign w:val="bottom"/>
          </w:tcPr>
          <w:p w14:paraId="01BEA0F2" w14:textId="77777777" w:rsidR="00A32677" w:rsidRPr="00757AE3" w:rsidRDefault="00A32677" w:rsidP="001C5897">
            <w:pPr>
              <w:jc w:val="right"/>
              <w:rPr>
                <w:rFonts w:ascii="Calibri" w:eastAsia="Calibri" w:hAnsi="Calibri" w:cs="Calibri"/>
                <w:sz w:val="18"/>
                <w:szCs w:val="18"/>
                <w:lang w:eastAsia="en-IE"/>
              </w:rPr>
            </w:pPr>
          </w:p>
        </w:tc>
        <w:tc>
          <w:tcPr>
            <w:tcW w:w="992" w:type="dxa"/>
            <w:tcBorders>
              <w:top w:val="single" w:sz="8" w:space="0" w:color="auto"/>
              <w:left w:val="single" w:sz="8" w:space="0" w:color="auto"/>
              <w:bottom w:val="nil"/>
              <w:right w:val="nil"/>
            </w:tcBorders>
            <w:shd w:val="clear" w:color="auto" w:fill="FFFFFF"/>
            <w:noWrap/>
            <w:vAlign w:val="bottom"/>
          </w:tcPr>
          <w:p w14:paraId="09311F43" w14:textId="77777777" w:rsidR="00A32677" w:rsidRPr="00757AE3" w:rsidRDefault="00A32677" w:rsidP="001C5897">
            <w:pPr>
              <w:jc w:val="right"/>
              <w:rPr>
                <w:rFonts w:ascii="Calibri" w:eastAsia="Calibri" w:hAnsi="Calibri" w:cs="Calibri"/>
                <w:sz w:val="18"/>
                <w:szCs w:val="18"/>
                <w:lang w:eastAsia="en-IE"/>
              </w:rPr>
            </w:pPr>
          </w:p>
        </w:tc>
        <w:tc>
          <w:tcPr>
            <w:tcW w:w="992" w:type="dxa"/>
            <w:tcBorders>
              <w:top w:val="single" w:sz="8" w:space="0" w:color="auto"/>
              <w:left w:val="nil"/>
              <w:bottom w:val="nil"/>
              <w:right w:val="single" w:sz="8" w:space="0" w:color="auto"/>
            </w:tcBorders>
            <w:shd w:val="clear" w:color="auto" w:fill="FFFFFF"/>
            <w:noWrap/>
            <w:vAlign w:val="bottom"/>
          </w:tcPr>
          <w:p w14:paraId="3C88FB6C" w14:textId="77777777" w:rsidR="00A32677" w:rsidRPr="00757AE3" w:rsidRDefault="00A32677" w:rsidP="001C5897">
            <w:pPr>
              <w:jc w:val="right"/>
              <w:rPr>
                <w:rFonts w:ascii="Calibri" w:eastAsia="Calibri" w:hAnsi="Calibri" w:cs="Calibri"/>
                <w:sz w:val="18"/>
                <w:szCs w:val="18"/>
                <w:lang w:eastAsia="en-IE"/>
              </w:rPr>
            </w:pPr>
          </w:p>
        </w:tc>
        <w:tc>
          <w:tcPr>
            <w:tcW w:w="992" w:type="dxa"/>
            <w:tcBorders>
              <w:top w:val="single" w:sz="8" w:space="0" w:color="auto"/>
            </w:tcBorders>
            <w:shd w:val="clear" w:color="auto" w:fill="FFFFFF"/>
            <w:noWrap/>
            <w:vAlign w:val="bottom"/>
          </w:tcPr>
          <w:p w14:paraId="6E2243E6" w14:textId="77777777" w:rsidR="00A32677" w:rsidRPr="00757AE3" w:rsidRDefault="00A32677" w:rsidP="001C5897">
            <w:pPr>
              <w:jc w:val="right"/>
              <w:rPr>
                <w:rFonts w:ascii="Calibri" w:hAnsi="Calibri" w:cs="Calibri"/>
                <w:color w:val="000000"/>
                <w:sz w:val="18"/>
                <w:szCs w:val="18"/>
                <w:lang w:eastAsia="en-IE"/>
              </w:rPr>
            </w:pPr>
          </w:p>
        </w:tc>
      </w:tr>
      <w:tr w:rsidR="00A32677" w:rsidRPr="00BF0AD6" w14:paraId="15024D94" w14:textId="77777777" w:rsidTr="00EE6630">
        <w:trPr>
          <w:trHeight w:val="227"/>
        </w:trPr>
        <w:tc>
          <w:tcPr>
            <w:tcW w:w="2977" w:type="dxa"/>
            <w:shd w:val="clear" w:color="auto" w:fill="FFFFFF"/>
            <w:vAlign w:val="bottom"/>
          </w:tcPr>
          <w:p w14:paraId="48F11454" w14:textId="77777777" w:rsidR="00A32677" w:rsidRPr="00BF0AD6" w:rsidRDefault="00A32677" w:rsidP="00EE6630">
            <w:pPr>
              <w:ind w:right="-112"/>
              <w:rPr>
                <w:rFonts w:ascii="Calibri" w:hAnsi="Calibri" w:cs="Calibri"/>
                <w:color w:val="000000"/>
                <w:sz w:val="18"/>
                <w:szCs w:val="18"/>
                <w:lang w:eastAsia="en-IE"/>
              </w:rPr>
            </w:pPr>
            <w:r w:rsidRPr="00F26EAC">
              <w:rPr>
                <w:rFonts w:ascii="Calibri" w:hAnsi="Calibri" w:cs="Calibri"/>
                <w:color w:val="000000"/>
                <w:sz w:val="18"/>
                <w:szCs w:val="18"/>
                <w:lang w:eastAsia="en-IE"/>
              </w:rPr>
              <w:t>Issue of ordinary equity shares</w:t>
            </w:r>
          </w:p>
        </w:tc>
        <w:tc>
          <w:tcPr>
            <w:tcW w:w="992" w:type="dxa"/>
            <w:tcBorders>
              <w:top w:val="nil"/>
              <w:left w:val="single" w:sz="8" w:space="0" w:color="auto"/>
              <w:bottom w:val="nil"/>
              <w:right w:val="single" w:sz="8" w:space="0" w:color="auto"/>
            </w:tcBorders>
            <w:shd w:val="clear" w:color="auto" w:fill="FFFFFF"/>
            <w:noWrap/>
            <w:vAlign w:val="bottom"/>
          </w:tcPr>
          <w:p w14:paraId="63A5BA46"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1.5</w:t>
            </w:r>
          </w:p>
        </w:tc>
        <w:tc>
          <w:tcPr>
            <w:tcW w:w="851" w:type="dxa"/>
            <w:shd w:val="clear" w:color="auto" w:fill="FFFFFF"/>
            <w:noWrap/>
            <w:vAlign w:val="bottom"/>
          </w:tcPr>
          <w:p w14:paraId="67E7EE83"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78" w:type="dxa"/>
            <w:shd w:val="clear" w:color="auto" w:fill="FFFFFF"/>
            <w:noWrap/>
            <w:vAlign w:val="bottom"/>
          </w:tcPr>
          <w:p w14:paraId="47B604AF" w14:textId="77777777" w:rsidR="00A32677" w:rsidRPr="00757AE3" w:rsidRDefault="00A32677" w:rsidP="001C5897">
            <w:pPr>
              <w:jc w:val="right"/>
              <w:rPr>
                <w:rFonts w:ascii="Calibri" w:hAnsi="Calibri" w:cs="Calibri"/>
                <w:color w:val="000000"/>
                <w:sz w:val="18"/>
                <w:szCs w:val="18"/>
                <w:lang w:eastAsia="en-IE"/>
              </w:rPr>
            </w:pPr>
            <w:r w:rsidRPr="00757AE3">
              <w:rPr>
                <w:rFonts w:ascii="Calibri" w:eastAsia="Calibri" w:hAnsi="Calibri" w:cs="Calibri"/>
                <w:sz w:val="18"/>
                <w:szCs w:val="18"/>
                <w:lang w:eastAsia="en-IE"/>
              </w:rPr>
              <w:t>19.1</w:t>
            </w:r>
          </w:p>
        </w:tc>
        <w:tc>
          <w:tcPr>
            <w:tcW w:w="1006" w:type="dxa"/>
            <w:gridSpan w:val="2"/>
            <w:shd w:val="clear" w:color="auto" w:fill="FFFFFF"/>
            <w:noWrap/>
            <w:vAlign w:val="bottom"/>
          </w:tcPr>
          <w:p w14:paraId="2CDE9966" w14:textId="77777777" w:rsidR="00A32677" w:rsidRPr="00757AE3" w:rsidRDefault="00A32677" w:rsidP="001C5897">
            <w:pPr>
              <w:jc w:val="right"/>
              <w:rPr>
                <w:rFonts w:ascii="Calibri" w:eastAsia="Calibri" w:hAnsi="Calibri" w:cs="Calibri"/>
                <w:sz w:val="18"/>
                <w:szCs w:val="18"/>
                <w:lang w:eastAsia="en-IE"/>
              </w:rPr>
            </w:pPr>
            <w:r w:rsidRPr="00757AE3">
              <w:rPr>
                <w:rFonts w:ascii="Calibri" w:hAnsi="Calibri" w:cs="Calibri"/>
                <w:color w:val="000000"/>
                <w:sz w:val="18"/>
                <w:szCs w:val="18"/>
              </w:rPr>
              <w:t>-</w:t>
            </w:r>
          </w:p>
        </w:tc>
        <w:tc>
          <w:tcPr>
            <w:tcW w:w="993" w:type="dxa"/>
            <w:shd w:val="clear" w:color="auto" w:fill="FFFFFF"/>
            <w:noWrap/>
            <w:vAlign w:val="bottom"/>
          </w:tcPr>
          <w:p w14:paraId="72AFA024"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(6.6)</w:t>
            </w:r>
          </w:p>
        </w:tc>
        <w:tc>
          <w:tcPr>
            <w:tcW w:w="992" w:type="dxa"/>
            <w:tcBorders>
              <w:top w:val="nil"/>
              <w:left w:val="single" w:sz="8" w:space="0" w:color="auto"/>
              <w:bottom w:val="nil"/>
              <w:right w:val="nil"/>
            </w:tcBorders>
            <w:shd w:val="clear" w:color="auto" w:fill="FFFFFF"/>
            <w:noWrap/>
            <w:vAlign w:val="bottom"/>
          </w:tcPr>
          <w:p w14:paraId="569F66DC"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92" w:type="dxa"/>
            <w:tcBorders>
              <w:top w:val="nil"/>
              <w:left w:val="nil"/>
              <w:bottom w:val="nil"/>
              <w:right w:val="single" w:sz="8" w:space="0" w:color="auto"/>
            </w:tcBorders>
            <w:shd w:val="clear" w:color="auto" w:fill="FFFFFF"/>
            <w:noWrap/>
            <w:vAlign w:val="bottom"/>
          </w:tcPr>
          <w:p w14:paraId="3C39E169"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92" w:type="dxa"/>
            <w:shd w:val="clear" w:color="auto" w:fill="FFFFFF"/>
            <w:noWrap/>
            <w:vAlign w:val="bottom"/>
          </w:tcPr>
          <w:p w14:paraId="13894AAB"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12.5</w:t>
            </w:r>
          </w:p>
        </w:tc>
      </w:tr>
      <w:tr w:rsidR="00A32677" w:rsidRPr="00BF0AD6" w14:paraId="0DD90677" w14:textId="77777777" w:rsidTr="00EE6630">
        <w:trPr>
          <w:trHeight w:val="227"/>
        </w:trPr>
        <w:tc>
          <w:tcPr>
            <w:tcW w:w="2977" w:type="dxa"/>
            <w:shd w:val="clear" w:color="auto" w:fill="FFFFFF"/>
            <w:vAlign w:val="bottom"/>
          </w:tcPr>
          <w:p w14:paraId="1466D6DF" w14:textId="77777777" w:rsidR="00A32677" w:rsidRPr="00BF0AD6" w:rsidRDefault="00A32677" w:rsidP="00EE6630">
            <w:pPr>
              <w:ind w:right="-112"/>
              <w:rPr>
                <w:rFonts w:ascii="Calibri" w:hAnsi="Calibri" w:cs="Calibri"/>
                <w:color w:val="000000"/>
                <w:sz w:val="18"/>
                <w:szCs w:val="18"/>
                <w:lang w:eastAsia="en-IE"/>
              </w:rPr>
            </w:pPr>
            <w:r w:rsidRPr="00F26EAC">
              <w:rPr>
                <w:rFonts w:ascii="Calibri" w:hAnsi="Calibri" w:cs="Calibri"/>
                <w:color w:val="000000"/>
                <w:sz w:val="18"/>
                <w:szCs w:val="18"/>
                <w:lang w:eastAsia="en-IE"/>
              </w:rPr>
              <w:t>Share-based payments</w:t>
            </w:r>
          </w:p>
        </w:tc>
        <w:tc>
          <w:tcPr>
            <w:tcW w:w="992" w:type="dxa"/>
            <w:tcBorders>
              <w:top w:val="nil"/>
              <w:left w:val="single" w:sz="8" w:space="0" w:color="auto"/>
              <w:bottom w:val="nil"/>
              <w:right w:val="single" w:sz="8" w:space="0" w:color="auto"/>
            </w:tcBorders>
            <w:shd w:val="clear" w:color="auto" w:fill="FFFFFF"/>
            <w:noWrap/>
            <w:vAlign w:val="bottom"/>
          </w:tcPr>
          <w:p w14:paraId="484DF404"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w:t>
            </w:r>
          </w:p>
        </w:tc>
        <w:tc>
          <w:tcPr>
            <w:tcW w:w="851" w:type="dxa"/>
            <w:shd w:val="clear" w:color="auto" w:fill="FFFFFF"/>
            <w:noWrap/>
            <w:vAlign w:val="bottom"/>
          </w:tcPr>
          <w:p w14:paraId="71971079"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78" w:type="dxa"/>
            <w:shd w:val="clear" w:color="auto" w:fill="FFFFFF"/>
            <w:noWrap/>
            <w:vAlign w:val="bottom"/>
          </w:tcPr>
          <w:p w14:paraId="4B5FD5B0" w14:textId="77777777" w:rsidR="00A32677" w:rsidRPr="00757AE3" w:rsidRDefault="00A32677" w:rsidP="001C5897">
            <w:pPr>
              <w:jc w:val="right"/>
              <w:rPr>
                <w:rFonts w:ascii="Calibri" w:hAnsi="Calibri" w:cs="Calibri"/>
                <w:color w:val="000000"/>
                <w:sz w:val="18"/>
                <w:szCs w:val="18"/>
                <w:lang w:eastAsia="en-IE"/>
              </w:rPr>
            </w:pPr>
            <w:r w:rsidRPr="00757AE3">
              <w:rPr>
                <w:rFonts w:ascii="Calibri" w:eastAsia="Calibri" w:hAnsi="Calibri" w:cs="Calibri"/>
                <w:sz w:val="18"/>
                <w:szCs w:val="18"/>
                <w:lang w:eastAsia="en-IE"/>
              </w:rPr>
              <w:t>-</w:t>
            </w:r>
          </w:p>
        </w:tc>
        <w:tc>
          <w:tcPr>
            <w:tcW w:w="1006" w:type="dxa"/>
            <w:gridSpan w:val="2"/>
            <w:shd w:val="clear" w:color="auto" w:fill="FFFFFF"/>
            <w:noWrap/>
            <w:vAlign w:val="bottom"/>
          </w:tcPr>
          <w:p w14:paraId="369591C9" w14:textId="77777777" w:rsidR="00A32677" w:rsidRPr="00757AE3" w:rsidRDefault="00A32677" w:rsidP="001C5897">
            <w:pPr>
              <w:jc w:val="right"/>
              <w:rPr>
                <w:rFonts w:ascii="Calibri" w:eastAsia="Calibri" w:hAnsi="Calibri" w:cs="Calibri"/>
                <w:sz w:val="18"/>
                <w:szCs w:val="18"/>
                <w:lang w:eastAsia="en-IE"/>
              </w:rPr>
            </w:pPr>
            <w:r w:rsidRPr="00757AE3">
              <w:rPr>
                <w:rFonts w:ascii="Calibri" w:hAnsi="Calibri" w:cs="Calibri"/>
                <w:color w:val="000000"/>
                <w:sz w:val="18"/>
                <w:szCs w:val="18"/>
              </w:rPr>
              <w:t>-</w:t>
            </w:r>
          </w:p>
        </w:tc>
        <w:tc>
          <w:tcPr>
            <w:tcW w:w="993" w:type="dxa"/>
            <w:shd w:val="clear" w:color="auto" w:fill="FFFFFF"/>
            <w:noWrap/>
            <w:vAlign w:val="bottom"/>
          </w:tcPr>
          <w:p w14:paraId="2306A57C"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92" w:type="dxa"/>
            <w:tcBorders>
              <w:top w:val="nil"/>
              <w:left w:val="single" w:sz="8" w:space="0" w:color="auto"/>
              <w:bottom w:val="nil"/>
              <w:right w:val="nil"/>
            </w:tcBorders>
            <w:shd w:val="clear" w:color="auto" w:fill="FFFFFF"/>
            <w:noWrap/>
            <w:vAlign w:val="bottom"/>
          </w:tcPr>
          <w:p w14:paraId="51075B3D"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92" w:type="dxa"/>
            <w:tcBorders>
              <w:top w:val="nil"/>
              <w:left w:val="nil"/>
              <w:bottom w:val="nil"/>
              <w:right w:val="single" w:sz="8" w:space="0" w:color="auto"/>
            </w:tcBorders>
            <w:shd w:val="clear" w:color="auto" w:fill="FFFFFF"/>
            <w:noWrap/>
            <w:vAlign w:val="bottom"/>
          </w:tcPr>
          <w:p w14:paraId="22442128" w14:textId="77777777" w:rsidR="00A32677" w:rsidRPr="00757AE3" w:rsidRDefault="00A32677" w:rsidP="001C5897">
            <w:pPr>
              <w:jc w:val="right"/>
              <w:rPr>
                <w:rFonts w:ascii="Calibri" w:eastAsia="Calibri" w:hAnsi="Calibri" w:cs="Calibri"/>
                <w:sz w:val="18"/>
                <w:szCs w:val="18"/>
                <w:lang w:eastAsia="en-IE"/>
              </w:rPr>
            </w:pPr>
            <w:r w:rsidRPr="00757AE3">
              <w:rPr>
                <w:rFonts w:ascii="Calibri" w:hAnsi="Calibri" w:cs="Calibri"/>
                <w:color w:val="000000"/>
                <w:sz w:val="18"/>
                <w:szCs w:val="18"/>
              </w:rPr>
              <w:t>7.8</w:t>
            </w:r>
          </w:p>
        </w:tc>
        <w:tc>
          <w:tcPr>
            <w:tcW w:w="992" w:type="dxa"/>
            <w:shd w:val="clear" w:color="auto" w:fill="FFFFFF"/>
            <w:noWrap/>
            <w:vAlign w:val="bottom"/>
          </w:tcPr>
          <w:p w14:paraId="2AB8C7E3"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7.8</w:t>
            </w:r>
          </w:p>
        </w:tc>
      </w:tr>
      <w:tr w:rsidR="00A32677" w:rsidRPr="00BF0AD6" w14:paraId="51C21FDC" w14:textId="77777777" w:rsidTr="00EE6630">
        <w:trPr>
          <w:trHeight w:val="227"/>
        </w:trPr>
        <w:tc>
          <w:tcPr>
            <w:tcW w:w="2977" w:type="dxa"/>
            <w:shd w:val="clear" w:color="auto" w:fill="FFFFFF"/>
            <w:vAlign w:val="bottom"/>
          </w:tcPr>
          <w:p w14:paraId="59D9C325" w14:textId="77777777" w:rsidR="00A32677" w:rsidRPr="00BF0AD6" w:rsidRDefault="00A32677" w:rsidP="00EE6630">
            <w:pPr>
              <w:ind w:right="-112"/>
              <w:rPr>
                <w:rFonts w:ascii="Calibri" w:hAnsi="Calibri" w:cs="Calibri"/>
                <w:color w:val="000000"/>
                <w:sz w:val="18"/>
                <w:szCs w:val="18"/>
                <w:lang w:eastAsia="en-IE"/>
              </w:rPr>
            </w:pPr>
            <w:r w:rsidRPr="00F26EAC">
              <w:rPr>
                <w:rFonts w:ascii="Calibri" w:hAnsi="Calibri" w:cs="Calibri"/>
                <w:color w:val="000000"/>
                <w:sz w:val="18"/>
                <w:szCs w:val="18"/>
                <w:lang w:eastAsia="en-IE"/>
              </w:rPr>
              <w:t>Transfer of exercised and expired share</w:t>
            </w:r>
            <w:r>
              <w:rPr>
                <w:rFonts w:ascii="Calibri" w:hAnsi="Calibri" w:cs="Calibri"/>
                <w:color w:val="000000"/>
                <w:sz w:val="18"/>
                <w:szCs w:val="18"/>
                <w:lang w:eastAsia="en-IE"/>
              </w:rPr>
              <w:t>-</w:t>
            </w:r>
            <w:r w:rsidRPr="00F26EAC">
              <w:rPr>
                <w:rFonts w:ascii="Calibri" w:hAnsi="Calibri" w:cs="Calibri"/>
                <w:color w:val="000000"/>
                <w:sz w:val="18"/>
                <w:szCs w:val="18"/>
                <w:lang w:eastAsia="en-IE"/>
              </w:rPr>
              <w:t>based awards</w:t>
            </w:r>
          </w:p>
        </w:tc>
        <w:tc>
          <w:tcPr>
            <w:tcW w:w="992" w:type="dxa"/>
            <w:tcBorders>
              <w:top w:val="nil"/>
              <w:left w:val="single" w:sz="8" w:space="0" w:color="auto"/>
              <w:bottom w:val="nil"/>
              <w:right w:val="single" w:sz="8" w:space="0" w:color="auto"/>
            </w:tcBorders>
            <w:shd w:val="clear" w:color="auto" w:fill="FFFFFF"/>
            <w:noWrap/>
            <w:vAlign w:val="bottom"/>
          </w:tcPr>
          <w:p w14:paraId="122039F6"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w:t>
            </w:r>
          </w:p>
        </w:tc>
        <w:tc>
          <w:tcPr>
            <w:tcW w:w="851" w:type="dxa"/>
            <w:shd w:val="clear" w:color="auto" w:fill="FFFFFF"/>
            <w:noWrap/>
            <w:vAlign w:val="bottom"/>
          </w:tcPr>
          <w:p w14:paraId="795C4BD6"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78" w:type="dxa"/>
            <w:shd w:val="clear" w:color="auto" w:fill="FFFFFF"/>
            <w:noWrap/>
            <w:vAlign w:val="bottom"/>
          </w:tcPr>
          <w:p w14:paraId="64D636CB" w14:textId="77777777" w:rsidR="00A32677" w:rsidRPr="00757AE3" w:rsidRDefault="00A32677" w:rsidP="001C5897">
            <w:pPr>
              <w:jc w:val="right"/>
              <w:rPr>
                <w:rFonts w:ascii="Calibri" w:hAnsi="Calibri" w:cs="Calibri"/>
                <w:color w:val="000000"/>
                <w:sz w:val="18"/>
                <w:szCs w:val="18"/>
                <w:lang w:eastAsia="en-IE"/>
              </w:rPr>
            </w:pPr>
            <w:r w:rsidRPr="00757AE3">
              <w:rPr>
                <w:rFonts w:ascii="Calibri" w:eastAsia="Calibri" w:hAnsi="Calibri" w:cs="Calibri"/>
                <w:sz w:val="18"/>
                <w:szCs w:val="18"/>
                <w:lang w:eastAsia="en-IE"/>
              </w:rPr>
              <w:t>-</w:t>
            </w:r>
          </w:p>
        </w:tc>
        <w:tc>
          <w:tcPr>
            <w:tcW w:w="1006" w:type="dxa"/>
            <w:gridSpan w:val="2"/>
            <w:shd w:val="clear" w:color="auto" w:fill="FFFFFF"/>
            <w:noWrap/>
            <w:vAlign w:val="bottom"/>
          </w:tcPr>
          <w:p w14:paraId="0900F2E0"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93" w:type="dxa"/>
            <w:shd w:val="clear" w:color="auto" w:fill="FFFFFF"/>
            <w:noWrap/>
            <w:vAlign w:val="bottom"/>
          </w:tcPr>
          <w:p w14:paraId="047228C9" w14:textId="77777777" w:rsidR="00A32677" w:rsidRPr="00757AE3" w:rsidRDefault="00A32677" w:rsidP="001C5897">
            <w:pPr>
              <w:jc w:val="right"/>
              <w:rPr>
                <w:rFonts w:ascii="Calibri" w:eastAsia="Calibri" w:hAnsi="Calibri" w:cs="Calibri"/>
                <w:sz w:val="18"/>
                <w:szCs w:val="18"/>
                <w:lang w:eastAsia="en-IE"/>
              </w:rPr>
            </w:pPr>
            <w:r w:rsidRPr="00757AE3">
              <w:rPr>
                <w:rFonts w:ascii="Calibri" w:hAnsi="Calibri" w:cs="Calibri"/>
                <w:sz w:val="18"/>
                <w:szCs w:val="18"/>
              </w:rPr>
              <w:t>2.1</w:t>
            </w:r>
          </w:p>
        </w:tc>
        <w:tc>
          <w:tcPr>
            <w:tcW w:w="992" w:type="dxa"/>
            <w:tcBorders>
              <w:top w:val="nil"/>
              <w:left w:val="single" w:sz="8" w:space="0" w:color="auto"/>
              <w:bottom w:val="nil"/>
              <w:right w:val="nil"/>
            </w:tcBorders>
            <w:shd w:val="clear" w:color="auto" w:fill="FFFFFF"/>
            <w:noWrap/>
            <w:vAlign w:val="bottom"/>
          </w:tcPr>
          <w:p w14:paraId="2A935D58"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w:t>
            </w:r>
          </w:p>
        </w:tc>
        <w:tc>
          <w:tcPr>
            <w:tcW w:w="992" w:type="dxa"/>
            <w:tcBorders>
              <w:top w:val="nil"/>
              <w:left w:val="nil"/>
              <w:bottom w:val="nil"/>
              <w:right w:val="single" w:sz="8" w:space="0" w:color="auto"/>
            </w:tcBorders>
            <w:shd w:val="clear" w:color="auto" w:fill="FFFFFF"/>
            <w:noWrap/>
            <w:vAlign w:val="bottom"/>
          </w:tcPr>
          <w:p w14:paraId="7270C6E4" w14:textId="77777777" w:rsidR="00A32677" w:rsidRPr="00757AE3" w:rsidRDefault="00A32677" w:rsidP="001C5897">
            <w:pPr>
              <w:jc w:val="right"/>
              <w:rPr>
                <w:rFonts w:ascii="Calibri" w:eastAsia="Calibri" w:hAnsi="Calibri" w:cs="Calibri"/>
                <w:sz w:val="18"/>
                <w:szCs w:val="18"/>
                <w:lang w:eastAsia="en-IE"/>
              </w:rPr>
            </w:pPr>
            <w:r w:rsidRPr="00757AE3">
              <w:rPr>
                <w:rFonts w:ascii="Calibri" w:eastAsia="Calibri" w:hAnsi="Calibri" w:cs="Calibri"/>
                <w:sz w:val="18"/>
                <w:szCs w:val="18"/>
                <w:lang w:eastAsia="en-IE"/>
              </w:rPr>
              <w:t>(2.1)</w:t>
            </w:r>
          </w:p>
        </w:tc>
        <w:tc>
          <w:tcPr>
            <w:tcW w:w="992" w:type="dxa"/>
            <w:shd w:val="clear" w:color="auto" w:fill="FFFFFF"/>
            <w:noWrap/>
            <w:vAlign w:val="bottom"/>
          </w:tcPr>
          <w:p w14:paraId="6B8B156E"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sz w:val="18"/>
                <w:szCs w:val="18"/>
              </w:rPr>
              <w:t>-</w:t>
            </w:r>
          </w:p>
        </w:tc>
      </w:tr>
      <w:tr w:rsidR="00A32677" w:rsidRPr="00BF0AD6" w14:paraId="686F72D2" w14:textId="77777777" w:rsidTr="00EE6630">
        <w:trPr>
          <w:trHeight w:val="227"/>
        </w:trPr>
        <w:tc>
          <w:tcPr>
            <w:tcW w:w="2977" w:type="dxa"/>
            <w:shd w:val="clear" w:color="auto" w:fill="auto"/>
            <w:vAlign w:val="bottom"/>
            <w:hideMark/>
          </w:tcPr>
          <w:p w14:paraId="1F4D215A" w14:textId="77777777" w:rsidR="00A32677" w:rsidRPr="00BF0AD6" w:rsidRDefault="00A32677" w:rsidP="00EE6630">
            <w:pPr>
              <w:ind w:right="-112"/>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xml:space="preserve">Balance </w:t>
            </w:r>
            <w:proofErr w:type="gramStart"/>
            <w:r w:rsidRPr="00BF0AD6">
              <w:rPr>
                <w:rFonts w:ascii="Calibri" w:hAnsi="Calibri" w:cs="Calibri"/>
                <w:b/>
                <w:bCs/>
                <w:color w:val="000000"/>
                <w:sz w:val="18"/>
                <w:szCs w:val="18"/>
                <w:lang w:eastAsia="en-IE"/>
              </w:rPr>
              <w:t>at</w:t>
            </w:r>
            <w:proofErr w:type="gramEnd"/>
            <w:r w:rsidRPr="00BF0AD6">
              <w:rPr>
                <w:rFonts w:ascii="Calibri" w:hAnsi="Calibri" w:cs="Calibri"/>
                <w:b/>
                <w:bCs/>
                <w:color w:val="000000"/>
                <w:sz w:val="18"/>
                <w:szCs w:val="18"/>
                <w:lang w:eastAsia="en-IE"/>
              </w:rPr>
              <w:t xml:space="preserve"> March 31, 2023</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D0538C8"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1,138.7</w:t>
            </w:r>
          </w:p>
        </w:tc>
        <w:tc>
          <w:tcPr>
            <w:tcW w:w="851" w:type="dxa"/>
            <w:tcBorders>
              <w:top w:val="single" w:sz="8" w:space="0" w:color="auto"/>
              <w:left w:val="nil"/>
              <w:bottom w:val="single" w:sz="8" w:space="0" w:color="auto"/>
              <w:right w:val="nil"/>
            </w:tcBorders>
            <w:shd w:val="clear" w:color="auto" w:fill="auto"/>
            <w:noWrap/>
            <w:vAlign w:val="bottom"/>
          </w:tcPr>
          <w:p w14:paraId="7C604E9B"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6.9</w:t>
            </w:r>
          </w:p>
        </w:tc>
        <w:tc>
          <w:tcPr>
            <w:tcW w:w="978" w:type="dxa"/>
            <w:tcBorders>
              <w:top w:val="single" w:sz="8" w:space="0" w:color="auto"/>
              <w:left w:val="nil"/>
              <w:bottom w:val="single" w:sz="8" w:space="0" w:color="auto"/>
              <w:right w:val="nil"/>
            </w:tcBorders>
            <w:shd w:val="clear" w:color="auto" w:fill="auto"/>
            <w:noWrap/>
            <w:vAlign w:val="bottom"/>
          </w:tcPr>
          <w:p w14:paraId="15B49D8D"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1,379.9</w:t>
            </w:r>
          </w:p>
        </w:tc>
        <w:tc>
          <w:tcPr>
            <w:tcW w:w="1006" w:type="dxa"/>
            <w:gridSpan w:val="2"/>
            <w:tcBorders>
              <w:top w:val="single" w:sz="8" w:space="0" w:color="auto"/>
              <w:left w:val="nil"/>
              <w:bottom w:val="single" w:sz="8" w:space="0" w:color="auto"/>
              <w:right w:val="nil"/>
            </w:tcBorders>
            <w:shd w:val="clear" w:color="auto" w:fill="auto"/>
            <w:noWrap/>
            <w:vAlign w:val="bottom"/>
          </w:tcPr>
          <w:p w14:paraId="4D0CECD5"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3.5</w:t>
            </w:r>
          </w:p>
        </w:tc>
        <w:tc>
          <w:tcPr>
            <w:tcW w:w="993" w:type="dxa"/>
            <w:tcBorders>
              <w:top w:val="single" w:sz="8" w:space="0" w:color="auto"/>
              <w:left w:val="nil"/>
              <w:bottom w:val="single" w:sz="8" w:space="0" w:color="auto"/>
              <w:right w:val="nil"/>
            </w:tcBorders>
            <w:shd w:val="clear" w:color="auto" w:fill="auto"/>
            <w:noWrap/>
            <w:vAlign w:val="bottom"/>
          </w:tcPr>
          <w:p w14:paraId="03E69394"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4,180.0</w:t>
            </w:r>
          </w:p>
        </w:tc>
        <w:tc>
          <w:tcPr>
            <w:tcW w:w="992" w:type="dxa"/>
            <w:tcBorders>
              <w:top w:val="single" w:sz="8" w:space="0" w:color="auto"/>
              <w:left w:val="single" w:sz="8" w:space="0" w:color="auto"/>
              <w:bottom w:val="single" w:sz="8" w:space="0" w:color="auto"/>
              <w:right w:val="nil"/>
            </w:tcBorders>
            <w:shd w:val="clear" w:color="auto" w:fill="auto"/>
            <w:noWrap/>
            <w:vAlign w:val="bottom"/>
          </w:tcPr>
          <w:p w14:paraId="3FB85355"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31.4</w:t>
            </w:r>
          </w:p>
        </w:tc>
        <w:tc>
          <w:tcPr>
            <w:tcW w:w="992" w:type="dxa"/>
            <w:tcBorders>
              <w:top w:val="single" w:sz="8" w:space="0" w:color="auto"/>
              <w:left w:val="nil"/>
              <w:bottom w:val="single" w:sz="8" w:space="0" w:color="auto"/>
              <w:right w:val="single" w:sz="8" w:space="0" w:color="auto"/>
            </w:tcBorders>
            <w:shd w:val="clear" w:color="auto" w:fill="auto"/>
            <w:noWrap/>
            <w:vAlign w:val="bottom"/>
          </w:tcPr>
          <w:p w14:paraId="1D61B10F"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41.3</w:t>
            </w:r>
          </w:p>
        </w:tc>
        <w:tc>
          <w:tcPr>
            <w:tcW w:w="992" w:type="dxa"/>
            <w:tcBorders>
              <w:top w:val="single" w:sz="8" w:space="0" w:color="auto"/>
              <w:left w:val="nil"/>
              <w:bottom w:val="single" w:sz="8" w:space="0" w:color="auto"/>
              <w:right w:val="nil"/>
            </w:tcBorders>
            <w:shd w:val="clear" w:color="auto" w:fill="auto"/>
            <w:noWrap/>
            <w:vAlign w:val="bottom"/>
          </w:tcPr>
          <w:p w14:paraId="47D2435F"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5,643.0</w:t>
            </w:r>
          </w:p>
        </w:tc>
      </w:tr>
      <w:tr w:rsidR="00A32677" w:rsidRPr="00BF0AD6" w14:paraId="6837F446" w14:textId="77777777" w:rsidTr="00EE6630">
        <w:trPr>
          <w:trHeight w:val="227"/>
        </w:trPr>
        <w:tc>
          <w:tcPr>
            <w:tcW w:w="2977" w:type="dxa"/>
            <w:shd w:val="clear" w:color="auto" w:fill="FFFF00"/>
            <w:vAlign w:val="bottom"/>
            <w:hideMark/>
          </w:tcPr>
          <w:p w14:paraId="1694BDEE" w14:textId="77777777" w:rsidR="00A32677" w:rsidRPr="00BF0AD6" w:rsidRDefault="00A32677" w:rsidP="00EE6630">
            <w:pPr>
              <w:ind w:right="-112"/>
              <w:rPr>
                <w:rFonts w:ascii="Calibri" w:hAnsi="Calibri" w:cs="Calibri"/>
                <w:color w:val="000000"/>
                <w:sz w:val="18"/>
                <w:szCs w:val="18"/>
                <w:lang w:eastAsia="en-IE"/>
              </w:rPr>
            </w:pPr>
            <w:r>
              <w:rPr>
                <w:rFonts w:ascii="Calibri" w:hAnsi="Calibri" w:cs="Calibri"/>
                <w:bCs/>
                <w:color w:val="000000"/>
                <w:sz w:val="18"/>
                <w:szCs w:val="18"/>
              </w:rPr>
              <w:t>Profit</w:t>
            </w:r>
            <w:r w:rsidRPr="00961843">
              <w:rPr>
                <w:rFonts w:ascii="Calibri" w:hAnsi="Calibri" w:cs="Calibri"/>
                <w:bCs/>
                <w:color w:val="000000"/>
                <w:sz w:val="18"/>
                <w:szCs w:val="18"/>
              </w:rPr>
              <w:t xml:space="preserve"> for</w:t>
            </w:r>
            <w:r w:rsidRPr="00E62280">
              <w:rPr>
                <w:rFonts w:ascii="Calibri" w:hAnsi="Calibri" w:cs="Calibri"/>
                <w:bCs/>
                <w:color w:val="000000"/>
                <w:sz w:val="18"/>
                <w:szCs w:val="18"/>
              </w:rPr>
              <w:t xml:space="preserve"> the half-year</w:t>
            </w:r>
          </w:p>
        </w:tc>
        <w:tc>
          <w:tcPr>
            <w:tcW w:w="992" w:type="dxa"/>
            <w:tcBorders>
              <w:top w:val="nil"/>
              <w:left w:val="single" w:sz="8" w:space="0" w:color="auto"/>
              <w:bottom w:val="nil"/>
              <w:right w:val="single" w:sz="8" w:space="0" w:color="auto"/>
            </w:tcBorders>
            <w:shd w:val="clear" w:color="auto" w:fill="FFFF00"/>
            <w:vAlign w:val="bottom"/>
          </w:tcPr>
          <w:p w14:paraId="63470C8E" w14:textId="77777777" w:rsidR="00A32677" w:rsidRPr="00BF0AD6" w:rsidRDefault="00A32677" w:rsidP="001C5897">
            <w:pPr>
              <w:jc w:val="right"/>
              <w:rPr>
                <w:rFonts w:ascii="Calibri" w:hAnsi="Calibri" w:cs="Calibri"/>
                <w:b/>
                <w:color w:val="000000"/>
                <w:sz w:val="18"/>
                <w:szCs w:val="18"/>
                <w:lang w:eastAsia="en-IE"/>
              </w:rPr>
            </w:pPr>
            <w:r w:rsidRPr="00FB10B0">
              <w:rPr>
                <w:rFonts w:ascii="Calibri" w:hAnsi="Calibri" w:cs="Calibri"/>
                <w:b/>
                <w:color w:val="000000"/>
                <w:sz w:val="18"/>
                <w:szCs w:val="18"/>
              </w:rPr>
              <w:t>-</w:t>
            </w:r>
          </w:p>
        </w:tc>
        <w:tc>
          <w:tcPr>
            <w:tcW w:w="851" w:type="dxa"/>
            <w:shd w:val="clear" w:color="auto" w:fill="FFFF00"/>
            <w:vAlign w:val="bottom"/>
          </w:tcPr>
          <w:p w14:paraId="37B98D29"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978" w:type="dxa"/>
            <w:shd w:val="clear" w:color="auto" w:fill="FFFF00"/>
            <w:vAlign w:val="bottom"/>
          </w:tcPr>
          <w:p w14:paraId="6469351C"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1006" w:type="dxa"/>
            <w:gridSpan w:val="2"/>
            <w:shd w:val="clear" w:color="auto" w:fill="FFFF00"/>
            <w:vAlign w:val="bottom"/>
          </w:tcPr>
          <w:p w14:paraId="33275D7F"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993" w:type="dxa"/>
            <w:shd w:val="clear" w:color="auto" w:fill="FFFF00"/>
            <w:vAlign w:val="bottom"/>
          </w:tcPr>
          <w:p w14:paraId="083AA150"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2,178.1</w:t>
            </w:r>
          </w:p>
        </w:tc>
        <w:tc>
          <w:tcPr>
            <w:tcW w:w="992" w:type="dxa"/>
            <w:tcBorders>
              <w:top w:val="nil"/>
              <w:left w:val="single" w:sz="8" w:space="0" w:color="auto"/>
              <w:bottom w:val="nil"/>
              <w:right w:val="nil"/>
            </w:tcBorders>
            <w:shd w:val="clear" w:color="auto" w:fill="FFFF00"/>
            <w:vAlign w:val="bottom"/>
          </w:tcPr>
          <w:p w14:paraId="4C4B3B2D"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992" w:type="dxa"/>
            <w:tcBorders>
              <w:top w:val="nil"/>
              <w:left w:val="nil"/>
              <w:bottom w:val="nil"/>
              <w:right w:val="single" w:sz="8" w:space="0" w:color="auto"/>
            </w:tcBorders>
            <w:shd w:val="clear" w:color="auto" w:fill="FFFF00"/>
            <w:vAlign w:val="bottom"/>
          </w:tcPr>
          <w:p w14:paraId="7D2A0144"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992" w:type="dxa"/>
            <w:shd w:val="clear" w:color="auto" w:fill="FFFF00"/>
            <w:vAlign w:val="bottom"/>
          </w:tcPr>
          <w:p w14:paraId="4F7F7853" w14:textId="77777777" w:rsidR="00A32677" w:rsidRPr="00BF0AD6" w:rsidRDefault="00A32677" w:rsidP="001C5897">
            <w:pPr>
              <w:jc w:val="right"/>
              <w:rPr>
                <w:rFonts w:ascii="Calibri" w:hAnsi="Calibri" w:cs="Calibri"/>
                <w:b/>
                <w:bCs/>
                <w:color w:val="000000"/>
                <w:sz w:val="18"/>
                <w:szCs w:val="18"/>
                <w:lang w:eastAsia="en-IE"/>
              </w:rPr>
            </w:pPr>
            <w:r w:rsidRPr="00FB10B0">
              <w:rPr>
                <w:rFonts w:ascii="Calibri" w:hAnsi="Calibri" w:cs="Calibri"/>
                <w:b/>
                <w:color w:val="000000"/>
                <w:sz w:val="18"/>
                <w:szCs w:val="18"/>
              </w:rPr>
              <w:t>2,178.1</w:t>
            </w:r>
          </w:p>
        </w:tc>
      </w:tr>
      <w:tr w:rsidR="00A32677" w:rsidRPr="00BF0AD6" w14:paraId="48203BB8" w14:textId="77777777" w:rsidTr="00EE6630">
        <w:trPr>
          <w:trHeight w:val="227"/>
        </w:trPr>
        <w:tc>
          <w:tcPr>
            <w:tcW w:w="2977" w:type="dxa"/>
            <w:shd w:val="clear" w:color="auto" w:fill="FFFF00"/>
            <w:vAlign w:val="bottom"/>
            <w:hideMark/>
          </w:tcPr>
          <w:p w14:paraId="45A2FF64" w14:textId="77777777" w:rsidR="00A32677" w:rsidRPr="00BF0AD6" w:rsidRDefault="00A32677" w:rsidP="00EE6630">
            <w:pPr>
              <w:ind w:right="-112"/>
              <w:rPr>
                <w:rFonts w:ascii="Calibri" w:hAnsi="Calibri" w:cs="Calibri"/>
                <w:i/>
                <w:iCs/>
                <w:color w:val="000000"/>
                <w:sz w:val="18"/>
                <w:szCs w:val="18"/>
                <w:lang w:eastAsia="en-IE"/>
              </w:rPr>
            </w:pPr>
            <w:r w:rsidRPr="00E62280">
              <w:rPr>
                <w:rFonts w:ascii="Calibri" w:hAnsi="Calibri" w:cs="Calibri"/>
                <w:bCs/>
                <w:i/>
                <w:color w:val="000000"/>
                <w:sz w:val="18"/>
                <w:szCs w:val="18"/>
              </w:rPr>
              <w:t>Other comprehensive income</w:t>
            </w:r>
          </w:p>
        </w:tc>
        <w:tc>
          <w:tcPr>
            <w:tcW w:w="992" w:type="dxa"/>
            <w:tcBorders>
              <w:top w:val="nil"/>
              <w:left w:val="single" w:sz="8" w:space="0" w:color="auto"/>
              <w:bottom w:val="nil"/>
              <w:right w:val="single" w:sz="8" w:space="0" w:color="auto"/>
            </w:tcBorders>
            <w:shd w:val="clear" w:color="auto" w:fill="FFFF00"/>
            <w:vAlign w:val="bottom"/>
          </w:tcPr>
          <w:p w14:paraId="192C70A1" w14:textId="77777777" w:rsidR="00A32677" w:rsidRPr="00BF0AD6" w:rsidRDefault="00A32677" w:rsidP="001C5897">
            <w:pPr>
              <w:jc w:val="right"/>
              <w:rPr>
                <w:rFonts w:ascii="Calibri" w:hAnsi="Calibri" w:cs="Calibri"/>
                <w:b/>
                <w:i/>
                <w:iCs/>
                <w:color w:val="000000"/>
                <w:sz w:val="18"/>
                <w:szCs w:val="18"/>
                <w:lang w:eastAsia="en-IE"/>
              </w:rPr>
            </w:pPr>
          </w:p>
        </w:tc>
        <w:tc>
          <w:tcPr>
            <w:tcW w:w="851" w:type="dxa"/>
            <w:shd w:val="clear" w:color="auto" w:fill="FFFF00"/>
            <w:vAlign w:val="bottom"/>
          </w:tcPr>
          <w:p w14:paraId="58E98709" w14:textId="77777777" w:rsidR="00A32677" w:rsidRPr="00BF0AD6" w:rsidRDefault="00A32677" w:rsidP="001C5897">
            <w:pPr>
              <w:jc w:val="right"/>
              <w:rPr>
                <w:rFonts w:ascii="Calibri" w:eastAsia="Calibri" w:hAnsi="Calibri" w:cs="Calibri"/>
                <w:b/>
                <w:sz w:val="18"/>
                <w:szCs w:val="18"/>
                <w:lang w:eastAsia="en-IE"/>
              </w:rPr>
            </w:pPr>
          </w:p>
        </w:tc>
        <w:tc>
          <w:tcPr>
            <w:tcW w:w="978" w:type="dxa"/>
            <w:shd w:val="clear" w:color="auto" w:fill="FFFF00"/>
            <w:vAlign w:val="bottom"/>
          </w:tcPr>
          <w:p w14:paraId="11EE471A" w14:textId="77777777" w:rsidR="00A32677" w:rsidRPr="00BF0AD6" w:rsidRDefault="00A32677" w:rsidP="001C5897">
            <w:pPr>
              <w:jc w:val="right"/>
              <w:rPr>
                <w:rFonts w:ascii="Calibri" w:eastAsia="Calibri" w:hAnsi="Calibri" w:cs="Calibri"/>
                <w:b/>
                <w:sz w:val="18"/>
                <w:szCs w:val="18"/>
                <w:lang w:eastAsia="en-IE"/>
              </w:rPr>
            </w:pPr>
          </w:p>
        </w:tc>
        <w:tc>
          <w:tcPr>
            <w:tcW w:w="1006" w:type="dxa"/>
            <w:gridSpan w:val="2"/>
            <w:shd w:val="clear" w:color="auto" w:fill="FFFF00"/>
            <w:vAlign w:val="bottom"/>
          </w:tcPr>
          <w:p w14:paraId="7D2A7A52" w14:textId="77777777" w:rsidR="00A32677" w:rsidRPr="00BF0AD6" w:rsidRDefault="00A32677" w:rsidP="001C5897">
            <w:pPr>
              <w:jc w:val="right"/>
              <w:rPr>
                <w:rFonts w:ascii="Calibri" w:eastAsia="Calibri" w:hAnsi="Calibri" w:cs="Calibri"/>
                <w:b/>
                <w:sz w:val="18"/>
                <w:szCs w:val="18"/>
                <w:lang w:eastAsia="en-IE"/>
              </w:rPr>
            </w:pPr>
          </w:p>
        </w:tc>
        <w:tc>
          <w:tcPr>
            <w:tcW w:w="993" w:type="dxa"/>
            <w:shd w:val="clear" w:color="auto" w:fill="FFFF00"/>
            <w:vAlign w:val="bottom"/>
          </w:tcPr>
          <w:p w14:paraId="61A39FBC" w14:textId="77777777" w:rsidR="00A32677" w:rsidRPr="00BF0AD6" w:rsidRDefault="00A32677" w:rsidP="001C5897">
            <w:pPr>
              <w:jc w:val="right"/>
              <w:rPr>
                <w:rFonts w:ascii="Calibri" w:eastAsia="Calibri" w:hAnsi="Calibri" w:cs="Calibri"/>
                <w:b/>
                <w:sz w:val="18"/>
                <w:szCs w:val="18"/>
                <w:lang w:eastAsia="en-IE"/>
              </w:rPr>
            </w:pPr>
          </w:p>
        </w:tc>
        <w:tc>
          <w:tcPr>
            <w:tcW w:w="992" w:type="dxa"/>
            <w:tcBorders>
              <w:top w:val="nil"/>
              <w:left w:val="single" w:sz="8" w:space="0" w:color="auto"/>
              <w:bottom w:val="nil"/>
              <w:right w:val="nil"/>
            </w:tcBorders>
            <w:shd w:val="clear" w:color="auto" w:fill="FFFF00"/>
            <w:vAlign w:val="bottom"/>
          </w:tcPr>
          <w:p w14:paraId="5D33EA8D" w14:textId="77777777" w:rsidR="00A32677" w:rsidRPr="00BF0AD6" w:rsidRDefault="00A32677" w:rsidP="001C5897">
            <w:pPr>
              <w:jc w:val="right"/>
              <w:rPr>
                <w:rFonts w:ascii="Calibri" w:eastAsia="Calibri" w:hAnsi="Calibri" w:cs="Calibri"/>
                <w:b/>
                <w:sz w:val="18"/>
                <w:szCs w:val="18"/>
                <w:lang w:eastAsia="en-IE"/>
              </w:rPr>
            </w:pPr>
          </w:p>
        </w:tc>
        <w:tc>
          <w:tcPr>
            <w:tcW w:w="992" w:type="dxa"/>
            <w:tcBorders>
              <w:top w:val="nil"/>
              <w:left w:val="nil"/>
              <w:bottom w:val="nil"/>
              <w:right w:val="single" w:sz="8" w:space="0" w:color="auto"/>
            </w:tcBorders>
            <w:shd w:val="clear" w:color="auto" w:fill="FFFF00"/>
            <w:vAlign w:val="bottom"/>
          </w:tcPr>
          <w:p w14:paraId="2BBA1BB5" w14:textId="77777777" w:rsidR="00A32677" w:rsidRPr="00BF0AD6" w:rsidRDefault="00A32677" w:rsidP="001C5897">
            <w:pPr>
              <w:jc w:val="right"/>
              <w:rPr>
                <w:rFonts w:ascii="Calibri" w:eastAsia="Calibri" w:hAnsi="Calibri" w:cs="Calibri"/>
                <w:b/>
                <w:sz w:val="18"/>
                <w:szCs w:val="18"/>
                <w:lang w:eastAsia="en-IE"/>
              </w:rPr>
            </w:pPr>
          </w:p>
        </w:tc>
        <w:tc>
          <w:tcPr>
            <w:tcW w:w="992" w:type="dxa"/>
            <w:shd w:val="clear" w:color="auto" w:fill="FFFF00"/>
            <w:vAlign w:val="bottom"/>
          </w:tcPr>
          <w:p w14:paraId="1DC5CB98" w14:textId="77777777" w:rsidR="00A32677" w:rsidRPr="00BF0AD6" w:rsidRDefault="00A32677" w:rsidP="001C5897">
            <w:pPr>
              <w:jc w:val="right"/>
              <w:rPr>
                <w:rFonts w:ascii="Calibri" w:hAnsi="Calibri" w:cs="Calibri"/>
                <w:b/>
                <w:bCs/>
                <w:color w:val="000000"/>
                <w:sz w:val="18"/>
                <w:szCs w:val="18"/>
                <w:lang w:eastAsia="en-IE"/>
              </w:rPr>
            </w:pPr>
          </w:p>
        </w:tc>
      </w:tr>
      <w:tr w:rsidR="00A32677" w:rsidRPr="00BF0AD6" w14:paraId="315D0540" w14:textId="77777777" w:rsidTr="00EE6630">
        <w:trPr>
          <w:trHeight w:val="227"/>
        </w:trPr>
        <w:tc>
          <w:tcPr>
            <w:tcW w:w="2977" w:type="dxa"/>
            <w:shd w:val="clear" w:color="auto" w:fill="FFFF00"/>
            <w:vAlign w:val="bottom"/>
            <w:hideMark/>
          </w:tcPr>
          <w:p w14:paraId="179FCFD9" w14:textId="77777777" w:rsidR="00A32677" w:rsidRPr="00BF0AD6" w:rsidRDefault="00A32677" w:rsidP="00EE6630">
            <w:pPr>
              <w:ind w:right="-112"/>
              <w:rPr>
                <w:rFonts w:ascii="Calibri" w:hAnsi="Calibri" w:cs="Calibri"/>
                <w:color w:val="000000"/>
                <w:sz w:val="18"/>
                <w:szCs w:val="18"/>
                <w:lang w:eastAsia="en-IE"/>
              </w:rPr>
            </w:pPr>
            <w:r w:rsidRPr="00E62280">
              <w:rPr>
                <w:rFonts w:ascii="Calibri" w:hAnsi="Calibri" w:cs="Calibri"/>
                <w:bCs/>
                <w:color w:val="000000"/>
                <w:sz w:val="18"/>
                <w:szCs w:val="18"/>
              </w:rPr>
              <w:t>Net movements in cash flow reserve</w:t>
            </w:r>
          </w:p>
        </w:tc>
        <w:tc>
          <w:tcPr>
            <w:tcW w:w="992" w:type="dxa"/>
            <w:tcBorders>
              <w:top w:val="nil"/>
              <w:left w:val="single" w:sz="8" w:space="0" w:color="auto"/>
              <w:bottom w:val="nil"/>
              <w:right w:val="single" w:sz="8" w:space="0" w:color="auto"/>
            </w:tcBorders>
            <w:shd w:val="clear" w:color="auto" w:fill="FFFF00"/>
            <w:vAlign w:val="bottom"/>
          </w:tcPr>
          <w:p w14:paraId="68F56EAD" w14:textId="77777777" w:rsidR="00A32677" w:rsidRPr="00BF0AD6" w:rsidRDefault="00A32677" w:rsidP="001C5897">
            <w:pPr>
              <w:jc w:val="right"/>
              <w:rPr>
                <w:rFonts w:ascii="Calibri" w:hAnsi="Calibri" w:cs="Calibri"/>
                <w:b/>
                <w:color w:val="000000"/>
                <w:sz w:val="18"/>
                <w:szCs w:val="18"/>
                <w:lang w:eastAsia="en-IE"/>
              </w:rPr>
            </w:pPr>
            <w:r w:rsidRPr="00FB10B0">
              <w:rPr>
                <w:rFonts w:ascii="Calibri" w:hAnsi="Calibri" w:cs="Calibri"/>
                <w:b/>
                <w:color w:val="000000"/>
                <w:sz w:val="18"/>
                <w:szCs w:val="18"/>
              </w:rPr>
              <w:t>-</w:t>
            </w:r>
          </w:p>
        </w:tc>
        <w:tc>
          <w:tcPr>
            <w:tcW w:w="851" w:type="dxa"/>
            <w:shd w:val="clear" w:color="auto" w:fill="FFFF00"/>
            <w:vAlign w:val="bottom"/>
          </w:tcPr>
          <w:p w14:paraId="2AA3E18E"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978" w:type="dxa"/>
            <w:shd w:val="clear" w:color="auto" w:fill="FFFF00"/>
            <w:vAlign w:val="bottom"/>
          </w:tcPr>
          <w:p w14:paraId="6C10BDFB"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1006" w:type="dxa"/>
            <w:gridSpan w:val="2"/>
            <w:shd w:val="clear" w:color="auto" w:fill="FFFF00"/>
            <w:vAlign w:val="bottom"/>
          </w:tcPr>
          <w:p w14:paraId="59552544"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993" w:type="dxa"/>
            <w:shd w:val="clear" w:color="auto" w:fill="FFFF00"/>
            <w:vAlign w:val="bottom"/>
          </w:tcPr>
          <w:p w14:paraId="32838EE0"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992" w:type="dxa"/>
            <w:tcBorders>
              <w:top w:val="nil"/>
              <w:left w:val="single" w:sz="8" w:space="0" w:color="auto"/>
              <w:bottom w:val="nil"/>
              <w:right w:val="nil"/>
            </w:tcBorders>
            <w:shd w:val="clear" w:color="auto" w:fill="FFFF00"/>
            <w:vAlign w:val="bottom"/>
          </w:tcPr>
          <w:p w14:paraId="7C0CF3CC"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594.6</w:t>
            </w:r>
          </w:p>
        </w:tc>
        <w:tc>
          <w:tcPr>
            <w:tcW w:w="992" w:type="dxa"/>
            <w:tcBorders>
              <w:top w:val="nil"/>
              <w:left w:val="nil"/>
              <w:bottom w:val="nil"/>
              <w:right w:val="single" w:sz="8" w:space="0" w:color="auto"/>
            </w:tcBorders>
            <w:shd w:val="clear" w:color="auto" w:fill="FFFF00"/>
            <w:vAlign w:val="bottom"/>
          </w:tcPr>
          <w:p w14:paraId="17F1E3CE"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992" w:type="dxa"/>
            <w:shd w:val="clear" w:color="auto" w:fill="FFFF00"/>
            <w:vAlign w:val="bottom"/>
          </w:tcPr>
          <w:p w14:paraId="35BD11B4" w14:textId="77777777" w:rsidR="00A32677" w:rsidRPr="00BF0AD6" w:rsidRDefault="00A32677" w:rsidP="001C5897">
            <w:pPr>
              <w:jc w:val="right"/>
              <w:rPr>
                <w:rFonts w:ascii="Calibri" w:hAnsi="Calibri" w:cs="Calibri"/>
                <w:b/>
                <w:bCs/>
                <w:color w:val="000000"/>
                <w:sz w:val="18"/>
                <w:szCs w:val="18"/>
                <w:lang w:eastAsia="en-IE"/>
              </w:rPr>
            </w:pPr>
            <w:r w:rsidRPr="00FB10B0">
              <w:rPr>
                <w:rFonts w:ascii="Calibri" w:hAnsi="Calibri" w:cs="Calibri"/>
                <w:b/>
                <w:color w:val="000000"/>
                <w:sz w:val="18"/>
                <w:szCs w:val="18"/>
              </w:rPr>
              <w:t>594.6</w:t>
            </w:r>
          </w:p>
        </w:tc>
      </w:tr>
      <w:tr w:rsidR="00A32677" w:rsidRPr="00BF0AD6" w14:paraId="73D9BFCD" w14:textId="77777777" w:rsidTr="00EE6630">
        <w:trPr>
          <w:trHeight w:val="227"/>
        </w:trPr>
        <w:tc>
          <w:tcPr>
            <w:tcW w:w="2977" w:type="dxa"/>
            <w:shd w:val="clear" w:color="auto" w:fill="FFFF00"/>
            <w:vAlign w:val="bottom"/>
            <w:hideMark/>
          </w:tcPr>
          <w:p w14:paraId="589F4070" w14:textId="77777777" w:rsidR="00A32677" w:rsidRPr="00BF0AD6" w:rsidRDefault="00A32677" w:rsidP="00EE6630">
            <w:pPr>
              <w:ind w:right="-112"/>
              <w:rPr>
                <w:rFonts w:ascii="Calibri" w:hAnsi="Calibri" w:cs="Calibri"/>
                <w:color w:val="000000"/>
                <w:sz w:val="18"/>
                <w:szCs w:val="18"/>
                <w:lang w:eastAsia="en-IE"/>
              </w:rPr>
            </w:pPr>
            <w:r w:rsidRPr="00E62280">
              <w:rPr>
                <w:rFonts w:ascii="Calibri" w:hAnsi="Calibri" w:cs="Calibri"/>
                <w:bCs/>
                <w:color w:val="000000"/>
                <w:sz w:val="18"/>
                <w:szCs w:val="18"/>
              </w:rPr>
              <w:t xml:space="preserve">Total other comprehensive </w:t>
            </w:r>
            <w:r>
              <w:rPr>
                <w:rFonts w:ascii="Calibri" w:hAnsi="Calibri" w:cs="Calibri"/>
                <w:bCs/>
                <w:color w:val="000000"/>
                <w:sz w:val="18"/>
                <w:szCs w:val="18"/>
              </w:rPr>
              <w:t>income</w:t>
            </w:r>
          </w:p>
        </w:tc>
        <w:tc>
          <w:tcPr>
            <w:tcW w:w="992" w:type="dxa"/>
            <w:tcBorders>
              <w:top w:val="single" w:sz="8" w:space="0" w:color="auto"/>
              <w:left w:val="single" w:sz="8" w:space="0" w:color="auto"/>
              <w:bottom w:val="single" w:sz="8" w:space="0" w:color="auto"/>
              <w:right w:val="single" w:sz="8" w:space="0" w:color="auto"/>
            </w:tcBorders>
            <w:shd w:val="clear" w:color="auto" w:fill="FFFF00"/>
            <w:vAlign w:val="bottom"/>
          </w:tcPr>
          <w:p w14:paraId="707800DF" w14:textId="77777777" w:rsidR="00A32677" w:rsidRPr="00BF0AD6" w:rsidRDefault="00A32677" w:rsidP="001C5897">
            <w:pPr>
              <w:jc w:val="right"/>
              <w:rPr>
                <w:rFonts w:ascii="Calibri" w:hAnsi="Calibri" w:cs="Calibri"/>
                <w:b/>
                <w:color w:val="000000"/>
                <w:sz w:val="18"/>
                <w:szCs w:val="18"/>
                <w:lang w:eastAsia="en-IE"/>
              </w:rPr>
            </w:pPr>
            <w:r w:rsidRPr="00FB10B0">
              <w:rPr>
                <w:rFonts w:ascii="Calibri" w:hAnsi="Calibri" w:cs="Calibri"/>
                <w:b/>
                <w:color w:val="000000"/>
                <w:sz w:val="18"/>
                <w:szCs w:val="18"/>
              </w:rPr>
              <w:t>-</w:t>
            </w:r>
          </w:p>
        </w:tc>
        <w:tc>
          <w:tcPr>
            <w:tcW w:w="851" w:type="dxa"/>
            <w:tcBorders>
              <w:top w:val="single" w:sz="8" w:space="0" w:color="auto"/>
              <w:left w:val="nil"/>
              <w:bottom w:val="single" w:sz="8" w:space="0" w:color="auto"/>
              <w:right w:val="nil"/>
            </w:tcBorders>
            <w:shd w:val="clear" w:color="auto" w:fill="FFFF00"/>
            <w:vAlign w:val="bottom"/>
          </w:tcPr>
          <w:p w14:paraId="46C65256"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978" w:type="dxa"/>
            <w:tcBorders>
              <w:top w:val="single" w:sz="8" w:space="0" w:color="auto"/>
              <w:left w:val="nil"/>
              <w:bottom w:val="single" w:sz="8" w:space="0" w:color="auto"/>
              <w:right w:val="nil"/>
            </w:tcBorders>
            <w:shd w:val="clear" w:color="auto" w:fill="FFFF00"/>
            <w:vAlign w:val="bottom"/>
          </w:tcPr>
          <w:p w14:paraId="415199AA"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1006" w:type="dxa"/>
            <w:gridSpan w:val="2"/>
            <w:tcBorders>
              <w:top w:val="single" w:sz="8" w:space="0" w:color="auto"/>
              <w:left w:val="nil"/>
              <w:bottom w:val="single" w:sz="8" w:space="0" w:color="auto"/>
              <w:right w:val="nil"/>
            </w:tcBorders>
            <w:shd w:val="clear" w:color="auto" w:fill="FFFF00"/>
            <w:vAlign w:val="bottom"/>
          </w:tcPr>
          <w:p w14:paraId="7280E23A"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993" w:type="dxa"/>
            <w:tcBorders>
              <w:top w:val="single" w:sz="8" w:space="0" w:color="auto"/>
              <w:left w:val="nil"/>
              <w:bottom w:val="single" w:sz="8" w:space="0" w:color="auto"/>
              <w:right w:val="nil"/>
            </w:tcBorders>
            <w:shd w:val="clear" w:color="auto" w:fill="FFFF00"/>
            <w:vAlign w:val="bottom"/>
          </w:tcPr>
          <w:p w14:paraId="5573B23F"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992" w:type="dxa"/>
            <w:tcBorders>
              <w:top w:val="single" w:sz="8" w:space="0" w:color="auto"/>
              <w:left w:val="single" w:sz="8" w:space="0" w:color="auto"/>
              <w:bottom w:val="single" w:sz="8" w:space="0" w:color="auto"/>
              <w:right w:val="nil"/>
            </w:tcBorders>
            <w:shd w:val="clear" w:color="auto" w:fill="FFFF00"/>
            <w:vAlign w:val="bottom"/>
          </w:tcPr>
          <w:p w14:paraId="5289F95F"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594.6</w:t>
            </w:r>
          </w:p>
        </w:tc>
        <w:tc>
          <w:tcPr>
            <w:tcW w:w="992" w:type="dxa"/>
            <w:tcBorders>
              <w:top w:val="single" w:sz="8" w:space="0" w:color="auto"/>
              <w:left w:val="nil"/>
              <w:bottom w:val="single" w:sz="8" w:space="0" w:color="auto"/>
              <w:right w:val="single" w:sz="8" w:space="0" w:color="auto"/>
            </w:tcBorders>
            <w:shd w:val="clear" w:color="auto" w:fill="FFFF00"/>
            <w:vAlign w:val="bottom"/>
          </w:tcPr>
          <w:p w14:paraId="12308D3A"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992" w:type="dxa"/>
            <w:tcBorders>
              <w:top w:val="single" w:sz="8" w:space="0" w:color="auto"/>
              <w:left w:val="nil"/>
              <w:bottom w:val="single" w:sz="8" w:space="0" w:color="auto"/>
              <w:right w:val="nil"/>
            </w:tcBorders>
            <w:shd w:val="clear" w:color="auto" w:fill="FFFF00"/>
            <w:vAlign w:val="bottom"/>
          </w:tcPr>
          <w:p w14:paraId="6BA6AA22" w14:textId="77777777" w:rsidR="00A32677" w:rsidRPr="00BF0AD6" w:rsidRDefault="00A32677" w:rsidP="001C5897">
            <w:pPr>
              <w:jc w:val="right"/>
              <w:rPr>
                <w:rFonts w:ascii="Calibri" w:hAnsi="Calibri" w:cs="Calibri"/>
                <w:b/>
                <w:bCs/>
                <w:color w:val="000000"/>
                <w:sz w:val="18"/>
                <w:szCs w:val="18"/>
                <w:lang w:eastAsia="en-IE"/>
              </w:rPr>
            </w:pPr>
            <w:r w:rsidRPr="00FB10B0">
              <w:rPr>
                <w:rFonts w:ascii="Calibri" w:hAnsi="Calibri" w:cs="Calibri"/>
                <w:b/>
                <w:color w:val="000000"/>
                <w:sz w:val="18"/>
                <w:szCs w:val="18"/>
              </w:rPr>
              <w:t>594.6</w:t>
            </w:r>
          </w:p>
        </w:tc>
      </w:tr>
      <w:tr w:rsidR="00A32677" w:rsidRPr="00BF0AD6" w14:paraId="273C18A3" w14:textId="77777777" w:rsidTr="00EE6630">
        <w:trPr>
          <w:trHeight w:val="227"/>
        </w:trPr>
        <w:tc>
          <w:tcPr>
            <w:tcW w:w="2977" w:type="dxa"/>
            <w:shd w:val="clear" w:color="auto" w:fill="FFFF00"/>
            <w:vAlign w:val="bottom"/>
            <w:hideMark/>
          </w:tcPr>
          <w:p w14:paraId="03A01995" w14:textId="77777777" w:rsidR="00A32677" w:rsidRPr="00BF0AD6" w:rsidRDefault="00A32677" w:rsidP="00EE6630">
            <w:pPr>
              <w:ind w:right="-112"/>
              <w:rPr>
                <w:rFonts w:ascii="Calibri" w:hAnsi="Calibri" w:cs="Calibri"/>
                <w:color w:val="000000"/>
                <w:sz w:val="18"/>
                <w:szCs w:val="18"/>
                <w:lang w:eastAsia="en-IE"/>
              </w:rPr>
            </w:pPr>
            <w:r w:rsidRPr="00E62280">
              <w:rPr>
                <w:rFonts w:ascii="Calibri" w:hAnsi="Calibri" w:cs="Calibri"/>
                <w:bCs/>
                <w:color w:val="000000"/>
                <w:sz w:val="18"/>
                <w:szCs w:val="18"/>
              </w:rPr>
              <w:t>Total comprehensive income</w:t>
            </w:r>
          </w:p>
        </w:tc>
        <w:tc>
          <w:tcPr>
            <w:tcW w:w="992" w:type="dxa"/>
            <w:tcBorders>
              <w:top w:val="nil"/>
              <w:left w:val="single" w:sz="8" w:space="0" w:color="auto"/>
              <w:bottom w:val="single" w:sz="8" w:space="0" w:color="auto"/>
              <w:right w:val="single" w:sz="8" w:space="0" w:color="auto"/>
            </w:tcBorders>
            <w:shd w:val="clear" w:color="auto" w:fill="FFFF00"/>
            <w:vAlign w:val="bottom"/>
          </w:tcPr>
          <w:p w14:paraId="30021138" w14:textId="77777777" w:rsidR="00A32677" w:rsidRPr="00BF0AD6" w:rsidRDefault="00A32677" w:rsidP="001C5897">
            <w:pPr>
              <w:jc w:val="right"/>
              <w:rPr>
                <w:rFonts w:ascii="Calibri" w:hAnsi="Calibri" w:cs="Calibri"/>
                <w:b/>
                <w:color w:val="000000"/>
                <w:sz w:val="18"/>
                <w:szCs w:val="18"/>
                <w:lang w:eastAsia="en-IE"/>
              </w:rPr>
            </w:pPr>
            <w:r w:rsidRPr="00FB10B0">
              <w:rPr>
                <w:rFonts w:ascii="Calibri" w:hAnsi="Calibri" w:cs="Calibri"/>
                <w:b/>
                <w:color w:val="000000"/>
                <w:sz w:val="18"/>
                <w:szCs w:val="18"/>
              </w:rPr>
              <w:t>-</w:t>
            </w:r>
          </w:p>
        </w:tc>
        <w:tc>
          <w:tcPr>
            <w:tcW w:w="851" w:type="dxa"/>
            <w:tcBorders>
              <w:bottom w:val="single" w:sz="8" w:space="0" w:color="auto"/>
            </w:tcBorders>
            <w:shd w:val="clear" w:color="auto" w:fill="FFFF00"/>
            <w:vAlign w:val="bottom"/>
          </w:tcPr>
          <w:p w14:paraId="5A5B4BA3"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978" w:type="dxa"/>
            <w:tcBorders>
              <w:bottom w:val="single" w:sz="8" w:space="0" w:color="auto"/>
            </w:tcBorders>
            <w:shd w:val="clear" w:color="auto" w:fill="FFFF00"/>
            <w:vAlign w:val="bottom"/>
          </w:tcPr>
          <w:p w14:paraId="7B719230"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1006" w:type="dxa"/>
            <w:gridSpan w:val="2"/>
            <w:tcBorders>
              <w:bottom w:val="single" w:sz="8" w:space="0" w:color="auto"/>
            </w:tcBorders>
            <w:shd w:val="clear" w:color="auto" w:fill="FFFF00"/>
            <w:vAlign w:val="bottom"/>
          </w:tcPr>
          <w:p w14:paraId="4F0243CE"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993" w:type="dxa"/>
            <w:tcBorders>
              <w:bottom w:val="single" w:sz="8" w:space="0" w:color="auto"/>
            </w:tcBorders>
            <w:shd w:val="clear" w:color="auto" w:fill="FFFF00"/>
            <w:vAlign w:val="bottom"/>
          </w:tcPr>
          <w:p w14:paraId="24F02628"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2,178.1</w:t>
            </w:r>
          </w:p>
        </w:tc>
        <w:tc>
          <w:tcPr>
            <w:tcW w:w="992" w:type="dxa"/>
            <w:tcBorders>
              <w:top w:val="nil"/>
              <w:left w:val="single" w:sz="8" w:space="0" w:color="auto"/>
              <w:bottom w:val="single" w:sz="8" w:space="0" w:color="auto"/>
              <w:right w:val="nil"/>
            </w:tcBorders>
            <w:shd w:val="clear" w:color="auto" w:fill="FFFF00"/>
            <w:vAlign w:val="bottom"/>
          </w:tcPr>
          <w:p w14:paraId="2BF48AB9"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594.6</w:t>
            </w:r>
          </w:p>
        </w:tc>
        <w:tc>
          <w:tcPr>
            <w:tcW w:w="992" w:type="dxa"/>
            <w:tcBorders>
              <w:top w:val="nil"/>
              <w:left w:val="nil"/>
              <w:bottom w:val="single" w:sz="8" w:space="0" w:color="auto"/>
              <w:right w:val="single" w:sz="8" w:space="0" w:color="auto"/>
            </w:tcBorders>
            <w:shd w:val="clear" w:color="auto" w:fill="FFFF00"/>
            <w:vAlign w:val="bottom"/>
          </w:tcPr>
          <w:p w14:paraId="5F7AABE7"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992" w:type="dxa"/>
            <w:tcBorders>
              <w:bottom w:val="single" w:sz="8" w:space="0" w:color="auto"/>
            </w:tcBorders>
            <w:shd w:val="clear" w:color="auto" w:fill="FFFF00"/>
            <w:vAlign w:val="bottom"/>
          </w:tcPr>
          <w:p w14:paraId="0021AED0" w14:textId="77777777" w:rsidR="00A32677" w:rsidRPr="00BF0AD6" w:rsidRDefault="00A32677" w:rsidP="001C5897">
            <w:pPr>
              <w:jc w:val="right"/>
              <w:rPr>
                <w:rFonts w:ascii="Calibri" w:hAnsi="Calibri" w:cs="Calibri"/>
                <w:b/>
                <w:bCs/>
                <w:color w:val="000000"/>
                <w:sz w:val="18"/>
                <w:szCs w:val="18"/>
                <w:lang w:eastAsia="en-IE"/>
              </w:rPr>
            </w:pPr>
            <w:r w:rsidRPr="00FB10B0">
              <w:rPr>
                <w:rFonts w:ascii="Calibri" w:hAnsi="Calibri" w:cs="Calibri"/>
                <w:b/>
                <w:color w:val="000000"/>
                <w:sz w:val="18"/>
                <w:szCs w:val="18"/>
              </w:rPr>
              <w:t>2,772.7</w:t>
            </w:r>
          </w:p>
        </w:tc>
      </w:tr>
      <w:tr w:rsidR="00A32677" w:rsidRPr="00BF0AD6" w14:paraId="07E3B654" w14:textId="77777777" w:rsidTr="00EE6630">
        <w:trPr>
          <w:trHeight w:val="227"/>
        </w:trPr>
        <w:tc>
          <w:tcPr>
            <w:tcW w:w="2977" w:type="dxa"/>
            <w:shd w:val="clear" w:color="auto" w:fill="FFFF00"/>
            <w:vAlign w:val="bottom"/>
            <w:hideMark/>
          </w:tcPr>
          <w:p w14:paraId="4789EC19" w14:textId="77777777" w:rsidR="00A32677" w:rsidRPr="00BF0AD6" w:rsidRDefault="00A32677" w:rsidP="00EE6630">
            <w:pPr>
              <w:ind w:right="-112"/>
              <w:rPr>
                <w:rFonts w:ascii="Calibri" w:hAnsi="Calibri" w:cs="Calibri"/>
                <w:i/>
                <w:iCs/>
                <w:color w:val="000000"/>
                <w:sz w:val="18"/>
                <w:szCs w:val="18"/>
                <w:lang w:eastAsia="en-IE"/>
              </w:rPr>
            </w:pPr>
            <w:r w:rsidRPr="00E62280">
              <w:rPr>
                <w:rFonts w:ascii="Calibri" w:hAnsi="Calibri" w:cs="Calibri"/>
                <w:bCs/>
                <w:i/>
                <w:color w:val="000000"/>
                <w:sz w:val="18"/>
                <w:szCs w:val="18"/>
              </w:rPr>
              <w:t>Transactions with owners of the Company recognised directly in equity</w:t>
            </w:r>
          </w:p>
        </w:tc>
        <w:tc>
          <w:tcPr>
            <w:tcW w:w="992" w:type="dxa"/>
            <w:tcBorders>
              <w:top w:val="single" w:sz="8" w:space="0" w:color="auto"/>
              <w:left w:val="single" w:sz="8" w:space="0" w:color="auto"/>
              <w:right w:val="single" w:sz="8" w:space="0" w:color="auto"/>
            </w:tcBorders>
            <w:shd w:val="clear" w:color="auto" w:fill="FFFF00"/>
            <w:vAlign w:val="bottom"/>
          </w:tcPr>
          <w:p w14:paraId="11335CDE" w14:textId="77777777" w:rsidR="00A32677" w:rsidRPr="00BF0AD6" w:rsidRDefault="00A32677" w:rsidP="001C5897">
            <w:pPr>
              <w:jc w:val="right"/>
              <w:rPr>
                <w:rFonts w:ascii="Calibri" w:hAnsi="Calibri" w:cs="Calibri"/>
                <w:b/>
                <w:i/>
                <w:iCs/>
                <w:color w:val="000000"/>
                <w:sz w:val="18"/>
                <w:szCs w:val="18"/>
                <w:lang w:eastAsia="en-IE"/>
              </w:rPr>
            </w:pPr>
          </w:p>
        </w:tc>
        <w:tc>
          <w:tcPr>
            <w:tcW w:w="851" w:type="dxa"/>
            <w:tcBorders>
              <w:top w:val="single" w:sz="8" w:space="0" w:color="auto"/>
              <w:left w:val="single" w:sz="8" w:space="0" w:color="auto"/>
              <w:right w:val="nil"/>
            </w:tcBorders>
            <w:shd w:val="clear" w:color="auto" w:fill="FFFF00"/>
            <w:vAlign w:val="bottom"/>
          </w:tcPr>
          <w:p w14:paraId="7A7E65B2" w14:textId="77777777" w:rsidR="00A32677" w:rsidRPr="00BF0AD6" w:rsidRDefault="00A32677" w:rsidP="001C5897">
            <w:pPr>
              <w:jc w:val="right"/>
              <w:rPr>
                <w:rFonts w:ascii="Calibri" w:eastAsia="Calibri" w:hAnsi="Calibri" w:cs="Calibri"/>
                <w:b/>
                <w:sz w:val="18"/>
                <w:szCs w:val="18"/>
                <w:lang w:eastAsia="en-IE"/>
              </w:rPr>
            </w:pPr>
          </w:p>
        </w:tc>
        <w:tc>
          <w:tcPr>
            <w:tcW w:w="978" w:type="dxa"/>
            <w:tcBorders>
              <w:top w:val="single" w:sz="8" w:space="0" w:color="auto"/>
              <w:left w:val="nil"/>
              <w:right w:val="nil"/>
            </w:tcBorders>
            <w:shd w:val="clear" w:color="auto" w:fill="FFFF00"/>
            <w:vAlign w:val="bottom"/>
          </w:tcPr>
          <w:p w14:paraId="5E104E94" w14:textId="77777777" w:rsidR="00A32677" w:rsidRPr="00BF0AD6" w:rsidRDefault="00A32677" w:rsidP="001C5897">
            <w:pPr>
              <w:jc w:val="right"/>
              <w:rPr>
                <w:rFonts w:ascii="Calibri" w:eastAsia="Calibri" w:hAnsi="Calibri" w:cs="Calibri"/>
                <w:b/>
                <w:sz w:val="18"/>
                <w:szCs w:val="18"/>
                <w:lang w:eastAsia="en-IE"/>
              </w:rPr>
            </w:pPr>
          </w:p>
        </w:tc>
        <w:tc>
          <w:tcPr>
            <w:tcW w:w="1006" w:type="dxa"/>
            <w:gridSpan w:val="2"/>
            <w:tcBorders>
              <w:top w:val="single" w:sz="8" w:space="0" w:color="auto"/>
              <w:left w:val="nil"/>
              <w:right w:val="nil"/>
            </w:tcBorders>
            <w:shd w:val="clear" w:color="auto" w:fill="FFFF00"/>
            <w:vAlign w:val="bottom"/>
          </w:tcPr>
          <w:p w14:paraId="32A379C7" w14:textId="77777777" w:rsidR="00A32677" w:rsidRPr="00BF0AD6" w:rsidRDefault="00A32677" w:rsidP="001C5897">
            <w:pPr>
              <w:jc w:val="right"/>
              <w:rPr>
                <w:rFonts w:ascii="Calibri" w:eastAsia="Calibri" w:hAnsi="Calibri" w:cs="Calibri"/>
                <w:b/>
                <w:sz w:val="18"/>
                <w:szCs w:val="18"/>
                <w:lang w:eastAsia="en-IE"/>
              </w:rPr>
            </w:pPr>
          </w:p>
        </w:tc>
        <w:tc>
          <w:tcPr>
            <w:tcW w:w="993" w:type="dxa"/>
            <w:tcBorders>
              <w:top w:val="single" w:sz="8" w:space="0" w:color="auto"/>
              <w:left w:val="nil"/>
              <w:right w:val="single" w:sz="8" w:space="0" w:color="auto"/>
            </w:tcBorders>
            <w:shd w:val="clear" w:color="auto" w:fill="FFFF00"/>
            <w:vAlign w:val="bottom"/>
          </w:tcPr>
          <w:p w14:paraId="4483A45B" w14:textId="77777777" w:rsidR="00A32677" w:rsidRPr="00BF0AD6" w:rsidRDefault="00A32677" w:rsidP="001C5897">
            <w:pPr>
              <w:jc w:val="right"/>
              <w:rPr>
                <w:rFonts w:ascii="Calibri" w:eastAsia="Calibri" w:hAnsi="Calibri" w:cs="Calibri"/>
                <w:b/>
                <w:sz w:val="18"/>
                <w:szCs w:val="18"/>
                <w:lang w:eastAsia="en-IE"/>
              </w:rPr>
            </w:pPr>
          </w:p>
        </w:tc>
        <w:tc>
          <w:tcPr>
            <w:tcW w:w="992" w:type="dxa"/>
            <w:tcBorders>
              <w:top w:val="single" w:sz="8" w:space="0" w:color="auto"/>
              <w:left w:val="single" w:sz="8" w:space="0" w:color="auto"/>
              <w:right w:val="nil"/>
            </w:tcBorders>
            <w:shd w:val="clear" w:color="auto" w:fill="FFFF00"/>
            <w:vAlign w:val="bottom"/>
          </w:tcPr>
          <w:p w14:paraId="09450177" w14:textId="77777777" w:rsidR="00A32677" w:rsidRPr="00BF0AD6" w:rsidRDefault="00A32677" w:rsidP="001C5897">
            <w:pPr>
              <w:jc w:val="right"/>
              <w:rPr>
                <w:rFonts w:ascii="Calibri" w:eastAsia="Calibri" w:hAnsi="Calibri" w:cs="Calibri"/>
                <w:b/>
                <w:sz w:val="18"/>
                <w:szCs w:val="18"/>
                <w:lang w:eastAsia="en-IE"/>
              </w:rPr>
            </w:pPr>
          </w:p>
        </w:tc>
        <w:tc>
          <w:tcPr>
            <w:tcW w:w="992" w:type="dxa"/>
            <w:tcBorders>
              <w:top w:val="single" w:sz="8" w:space="0" w:color="auto"/>
              <w:left w:val="nil"/>
              <w:right w:val="single" w:sz="8" w:space="0" w:color="auto"/>
            </w:tcBorders>
            <w:shd w:val="clear" w:color="auto" w:fill="FFFF00"/>
            <w:vAlign w:val="bottom"/>
          </w:tcPr>
          <w:p w14:paraId="3755F3DE" w14:textId="77777777" w:rsidR="00A32677" w:rsidRPr="00BF0AD6" w:rsidRDefault="00A32677" w:rsidP="001C5897">
            <w:pPr>
              <w:jc w:val="right"/>
              <w:rPr>
                <w:rFonts w:ascii="Calibri" w:eastAsia="Calibri" w:hAnsi="Calibri" w:cs="Calibri"/>
                <w:b/>
                <w:sz w:val="18"/>
                <w:szCs w:val="18"/>
                <w:lang w:eastAsia="en-IE"/>
              </w:rPr>
            </w:pPr>
          </w:p>
        </w:tc>
        <w:tc>
          <w:tcPr>
            <w:tcW w:w="992" w:type="dxa"/>
            <w:tcBorders>
              <w:top w:val="single" w:sz="8" w:space="0" w:color="auto"/>
              <w:left w:val="single" w:sz="8" w:space="0" w:color="auto"/>
              <w:right w:val="nil"/>
            </w:tcBorders>
            <w:shd w:val="clear" w:color="auto" w:fill="FFFF00"/>
            <w:vAlign w:val="bottom"/>
          </w:tcPr>
          <w:p w14:paraId="777969FB" w14:textId="77777777" w:rsidR="00A32677" w:rsidRPr="00BF0AD6" w:rsidRDefault="00A32677" w:rsidP="001C5897">
            <w:pPr>
              <w:jc w:val="right"/>
              <w:rPr>
                <w:rFonts w:ascii="Calibri" w:hAnsi="Calibri" w:cs="Calibri"/>
                <w:b/>
                <w:bCs/>
                <w:color w:val="000000"/>
                <w:sz w:val="18"/>
                <w:szCs w:val="18"/>
                <w:lang w:eastAsia="en-IE"/>
              </w:rPr>
            </w:pPr>
          </w:p>
        </w:tc>
      </w:tr>
      <w:tr w:rsidR="00A32677" w:rsidRPr="00BF0AD6" w14:paraId="1AC69D68" w14:textId="77777777" w:rsidTr="00EE6630">
        <w:trPr>
          <w:trHeight w:val="227"/>
        </w:trPr>
        <w:tc>
          <w:tcPr>
            <w:tcW w:w="2977" w:type="dxa"/>
            <w:shd w:val="clear" w:color="auto" w:fill="FFFF00"/>
            <w:vAlign w:val="bottom"/>
            <w:hideMark/>
          </w:tcPr>
          <w:p w14:paraId="45D6569C" w14:textId="77777777" w:rsidR="00A32677" w:rsidRPr="00BF0AD6" w:rsidRDefault="00A32677" w:rsidP="00EE6630">
            <w:pPr>
              <w:ind w:right="-112"/>
              <w:rPr>
                <w:rFonts w:ascii="Calibri" w:hAnsi="Calibri" w:cs="Calibri"/>
                <w:color w:val="000000"/>
                <w:sz w:val="18"/>
                <w:szCs w:val="18"/>
                <w:lang w:eastAsia="en-IE"/>
              </w:rPr>
            </w:pPr>
            <w:r w:rsidRPr="00E62280">
              <w:rPr>
                <w:rFonts w:ascii="Calibri" w:hAnsi="Calibri" w:cs="Calibri"/>
                <w:bCs/>
                <w:color w:val="000000"/>
                <w:sz w:val="18"/>
                <w:szCs w:val="18"/>
              </w:rPr>
              <w:t>Issue of ordinary equity shares</w:t>
            </w:r>
          </w:p>
        </w:tc>
        <w:tc>
          <w:tcPr>
            <w:tcW w:w="992" w:type="dxa"/>
            <w:tcBorders>
              <w:left w:val="single" w:sz="8" w:space="0" w:color="auto"/>
              <w:bottom w:val="nil"/>
              <w:right w:val="single" w:sz="8" w:space="0" w:color="auto"/>
            </w:tcBorders>
            <w:shd w:val="clear" w:color="auto" w:fill="FFFF00"/>
            <w:vAlign w:val="bottom"/>
          </w:tcPr>
          <w:p w14:paraId="4AC56AF3" w14:textId="77777777" w:rsidR="00A32677" w:rsidRPr="00BF0AD6" w:rsidRDefault="00A32677" w:rsidP="001C5897">
            <w:pPr>
              <w:jc w:val="right"/>
              <w:rPr>
                <w:rFonts w:ascii="Calibri" w:hAnsi="Calibri" w:cs="Calibri"/>
                <w:b/>
                <w:color w:val="000000"/>
                <w:sz w:val="18"/>
                <w:szCs w:val="18"/>
                <w:lang w:eastAsia="en-IE"/>
              </w:rPr>
            </w:pPr>
            <w:r w:rsidRPr="00FB10B0">
              <w:rPr>
                <w:rFonts w:ascii="Calibri" w:hAnsi="Calibri" w:cs="Calibri"/>
                <w:b/>
                <w:color w:val="000000"/>
                <w:sz w:val="18"/>
                <w:szCs w:val="18"/>
              </w:rPr>
              <w:t>0.3</w:t>
            </w:r>
          </w:p>
        </w:tc>
        <w:tc>
          <w:tcPr>
            <w:tcW w:w="851" w:type="dxa"/>
            <w:shd w:val="clear" w:color="auto" w:fill="FFFF00"/>
            <w:vAlign w:val="bottom"/>
          </w:tcPr>
          <w:p w14:paraId="12A4C2AC"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978" w:type="dxa"/>
            <w:shd w:val="clear" w:color="auto" w:fill="FFFF00"/>
            <w:vAlign w:val="bottom"/>
          </w:tcPr>
          <w:p w14:paraId="55CD0485"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4.3</w:t>
            </w:r>
          </w:p>
        </w:tc>
        <w:tc>
          <w:tcPr>
            <w:tcW w:w="1006" w:type="dxa"/>
            <w:gridSpan w:val="2"/>
            <w:shd w:val="clear" w:color="auto" w:fill="FFFF00"/>
            <w:vAlign w:val="bottom"/>
          </w:tcPr>
          <w:p w14:paraId="35333976"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993" w:type="dxa"/>
            <w:shd w:val="clear" w:color="auto" w:fill="FFFF00"/>
            <w:vAlign w:val="bottom"/>
          </w:tcPr>
          <w:p w14:paraId="093020DD"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(1.2)</w:t>
            </w:r>
          </w:p>
        </w:tc>
        <w:tc>
          <w:tcPr>
            <w:tcW w:w="992" w:type="dxa"/>
            <w:tcBorders>
              <w:left w:val="single" w:sz="8" w:space="0" w:color="auto"/>
              <w:bottom w:val="nil"/>
              <w:right w:val="nil"/>
            </w:tcBorders>
            <w:shd w:val="clear" w:color="auto" w:fill="FFFF00"/>
            <w:vAlign w:val="bottom"/>
          </w:tcPr>
          <w:p w14:paraId="16696C38"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992" w:type="dxa"/>
            <w:tcBorders>
              <w:left w:val="nil"/>
              <w:bottom w:val="nil"/>
              <w:right w:val="single" w:sz="8" w:space="0" w:color="auto"/>
            </w:tcBorders>
            <w:shd w:val="clear" w:color="auto" w:fill="FFFF00"/>
            <w:vAlign w:val="bottom"/>
          </w:tcPr>
          <w:p w14:paraId="65696114"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color w:val="000000"/>
                <w:sz w:val="18"/>
                <w:szCs w:val="18"/>
              </w:rPr>
              <w:t>-</w:t>
            </w:r>
          </w:p>
        </w:tc>
        <w:tc>
          <w:tcPr>
            <w:tcW w:w="992" w:type="dxa"/>
            <w:shd w:val="clear" w:color="auto" w:fill="FFFF00"/>
            <w:vAlign w:val="bottom"/>
          </w:tcPr>
          <w:p w14:paraId="16BE3A13" w14:textId="77777777" w:rsidR="00A32677" w:rsidRPr="00BF0AD6" w:rsidRDefault="00A32677" w:rsidP="001C5897">
            <w:pPr>
              <w:jc w:val="right"/>
              <w:rPr>
                <w:rFonts w:ascii="Calibri" w:hAnsi="Calibri" w:cs="Calibri"/>
                <w:b/>
                <w:bCs/>
                <w:color w:val="000000"/>
                <w:sz w:val="18"/>
                <w:szCs w:val="18"/>
                <w:highlight w:val="green"/>
                <w:lang w:eastAsia="en-IE"/>
              </w:rPr>
            </w:pPr>
            <w:r w:rsidRPr="00FB10B0">
              <w:rPr>
                <w:rFonts w:ascii="Calibri" w:hAnsi="Calibri" w:cs="Calibri"/>
                <w:b/>
                <w:color w:val="000000"/>
                <w:sz w:val="18"/>
                <w:szCs w:val="18"/>
              </w:rPr>
              <w:t>3.1</w:t>
            </w:r>
          </w:p>
        </w:tc>
      </w:tr>
      <w:tr w:rsidR="00A32677" w:rsidRPr="00BF0AD6" w14:paraId="752E3B7E" w14:textId="77777777" w:rsidTr="00EE6630">
        <w:trPr>
          <w:trHeight w:val="227"/>
        </w:trPr>
        <w:tc>
          <w:tcPr>
            <w:tcW w:w="2977" w:type="dxa"/>
            <w:shd w:val="clear" w:color="auto" w:fill="FFFF00"/>
            <w:vAlign w:val="bottom"/>
            <w:hideMark/>
          </w:tcPr>
          <w:p w14:paraId="50916297" w14:textId="77777777" w:rsidR="00A32677" w:rsidRPr="00BF0AD6" w:rsidRDefault="00A32677" w:rsidP="00EE6630">
            <w:pPr>
              <w:ind w:right="-112"/>
              <w:rPr>
                <w:rFonts w:ascii="Calibri" w:hAnsi="Calibri" w:cs="Calibri"/>
                <w:color w:val="000000"/>
                <w:sz w:val="18"/>
                <w:szCs w:val="18"/>
                <w:lang w:eastAsia="en-IE"/>
              </w:rPr>
            </w:pPr>
            <w:r w:rsidRPr="00E62280">
              <w:rPr>
                <w:rFonts w:ascii="Calibri" w:hAnsi="Calibri" w:cs="Calibri"/>
                <w:bCs/>
                <w:color w:val="000000"/>
                <w:sz w:val="18"/>
                <w:szCs w:val="18"/>
              </w:rPr>
              <w:t>Share-based payments</w:t>
            </w:r>
          </w:p>
        </w:tc>
        <w:tc>
          <w:tcPr>
            <w:tcW w:w="992" w:type="dxa"/>
            <w:tcBorders>
              <w:top w:val="nil"/>
              <w:left w:val="single" w:sz="8" w:space="0" w:color="auto"/>
              <w:bottom w:val="nil"/>
              <w:right w:val="single" w:sz="8" w:space="0" w:color="auto"/>
            </w:tcBorders>
            <w:shd w:val="clear" w:color="auto" w:fill="FFFF00"/>
            <w:vAlign w:val="bottom"/>
          </w:tcPr>
          <w:p w14:paraId="74802374" w14:textId="77777777" w:rsidR="00A32677" w:rsidRPr="00BF0AD6" w:rsidRDefault="00A32677" w:rsidP="001C5897">
            <w:pPr>
              <w:jc w:val="right"/>
              <w:rPr>
                <w:rFonts w:ascii="Calibri" w:hAnsi="Calibri" w:cs="Calibri"/>
                <w:b/>
                <w:color w:val="000000"/>
                <w:sz w:val="18"/>
                <w:szCs w:val="18"/>
                <w:lang w:eastAsia="en-IE"/>
              </w:rPr>
            </w:pPr>
            <w:r w:rsidRPr="00FB10B0">
              <w:rPr>
                <w:rFonts w:ascii="Calibri" w:hAnsi="Calibri" w:cs="Calibri"/>
                <w:b/>
                <w:sz w:val="18"/>
                <w:szCs w:val="18"/>
              </w:rPr>
              <w:t>-</w:t>
            </w:r>
          </w:p>
        </w:tc>
        <w:tc>
          <w:tcPr>
            <w:tcW w:w="851" w:type="dxa"/>
            <w:shd w:val="clear" w:color="auto" w:fill="FFFF00"/>
            <w:vAlign w:val="bottom"/>
          </w:tcPr>
          <w:p w14:paraId="72DD08DB"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sz w:val="18"/>
                <w:szCs w:val="18"/>
              </w:rPr>
              <w:t>-</w:t>
            </w:r>
          </w:p>
        </w:tc>
        <w:tc>
          <w:tcPr>
            <w:tcW w:w="978" w:type="dxa"/>
            <w:shd w:val="clear" w:color="auto" w:fill="FFFF00"/>
            <w:vAlign w:val="bottom"/>
          </w:tcPr>
          <w:p w14:paraId="24A9B32B"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sz w:val="18"/>
                <w:szCs w:val="18"/>
              </w:rPr>
              <w:t>-</w:t>
            </w:r>
          </w:p>
        </w:tc>
        <w:tc>
          <w:tcPr>
            <w:tcW w:w="1006" w:type="dxa"/>
            <w:gridSpan w:val="2"/>
            <w:shd w:val="clear" w:color="auto" w:fill="FFFF00"/>
            <w:vAlign w:val="bottom"/>
          </w:tcPr>
          <w:p w14:paraId="1D4B4AF8"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sz w:val="18"/>
                <w:szCs w:val="18"/>
              </w:rPr>
              <w:t>-</w:t>
            </w:r>
          </w:p>
        </w:tc>
        <w:tc>
          <w:tcPr>
            <w:tcW w:w="993" w:type="dxa"/>
            <w:shd w:val="clear" w:color="auto" w:fill="FFFF00"/>
            <w:vAlign w:val="bottom"/>
          </w:tcPr>
          <w:p w14:paraId="6C87D778"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sz w:val="18"/>
                <w:szCs w:val="18"/>
              </w:rPr>
              <w:t>-</w:t>
            </w:r>
          </w:p>
        </w:tc>
        <w:tc>
          <w:tcPr>
            <w:tcW w:w="992" w:type="dxa"/>
            <w:tcBorders>
              <w:top w:val="nil"/>
              <w:left w:val="single" w:sz="8" w:space="0" w:color="auto"/>
              <w:bottom w:val="nil"/>
              <w:right w:val="nil"/>
            </w:tcBorders>
            <w:shd w:val="clear" w:color="auto" w:fill="FFFF00"/>
            <w:vAlign w:val="bottom"/>
          </w:tcPr>
          <w:p w14:paraId="32620C75"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sz w:val="18"/>
                <w:szCs w:val="18"/>
              </w:rPr>
              <w:t>-</w:t>
            </w:r>
          </w:p>
        </w:tc>
        <w:tc>
          <w:tcPr>
            <w:tcW w:w="992" w:type="dxa"/>
            <w:tcBorders>
              <w:top w:val="nil"/>
              <w:left w:val="nil"/>
              <w:bottom w:val="nil"/>
              <w:right w:val="single" w:sz="8" w:space="0" w:color="auto"/>
            </w:tcBorders>
            <w:shd w:val="clear" w:color="auto" w:fill="FFFF00"/>
            <w:vAlign w:val="bottom"/>
          </w:tcPr>
          <w:p w14:paraId="7684B3B3"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sz w:val="18"/>
                <w:szCs w:val="18"/>
              </w:rPr>
              <w:t>9.9</w:t>
            </w:r>
          </w:p>
        </w:tc>
        <w:tc>
          <w:tcPr>
            <w:tcW w:w="992" w:type="dxa"/>
            <w:shd w:val="clear" w:color="auto" w:fill="FFFF00"/>
            <w:vAlign w:val="bottom"/>
          </w:tcPr>
          <w:p w14:paraId="5BEEDA01" w14:textId="77777777" w:rsidR="00A32677" w:rsidRPr="00BF0AD6" w:rsidRDefault="00A32677" w:rsidP="001C5897">
            <w:pPr>
              <w:jc w:val="right"/>
              <w:rPr>
                <w:rFonts w:ascii="Calibri" w:hAnsi="Calibri" w:cs="Calibri"/>
                <w:b/>
                <w:bCs/>
                <w:color w:val="000000"/>
                <w:sz w:val="18"/>
                <w:szCs w:val="18"/>
                <w:lang w:eastAsia="en-IE"/>
              </w:rPr>
            </w:pPr>
            <w:r w:rsidRPr="00FB10B0">
              <w:rPr>
                <w:rFonts w:ascii="Calibri" w:hAnsi="Calibri" w:cs="Calibri"/>
                <w:b/>
                <w:sz w:val="18"/>
                <w:szCs w:val="18"/>
              </w:rPr>
              <w:t>9.9</w:t>
            </w:r>
          </w:p>
        </w:tc>
      </w:tr>
      <w:tr w:rsidR="00A32677" w:rsidRPr="00BF0AD6" w14:paraId="31450698" w14:textId="77777777" w:rsidTr="00EE6630">
        <w:trPr>
          <w:trHeight w:val="227"/>
        </w:trPr>
        <w:tc>
          <w:tcPr>
            <w:tcW w:w="2977" w:type="dxa"/>
            <w:shd w:val="clear" w:color="auto" w:fill="FFFF00"/>
            <w:vAlign w:val="bottom"/>
            <w:hideMark/>
          </w:tcPr>
          <w:p w14:paraId="09AD3688" w14:textId="77777777" w:rsidR="00A32677" w:rsidRPr="00BF0AD6" w:rsidRDefault="00A32677" w:rsidP="00EE6630">
            <w:pPr>
              <w:ind w:right="-112"/>
              <w:rPr>
                <w:rFonts w:ascii="Calibri" w:hAnsi="Calibri" w:cs="Calibri"/>
                <w:color w:val="000000"/>
                <w:sz w:val="18"/>
                <w:szCs w:val="18"/>
                <w:lang w:eastAsia="en-IE"/>
              </w:rPr>
            </w:pPr>
            <w:r w:rsidRPr="00E62280">
              <w:rPr>
                <w:rFonts w:ascii="Calibri" w:hAnsi="Calibri" w:cs="Calibri"/>
                <w:bCs/>
                <w:color w:val="000000"/>
                <w:sz w:val="18"/>
                <w:szCs w:val="18"/>
              </w:rPr>
              <w:t>Transfer of exercised and expired share</w:t>
            </w:r>
            <w:r>
              <w:rPr>
                <w:rFonts w:ascii="Calibri" w:hAnsi="Calibri" w:cs="Calibri"/>
                <w:bCs/>
                <w:color w:val="000000"/>
                <w:sz w:val="18"/>
                <w:szCs w:val="18"/>
              </w:rPr>
              <w:t>-</w:t>
            </w:r>
            <w:r w:rsidRPr="00E62280">
              <w:rPr>
                <w:rFonts w:ascii="Calibri" w:hAnsi="Calibri" w:cs="Calibri"/>
                <w:bCs/>
                <w:color w:val="000000"/>
                <w:sz w:val="18"/>
                <w:szCs w:val="18"/>
              </w:rPr>
              <w:t>based awards</w:t>
            </w:r>
          </w:p>
        </w:tc>
        <w:tc>
          <w:tcPr>
            <w:tcW w:w="992" w:type="dxa"/>
            <w:tcBorders>
              <w:top w:val="nil"/>
              <w:left w:val="single" w:sz="8" w:space="0" w:color="auto"/>
              <w:bottom w:val="single" w:sz="12" w:space="0" w:color="auto"/>
              <w:right w:val="single" w:sz="8" w:space="0" w:color="auto"/>
            </w:tcBorders>
            <w:shd w:val="clear" w:color="auto" w:fill="FFFF00"/>
            <w:vAlign w:val="bottom"/>
          </w:tcPr>
          <w:p w14:paraId="5511A64B" w14:textId="77777777" w:rsidR="00A32677" w:rsidRPr="00FB10B0" w:rsidRDefault="00A32677" w:rsidP="001C5897">
            <w:pPr>
              <w:tabs>
                <w:tab w:val="left" w:pos="457"/>
              </w:tabs>
              <w:jc w:val="right"/>
              <w:rPr>
                <w:rFonts w:ascii="Calibri" w:hAnsi="Calibri" w:cs="Calibri"/>
                <w:b/>
                <w:sz w:val="18"/>
                <w:szCs w:val="18"/>
              </w:rPr>
            </w:pPr>
          </w:p>
          <w:p w14:paraId="21256F81" w14:textId="77777777" w:rsidR="00A32677" w:rsidRPr="00BF0AD6" w:rsidRDefault="00A32677" w:rsidP="001C5897">
            <w:pPr>
              <w:jc w:val="right"/>
              <w:rPr>
                <w:rFonts w:ascii="Calibri" w:hAnsi="Calibri" w:cs="Calibri"/>
                <w:b/>
                <w:color w:val="000000"/>
                <w:sz w:val="18"/>
                <w:szCs w:val="18"/>
                <w:lang w:eastAsia="en-IE"/>
              </w:rPr>
            </w:pPr>
            <w:r w:rsidRPr="00FB10B0">
              <w:rPr>
                <w:rFonts w:ascii="Calibri" w:hAnsi="Calibri" w:cs="Calibri"/>
                <w:b/>
                <w:sz w:val="18"/>
                <w:szCs w:val="18"/>
              </w:rPr>
              <w:t>-</w:t>
            </w:r>
          </w:p>
        </w:tc>
        <w:tc>
          <w:tcPr>
            <w:tcW w:w="851" w:type="dxa"/>
            <w:tcBorders>
              <w:bottom w:val="single" w:sz="12" w:space="0" w:color="auto"/>
            </w:tcBorders>
            <w:shd w:val="clear" w:color="auto" w:fill="FFFF00"/>
            <w:vAlign w:val="bottom"/>
          </w:tcPr>
          <w:p w14:paraId="34335CB0" w14:textId="77777777" w:rsidR="00A32677" w:rsidRPr="00FB10B0" w:rsidRDefault="00A32677" w:rsidP="001C5897">
            <w:pPr>
              <w:keepNext/>
              <w:autoSpaceDE w:val="0"/>
              <w:autoSpaceDN w:val="0"/>
              <w:adjustRightInd w:val="0"/>
              <w:jc w:val="right"/>
              <w:rPr>
                <w:rFonts w:ascii="Calibri" w:hAnsi="Calibri" w:cs="Calibri"/>
                <w:b/>
                <w:sz w:val="18"/>
                <w:szCs w:val="18"/>
              </w:rPr>
            </w:pPr>
          </w:p>
          <w:p w14:paraId="3177A7F3"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sz w:val="18"/>
                <w:szCs w:val="18"/>
              </w:rPr>
              <w:t>-</w:t>
            </w:r>
          </w:p>
        </w:tc>
        <w:tc>
          <w:tcPr>
            <w:tcW w:w="978" w:type="dxa"/>
            <w:tcBorders>
              <w:bottom w:val="single" w:sz="12" w:space="0" w:color="auto"/>
            </w:tcBorders>
            <w:shd w:val="clear" w:color="auto" w:fill="FFFF00"/>
            <w:vAlign w:val="bottom"/>
          </w:tcPr>
          <w:p w14:paraId="5672F137" w14:textId="77777777" w:rsidR="00A32677" w:rsidRPr="00FB10B0" w:rsidRDefault="00A32677" w:rsidP="001C5897">
            <w:pPr>
              <w:keepNext/>
              <w:autoSpaceDE w:val="0"/>
              <w:autoSpaceDN w:val="0"/>
              <w:adjustRightInd w:val="0"/>
              <w:jc w:val="right"/>
              <w:rPr>
                <w:rFonts w:ascii="Calibri" w:hAnsi="Calibri" w:cs="Calibri"/>
                <w:b/>
                <w:sz w:val="18"/>
                <w:szCs w:val="18"/>
              </w:rPr>
            </w:pPr>
          </w:p>
          <w:p w14:paraId="129C9FF4"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sz w:val="18"/>
                <w:szCs w:val="18"/>
              </w:rPr>
              <w:t>-</w:t>
            </w:r>
          </w:p>
        </w:tc>
        <w:tc>
          <w:tcPr>
            <w:tcW w:w="1006" w:type="dxa"/>
            <w:gridSpan w:val="2"/>
            <w:tcBorders>
              <w:bottom w:val="single" w:sz="12" w:space="0" w:color="auto"/>
            </w:tcBorders>
            <w:shd w:val="clear" w:color="auto" w:fill="FFFF00"/>
            <w:vAlign w:val="bottom"/>
          </w:tcPr>
          <w:p w14:paraId="1DB1065F" w14:textId="77777777" w:rsidR="00A32677" w:rsidRPr="00FB10B0" w:rsidRDefault="00A32677" w:rsidP="001C5897">
            <w:pPr>
              <w:keepNext/>
              <w:autoSpaceDE w:val="0"/>
              <w:autoSpaceDN w:val="0"/>
              <w:adjustRightInd w:val="0"/>
              <w:jc w:val="right"/>
              <w:rPr>
                <w:rFonts w:ascii="Calibri" w:hAnsi="Calibri" w:cs="Calibri"/>
                <w:b/>
                <w:sz w:val="18"/>
                <w:szCs w:val="18"/>
              </w:rPr>
            </w:pPr>
          </w:p>
          <w:p w14:paraId="2B4E1CDD"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sz w:val="18"/>
                <w:szCs w:val="18"/>
              </w:rPr>
              <w:t>-</w:t>
            </w:r>
          </w:p>
        </w:tc>
        <w:tc>
          <w:tcPr>
            <w:tcW w:w="993" w:type="dxa"/>
            <w:tcBorders>
              <w:bottom w:val="single" w:sz="12" w:space="0" w:color="auto"/>
            </w:tcBorders>
            <w:shd w:val="clear" w:color="auto" w:fill="FFFF00"/>
            <w:vAlign w:val="bottom"/>
          </w:tcPr>
          <w:p w14:paraId="6EB62685" w14:textId="77777777" w:rsidR="00A32677" w:rsidRPr="00FB10B0" w:rsidRDefault="00A32677" w:rsidP="001C5897">
            <w:pPr>
              <w:keepNext/>
              <w:autoSpaceDE w:val="0"/>
              <w:autoSpaceDN w:val="0"/>
              <w:adjustRightInd w:val="0"/>
              <w:jc w:val="right"/>
              <w:rPr>
                <w:rFonts w:ascii="Calibri" w:hAnsi="Calibri" w:cs="Calibri"/>
                <w:b/>
                <w:sz w:val="18"/>
                <w:szCs w:val="18"/>
              </w:rPr>
            </w:pPr>
          </w:p>
          <w:p w14:paraId="5CF0AD28"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sz w:val="18"/>
                <w:szCs w:val="18"/>
              </w:rPr>
              <w:t>0.7</w:t>
            </w:r>
          </w:p>
        </w:tc>
        <w:tc>
          <w:tcPr>
            <w:tcW w:w="992" w:type="dxa"/>
            <w:tcBorders>
              <w:top w:val="nil"/>
              <w:left w:val="single" w:sz="8" w:space="0" w:color="auto"/>
              <w:bottom w:val="single" w:sz="12" w:space="0" w:color="auto"/>
              <w:right w:val="nil"/>
            </w:tcBorders>
            <w:shd w:val="clear" w:color="auto" w:fill="FFFF00"/>
            <w:vAlign w:val="bottom"/>
          </w:tcPr>
          <w:p w14:paraId="182FC6A7" w14:textId="77777777" w:rsidR="00A32677" w:rsidRPr="00FB10B0" w:rsidRDefault="00A32677" w:rsidP="001C5897">
            <w:pPr>
              <w:keepNext/>
              <w:autoSpaceDE w:val="0"/>
              <w:autoSpaceDN w:val="0"/>
              <w:adjustRightInd w:val="0"/>
              <w:jc w:val="right"/>
              <w:rPr>
                <w:rFonts w:ascii="Calibri" w:hAnsi="Calibri" w:cs="Calibri"/>
                <w:b/>
                <w:sz w:val="18"/>
                <w:szCs w:val="18"/>
              </w:rPr>
            </w:pPr>
          </w:p>
          <w:p w14:paraId="7BE4B674"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sz w:val="18"/>
                <w:szCs w:val="18"/>
              </w:rPr>
              <w:t>-</w:t>
            </w:r>
          </w:p>
        </w:tc>
        <w:tc>
          <w:tcPr>
            <w:tcW w:w="992" w:type="dxa"/>
            <w:tcBorders>
              <w:top w:val="nil"/>
              <w:left w:val="nil"/>
              <w:bottom w:val="single" w:sz="12" w:space="0" w:color="auto"/>
              <w:right w:val="single" w:sz="8" w:space="0" w:color="auto"/>
            </w:tcBorders>
            <w:shd w:val="clear" w:color="auto" w:fill="FFFF00"/>
            <w:vAlign w:val="bottom"/>
          </w:tcPr>
          <w:p w14:paraId="10386C6A" w14:textId="77777777" w:rsidR="00A32677" w:rsidRPr="00FB10B0" w:rsidRDefault="00A32677" w:rsidP="001C5897">
            <w:pPr>
              <w:keepNext/>
              <w:autoSpaceDE w:val="0"/>
              <w:autoSpaceDN w:val="0"/>
              <w:adjustRightInd w:val="0"/>
              <w:jc w:val="right"/>
              <w:rPr>
                <w:rFonts w:ascii="Calibri" w:hAnsi="Calibri" w:cs="Calibri"/>
                <w:b/>
                <w:sz w:val="18"/>
                <w:szCs w:val="18"/>
              </w:rPr>
            </w:pPr>
          </w:p>
          <w:p w14:paraId="5FA3E41D" w14:textId="77777777" w:rsidR="00A32677" w:rsidRPr="00BF0AD6" w:rsidRDefault="00A32677" w:rsidP="001C5897">
            <w:pPr>
              <w:jc w:val="right"/>
              <w:rPr>
                <w:rFonts w:ascii="Calibri" w:eastAsia="Calibri" w:hAnsi="Calibri" w:cs="Calibri"/>
                <w:b/>
                <w:sz w:val="18"/>
                <w:szCs w:val="18"/>
                <w:lang w:eastAsia="en-IE"/>
              </w:rPr>
            </w:pPr>
            <w:r w:rsidRPr="00FB10B0">
              <w:rPr>
                <w:rFonts w:ascii="Calibri" w:hAnsi="Calibri" w:cs="Calibri"/>
                <w:b/>
                <w:sz w:val="18"/>
                <w:szCs w:val="18"/>
              </w:rPr>
              <w:t>(0.7)</w:t>
            </w:r>
          </w:p>
        </w:tc>
        <w:tc>
          <w:tcPr>
            <w:tcW w:w="992" w:type="dxa"/>
            <w:tcBorders>
              <w:bottom w:val="single" w:sz="12" w:space="0" w:color="auto"/>
            </w:tcBorders>
            <w:shd w:val="clear" w:color="auto" w:fill="FFFF00"/>
            <w:vAlign w:val="bottom"/>
          </w:tcPr>
          <w:p w14:paraId="2D7322EC" w14:textId="77777777" w:rsidR="00A32677" w:rsidRPr="00FB10B0" w:rsidRDefault="00A32677" w:rsidP="001C5897">
            <w:pPr>
              <w:keepNext/>
              <w:tabs>
                <w:tab w:val="left" w:pos="963"/>
              </w:tabs>
              <w:autoSpaceDE w:val="0"/>
              <w:autoSpaceDN w:val="0"/>
              <w:adjustRightInd w:val="0"/>
              <w:jc w:val="right"/>
              <w:rPr>
                <w:rFonts w:ascii="Calibri" w:hAnsi="Calibri" w:cs="Calibri"/>
                <w:b/>
                <w:sz w:val="18"/>
                <w:szCs w:val="18"/>
              </w:rPr>
            </w:pPr>
          </w:p>
          <w:p w14:paraId="350F9146" w14:textId="77777777" w:rsidR="00A32677" w:rsidRPr="00BF0AD6" w:rsidRDefault="00A32677" w:rsidP="001C5897">
            <w:pPr>
              <w:jc w:val="right"/>
              <w:rPr>
                <w:rFonts w:ascii="Calibri" w:hAnsi="Calibri" w:cs="Calibri"/>
                <w:b/>
                <w:bCs/>
                <w:color w:val="000000"/>
                <w:sz w:val="18"/>
                <w:szCs w:val="18"/>
                <w:lang w:eastAsia="en-IE"/>
              </w:rPr>
            </w:pPr>
            <w:r w:rsidRPr="00FB10B0">
              <w:rPr>
                <w:rFonts w:ascii="Calibri" w:hAnsi="Calibri" w:cs="Calibri"/>
                <w:b/>
                <w:sz w:val="18"/>
                <w:szCs w:val="18"/>
              </w:rPr>
              <w:t>-</w:t>
            </w:r>
          </w:p>
        </w:tc>
      </w:tr>
      <w:tr w:rsidR="00EE6630" w:rsidRPr="00BF0AD6" w14:paraId="30351125" w14:textId="77777777" w:rsidTr="00EE6630">
        <w:trPr>
          <w:trHeight w:val="227"/>
        </w:trPr>
        <w:tc>
          <w:tcPr>
            <w:tcW w:w="2977" w:type="dxa"/>
            <w:shd w:val="clear" w:color="auto" w:fill="FFFF00"/>
            <w:vAlign w:val="bottom"/>
            <w:hideMark/>
          </w:tcPr>
          <w:p w14:paraId="401AB8BB" w14:textId="77777777" w:rsidR="00A32677" w:rsidRPr="00BF0AD6" w:rsidRDefault="00A32677" w:rsidP="00EE6630">
            <w:pPr>
              <w:ind w:right="-112"/>
              <w:rPr>
                <w:rFonts w:ascii="Calibri" w:hAnsi="Calibri" w:cs="Calibri"/>
                <w:b/>
                <w:bCs/>
                <w:color w:val="000000"/>
                <w:sz w:val="18"/>
                <w:szCs w:val="18"/>
                <w:lang w:eastAsia="en-IE"/>
              </w:rPr>
            </w:pPr>
            <w:r w:rsidRPr="00E62280">
              <w:rPr>
                <w:rFonts w:ascii="Calibri" w:hAnsi="Calibri" w:cs="Calibri"/>
                <w:b/>
                <w:bCs/>
                <w:color w:val="000000"/>
                <w:sz w:val="18"/>
                <w:szCs w:val="18"/>
              </w:rPr>
              <w:t xml:space="preserve">Balance </w:t>
            </w:r>
            <w:proofErr w:type="gramStart"/>
            <w:r w:rsidRPr="00E62280">
              <w:rPr>
                <w:rFonts w:ascii="Calibri" w:hAnsi="Calibri" w:cs="Calibri"/>
                <w:b/>
                <w:bCs/>
                <w:color w:val="000000"/>
                <w:sz w:val="18"/>
                <w:szCs w:val="18"/>
              </w:rPr>
              <w:t>at</w:t>
            </w:r>
            <w:proofErr w:type="gramEnd"/>
            <w:r w:rsidRPr="00E62280">
              <w:rPr>
                <w:rFonts w:ascii="Calibri" w:hAnsi="Calibri" w:cs="Calibri"/>
                <w:b/>
                <w:bCs/>
                <w:color w:val="000000"/>
                <w:sz w:val="18"/>
                <w:szCs w:val="18"/>
              </w:rPr>
              <w:t xml:space="preserve"> September 30, 202</w:t>
            </w:r>
            <w:r>
              <w:rPr>
                <w:rFonts w:ascii="Calibri" w:hAnsi="Calibri" w:cs="Calibri"/>
                <w:b/>
                <w:bCs/>
                <w:color w:val="000000"/>
                <w:sz w:val="18"/>
                <w:szCs w:val="18"/>
              </w:rPr>
              <w:t>3</w:t>
            </w:r>
          </w:p>
        </w:tc>
        <w:tc>
          <w:tcPr>
            <w:tcW w:w="992" w:type="dxa"/>
            <w:tcBorders>
              <w:top w:val="single" w:sz="12" w:space="0" w:color="auto"/>
              <w:left w:val="single" w:sz="8" w:space="0" w:color="auto"/>
              <w:bottom w:val="single" w:sz="12" w:space="0" w:color="auto"/>
              <w:right w:val="single" w:sz="8" w:space="0" w:color="auto"/>
            </w:tcBorders>
            <w:shd w:val="clear" w:color="auto" w:fill="FFFF00"/>
            <w:vAlign w:val="bottom"/>
          </w:tcPr>
          <w:p w14:paraId="5C2DAAA9" w14:textId="77777777" w:rsidR="00A32677" w:rsidRPr="00BF0AD6" w:rsidRDefault="00A32677" w:rsidP="001C5897">
            <w:pPr>
              <w:jc w:val="right"/>
              <w:rPr>
                <w:rFonts w:ascii="Calibri" w:hAnsi="Calibri" w:cs="Calibri"/>
                <w:b/>
                <w:bCs/>
                <w:color w:val="000000"/>
                <w:sz w:val="18"/>
                <w:szCs w:val="18"/>
                <w:highlight w:val="green"/>
                <w:lang w:eastAsia="en-IE"/>
              </w:rPr>
            </w:pPr>
            <w:r w:rsidRPr="00FB10B0">
              <w:rPr>
                <w:rFonts w:ascii="Calibri" w:hAnsi="Calibri" w:cs="Calibri"/>
                <w:b/>
                <w:sz w:val="18"/>
                <w:szCs w:val="18"/>
              </w:rPr>
              <w:t>1,139.0</w:t>
            </w:r>
          </w:p>
        </w:tc>
        <w:tc>
          <w:tcPr>
            <w:tcW w:w="851" w:type="dxa"/>
            <w:tcBorders>
              <w:top w:val="single" w:sz="12" w:space="0" w:color="auto"/>
              <w:left w:val="nil"/>
              <w:bottom w:val="single" w:sz="12" w:space="0" w:color="auto"/>
              <w:right w:val="nil"/>
            </w:tcBorders>
            <w:shd w:val="clear" w:color="auto" w:fill="FFFF00"/>
            <w:vAlign w:val="bottom"/>
          </w:tcPr>
          <w:p w14:paraId="5EF8EF3B" w14:textId="77777777" w:rsidR="00A32677" w:rsidRPr="00BF0AD6" w:rsidRDefault="00A32677" w:rsidP="001C5897">
            <w:pPr>
              <w:jc w:val="right"/>
              <w:rPr>
                <w:rFonts w:ascii="Calibri" w:hAnsi="Calibri" w:cs="Calibri"/>
                <w:b/>
                <w:bCs/>
                <w:color w:val="000000"/>
                <w:sz w:val="18"/>
                <w:szCs w:val="18"/>
                <w:lang w:eastAsia="en-IE"/>
              </w:rPr>
            </w:pPr>
            <w:r w:rsidRPr="00FB10B0">
              <w:rPr>
                <w:rFonts w:ascii="Calibri" w:hAnsi="Calibri" w:cs="Calibri"/>
                <w:b/>
                <w:sz w:val="18"/>
                <w:szCs w:val="18"/>
              </w:rPr>
              <w:t>6.9</w:t>
            </w:r>
          </w:p>
        </w:tc>
        <w:tc>
          <w:tcPr>
            <w:tcW w:w="978" w:type="dxa"/>
            <w:tcBorders>
              <w:top w:val="single" w:sz="12" w:space="0" w:color="auto"/>
              <w:left w:val="nil"/>
              <w:bottom w:val="single" w:sz="12" w:space="0" w:color="auto"/>
              <w:right w:val="nil"/>
            </w:tcBorders>
            <w:shd w:val="clear" w:color="auto" w:fill="FFFF00"/>
            <w:vAlign w:val="bottom"/>
          </w:tcPr>
          <w:p w14:paraId="0EFEA279" w14:textId="77777777" w:rsidR="00A32677" w:rsidRPr="00BF0AD6" w:rsidRDefault="00A32677" w:rsidP="001C5897">
            <w:pPr>
              <w:jc w:val="right"/>
              <w:rPr>
                <w:rFonts w:ascii="Calibri" w:hAnsi="Calibri" w:cs="Calibri"/>
                <w:b/>
                <w:bCs/>
                <w:color w:val="000000"/>
                <w:sz w:val="18"/>
                <w:szCs w:val="18"/>
                <w:lang w:eastAsia="en-IE"/>
              </w:rPr>
            </w:pPr>
            <w:r w:rsidRPr="00FB10B0">
              <w:rPr>
                <w:rFonts w:ascii="Calibri" w:hAnsi="Calibri" w:cs="Calibri"/>
                <w:b/>
                <w:sz w:val="18"/>
                <w:szCs w:val="18"/>
              </w:rPr>
              <w:t>1,384.2</w:t>
            </w:r>
          </w:p>
        </w:tc>
        <w:tc>
          <w:tcPr>
            <w:tcW w:w="1006" w:type="dxa"/>
            <w:gridSpan w:val="2"/>
            <w:tcBorders>
              <w:top w:val="single" w:sz="12" w:space="0" w:color="auto"/>
              <w:left w:val="nil"/>
              <w:bottom w:val="single" w:sz="12" w:space="0" w:color="auto"/>
              <w:right w:val="nil"/>
            </w:tcBorders>
            <w:shd w:val="clear" w:color="auto" w:fill="FFFF00"/>
            <w:vAlign w:val="bottom"/>
          </w:tcPr>
          <w:p w14:paraId="59ABAEFB" w14:textId="77777777" w:rsidR="00A32677" w:rsidRPr="00BF0AD6" w:rsidRDefault="00A32677" w:rsidP="001C5897">
            <w:pPr>
              <w:jc w:val="right"/>
              <w:rPr>
                <w:rFonts w:ascii="Calibri" w:hAnsi="Calibri" w:cs="Calibri"/>
                <w:b/>
                <w:bCs/>
                <w:color w:val="000000"/>
                <w:sz w:val="18"/>
                <w:szCs w:val="18"/>
                <w:lang w:eastAsia="en-IE"/>
              </w:rPr>
            </w:pPr>
            <w:r w:rsidRPr="00FB10B0">
              <w:rPr>
                <w:rFonts w:ascii="Calibri" w:hAnsi="Calibri" w:cs="Calibri"/>
                <w:b/>
                <w:sz w:val="18"/>
                <w:szCs w:val="18"/>
              </w:rPr>
              <w:t>3.5</w:t>
            </w:r>
          </w:p>
        </w:tc>
        <w:tc>
          <w:tcPr>
            <w:tcW w:w="993" w:type="dxa"/>
            <w:tcBorders>
              <w:top w:val="single" w:sz="12" w:space="0" w:color="auto"/>
              <w:left w:val="nil"/>
              <w:bottom w:val="single" w:sz="12" w:space="0" w:color="auto"/>
              <w:right w:val="nil"/>
            </w:tcBorders>
            <w:shd w:val="clear" w:color="auto" w:fill="FFFF00"/>
            <w:vAlign w:val="bottom"/>
          </w:tcPr>
          <w:p w14:paraId="2A64C7C6" w14:textId="77777777" w:rsidR="00A32677" w:rsidRPr="00BF0AD6" w:rsidRDefault="00A32677" w:rsidP="001C5897">
            <w:pPr>
              <w:jc w:val="right"/>
              <w:rPr>
                <w:rFonts w:ascii="Calibri" w:hAnsi="Calibri" w:cs="Calibri"/>
                <w:b/>
                <w:bCs/>
                <w:color w:val="000000"/>
                <w:sz w:val="18"/>
                <w:szCs w:val="18"/>
                <w:lang w:eastAsia="en-IE"/>
              </w:rPr>
            </w:pPr>
            <w:r w:rsidRPr="00FB10B0">
              <w:rPr>
                <w:rFonts w:ascii="Calibri" w:hAnsi="Calibri" w:cs="Calibri"/>
                <w:b/>
                <w:sz w:val="18"/>
                <w:szCs w:val="18"/>
              </w:rPr>
              <w:t>6,357.6</w:t>
            </w:r>
          </w:p>
        </w:tc>
        <w:tc>
          <w:tcPr>
            <w:tcW w:w="992" w:type="dxa"/>
            <w:tcBorders>
              <w:top w:val="single" w:sz="12" w:space="0" w:color="auto"/>
              <w:left w:val="single" w:sz="8" w:space="0" w:color="auto"/>
              <w:bottom w:val="single" w:sz="12" w:space="0" w:color="auto"/>
              <w:right w:val="nil"/>
            </w:tcBorders>
            <w:shd w:val="clear" w:color="auto" w:fill="FFFF00"/>
            <w:vAlign w:val="bottom"/>
          </w:tcPr>
          <w:p w14:paraId="7750C2AE" w14:textId="77777777" w:rsidR="00A32677" w:rsidRPr="00BF0AD6" w:rsidRDefault="00A32677" w:rsidP="001C5897">
            <w:pPr>
              <w:jc w:val="right"/>
              <w:rPr>
                <w:rFonts w:ascii="Calibri" w:hAnsi="Calibri" w:cs="Calibri"/>
                <w:b/>
                <w:bCs/>
                <w:color w:val="000000"/>
                <w:sz w:val="18"/>
                <w:szCs w:val="18"/>
                <w:lang w:eastAsia="en-IE"/>
              </w:rPr>
            </w:pPr>
            <w:r w:rsidRPr="00FB10B0">
              <w:rPr>
                <w:rFonts w:ascii="Calibri" w:hAnsi="Calibri" w:cs="Calibri"/>
                <w:b/>
                <w:sz w:val="18"/>
                <w:szCs w:val="18"/>
              </w:rPr>
              <w:t>626.0</w:t>
            </w:r>
          </w:p>
        </w:tc>
        <w:tc>
          <w:tcPr>
            <w:tcW w:w="992" w:type="dxa"/>
            <w:tcBorders>
              <w:top w:val="single" w:sz="12" w:space="0" w:color="auto"/>
              <w:left w:val="nil"/>
              <w:bottom w:val="single" w:sz="12" w:space="0" w:color="auto"/>
              <w:right w:val="single" w:sz="8" w:space="0" w:color="auto"/>
            </w:tcBorders>
            <w:shd w:val="clear" w:color="auto" w:fill="FFFF00"/>
            <w:vAlign w:val="bottom"/>
          </w:tcPr>
          <w:p w14:paraId="70497F8D" w14:textId="77777777" w:rsidR="00A32677" w:rsidRPr="00BF0AD6" w:rsidRDefault="00A32677" w:rsidP="001C5897">
            <w:pPr>
              <w:jc w:val="right"/>
              <w:rPr>
                <w:rFonts w:ascii="Calibri" w:hAnsi="Calibri" w:cs="Calibri"/>
                <w:b/>
                <w:bCs/>
                <w:color w:val="000000"/>
                <w:sz w:val="18"/>
                <w:szCs w:val="18"/>
                <w:lang w:eastAsia="en-IE"/>
              </w:rPr>
            </w:pPr>
            <w:r w:rsidRPr="00FB10B0">
              <w:rPr>
                <w:rFonts w:ascii="Calibri" w:hAnsi="Calibri" w:cs="Calibri"/>
                <w:b/>
                <w:sz w:val="18"/>
                <w:szCs w:val="18"/>
              </w:rPr>
              <w:t>50.5</w:t>
            </w:r>
          </w:p>
        </w:tc>
        <w:tc>
          <w:tcPr>
            <w:tcW w:w="992" w:type="dxa"/>
            <w:tcBorders>
              <w:top w:val="single" w:sz="12" w:space="0" w:color="auto"/>
              <w:left w:val="nil"/>
              <w:bottom w:val="single" w:sz="12" w:space="0" w:color="auto"/>
              <w:right w:val="nil"/>
            </w:tcBorders>
            <w:shd w:val="clear" w:color="auto" w:fill="FFFF00"/>
            <w:vAlign w:val="bottom"/>
          </w:tcPr>
          <w:p w14:paraId="4EAF2541" w14:textId="77777777" w:rsidR="00A32677" w:rsidRPr="00BF0AD6" w:rsidRDefault="00A32677" w:rsidP="001C5897">
            <w:pPr>
              <w:jc w:val="right"/>
              <w:rPr>
                <w:rFonts w:ascii="Calibri" w:hAnsi="Calibri" w:cs="Calibri"/>
                <w:b/>
                <w:bCs/>
                <w:color w:val="000000"/>
                <w:sz w:val="18"/>
                <w:szCs w:val="18"/>
                <w:highlight w:val="green"/>
                <w:lang w:eastAsia="en-IE"/>
              </w:rPr>
            </w:pPr>
            <w:r w:rsidRPr="00FB10B0">
              <w:rPr>
                <w:rFonts w:ascii="Calibri" w:hAnsi="Calibri" w:cs="Calibri"/>
                <w:b/>
                <w:sz w:val="18"/>
                <w:szCs w:val="18"/>
              </w:rPr>
              <w:t>8,428.7</w:t>
            </w:r>
          </w:p>
        </w:tc>
      </w:tr>
      <w:tr w:rsidR="00EE6630" w:rsidRPr="00BF0AD6" w14:paraId="7F3EB76A" w14:textId="77777777" w:rsidTr="00EE6630">
        <w:trPr>
          <w:trHeight w:val="227"/>
        </w:trPr>
        <w:tc>
          <w:tcPr>
            <w:tcW w:w="2977" w:type="dxa"/>
            <w:shd w:val="clear" w:color="auto" w:fill="FFFF00"/>
            <w:vAlign w:val="center"/>
          </w:tcPr>
          <w:p w14:paraId="7EDF8CCF" w14:textId="77777777" w:rsidR="00A32677" w:rsidRPr="00BF0AD6" w:rsidRDefault="00A32677" w:rsidP="001C5897">
            <w:pPr>
              <w:rPr>
                <w:rFonts w:ascii="Calibri" w:hAnsi="Calibri" w:cs="Calibri"/>
                <w:b/>
                <w:bCs/>
                <w:color w:val="000000"/>
                <w:sz w:val="18"/>
                <w:szCs w:val="18"/>
                <w:lang w:eastAsia="en-IE"/>
              </w:rPr>
            </w:pPr>
          </w:p>
        </w:tc>
        <w:tc>
          <w:tcPr>
            <w:tcW w:w="992" w:type="dxa"/>
            <w:tcBorders>
              <w:top w:val="single" w:sz="12" w:space="0" w:color="auto"/>
              <w:left w:val="single" w:sz="8" w:space="0" w:color="auto"/>
              <w:bottom w:val="single" w:sz="8" w:space="0" w:color="auto"/>
              <w:right w:val="single" w:sz="8" w:space="0" w:color="auto"/>
            </w:tcBorders>
            <w:shd w:val="clear" w:color="auto" w:fill="FFFF00"/>
            <w:vAlign w:val="bottom"/>
          </w:tcPr>
          <w:p w14:paraId="6129CF44" w14:textId="77777777" w:rsidR="00A32677" w:rsidRPr="00BF0AD6" w:rsidRDefault="00A32677" w:rsidP="001C5897">
            <w:pPr>
              <w:jc w:val="right"/>
              <w:rPr>
                <w:rFonts w:ascii="Calibri" w:hAnsi="Calibri" w:cs="Calibri"/>
                <w:b/>
                <w:bCs/>
                <w:color w:val="000000"/>
                <w:sz w:val="18"/>
                <w:szCs w:val="18"/>
                <w:lang w:eastAsia="en-IE"/>
              </w:rPr>
            </w:pPr>
          </w:p>
        </w:tc>
        <w:tc>
          <w:tcPr>
            <w:tcW w:w="851" w:type="dxa"/>
            <w:tcBorders>
              <w:top w:val="single" w:sz="12" w:space="0" w:color="auto"/>
              <w:left w:val="nil"/>
              <w:right w:val="nil"/>
            </w:tcBorders>
            <w:shd w:val="clear" w:color="auto" w:fill="FFFF00"/>
            <w:vAlign w:val="bottom"/>
          </w:tcPr>
          <w:p w14:paraId="1C015D77" w14:textId="77777777" w:rsidR="00A32677" w:rsidRPr="00BF0AD6" w:rsidRDefault="00A32677" w:rsidP="001C5897">
            <w:pPr>
              <w:jc w:val="right"/>
              <w:rPr>
                <w:rFonts w:ascii="Calibri" w:hAnsi="Calibri" w:cs="Calibri"/>
                <w:b/>
                <w:bCs/>
                <w:color w:val="000000"/>
                <w:sz w:val="18"/>
                <w:szCs w:val="18"/>
                <w:lang w:eastAsia="en-IE"/>
              </w:rPr>
            </w:pPr>
          </w:p>
        </w:tc>
        <w:tc>
          <w:tcPr>
            <w:tcW w:w="992" w:type="dxa"/>
            <w:gridSpan w:val="2"/>
            <w:tcBorders>
              <w:top w:val="single" w:sz="12" w:space="0" w:color="auto"/>
              <w:left w:val="nil"/>
              <w:right w:val="nil"/>
            </w:tcBorders>
            <w:shd w:val="clear" w:color="auto" w:fill="FFFF00"/>
            <w:vAlign w:val="bottom"/>
          </w:tcPr>
          <w:p w14:paraId="7B6B5812" w14:textId="77777777" w:rsidR="00A32677" w:rsidRPr="00BF0AD6" w:rsidRDefault="00A32677" w:rsidP="001C5897">
            <w:pPr>
              <w:jc w:val="right"/>
              <w:rPr>
                <w:rFonts w:ascii="Calibri" w:hAnsi="Calibri" w:cs="Calibri"/>
                <w:b/>
                <w:bCs/>
                <w:color w:val="000000"/>
                <w:sz w:val="18"/>
                <w:szCs w:val="18"/>
                <w:lang w:eastAsia="en-IE"/>
              </w:rPr>
            </w:pPr>
          </w:p>
        </w:tc>
        <w:tc>
          <w:tcPr>
            <w:tcW w:w="992" w:type="dxa"/>
            <w:tcBorders>
              <w:top w:val="single" w:sz="12" w:space="0" w:color="auto"/>
              <w:left w:val="nil"/>
              <w:right w:val="nil"/>
            </w:tcBorders>
            <w:shd w:val="clear" w:color="auto" w:fill="FFFF00"/>
            <w:vAlign w:val="bottom"/>
          </w:tcPr>
          <w:p w14:paraId="601EB36E" w14:textId="77777777" w:rsidR="00A32677" w:rsidRPr="00BF0AD6" w:rsidRDefault="00A32677" w:rsidP="001C5897">
            <w:pPr>
              <w:jc w:val="right"/>
              <w:rPr>
                <w:rFonts w:ascii="Calibri" w:hAnsi="Calibri" w:cs="Calibri"/>
                <w:b/>
                <w:bCs/>
                <w:color w:val="000000"/>
                <w:sz w:val="18"/>
                <w:szCs w:val="18"/>
                <w:lang w:eastAsia="en-IE"/>
              </w:rPr>
            </w:pPr>
          </w:p>
        </w:tc>
        <w:tc>
          <w:tcPr>
            <w:tcW w:w="993" w:type="dxa"/>
            <w:tcBorders>
              <w:top w:val="single" w:sz="12" w:space="0" w:color="auto"/>
              <w:left w:val="nil"/>
              <w:right w:val="nil"/>
            </w:tcBorders>
            <w:shd w:val="clear" w:color="auto" w:fill="FFFF00"/>
            <w:vAlign w:val="bottom"/>
          </w:tcPr>
          <w:p w14:paraId="14D67DC5" w14:textId="77777777" w:rsidR="00A32677" w:rsidRPr="00BF0AD6" w:rsidRDefault="00A32677" w:rsidP="001C5897">
            <w:pPr>
              <w:jc w:val="right"/>
              <w:rPr>
                <w:rFonts w:ascii="Calibri" w:hAnsi="Calibri" w:cs="Calibri"/>
                <w:b/>
                <w:bCs/>
                <w:color w:val="000000"/>
                <w:sz w:val="18"/>
                <w:szCs w:val="18"/>
                <w:lang w:eastAsia="en-IE"/>
              </w:rPr>
            </w:pPr>
          </w:p>
        </w:tc>
        <w:tc>
          <w:tcPr>
            <w:tcW w:w="992" w:type="dxa"/>
            <w:tcBorders>
              <w:top w:val="single" w:sz="12" w:space="0" w:color="auto"/>
              <w:left w:val="single" w:sz="8" w:space="0" w:color="auto"/>
              <w:bottom w:val="single" w:sz="8" w:space="0" w:color="auto"/>
              <w:right w:val="nil"/>
            </w:tcBorders>
            <w:shd w:val="clear" w:color="auto" w:fill="FFFF00"/>
            <w:vAlign w:val="bottom"/>
          </w:tcPr>
          <w:p w14:paraId="03A3BD3F" w14:textId="77777777" w:rsidR="00A32677" w:rsidRPr="00BF0AD6" w:rsidRDefault="00A32677" w:rsidP="001C5897">
            <w:pPr>
              <w:jc w:val="right"/>
              <w:rPr>
                <w:rFonts w:ascii="Calibri" w:hAnsi="Calibri" w:cs="Calibri"/>
                <w:b/>
                <w:bCs/>
                <w:color w:val="000000"/>
                <w:sz w:val="18"/>
                <w:szCs w:val="18"/>
                <w:lang w:eastAsia="en-IE"/>
              </w:rPr>
            </w:pPr>
          </w:p>
        </w:tc>
        <w:tc>
          <w:tcPr>
            <w:tcW w:w="992" w:type="dxa"/>
            <w:tcBorders>
              <w:top w:val="single" w:sz="12" w:space="0" w:color="auto"/>
              <w:left w:val="nil"/>
              <w:bottom w:val="single" w:sz="8" w:space="0" w:color="auto"/>
              <w:right w:val="single" w:sz="8" w:space="0" w:color="auto"/>
            </w:tcBorders>
            <w:shd w:val="clear" w:color="auto" w:fill="FFFF00"/>
            <w:vAlign w:val="bottom"/>
          </w:tcPr>
          <w:p w14:paraId="3B9FC2B9" w14:textId="77777777" w:rsidR="00A32677" w:rsidRPr="00BF0AD6" w:rsidRDefault="00A32677" w:rsidP="001C5897">
            <w:pPr>
              <w:jc w:val="right"/>
              <w:rPr>
                <w:rFonts w:ascii="Calibri" w:hAnsi="Calibri" w:cs="Calibri"/>
                <w:b/>
                <w:bCs/>
                <w:color w:val="000000"/>
                <w:sz w:val="18"/>
                <w:szCs w:val="18"/>
                <w:lang w:eastAsia="en-IE"/>
              </w:rPr>
            </w:pPr>
          </w:p>
        </w:tc>
        <w:tc>
          <w:tcPr>
            <w:tcW w:w="992" w:type="dxa"/>
            <w:tcBorders>
              <w:top w:val="single" w:sz="12" w:space="0" w:color="auto"/>
              <w:left w:val="nil"/>
              <w:right w:val="nil"/>
            </w:tcBorders>
            <w:shd w:val="clear" w:color="auto" w:fill="FFFF00"/>
            <w:vAlign w:val="bottom"/>
          </w:tcPr>
          <w:p w14:paraId="7AFE0CD1" w14:textId="77777777" w:rsidR="00A32677" w:rsidRPr="00BF0AD6" w:rsidRDefault="00A32677" w:rsidP="001C5897">
            <w:pPr>
              <w:jc w:val="right"/>
              <w:rPr>
                <w:rFonts w:ascii="Calibri" w:hAnsi="Calibri" w:cs="Calibri"/>
                <w:b/>
                <w:bCs/>
                <w:color w:val="000000"/>
                <w:sz w:val="18"/>
                <w:szCs w:val="18"/>
                <w:lang w:eastAsia="en-IE"/>
              </w:rPr>
            </w:pPr>
          </w:p>
        </w:tc>
      </w:tr>
    </w:tbl>
    <w:bookmarkEnd w:id="2"/>
    <w:p w14:paraId="240F69B3" w14:textId="77777777" w:rsidR="00D73C81" w:rsidRPr="00C22F7C" w:rsidRDefault="00A32677" w:rsidP="00A32677">
      <w:pPr>
        <w:autoSpaceDE w:val="0"/>
        <w:autoSpaceDN w:val="0"/>
        <w:adjustRightInd w:val="0"/>
        <w:rPr>
          <w:rFonts w:ascii="Calibri" w:hAnsi="Calibri" w:cs="Calibri"/>
          <w:b/>
          <w:bCs/>
          <w:i/>
          <w:iCs/>
          <w:color w:val="000000"/>
          <w:sz w:val="22"/>
          <w:szCs w:val="22"/>
        </w:rPr>
      </w:pPr>
      <w:r w:rsidRPr="00C22F7C">
        <w:rPr>
          <w:rFonts w:ascii="Calibri" w:hAnsi="Calibri" w:cs="Calibri"/>
          <w:b/>
          <w:bCs/>
          <w:i/>
          <w:iCs/>
          <w:color w:val="000000"/>
          <w:sz w:val="22"/>
          <w:szCs w:val="22"/>
        </w:rPr>
        <w:t xml:space="preserve"> </w:t>
      </w:r>
    </w:p>
    <w:p w14:paraId="7E56CC2B" w14:textId="77777777" w:rsidR="00FF43F0" w:rsidRPr="0081763F" w:rsidRDefault="00193AFE" w:rsidP="00FD6E41">
      <w:pPr>
        <w:tabs>
          <w:tab w:val="left" w:pos="7655"/>
        </w:tabs>
        <w:ind w:right="-142"/>
        <w:jc w:val="both"/>
        <w:rPr>
          <w:rFonts w:ascii="Calibri" w:hAnsi="Calibri" w:cs="Calibri"/>
          <w:b/>
          <w:bCs/>
          <w:i/>
          <w:iCs/>
          <w:color w:val="000000"/>
          <w:sz w:val="22"/>
          <w:szCs w:val="22"/>
        </w:rPr>
      </w:pPr>
      <w:bookmarkStart w:id="4" w:name="_Hlk483399485"/>
      <w:bookmarkStart w:id="5" w:name="_Hlk496863115"/>
      <w:bookmarkStart w:id="6" w:name="_Hlk536721142"/>
      <w:bookmarkStart w:id="7" w:name="_Hlk527704244"/>
      <w:r>
        <w:rPr>
          <w:rFonts w:ascii="Calibri" w:hAnsi="Calibri" w:cs="Calibri"/>
          <w:b/>
        </w:rPr>
        <w:br w:type="page"/>
      </w:r>
      <w:r w:rsidR="00A719E8" w:rsidRPr="0081763F">
        <w:rPr>
          <w:rFonts w:ascii="Calibri" w:hAnsi="Calibri" w:cs="Calibri"/>
          <w:b/>
        </w:rPr>
        <w:lastRenderedPageBreak/>
        <w:t xml:space="preserve">Ryanair Holdings plc </w:t>
      </w:r>
      <w:r w:rsidR="00DE3741" w:rsidRPr="0081763F">
        <w:rPr>
          <w:rFonts w:ascii="Calibri" w:hAnsi="Calibri" w:cs="Calibri"/>
          <w:b/>
        </w:rPr>
        <w:t>and Subsidiaries</w:t>
      </w:r>
    </w:p>
    <w:p w14:paraId="62E38D26" w14:textId="77777777" w:rsidR="00193AFE" w:rsidRDefault="00193AFE" w:rsidP="00FD6E41">
      <w:pPr>
        <w:ind w:right="-428"/>
        <w:rPr>
          <w:rFonts w:ascii="Calibri" w:hAnsi="Calibri" w:cs="Calibri"/>
          <w:b/>
        </w:rPr>
      </w:pPr>
    </w:p>
    <w:p w14:paraId="4EAACAA3" w14:textId="77777777" w:rsidR="00504DD3" w:rsidRPr="0081763F" w:rsidRDefault="00504DD3" w:rsidP="00FD6E41">
      <w:pPr>
        <w:ind w:right="-428"/>
        <w:rPr>
          <w:rFonts w:ascii="Calibri" w:hAnsi="Calibri" w:cs="Calibri"/>
          <w:b/>
        </w:rPr>
      </w:pPr>
      <w:r w:rsidRPr="0081763F">
        <w:rPr>
          <w:rFonts w:ascii="Calibri" w:hAnsi="Calibri" w:cs="Calibri"/>
          <w:b/>
        </w:rPr>
        <w:t>MD&amp;A Half</w:t>
      </w:r>
      <w:r w:rsidR="0058230A">
        <w:rPr>
          <w:rFonts w:ascii="Calibri" w:hAnsi="Calibri" w:cs="Calibri"/>
          <w:b/>
        </w:rPr>
        <w:t>-</w:t>
      </w:r>
      <w:r w:rsidRPr="0081763F">
        <w:rPr>
          <w:rFonts w:ascii="Calibri" w:hAnsi="Calibri" w:cs="Calibri"/>
          <w:b/>
        </w:rPr>
        <w:t>Year Ended September 30, 2023 (“</w:t>
      </w:r>
      <w:r w:rsidR="006131F7">
        <w:rPr>
          <w:rFonts w:ascii="Calibri" w:hAnsi="Calibri" w:cs="Calibri"/>
          <w:b/>
        </w:rPr>
        <w:t xml:space="preserve">H1 </w:t>
      </w:r>
      <w:r w:rsidRPr="0081763F">
        <w:rPr>
          <w:rFonts w:ascii="Calibri" w:hAnsi="Calibri" w:cs="Calibri"/>
          <w:b/>
        </w:rPr>
        <w:t>FY24”)</w:t>
      </w:r>
    </w:p>
    <w:p w14:paraId="092CB545" w14:textId="77777777" w:rsidR="00C06926" w:rsidRPr="0081763F" w:rsidRDefault="00C06926" w:rsidP="00FD6E41">
      <w:pPr>
        <w:ind w:right="-142"/>
        <w:jc w:val="both"/>
        <w:rPr>
          <w:rFonts w:ascii="Calibri" w:hAnsi="Calibri" w:cs="Calibri"/>
          <w:b/>
        </w:rPr>
      </w:pPr>
    </w:p>
    <w:p w14:paraId="1332DAAE" w14:textId="77777777" w:rsidR="00C06926" w:rsidRPr="0081763F" w:rsidRDefault="00C06926" w:rsidP="00FD6E41">
      <w:pPr>
        <w:ind w:right="-142"/>
        <w:jc w:val="both"/>
        <w:rPr>
          <w:rFonts w:ascii="Calibri" w:hAnsi="Calibri" w:cs="Calibri"/>
          <w:b/>
          <w:sz w:val="22"/>
          <w:szCs w:val="22"/>
        </w:rPr>
      </w:pPr>
      <w:r w:rsidRPr="0081763F">
        <w:rPr>
          <w:rFonts w:ascii="Calibri" w:hAnsi="Calibri" w:cs="Calibri"/>
          <w:b/>
          <w:sz w:val="22"/>
          <w:szCs w:val="22"/>
        </w:rPr>
        <w:t>Introduction</w:t>
      </w:r>
    </w:p>
    <w:p w14:paraId="20FC0B0C" w14:textId="77777777" w:rsidR="00504DD3" w:rsidRPr="0081763F" w:rsidRDefault="00504DD3" w:rsidP="00504DD3">
      <w:pPr>
        <w:ind w:right="-142"/>
        <w:jc w:val="both"/>
        <w:rPr>
          <w:rFonts w:ascii="Calibri" w:hAnsi="Calibri" w:cs="Calibri"/>
          <w:sz w:val="22"/>
          <w:szCs w:val="22"/>
        </w:rPr>
      </w:pPr>
      <w:r w:rsidRPr="0081763F">
        <w:rPr>
          <w:rFonts w:ascii="Calibri" w:hAnsi="Calibri" w:cs="Calibri"/>
          <w:sz w:val="22"/>
          <w:szCs w:val="22"/>
        </w:rPr>
        <w:t xml:space="preserve">For the purposes of the Management Discussion and Analysis (“MD&amp;A”) (with the exception of the balance sheet commentary) all </w:t>
      </w:r>
      <w:proofErr w:type="gramStart"/>
      <w:r w:rsidRPr="0081763F">
        <w:rPr>
          <w:rFonts w:ascii="Calibri" w:hAnsi="Calibri" w:cs="Calibri"/>
          <w:sz w:val="22"/>
          <w:szCs w:val="22"/>
        </w:rPr>
        <w:t>figures</w:t>
      </w:r>
      <w:proofErr w:type="gramEnd"/>
      <w:r w:rsidRPr="0081763F">
        <w:rPr>
          <w:rFonts w:ascii="Calibri" w:hAnsi="Calibri" w:cs="Calibri"/>
          <w:sz w:val="22"/>
          <w:szCs w:val="22"/>
        </w:rPr>
        <w:t xml:space="preserve"> and comments are by reference to the half</w:t>
      </w:r>
      <w:r w:rsidR="0058230A">
        <w:rPr>
          <w:rFonts w:ascii="Calibri" w:hAnsi="Calibri" w:cs="Calibri"/>
          <w:sz w:val="22"/>
          <w:szCs w:val="22"/>
        </w:rPr>
        <w:t>-</w:t>
      </w:r>
      <w:r w:rsidRPr="0081763F">
        <w:rPr>
          <w:rFonts w:ascii="Calibri" w:hAnsi="Calibri" w:cs="Calibri"/>
          <w:sz w:val="22"/>
          <w:szCs w:val="22"/>
        </w:rPr>
        <w:t>year ended September 30, 2023 results excluding the exceptional item referred to below.</w:t>
      </w:r>
    </w:p>
    <w:p w14:paraId="004089EE" w14:textId="77777777" w:rsidR="00504DD3" w:rsidRPr="00A04975" w:rsidRDefault="00504DD3" w:rsidP="00504DD3">
      <w:pPr>
        <w:ind w:right="-142"/>
        <w:jc w:val="both"/>
        <w:rPr>
          <w:rFonts w:ascii="Calibri" w:hAnsi="Calibri" w:cs="Calibri"/>
          <w:sz w:val="22"/>
          <w:szCs w:val="22"/>
          <w:highlight w:val="green"/>
        </w:rPr>
      </w:pPr>
    </w:p>
    <w:p w14:paraId="46F81646" w14:textId="77777777" w:rsidR="00C85DDE" w:rsidRPr="0081763F" w:rsidRDefault="00504DD3" w:rsidP="00504DD3">
      <w:pPr>
        <w:ind w:right="-142"/>
        <w:jc w:val="both"/>
        <w:rPr>
          <w:rFonts w:ascii="Calibri" w:hAnsi="Calibri" w:cs="Calibri"/>
          <w:sz w:val="22"/>
          <w:szCs w:val="22"/>
        </w:rPr>
      </w:pPr>
      <w:r w:rsidRPr="0081763F">
        <w:rPr>
          <w:rFonts w:ascii="Calibri" w:hAnsi="Calibri" w:cs="Calibri"/>
          <w:sz w:val="22"/>
          <w:szCs w:val="22"/>
        </w:rPr>
        <w:t xml:space="preserve">The Group, as part of its risk management strategy, utilised jet fuel call options to set a maximum price for up to 15% of FY23 expected fuel requirements. </w:t>
      </w:r>
      <w:r w:rsidR="0066180A">
        <w:rPr>
          <w:rFonts w:ascii="Calibri" w:hAnsi="Calibri" w:cs="Calibri"/>
          <w:sz w:val="22"/>
          <w:szCs w:val="22"/>
        </w:rPr>
        <w:t>T</w:t>
      </w:r>
      <w:r w:rsidRPr="0081763F">
        <w:rPr>
          <w:rFonts w:ascii="Calibri" w:hAnsi="Calibri" w:cs="Calibri"/>
          <w:sz w:val="22"/>
          <w:szCs w:val="22"/>
        </w:rPr>
        <w:t xml:space="preserve">hese instruments were measured at fair value through the income statement. Following the Russian invasion of Ukraine in Feb. 2022, the price of jet fuel significantly increased. </w:t>
      </w:r>
      <w:r w:rsidR="00A04975" w:rsidRPr="0081763F">
        <w:rPr>
          <w:rFonts w:ascii="Calibri" w:hAnsi="Calibri" w:cs="Calibri"/>
          <w:sz w:val="22"/>
          <w:szCs w:val="22"/>
        </w:rPr>
        <w:t xml:space="preserve">An exceptional unrealised mark-to-market </w:t>
      </w:r>
      <w:r w:rsidR="006131F7">
        <w:rPr>
          <w:rFonts w:ascii="Calibri" w:hAnsi="Calibri" w:cs="Calibri"/>
          <w:sz w:val="22"/>
          <w:szCs w:val="22"/>
        </w:rPr>
        <w:t>loss</w:t>
      </w:r>
      <w:r w:rsidR="00A04975" w:rsidRPr="0081763F">
        <w:rPr>
          <w:rFonts w:ascii="Calibri" w:hAnsi="Calibri" w:cs="Calibri"/>
          <w:sz w:val="22"/>
          <w:szCs w:val="22"/>
        </w:rPr>
        <w:t xml:space="preserve"> of €123M (pre-tax) was recorded on the Group’s jet fuel call options </w:t>
      </w:r>
      <w:proofErr w:type="gramStart"/>
      <w:r w:rsidR="00A04975" w:rsidRPr="0081763F">
        <w:rPr>
          <w:rFonts w:ascii="Calibri" w:hAnsi="Calibri" w:cs="Calibri"/>
          <w:sz w:val="22"/>
          <w:szCs w:val="22"/>
        </w:rPr>
        <w:t>at</w:t>
      </w:r>
      <w:proofErr w:type="gramEnd"/>
      <w:r w:rsidR="00A04975" w:rsidRPr="0081763F">
        <w:rPr>
          <w:rFonts w:ascii="Calibri" w:hAnsi="Calibri" w:cs="Calibri"/>
          <w:sz w:val="22"/>
          <w:szCs w:val="22"/>
        </w:rPr>
        <w:t xml:space="preserve"> September 30, 2022.</w:t>
      </w:r>
    </w:p>
    <w:p w14:paraId="367B58B8" w14:textId="77777777" w:rsidR="00504DD3" w:rsidRPr="0081763F" w:rsidRDefault="00504DD3" w:rsidP="00504DD3">
      <w:pPr>
        <w:ind w:right="-142"/>
        <w:jc w:val="both"/>
        <w:rPr>
          <w:rFonts w:ascii="Calibri" w:hAnsi="Calibri" w:cs="Calibri"/>
          <w:b/>
          <w:sz w:val="22"/>
          <w:szCs w:val="22"/>
        </w:rPr>
      </w:pPr>
    </w:p>
    <w:p w14:paraId="3507522D" w14:textId="77777777" w:rsidR="004A178D" w:rsidRPr="0081763F" w:rsidRDefault="004A178D" w:rsidP="00CE13BB">
      <w:pPr>
        <w:ind w:right="-142"/>
        <w:jc w:val="both"/>
        <w:rPr>
          <w:rFonts w:ascii="Calibri" w:hAnsi="Calibri" w:cs="Calibri"/>
          <w:b/>
          <w:sz w:val="22"/>
          <w:szCs w:val="22"/>
          <w:u w:val="single"/>
        </w:rPr>
      </w:pPr>
      <w:r w:rsidRPr="0081763F">
        <w:rPr>
          <w:rFonts w:ascii="Calibri" w:hAnsi="Calibri" w:cs="Calibri"/>
          <w:b/>
          <w:sz w:val="22"/>
          <w:szCs w:val="22"/>
          <w:u w:val="single"/>
        </w:rPr>
        <w:t>Income Statement</w:t>
      </w:r>
    </w:p>
    <w:p w14:paraId="74E85F30" w14:textId="77777777" w:rsidR="004A178D" w:rsidRPr="0081763F" w:rsidRDefault="004A178D" w:rsidP="00CE13BB">
      <w:pPr>
        <w:ind w:right="-142"/>
        <w:jc w:val="both"/>
        <w:rPr>
          <w:rFonts w:ascii="Calibri" w:hAnsi="Calibri" w:cs="Calibri"/>
          <w:b/>
          <w:sz w:val="22"/>
          <w:szCs w:val="22"/>
        </w:rPr>
      </w:pPr>
    </w:p>
    <w:p w14:paraId="1198A249" w14:textId="77777777" w:rsidR="00285AB3" w:rsidRPr="0081763F" w:rsidRDefault="00285AB3" w:rsidP="00CE13BB">
      <w:pPr>
        <w:keepNext/>
        <w:ind w:right="-142"/>
        <w:jc w:val="both"/>
        <w:rPr>
          <w:rFonts w:ascii="Calibri" w:hAnsi="Calibri" w:cs="Calibri"/>
          <w:b/>
          <w:sz w:val="22"/>
          <w:szCs w:val="22"/>
        </w:rPr>
      </w:pPr>
      <w:r w:rsidRPr="0081763F">
        <w:rPr>
          <w:rFonts w:ascii="Calibri" w:hAnsi="Calibri" w:cs="Calibri"/>
          <w:b/>
          <w:sz w:val="22"/>
          <w:szCs w:val="22"/>
        </w:rPr>
        <w:t>Scheduled revenues:</w:t>
      </w:r>
      <w:r w:rsidRPr="0081763F">
        <w:rPr>
          <w:rFonts w:ascii="Calibri" w:hAnsi="Calibri" w:cs="Calibri"/>
          <w:b/>
          <w:sz w:val="22"/>
          <w:szCs w:val="22"/>
        </w:rPr>
        <w:tab/>
      </w:r>
    </w:p>
    <w:p w14:paraId="27968916" w14:textId="77777777" w:rsidR="00B02E4D" w:rsidRPr="0081763F" w:rsidRDefault="00285AB3" w:rsidP="00CE13BB">
      <w:pPr>
        <w:ind w:right="-142"/>
        <w:jc w:val="both"/>
        <w:rPr>
          <w:rFonts w:ascii="Calibri" w:hAnsi="Calibri" w:cs="Calibri"/>
          <w:sz w:val="22"/>
          <w:szCs w:val="22"/>
        </w:rPr>
      </w:pPr>
      <w:r w:rsidRPr="0081763F">
        <w:rPr>
          <w:rFonts w:ascii="Calibri" w:hAnsi="Calibri" w:cs="Calibri"/>
          <w:sz w:val="22"/>
          <w:szCs w:val="22"/>
        </w:rPr>
        <w:t xml:space="preserve">Scheduled revenues </w:t>
      </w:r>
      <w:r w:rsidR="005A4B5E" w:rsidRPr="0081763F">
        <w:rPr>
          <w:rFonts w:ascii="Calibri" w:hAnsi="Calibri" w:cs="Calibri"/>
          <w:sz w:val="22"/>
          <w:szCs w:val="22"/>
        </w:rPr>
        <w:t>increased</w:t>
      </w:r>
      <w:r w:rsidRPr="0081763F">
        <w:rPr>
          <w:rFonts w:ascii="Calibri" w:hAnsi="Calibri" w:cs="Calibri"/>
          <w:sz w:val="22"/>
          <w:szCs w:val="22"/>
        </w:rPr>
        <w:t xml:space="preserve"> </w:t>
      </w:r>
      <w:r w:rsidR="00A04975" w:rsidRPr="0081763F">
        <w:rPr>
          <w:rFonts w:ascii="Calibri" w:hAnsi="Calibri" w:cs="Calibri"/>
          <w:b/>
          <w:bCs/>
          <w:sz w:val="22"/>
          <w:szCs w:val="22"/>
        </w:rPr>
        <w:t>37</w:t>
      </w:r>
      <w:r w:rsidRPr="0081763F">
        <w:rPr>
          <w:rFonts w:ascii="Calibri" w:hAnsi="Calibri" w:cs="Calibri"/>
          <w:b/>
          <w:sz w:val="22"/>
          <w:szCs w:val="22"/>
        </w:rPr>
        <w:t>% to €</w:t>
      </w:r>
      <w:r w:rsidR="00A04975" w:rsidRPr="0081763F">
        <w:rPr>
          <w:rFonts w:ascii="Calibri" w:hAnsi="Calibri" w:cs="Calibri"/>
          <w:b/>
          <w:sz w:val="22"/>
          <w:szCs w:val="22"/>
        </w:rPr>
        <w:t>6.07</w:t>
      </w:r>
      <w:r w:rsidR="007E6A2A" w:rsidRPr="0081763F">
        <w:rPr>
          <w:rFonts w:ascii="Calibri" w:hAnsi="Calibri" w:cs="Calibri"/>
          <w:b/>
          <w:sz w:val="22"/>
          <w:szCs w:val="22"/>
        </w:rPr>
        <w:t>BN</w:t>
      </w:r>
      <w:r w:rsidRPr="0081763F">
        <w:rPr>
          <w:rFonts w:ascii="Calibri" w:hAnsi="Calibri" w:cs="Calibri"/>
          <w:sz w:val="22"/>
          <w:szCs w:val="22"/>
        </w:rPr>
        <w:t xml:space="preserve"> due to </w:t>
      </w:r>
      <w:r w:rsidR="00A04975" w:rsidRPr="0081763F">
        <w:rPr>
          <w:rFonts w:ascii="Calibri" w:hAnsi="Calibri" w:cs="Calibri"/>
          <w:sz w:val="22"/>
          <w:szCs w:val="22"/>
        </w:rPr>
        <w:t>11</w:t>
      </w:r>
      <w:r w:rsidR="00161D3B" w:rsidRPr="0081763F">
        <w:rPr>
          <w:rFonts w:ascii="Calibri" w:hAnsi="Calibri" w:cs="Calibri"/>
          <w:sz w:val="22"/>
          <w:szCs w:val="22"/>
        </w:rPr>
        <w:t>%</w:t>
      </w:r>
      <w:r w:rsidRPr="0081763F">
        <w:rPr>
          <w:rFonts w:ascii="Calibri" w:hAnsi="Calibri" w:cs="Calibri"/>
          <w:sz w:val="22"/>
          <w:szCs w:val="22"/>
        </w:rPr>
        <w:t xml:space="preserve"> traffic</w:t>
      </w:r>
      <w:r w:rsidR="00E94A24">
        <w:rPr>
          <w:rFonts w:ascii="Calibri" w:hAnsi="Calibri" w:cs="Calibri"/>
          <w:sz w:val="22"/>
          <w:szCs w:val="22"/>
        </w:rPr>
        <w:t xml:space="preserve"> growth</w:t>
      </w:r>
      <w:r w:rsidR="00706091" w:rsidRPr="0081763F">
        <w:rPr>
          <w:rFonts w:ascii="Calibri" w:hAnsi="Calibri" w:cs="Calibri"/>
          <w:sz w:val="22"/>
          <w:szCs w:val="22"/>
        </w:rPr>
        <w:t xml:space="preserve"> </w:t>
      </w:r>
      <w:r w:rsidR="00E94A24">
        <w:rPr>
          <w:rFonts w:ascii="Calibri" w:hAnsi="Calibri" w:cs="Calibri"/>
          <w:sz w:val="22"/>
          <w:szCs w:val="22"/>
        </w:rPr>
        <w:t>(</w:t>
      </w:r>
      <w:r w:rsidR="00706091" w:rsidRPr="0081763F">
        <w:rPr>
          <w:rFonts w:ascii="Calibri" w:hAnsi="Calibri" w:cs="Calibri"/>
          <w:sz w:val="22"/>
          <w:szCs w:val="22"/>
        </w:rPr>
        <w:t xml:space="preserve">from </w:t>
      </w:r>
      <w:r w:rsidR="00A04975" w:rsidRPr="0081763F">
        <w:rPr>
          <w:rFonts w:ascii="Calibri" w:hAnsi="Calibri" w:cs="Calibri"/>
          <w:b/>
          <w:bCs/>
          <w:sz w:val="22"/>
          <w:szCs w:val="22"/>
        </w:rPr>
        <w:t>95.1</w:t>
      </w:r>
      <w:r w:rsidR="00706091" w:rsidRPr="0081763F">
        <w:rPr>
          <w:rFonts w:ascii="Calibri" w:hAnsi="Calibri" w:cs="Calibri"/>
          <w:b/>
          <w:bCs/>
          <w:sz w:val="22"/>
          <w:szCs w:val="22"/>
        </w:rPr>
        <w:t>M</w:t>
      </w:r>
      <w:r w:rsidRPr="0081763F">
        <w:rPr>
          <w:rFonts w:ascii="Calibri" w:hAnsi="Calibri" w:cs="Calibri"/>
          <w:sz w:val="22"/>
          <w:szCs w:val="22"/>
        </w:rPr>
        <w:t xml:space="preserve"> to </w:t>
      </w:r>
      <w:r w:rsidR="00A04975" w:rsidRPr="0081763F">
        <w:rPr>
          <w:rFonts w:ascii="Calibri" w:hAnsi="Calibri" w:cs="Calibri"/>
          <w:b/>
          <w:bCs/>
          <w:sz w:val="22"/>
          <w:szCs w:val="22"/>
        </w:rPr>
        <w:t>105.4</w:t>
      </w:r>
      <w:r w:rsidRPr="0081763F">
        <w:rPr>
          <w:rFonts w:ascii="Calibri" w:hAnsi="Calibri" w:cs="Calibri"/>
          <w:b/>
          <w:bCs/>
          <w:sz w:val="22"/>
          <w:szCs w:val="22"/>
        </w:rPr>
        <w:t>M</w:t>
      </w:r>
      <w:r w:rsidR="00E94A24" w:rsidRPr="00E94A24">
        <w:rPr>
          <w:rFonts w:ascii="Calibri" w:hAnsi="Calibri" w:cs="Calibri"/>
          <w:sz w:val="22"/>
          <w:szCs w:val="22"/>
        </w:rPr>
        <w:t>)</w:t>
      </w:r>
      <w:r w:rsidR="005357F4" w:rsidRPr="0081763F">
        <w:rPr>
          <w:rFonts w:ascii="Calibri" w:hAnsi="Calibri" w:cs="Calibri"/>
          <w:sz w:val="22"/>
          <w:szCs w:val="22"/>
        </w:rPr>
        <w:t xml:space="preserve"> and </w:t>
      </w:r>
      <w:r w:rsidR="00E94A24">
        <w:rPr>
          <w:rFonts w:ascii="Calibri" w:hAnsi="Calibri" w:cs="Calibri"/>
          <w:sz w:val="22"/>
          <w:szCs w:val="22"/>
        </w:rPr>
        <w:t xml:space="preserve">a 24% increase in </w:t>
      </w:r>
      <w:r w:rsidR="005357F4" w:rsidRPr="0081763F">
        <w:rPr>
          <w:rFonts w:ascii="Calibri" w:hAnsi="Calibri" w:cs="Calibri"/>
          <w:sz w:val="22"/>
          <w:szCs w:val="22"/>
        </w:rPr>
        <w:t xml:space="preserve">average fares </w:t>
      </w:r>
      <w:r w:rsidR="00E94A24">
        <w:rPr>
          <w:rFonts w:ascii="Calibri" w:hAnsi="Calibri" w:cs="Calibri"/>
          <w:sz w:val="22"/>
          <w:szCs w:val="22"/>
        </w:rPr>
        <w:t>to</w:t>
      </w:r>
      <w:r w:rsidR="00A86E6C" w:rsidRPr="0081763F">
        <w:rPr>
          <w:rFonts w:ascii="Calibri" w:hAnsi="Calibri" w:cs="Calibri"/>
          <w:sz w:val="22"/>
          <w:szCs w:val="22"/>
        </w:rPr>
        <w:t xml:space="preserve"> approx. €58</w:t>
      </w:r>
      <w:r w:rsidR="00C85DDE" w:rsidRPr="0081763F">
        <w:rPr>
          <w:rFonts w:ascii="Calibri" w:hAnsi="Calibri" w:cs="Calibri"/>
          <w:sz w:val="22"/>
          <w:szCs w:val="22"/>
        </w:rPr>
        <w:t>.</w:t>
      </w:r>
      <w:r w:rsidR="00736716" w:rsidRPr="0081763F">
        <w:rPr>
          <w:rFonts w:ascii="Calibri" w:hAnsi="Calibri" w:cs="Calibri"/>
          <w:sz w:val="22"/>
          <w:szCs w:val="22"/>
        </w:rPr>
        <w:t xml:space="preserve"> </w:t>
      </w:r>
    </w:p>
    <w:p w14:paraId="5515DE2B" w14:textId="77777777" w:rsidR="00EF66A9" w:rsidRPr="0081763F" w:rsidRDefault="00EF66A9" w:rsidP="00CE13BB">
      <w:pPr>
        <w:ind w:right="-142"/>
        <w:jc w:val="both"/>
        <w:rPr>
          <w:rFonts w:ascii="Calibri" w:hAnsi="Calibri" w:cs="Calibri"/>
          <w:sz w:val="22"/>
          <w:szCs w:val="22"/>
        </w:rPr>
      </w:pPr>
    </w:p>
    <w:p w14:paraId="42F8F4E8" w14:textId="77777777" w:rsidR="004A178D" w:rsidRPr="0081763F" w:rsidRDefault="004A178D" w:rsidP="00CE13BB">
      <w:pPr>
        <w:ind w:right="-142"/>
        <w:jc w:val="both"/>
        <w:rPr>
          <w:rFonts w:ascii="Calibri" w:hAnsi="Calibri" w:cs="Calibri"/>
          <w:b/>
          <w:sz w:val="22"/>
          <w:szCs w:val="22"/>
        </w:rPr>
      </w:pPr>
      <w:r w:rsidRPr="0081763F">
        <w:rPr>
          <w:rFonts w:ascii="Calibri" w:hAnsi="Calibri" w:cs="Calibri"/>
          <w:b/>
          <w:sz w:val="22"/>
          <w:szCs w:val="22"/>
        </w:rPr>
        <w:t xml:space="preserve">Ancillary revenues: </w:t>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t xml:space="preserve">      </w:t>
      </w:r>
    </w:p>
    <w:p w14:paraId="63D84797" w14:textId="77777777" w:rsidR="00EF49F0" w:rsidRPr="0081763F" w:rsidRDefault="00285AB3" w:rsidP="00CE13BB">
      <w:pPr>
        <w:ind w:right="-142"/>
        <w:contextualSpacing/>
        <w:jc w:val="both"/>
        <w:rPr>
          <w:rFonts w:ascii="Calibri" w:hAnsi="Calibri" w:cs="Calibri"/>
          <w:sz w:val="22"/>
          <w:szCs w:val="22"/>
        </w:rPr>
      </w:pPr>
      <w:r w:rsidRPr="0081763F">
        <w:rPr>
          <w:rFonts w:ascii="Calibri" w:hAnsi="Calibri" w:cs="Calibri"/>
          <w:sz w:val="22"/>
          <w:szCs w:val="22"/>
        </w:rPr>
        <w:t>Ancillary revenues</w:t>
      </w:r>
      <w:r w:rsidR="00184E75" w:rsidRPr="0081763F">
        <w:rPr>
          <w:rFonts w:ascii="Calibri" w:hAnsi="Calibri" w:cs="Calibri"/>
          <w:sz w:val="22"/>
          <w:szCs w:val="22"/>
        </w:rPr>
        <w:t xml:space="preserve"> increased</w:t>
      </w:r>
      <w:r w:rsidRPr="0081763F">
        <w:rPr>
          <w:rFonts w:ascii="Calibri" w:hAnsi="Calibri" w:cs="Calibri"/>
          <w:sz w:val="22"/>
          <w:szCs w:val="22"/>
        </w:rPr>
        <w:t xml:space="preserve"> </w:t>
      </w:r>
      <w:r w:rsidR="00A86E6C" w:rsidRPr="0081763F">
        <w:rPr>
          <w:rFonts w:ascii="Calibri" w:hAnsi="Calibri" w:cs="Calibri"/>
          <w:b/>
          <w:bCs/>
          <w:sz w:val="22"/>
          <w:szCs w:val="22"/>
        </w:rPr>
        <w:t>14</w:t>
      </w:r>
      <w:r w:rsidR="00C85DDE" w:rsidRPr="0081763F">
        <w:rPr>
          <w:rFonts w:ascii="Calibri" w:hAnsi="Calibri" w:cs="Calibri"/>
          <w:b/>
          <w:bCs/>
          <w:sz w:val="22"/>
          <w:szCs w:val="22"/>
        </w:rPr>
        <w:t>%</w:t>
      </w:r>
      <w:r w:rsidR="00C85DDE" w:rsidRPr="0081763F">
        <w:rPr>
          <w:rFonts w:ascii="Calibri" w:hAnsi="Calibri" w:cs="Calibri"/>
          <w:sz w:val="22"/>
          <w:szCs w:val="22"/>
        </w:rPr>
        <w:t xml:space="preserve"> </w:t>
      </w:r>
      <w:r w:rsidRPr="0081763F">
        <w:rPr>
          <w:rFonts w:ascii="Calibri" w:hAnsi="Calibri" w:cs="Calibri"/>
          <w:bCs/>
          <w:sz w:val="22"/>
          <w:szCs w:val="22"/>
        </w:rPr>
        <w:t>to</w:t>
      </w:r>
      <w:r w:rsidRPr="0081763F">
        <w:rPr>
          <w:rFonts w:ascii="Calibri" w:hAnsi="Calibri" w:cs="Calibri"/>
          <w:b/>
          <w:sz w:val="22"/>
          <w:szCs w:val="22"/>
        </w:rPr>
        <w:t xml:space="preserve"> €</w:t>
      </w:r>
      <w:r w:rsidR="00A86E6C" w:rsidRPr="0081763F">
        <w:rPr>
          <w:rFonts w:ascii="Calibri" w:hAnsi="Calibri" w:cs="Calibri"/>
          <w:b/>
          <w:sz w:val="22"/>
          <w:szCs w:val="22"/>
        </w:rPr>
        <w:t>2.50</w:t>
      </w:r>
      <w:r w:rsidR="007E6A2A" w:rsidRPr="0081763F">
        <w:rPr>
          <w:rFonts w:ascii="Calibri" w:hAnsi="Calibri" w:cs="Calibri"/>
          <w:b/>
          <w:sz w:val="22"/>
          <w:szCs w:val="22"/>
        </w:rPr>
        <w:t>BN</w:t>
      </w:r>
      <w:r w:rsidRPr="0081763F">
        <w:rPr>
          <w:rFonts w:ascii="Calibri" w:hAnsi="Calibri" w:cs="Calibri"/>
          <w:sz w:val="22"/>
          <w:szCs w:val="22"/>
        </w:rPr>
        <w:t xml:space="preserve"> </w:t>
      </w:r>
      <w:r w:rsidR="00C85DDE" w:rsidRPr="0081763F">
        <w:rPr>
          <w:rFonts w:ascii="Calibri" w:hAnsi="Calibri" w:cs="Calibri"/>
          <w:sz w:val="22"/>
          <w:szCs w:val="22"/>
        </w:rPr>
        <w:t xml:space="preserve">as traffic grew (up </w:t>
      </w:r>
      <w:r w:rsidR="00A86E6C" w:rsidRPr="0081763F">
        <w:rPr>
          <w:rFonts w:ascii="Calibri" w:hAnsi="Calibri" w:cs="Calibri"/>
          <w:sz w:val="22"/>
          <w:szCs w:val="22"/>
        </w:rPr>
        <w:t>11</w:t>
      </w:r>
      <w:r w:rsidR="00C85DDE" w:rsidRPr="0081763F">
        <w:rPr>
          <w:rFonts w:ascii="Calibri" w:hAnsi="Calibri" w:cs="Calibri"/>
          <w:sz w:val="22"/>
          <w:szCs w:val="22"/>
        </w:rPr>
        <w:t xml:space="preserve">%) and </w:t>
      </w:r>
      <w:r w:rsidR="00504DD3" w:rsidRPr="0081763F">
        <w:rPr>
          <w:rFonts w:ascii="Calibri" w:hAnsi="Calibri" w:cs="Calibri"/>
          <w:sz w:val="22"/>
          <w:szCs w:val="22"/>
        </w:rPr>
        <w:t xml:space="preserve">spend on discretionary services such as priority boarding, reserved seating and inflight sales </w:t>
      </w:r>
      <w:r w:rsidR="00504DD3" w:rsidRPr="004739DA">
        <w:rPr>
          <w:rFonts w:ascii="Calibri" w:hAnsi="Calibri" w:cs="Calibri"/>
          <w:sz w:val="22"/>
          <w:szCs w:val="22"/>
        </w:rPr>
        <w:t xml:space="preserve">increased </w:t>
      </w:r>
      <w:r w:rsidR="00A86E6C" w:rsidRPr="004739DA">
        <w:rPr>
          <w:rFonts w:ascii="Calibri" w:hAnsi="Calibri" w:cs="Calibri"/>
          <w:sz w:val="22"/>
          <w:szCs w:val="22"/>
        </w:rPr>
        <w:t>3</w:t>
      </w:r>
      <w:r w:rsidR="00504DD3" w:rsidRPr="004739DA">
        <w:rPr>
          <w:rFonts w:ascii="Calibri" w:hAnsi="Calibri" w:cs="Calibri"/>
          <w:sz w:val="22"/>
          <w:szCs w:val="22"/>
        </w:rPr>
        <w:t xml:space="preserve">% to </w:t>
      </w:r>
      <w:r w:rsidR="00E94A24" w:rsidRPr="004739DA">
        <w:rPr>
          <w:rFonts w:ascii="Calibri" w:hAnsi="Calibri" w:cs="Calibri"/>
          <w:sz w:val="22"/>
          <w:szCs w:val="22"/>
        </w:rPr>
        <w:t>a</w:t>
      </w:r>
      <w:r w:rsidR="00DA295D">
        <w:rPr>
          <w:rFonts w:ascii="Calibri" w:hAnsi="Calibri" w:cs="Calibri"/>
          <w:sz w:val="22"/>
          <w:szCs w:val="22"/>
        </w:rPr>
        <w:t>lmost</w:t>
      </w:r>
      <w:r w:rsidR="00E94A24" w:rsidRPr="004739DA">
        <w:rPr>
          <w:rFonts w:ascii="Calibri" w:hAnsi="Calibri" w:cs="Calibri"/>
          <w:sz w:val="22"/>
          <w:szCs w:val="22"/>
        </w:rPr>
        <w:t xml:space="preserve"> </w:t>
      </w:r>
      <w:r w:rsidR="00504DD3" w:rsidRPr="004739DA">
        <w:rPr>
          <w:rFonts w:ascii="Calibri" w:hAnsi="Calibri" w:cs="Calibri"/>
          <w:sz w:val="22"/>
          <w:szCs w:val="22"/>
        </w:rPr>
        <w:t>€</w:t>
      </w:r>
      <w:r w:rsidR="00A86E6C" w:rsidRPr="004739DA">
        <w:rPr>
          <w:rFonts w:ascii="Calibri" w:hAnsi="Calibri" w:cs="Calibri"/>
          <w:sz w:val="22"/>
          <w:szCs w:val="22"/>
        </w:rPr>
        <w:t>2</w:t>
      </w:r>
      <w:r w:rsidR="004739DA" w:rsidRPr="004739DA">
        <w:rPr>
          <w:rFonts w:ascii="Calibri" w:hAnsi="Calibri" w:cs="Calibri"/>
          <w:sz w:val="22"/>
          <w:szCs w:val="22"/>
        </w:rPr>
        <w:t>4</w:t>
      </w:r>
      <w:r w:rsidR="00504DD3" w:rsidRPr="004739DA">
        <w:rPr>
          <w:rFonts w:ascii="Calibri" w:hAnsi="Calibri" w:cs="Calibri"/>
          <w:sz w:val="22"/>
          <w:szCs w:val="22"/>
        </w:rPr>
        <w:t xml:space="preserve"> per passenger.</w:t>
      </w:r>
    </w:p>
    <w:p w14:paraId="7B3F477D" w14:textId="77777777" w:rsidR="00504DD3" w:rsidRPr="0081763F" w:rsidRDefault="00504DD3" w:rsidP="00CE13BB">
      <w:pPr>
        <w:ind w:right="-142"/>
        <w:contextualSpacing/>
        <w:jc w:val="both"/>
        <w:rPr>
          <w:rFonts w:ascii="Calibri" w:hAnsi="Calibri" w:cs="Calibri"/>
          <w:sz w:val="22"/>
          <w:szCs w:val="22"/>
        </w:rPr>
      </w:pPr>
    </w:p>
    <w:p w14:paraId="45A68C3B" w14:textId="77777777" w:rsidR="00EF49F0" w:rsidRPr="0081763F" w:rsidRDefault="00EF49F0" w:rsidP="00CE13BB">
      <w:pPr>
        <w:ind w:right="-142"/>
        <w:contextualSpacing/>
        <w:jc w:val="both"/>
        <w:rPr>
          <w:rFonts w:ascii="Calibri" w:hAnsi="Calibri" w:cs="Calibri"/>
          <w:b/>
          <w:sz w:val="22"/>
          <w:szCs w:val="22"/>
        </w:rPr>
      </w:pPr>
      <w:r w:rsidRPr="0081763F">
        <w:rPr>
          <w:rFonts w:ascii="Calibri" w:hAnsi="Calibri" w:cs="Calibri"/>
          <w:b/>
          <w:sz w:val="22"/>
          <w:szCs w:val="22"/>
        </w:rPr>
        <w:t>Total revenues:</w:t>
      </w:r>
    </w:p>
    <w:p w14:paraId="215E9D29" w14:textId="77777777" w:rsidR="007232BD" w:rsidRPr="0081763F" w:rsidRDefault="00285AB3" w:rsidP="00CE13BB">
      <w:pPr>
        <w:ind w:right="-142"/>
        <w:contextualSpacing/>
        <w:jc w:val="both"/>
        <w:rPr>
          <w:rFonts w:ascii="Calibri" w:hAnsi="Calibri" w:cs="Calibri"/>
          <w:b/>
          <w:sz w:val="22"/>
          <w:szCs w:val="22"/>
        </w:rPr>
      </w:pPr>
      <w:r w:rsidRPr="0081763F">
        <w:rPr>
          <w:rFonts w:ascii="Calibri" w:hAnsi="Calibri" w:cs="Calibri"/>
          <w:sz w:val="22"/>
          <w:szCs w:val="22"/>
        </w:rPr>
        <w:t xml:space="preserve">As a result of the above, total revenues </w:t>
      </w:r>
      <w:r w:rsidR="00504DD3" w:rsidRPr="0081763F">
        <w:rPr>
          <w:rFonts w:ascii="Calibri" w:hAnsi="Calibri" w:cs="Calibri"/>
          <w:sz w:val="22"/>
          <w:szCs w:val="22"/>
        </w:rPr>
        <w:t>increased</w:t>
      </w:r>
      <w:r w:rsidRPr="0081763F">
        <w:rPr>
          <w:rFonts w:ascii="Calibri" w:hAnsi="Calibri" w:cs="Calibri"/>
          <w:sz w:val="22"/>
          <w:szCs w:val="22"/>
        </w:rPr>
        <w:t xml:space="preserve"> </w:t>
      </w:r>
      <w:r w:rsidR="00A86E6C" w:rsidRPr="0081763F">
        <w:rPr>
          <w:rFonts w:ascii="Calibri" w:hAnsi="Calibri" w:cs="Calibri"/>
          <w:b/>
          <w:sz w:val="22"/>
          <w:szCs w:val="22"/>
        </w:rPr>
        <w:t>30</w:t>
      </w:r>
      <w:r w:rsidRPr="0081763F">
        <w:rPr>
          <w:rFonts w:ascii="Calibri" w:hAnsi="Calibri" w:cs="Calibri"/>
          <w:b/>
          <w:sz w:val="22"/>
          <w:szCs w:val="22"/>
        </w:rPr>
        <w:t>% to €</w:t>
      </w:r>
      <w:r w:rsidR="00A86E6C" w:rsidRPr="0081763F">
        <w:rPr>
          <w:rFonts w:ascii="Calibri" w:hAnsi="Calibri" w:cs="Calibri"/>
          <w:b/>
          <w:sz w:val="22"/>
          <w:szCs w:val="22"/>
        </w:rPr>
        <w:t>8.5</w:t>
      </w:r>
      <w:r w:rsidR="003D595E">
        <w:rPr>
          <w:rFonts w:ascii="Calibri" w:hAnsi="Calibri" w:cs="Calibri"/>
          <w:b/>
          <w:sz w:val="22"/>
          <w:szCs w:val="22"/>
        </w:rPr>
        <w:t>8</w:t>
      </w:r>
      <w:r w:rsidR="007E6A2A" w:rsidRPr="0081763F">
        <w:rPr>
          <w:rFonts w:ascii="Calibri" w:hAnsi="Calibri" w:cs="Calibri"/>
          <w:b/>
          <w:sz w:val="22"/>
          <w:szCs w:val="22"/>
        </w:rPr>
        <w:t>BN</w:t>
      </w:r>
      <w:r w:rsidRPr="0081763F">
        <w:rPr>
          <w:rFonts w:ascii="Calibri" w:hAnsi="Calibri" w:cs="Calibri"/>
          <w:b/>
          <w:sz w:val="22"/>
          <w:szCs w:val="22"/>
        </w:rPr>
        <w:t>.</w:t>
      </w:r>
    </w:p>
    <w:p w14:paraId="45BFECAF" w14:textId="77777777" w:rsidR="008D44EC" w:rsidRPr="0081763F" w:rsidRDefault="008D44EC" w:rsidP="00CE13BB">
      <w:pPr>
        <w:ind w:right="-142"/>
        <w:contextualSpacing/>
        <w:jc w:val="both"/>
        <w:rPr>
          <w:rFonts w:ascii="Calibri" w:hAnsi="Calibri" w:cs="Calibri"/>
          <w:b/>
          <w:sz w:val="22"/>
          <w:szCs w:val="22"/>
        </w:rPr>
      </w:pPr>
    </w:p>
    <w:p w14:paraId="6EE7D7A7" w14:textId="77777777" w:rsidR="004A178D" w:rsidRPr="0081763F" w:rsidRDefault="004A178D" w:rsidP="00CE13BB">
      <w:pPr>
        <w:ind w:right="-142"/>
        <w:jc w:val="both"/>
        <w:rPr>
          <w:rFonts w:ascii="Calibri" w:hAnsi="Calibri" w:cs="Calibri"/>
          <w:b/>
          <w:sz w:val="22"/>
          <w:szCs w:val="22"/>
        </w:rPr>
      </w:pPr>
      <w:r w:rsidRPr="0081763F">
        <w:rPr>
          <w:rFonts w:ascii="Calibri" w:hAnsi="Calibri" w:cs="Calibri"/>
          <w:b/>
          <w:sz w:val="22"/>
          <w:szCs w:val="22"/>
        </w:rPr>
        <w:t>Operating Expenses:</w:t>
      </w:r>
    </w:p>
    <w:p w14:paraId="4F4918F4" w14:textId="77777777" w:rsidR="004A178D" w:rsidRPr="0081763F" w:rsidRDefault="004A178D" w:rsidP="00CE13BB">
      <w:pPr>
        <w:ind w:right="-142"/>
        <w:jc w:val="both"/>
        <w:rPr>
          <w:rFonts w:ascii="Calibri" w:hAnsi="Calibri" w:cs="Calibri"/>
          <w:b/>
          <w:sz w:val="22"/>
          <w:szCs w:val="22"/>
        </w:rPr>
      </w:pPr>
    </w:p>
    <w:p w14:paraId="424F2913" w14:textId="77777777" w:rsidR="004A178D" w:rsidRPr="0081763F" w:rsidRDefault="004A178D" w:rsidP="00CE13BB">
      <w:pPr>
        <w:ind w:right="-142"/>
        <w:jc w:val="both"/>
        <w:rPr>
          <w:rFonts w:ascii="Calibri" w:hAnsi="Calibri" w:cs="Calibri"/>
          <w:b/>
          <w:sz w:val="22"/>
          <w:szCs w:val="22"/>
        </w:rPr>
      </w:pPr>
      <w:r w:rsidRPr="0081763F">
        <w:rPr>
          <w:rFonts w:ascii="Calibri" w:hAnsi="Calibri" w:cs="Calibri"/>
          <w:b/>
          <w:sz w:val="22"/>
          <w:szCs w:val="22"/>
        </w:rPr>
        <w:t xml:space="preserve">Fuel and oil: </w:t>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t xml:space="preserve">       </w:t>
      </w:r>
    </w:p>
    <w:p w14:paraId="71E78EF9" w14:textId="77777777" w:rsidR="00285AB3" w:rsidRPr="0081763F" w:rsidRDefault="00285AB3" w:rsidP="00CE13BB">
      <w:pPr>
        <w:ind w:right="-142"/>
        <w:jc w:val="both"/>
        <w:rPr>
          <w:rFonts w:ascii="Calibri" w:hAnsi="Calibri" w:cs="Calibri"/>
          <w:sz w:val="22"/>
          <w:szCs w:val="22"/>
        </w:rPr>
      </w:pPr>
      <w:r w:rsidRPr="0081763F">
        <w:rPr>
          <w:rFonts w:ascii="Calibri" w:hAnsi="Calibri" w:cs="Calibri"/>
          <w:sz w:val="22"/>
          <w:szCs w:val="22"/>
        </w:rPr>
        <w:t xml:space="preserve">Fuel and oil </w:t>
      </w:r>
      <w:r w:rsidR="002B148A">
        <w:rPr>
          <w:rFonts w:ascii="Calibri" w:hAnsi="Calibri" w:cs="Calibri"/>
          <w:sz w:val="22"/>
          <w:szCs w:val="22"/>
        </w:rPr>
        <w:t>rose</w:t>
      </w:r>
      <w:r w:rsidRPr="0081763F">
        <w:rPr>
          <w:rFonts w:ascii="Calibri" w:hAnsi="Calibri" w:cs="Calibri"/>
          <w:sz w:val="22"/>
          <w:szCs w:val="22"/>
        </w:rPr>
        <w:t xml:space="preserve"> </w:t>
      </w:r>
      <w:r w:rsidR="00CF734F" w:rsidRPr="0081763F">
        <w:rPr>
          <w:rFonts w:ascii="Calibri" w:hAnsi="Calibri" w:cs="Calibri"/>
          <w:b/>
          <w:sz w:val="22"/>
          <w:szCs w:val="22"/>
        </w:rPr>
        <w:t>29</w:t>
      </w:r>
      <w:r w:rsidR="00F51115" w:rsidRPr="0081763F">
        <w:rPr>
          <w:rFonts w:ascii="Calibri" w:hAnsi="Calibri" w:cs="Calibri"/>
          <w:b/>
          <w:sz w:val="22"/>
          <w:szCs w:val="22"/>
        </w:rPr>
        <w:t>%</w:t>
      </w:r>
      <w:r w:rsidRPr="0081763F">
        <w:rPr>
          <w:rFonts w:ascii="Calibri" w:hAnsi="Calibri" w:cs="Calibri"/>
          <w:b/>
          <w:sz w:val="22"/>
          <w:szCs w:val="22"/>
        </w:rPr>
        <w:t xml:space="preserve"> to €</w:t>
      </w:r>
      <w:r w:rsidR="00CF734F" w:rsidRPr="0081763F">
        <w:rPr>
          <w:rFonts w:ascii="Calibri" w:hAnsi="Calibri" w:cs="Calibri"/>
          <w:b/>
          <w:sz w:val="22"/>
          <w:szCs w:val="22"/>
        </w:rPr>
        <w:t>2.81</w:t>
      </w:r>
      <w:r w:rsidR="00397D1F">
        <w:rPr>
          <w:rFonts w:ascii="Calibri" w:hAnsi="Calibri" w:cs="Calibri"/>
          <w:b/>
          <w:sz w:val="22"/>
          <w:szCs w:val="22"/>
        </w:rPr>
        <w:t>B</w:t>
      </w:r>
      <w:r w:rsidR="007E6A2A" w:rsidRPr="0081763F">
        <w:rPr>
          <w:rFonts w:ascii="Calibri" w:hAnsi="Calibri" w:cs="Calibri"/>
          <w:b/>
          <w:sz w:val="22"/>
          <w:szCs w:val="22"/>
        </w:rPr>
        <w:t>N</w:t>
      </w:r>
      <w:r w:rsidRPr="0081763F">
        <w:rPr>
          <w:rFonts w:ascii="Calibri" w:hAnsi="Calibri" w:cs="Calibri"/>
          <w:b/>
          <w:sz w:val="22"/>
          <w:szCs w:val="22"/>
        </w:rPr>
        <w:t xml:space="preserve"> </w:t>
      </w:r>
      <w:r w:rsidR="008D44EC" w:rsidRPr="0081763F">
        <w:rPr>
          <w:rFonts w:ascii="Calibri" w:hAnsi="Calibri" w:cs="Calibri"/>
          <w:sz w:val="22"/>
          <w:szCs w:val="22"/>
        </w:rPr>
        <w:t>due to a</w:t>
      </w:r>
      <w:r w:rsidR="00A51867" w:rsidRPr="0081763F">
        <w:rPr>
          <w:rFonts w:ascii="Calibri" w:hAnsi="Calibri" w:cs="Calibri"/>
          <w:sz w:val="22"/>
          <w:szCs w:val="22"/>
        </w:rPr>
        <w:t xml:space="preserve"> </w:t>
      </w:r>
      <w:r w:rsidR="00CF734F" w:rsidRPr="0081763F">
        <w:rPr>
          <w:rFonts w:ascii="Calibri" w:hAnsi="Calibri" w:cs="Calibri"/>
          <w:sz w:val="22"/>
          <w:szCs w:val="22"/>
        </w:rPr>
        <w:t>9</w:t>
      </w:r>
      <w:r w:rsidR="00FB1140" w:rsidRPr="0081763F">
        <w:rPr>
          <w:rFonts w:ascii="Calibri" w:hAnsi="Calibri" w:cs="Calibri"/>
          <w:sz w:val="22"/>
          <w:szCs w:val="22"/>
        </w:rPr>
        <w:t>%</w:t>
      </w:r>
      <w:r w:rsidR="008D44EC" w:rsidRPr="0081763F">
        <w:rPr>
          <w:rFonts w:ascii="Calibri" w:hAnsi="Calibri" w:cs="Calibri"/>
          <w:sz w:val="22"/>
          <w:szCs w:val="22"/>
        </w:rPr>
        <w:t xml:space="preserve"> increase in sectors</w:t>
      </w:r>
      <w:r w:rsidR="00F51115" w:rsidRPr="0081763F">
        <w:rPr>
          <w:rFonts w:ascii="Calibri" w:hAnsi="Calibri" w:cs="Calibri"/>
          <w:sz w:val="22"/>
          <w:szCs w:val="22"/>
        </w:rPr>
        <w:t xml:space="preserve"> </w:t>
      </w:r>
      <w:r w:rsidR="00330A9E">
        <w:rPr>
          <w:rFonts w:ascii="Calibri" w:hAnsi="Calibri" w:cs="Calibri"/>
          <w:sz w:val="22"/>
          <w:szCs w:val="22"/>
        </w:rPr>
        <w:t xml:space="preserve">flown </w:t>
      </w:r>
      <w:r w:rsidR="00F51115" w:rsidRPr="0081763F">
        <w:rPr>
          <w:rFonts w:ascii="Calibri" w:hAnsi="Calibri" w:cs="Calibri"/>
          <w:sz w:val="22"/>
          <w:szCs w:val="22"/>
        </w:rPr>
        <w:t>and higher jet fuel</w:t>
      </w:r>
      <w:r w:rsidR="00963F71" w:rsidRPr="0081763F">
        <w:rPr>
          <w:rFonts w:ascii="Calibri" w:hAnsi="Calibri" w:cs="Calibri"/>
          <w:sz w:val="22"/>
          <w:szCs w:val="22"/>
        </w:rPr>
        <w:t xml:space="preserve"> prices</w:t>
      </w:r>
      <w:r w:rsidR="00C85DDE" w:rsidRPr="0081763F">
        <w:rPr>
          <w:rFonts w:ascii="Calibri" w:hAnsi="Calibri" w:cs="Calibri"/>
          <w:sz w:val="22"/>
          <w:szCs w:val="22"/>
        </w:rPr>
        <w:t xml:space="preserve"> offset by fuel burn savings on the new B737-8200</w:t>
      </w:r>
      <w:r w:rsidR="002B148A">
        <w:rPr>
          <w:rFonts w:ascii="Calibri" w:hAnsi="Calibri" w:cs="Calibri"/>
          <w:sz w:val="22"/>
          <w:szCs w:val="22"/>
        </w:rPr>
        <w:t xml:space="preserve"> “Gamechanger”</w:t>
      </w:r>
      <w:r w:rsidR="00C85DDE" w:rsidRPr="0081763F">
        <w:rPr>
          <w:rFonts w:ascii="Calibri" w:hAnsi="Calibri" w:cs="Calibri"/>
          <w:sz w:val="22"/>
          <w:szCs w:val="22"/>
        </w:rPr>
        <w:t xml:space="preserve"> aircraft</w:t>
      </w:r>
      <w:r w:rsidR="00F51115" w:rsidRPr="0081763F">
        <w:rPr>
          <w:rFonts w:ascii="Calibri" w:hAnsi="Calibri" w:cs="Calibri"/>
          <w:sz w:val="22"/>
          <w:szCs w:val="22"/>
        </w:rPr>
        <w:t>.</w:t>
      </w:r>
    </w:p>
    <w:p w14:paraId="5B64D4D3" w14:textId="77777777" w:rsidR="004A178D" w:rsidRPr="0081763F" w:rsidRDefault="004A178D" w:rsidP="00CE13BB">
      <w:pPr>
        <w:ind w:right="-142"/>
        <w:jc w:val="both"/>
        <w:rPr>
          <w:rFonts w:ascii="Calibri" w:hAnsi="Calibri" w:cs="Calibri"/>
          <w:b/>
          <w:sz w:val="22"/>
          <w:szCs w:val="22"/>
        </w:rPr>
      </w:pPr>
    </w:p>
    <w:p w14:paraId="464591EC" w14:textId="77777777" w:rsidR="00215FA8" w:rsidRPr="0081763F" w:rsidRDefault="00215FA8" w:rsidP="00CE13BB">
      <w:pPr>
        <w:ind w:right="-142"/>
        <w:jc w:val="both"/>
        <w:rPr>
          <w:rFonts w:ascii="Calibri" w:hAnsi="Calibri" w:cs="Calibri"/>
          <w:b/>
          <w:sz w:val="22"/>
          <w:szCs w:val="22"/>
        </w:rPr>
      </w:pPr>
      <w:bookmarkStart w:id="8" w:name="_Hlk6923407"/>
      <w:r w:rsidRPr="0081763F">
        <w:rPr>
          <w:rFonts w:ascii="Calibri" w:hAnsi="Calibri" w:cs="Calibri"/>
          <w:b/>
          <w:sz w:val="22"/>
          <w:szCs w:val="22"/>
        </w:rPr>
        <w:t xml:space="preserve">Airport and handling charges: </w:t>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t xml:space="preserve">                   </w:t>
      </w:r>
    </w:p>
    <w:bookmarkEnd w:id="8"/>
    <w:p w14:paraId="75FBDA75" w14:textId="77777777" w:rsidR="002F53CD" w:rsidRPr="0081763F" w:rsidRDefault="00504DD3" w:rsidP="00CE13BB">
      <w:pPr>
        <w:ind w:right="-142"/>
        <w:jc w:val="both"/>
        <w:rPr>
          <w:rFonts w:ascii="Calibri" w:hAnsi="Calibri" w:cs="Calibri"/>
          <w:sz w:val="22"/>
          <w:szCs w:val="22"/>
        </w:rPr>
      </w:pPr>
      <w:r w:rsidRPr="0081763F">
        <w:rPr>
          <w:rFonts w:ascii="Calibri" w:hAnsi="Calibri" w:cs="Calibri"/>
          <w:sz w:val="22"/>
          <w:szCs w:val="22"/>
        </w:rPr>
        <w:t xml:space="preserve">Airport and handling charges rose </w:t>
      </w:r>
      <w:r w:rsidR="00CF734F" w:rsidRPr="0081763F">
        <w:rPr>
          <w:rFonts w:ascii="Calibri" w:hAnsi="Calibri" w:cs="Calibri"/>
          <w:b/>
          <w:bCs/>
          <w:sz w:val="22"/>
          <w:szCs w:val="22"/>
        </w:rPr>
        <w:t>24</w:t>
      </w:r>
      <w:r w:rsidRPr="0081763F">
        <w:rPr>
          <w:rFonts w:ascii="Calibri" w:hAnsi="Calibri" w:cs="Calibri"/>
          <w:b/>
          <w:bCs/>
          <w:sz w:val="22"/>
          <w:szCs w:val="22"/>
        </w:rPr>
        <w:t>% to €</w:t>
      </w:r>
      <w:r w:rsidR="00CF734F" w:rsidRPr="0081763F">
        <w:rPr>
          <w:rFonts w:ascii="Calibri" w:hAnsi="Calibri" w:cs="Calibri"/>
          <w:b/>
          <w:bCs/>
          <w:sz w:val="22"/>
          <w:szCs w:val="22"/>
        </w:rPr>
        <w:t>858</w:t>
      </w:r>
      <w:r w:rsidRPr="0081763F">
        <w:rPr>
          <w:rFonts w:ascii="Calibri" w:hAnsi="Calibri" w:cs="Calibri"/>
          <w:b/>
          <w:bCs/>
          <w:sz w:val="22"/>
          <w:szCs w:val="22"/>
        </w:rPr>
        <w:t>M</w:t>
      </w:r>
      <w:r w:rsidRPr="0081763F">
        <w:rPr>
          <w:rFonts w:ascii="Calibri" w:hAnsi="Calibri" w:cs="Calibri"/>
          <w:sz w:val="22"/>
          <w:szCs w:val="22"/>
        </w:rPr>
        <w:t xml:space="preserve">, due to </w:t>
      </w:r>
      <w:r w:rsidR="00CF734F" w:rsidRPr="0081763F">
        <w:rPr>
          <w:rFonts w:ascii="Calibri" w:hAnsi="Calibri" w:cs="Calibri"/>
          <w:sz w:val="22"/>
          <w:szCs w:val="22"/>
        </w:rPr>
        <w:t>11</w:t>
      </w:r>
      <w:r w:rsidRPr="0081763F">
        <w:rPr>
          <w:rFonts w:ascii="Calibri" w:hAnsi="Calibri" w:cs="Calibri"/>
          <w:sz w:val="22"/>
          <w:szCs w:val="22"/>
        </w:rPr>
        <w:t>% traffic growth</w:t>
      </w:r>
      <w:r w:rsidR="00181A68">
        <w:rPr>
          <w:rFonts w:ascii="Calibri" w:hAnsi="Calibri" w:cs="Calibri"/>
          <w:sz w:val="22"/>
          <w:szCs w:val="22"/>
        </w:rPr>
        <w:t>,</w:t>
      </w:r>
      <w:r w:rsidRPr="0081763F">
        <w:rPr>
          <w:rFonts w:ascii="Calibri" w:hAnsi="Calibri" w:cs="Calibri"/>
          <w:sz w:val="22"/>
          <w:szCs w:val="22"/>
        </w:rPr>
        <w:t xml:space="preserve"> higher ATC rates</w:t>
      </w:r>
      <w:r w:rsidR="00181A68">
        <w:rPr>
          <w:rFonts w:ascii="Calibri" w:hAnsi="Calibri" w:cs="Calibri"/>
          <w:sz w:val="22"/>
          <w:szCs w:val="22"/>
        </w:rPr>
        <w:t xml:space="preserve">, and termination of </w:t>
      </w:r>
      <w:r w:rsidR="002B148A">
        <w:rPr>
          <w:rFonts w:ascii="Calibri" w:hAnsi="Calibri" w:cs="Calibri"/>
          <w:sz w:val="22"/>
          <w:szCs w:val="22"/>
        </w:rPr>
        <w:t xml:space="preserve">temporary </w:t>
      </w:r>
      <w:r w:rsidR="00181A68">
        <w:rPr>
          <w:rFonts w:ascii="Calibri" w:hAnsi="Calibri" w:cs="Calibri"/>
          <w:sz w:val="22"/>
          <w:szCs w:val="22"/>
        </w:rPr>
        <w:t>Covid reliefs</w:t>
      </w:r>
      <w:r w:rsidR="002B148A">
        <w:rPr>
          <w:rFonts w:ascii="Calibri" w:hAnsi="Calibri" w:cs="Calibri"/>
          <w:sz w:val="22"/>
          <w:szCs w:val="22"/>
        </w:rPr>
        <w:t xml:space="preserve"> (included in the prior period comparative)</w:t>
      </w:r>
      <w:r w:rsidRPr="0081763F">
        <w:rPr>
          <w:rFonts w:ascii="Calibri" w:hAnsi="Calibri" w:cs="Calibri"/>
          <w:sz w:val="22"/>
          <w:szCs w:val="22"/>
        </w:rPr>
        <w:t>.</w:t>
      </w:r>
    </w:p>
    <w:p w14:paraId="59F89E88" w14:textId="77777777" w:rsidR="00504DD3" w:rsidRPr="0081763F" w:rsidRDefault="00504DD3" w:rsidP="00CE13BB">
      <w:pPr>
        <w:ind w:right="-142"/>
        <w:jc w:val="both"/>
        <w:rPr>
          <w:rFonts w:ascii="Calibri" w:hAnsi="Calibri" w:cs="Calibri"/>
          <w:sz w:val="22"/>
          <w:szCs w:val="22"/>
        </w:rPr>
      </w:pPr>
    </w:p>
    <w:p w14:paraId="31E6B421" w14:textId="77777777" w:rsidR="002F53CD" w:rsidRPr="0081763F" w:rsidRDefault="002F53CD" w:rsidP="00CE13BB">
      <w:pPr>
        <w:ind w:right="-142"/>
        <w:jc w:val="both"/>
        <w:rPr>
          <w:rFonts w:ascii="Calibri" w:hAnsi="Calibri" w:cs="Calibri"/>
          <w:b/>
          <w:sz w:val="22"/>
          <w:szCs w:val="22"/>
        </w:rPr>
      </w:pPr>
      <w:r w:rsidRPr="0081763F">
        <w:rPr>
          <w:rFonts w:ascii="Calibri" w:hAnsi="Calibri" w:cs="Calibri"/>
          <w:b/>
          <w:sz w:val="22"/>
          <w:szCs w:val="22"/>
        </w:rPr>
        <w:t>Staff costs:</w:t>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t xml:space="preserve">                                   </w:t>
      </w:r>
    </w:p>
    <w:p w14:paraId="7A991EF7" w14:textId="77777777" w:rsidR="00B140DF" w:rsidRPr="0081763F" w:rsidRDefault="00504DD3" w:rsidP="00CE13BB">
      <w:pPr>
        <w:ind w:right="-142"/>
        <w:jc w:val="both"/>
        <w:rPr>
          <w:rFonts w:ascii="Calibri" w:hAnsi="Calibri" w:cs="Calibri"/>
          <w:sz w:val="22"/>
          <w:szCs w:val="22"/>
        </w:rPr>
      </w:pPr>
      <w:r w:rsidRPr="0081763F">
        <w:rPr>
          <w:rFonts w:ascii="Calibri" w:hAnsi="Calibri" w:cs="Calibri"/>
          <w:sz w:val="22"/>
          <w:szCs w:val="22"/>
        </w:rPr>
        <w:t xml:space="preserve">Staff costs increased </w:t>
      </w:r>
      <w:r w:rsidR="00CF734F" w:rsidRPr="0081763F">
        <w:rPr>
          <w:rFonts w:ascii="Calibri" w:hAnsi="Calibri" w:cs="Calibri"/>
          <w:b/>
          <w:bCs/>
          <w:sz w:val="22"/>
          <w:szCs w:val="22"/>
        </w:rPr>
        <w:t>27</w:t>
      </w:r>
      <w:r w:rsidRPr="0081763F">
        <w:rPr>
          <w:rFonts w:ascii="Calibri" w:hAnsi="Calibri" w:cs="Calibri"/>
          <w:b/>
          <w:bCs/>
          <w:sz w:val="22"/>
          <w:szCs w:val="22"/>
        </w:rPr>
        <w:t>% to €</w:t>
      </w:r>
      <w:r w:rsidR="00CF734F" w:rsidRPr="0081763F">
        <w:rPr>
          <w:rFonts w:ascii="Calibri" w:hAnsi="Calibri" w:cs="Calibri"/>
          <w:b/>
          <w:bCs/>
          <w:sz w:val="22"/>
          <w:szCs w:val="22"/>
        </w:rPr>
        <w:t>74</w:t>
      </w:r>
      <w:r w:rsidR="003D595E">
        <w:rPr>
          <w:rFonts w:ascii="Calibri" w:hAnsi="Calibri" w:cs="Calibri"/>
          <w:b/>
          <w:bCs/>
          <w:sz w:val="22"/>
          <w:szCs w:val="22"/>
        </w:rPr>
        <w:t>3</w:t>
      </w:r>
      <w:r w:rsidRPr="0081763F">
        <w:rPr>
          <w:rFonts w:ascii="Calibri" w:hAnsi="Calibri" w:cs="Calibri"/>
          <w:b/>
          <w:bCs/>
          <w:sz w:val="22"/>
          <w:szCs w:val="22"/>
        </w:rPr>
        <w:t>M</w:t>
      </w:r>
      <w:r w:rsidRPr="0081763F">
        <w:rPr>
          <w:rFonts w:ascii="Calibri" w:hAnsi="Calibri" w:cs="Calibri"/>
          <w:sz w:val="22"/>
          <w:szCs w:val="22"/>
        </w:rPr>
        <w:t xml:space="preserve"> due to the larger fleet, an investment in </w:t>
      </w:r>
      <w:r w:rsidR="002B148A">
        <w:rPr>
          <w:rFonts w:ascii="Calibri" w:hAnsi="Calibri" w:cs="Calibri"/>
          <w:sz w:val="22"/>
          <w:szCs w:val="22"/>
        </w:rPr>
        <w:t xml:space="preserve">S.23 </w:t>
      </w:r>
      <w:r w:rsidRPr="0081763F">
        <w:rPr>
          <w:rFonts w:ascii="Calibri" w:hAnsi="Calibri" w:cs="Calibri"/>
          <w:sz w:val="22"/>
          <w:szCs w:val="22"/>
        </w:rPr>
        <w:t>operational resilience with higher crewing ratios</w:t>
      </w:r>
      <w:r w:rsidR="002B148A">
        <w:rPr>
          <w:rFonts w:ascii="Calibri" w:hAnsi="Calibri" w:cs="Calibri"/>
          <w:sz w:val="22"/>
          <w:szCs w:val="22"/>
        </w:rPr>
        <w:t>,</w:t>
      </w:r>
      <w:r w:rsidRPr="0081763F">
        <w:rPr>
          <w:rFonts w:ascii="Calibri" w:hAnsi="Calibri" w:cs="Calibri"/>
          <w:sz w:val="22"/>
          <w:szCs w:val="22"/>
        </w:rPr>
        <w:t xml:space="preserve"> restoration of Covid-19 pay reductions</w:t>
      </w:r>
      <w:r w:rsidR="006534C0">
        <w:rPr>
          <w:rFonts w:ascii="Calibri" w:hAnsi="Calibri" w:cs="Calibri"/>
          <w:sz w:val="22"/>
          <w:szCs w:val="22"/>
        </w:rPr>
        <w:t>,</w:t>
      </w:r>
      <w:r w:rsidR="002B148A">
        <w:rPr>
          <w:rFonts w:ascii="Calibri" w:hAnsi="Calibri" w:cs="Calibri"/>
          <w:sz w:val="22"/>
          <w:szCs w:val="22"/>
        </w:rPr>
        <w:t xml:space="preserve"> crew pay increases implemented in H1 FY24</w:t>
      </w:r>
      <w:r w:rsidR="006534C0">
        <w:rPr>
          <w:rFonts w:ascii="Calibri" w:hAnsi="Calibri" w:cs="Calibri"/>
          <w:sz w:val="22"/>
          <w:szCs w:val="22"/>
        </w:rPr>
        <w:t xml:space="preserve"> and 9% higher sectors</w:t>
      </w:r>
      <w:r w:rsidR="002B148A">
        <w:rPr>
          <w:rFonts w:ascii="Calibri" w:hAnsi="Calibri" w:cs="Calibri"/>
          <w:sz w:val="22"/>
          <w:szCs w:val="22"/>
        </w:rPr>
        <w:t>.</w:t>
      </w:r>
    </w:p>
    <w:p w14:paraId="5F45E6C9" w14:textId="77777777" w:rsidR="00504DD3" w:rsidRPr="0081763F" w:rsidRDefault="00504DD3" w:rsidP="00CE13BB">
      <w:pPr>
        <w:ind w:right="-142"/>
        <w:jc w:val="both"/>
        <w:rPr>
          <w:rFonts w:ascii="Calibri" w:hAnsi="Calibri" w:cs="Calibri"/>
          <w:sz w:val="22"/>
          <w:szCs w:val="22"/>
        </w:rPr>
      </w:pPr>
    </w:p>
    <w:p w14:paraId="17B38D01" w14:textId="77777777" w:rsidR="004A178D" w:rsidRPr="0081763F" w:rsidRDefault="004A178D" w:rsidP="00CE13BB">
      <w:pPr>
        <w:ind w:right="-142"/>
        <w:jc w:val="both"/>
        <w:rPr>
          <w:rFonts w:ascii="Calibri" w:hAnsi="Calibri" w:cs="Calibri"/>
          <w:b/>
          <w:sz w:val="22"/>
          <w:szCs w:val="22"/>
        </w:rPr>
      </w:pPr>
      <w:r w:rsidRPr="0081763F">
        <w:rPr>
          <w:rFonts w:ascii="Calibri" w:hAnsi="Calibri" w:cs="Calibri"/>
          <w:b/>
          <w:sz w:val="22"/>
          <w:szCs w:val="22"/>
        </w:rPr>
        <w:t>Route charges:</w:t>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t xml:space="preserve">                   </w:t>
      </w:r>
    </w:p>
    <w:p w14:paraId="5E352CFD" w14:textId="77777777" w:rsidR="00BD2DAC" w:rsidRPr="0081763F" w:rsidRDefault="00504DD3" w:rsidP="00CE13BB">
      <w:pPr>
        <w:ind w:right="-142"/>
        <w:jc w:val="both"/>
        <w:rPr>
          <w:rFonts w:ascii="Calibri" w:hAnsi="Calibri" w:cs="Calibri"/>
          <w:sz w:val="22"/>
          <w:szCs w:val="22"/>
        </w:rPr>
      </w:pPr>
      <w:r w:rsidRPr="0081763F">
        <w:rPr>
          <w:rFonts w:ascii="Calibri" w:hAnsi="Calibri" w:cs="Calibri"/>
          <w:sz w:val="22"/>
          <w:szCs w:val="22"/>
        </w:rPr>
        <w:t xml:space="preserve">Route charges increased </w:t>
      </w:r>
      <w:r w:rsidR="00CF734F" w:rsidRPr="0081763F">
        <w:rPr>
          <w:rFonts w:ascii="Calibri" w:hAnsi="Calibri" w:cs="Calibri"/>
          <w:b/>
          <w:bCs/>
          <w:sz w:val="22"/>
          <w:szCs w:val="22"/>
        </w:rPr>
        <w:t>12</w:t>
      </w:r>
      <w:r w:rsidRPr="0081763F">
        <w:rPr>
          <w:rFonts w:ascii="Calibri" w:hAnsi="Calibri" w:cs="Calibri"/>
          <w:b/>
          <w:bCs/>
          <w:sz w:val="22"/>
          <w:szCs w:val="22"/>
        </w:rPr>
        <w:t>% to €</w:t>
      </w:r>
      <w:r w:rsidR="00CF734F" w:rsidRPr="0081763F">
        <w:rPr>
          <w:rFonts w:ascii="Calibri" w:hAnsi="Calibri" w:cs="Calibri"/>
          <w:b/>
          <w:bCs/>
          <w:sz w:val="22"/>
          <w:szCs w:val="22"/>
        </w:rPr>
        <w:t>562</w:t>
      </w:r>
      <w:r w:rsidRPr="0081763F">
        <w:rPr>
          <w:rFonts w:ascii="Calibri" w:hAnsi="Calibri" w:cs="Calibri"/>
          <w:b/>
          <w:bCs/>
          <w:sz w:val="22"/>
          <w:szCs w:val="22"/>
        </w:rPr>
        <w:t>M</w:t>
      </w:r>
      <w:r w:rsidRPr="0081763F">
        <w:rPr>
          <w:rFonts w:ascii="Calibri" w:hAnsi="Calibri" w:cs="Calibri"/>
          <w:sz w:val="22"/>
          <w:szCs w:val="22"/>
        </w:rPr>
        <w:t xml:space="preserve">, </w:t>
      </w:r>
      <w:r w:rsidR="002B148A">
        <w:rPr>
          <w:rFonts w:ascii="Calibri" w:hAnsi="Calibri" w:cs="Calibri"/>
          <w:sz w:val="22"/>
          <w:szCs w:val="22"/>
        </w:rPr>
        <w:t>due to</w:t>
      </w:r>
      <w:r w:rsidRPr="0081763F">
        <w:rPr>
          <w:rFonts w:ascii="Calibri" w:hAnsi="Calibri" w:cs="Calibri"/>
          <w:sz w:val="22"/>
          <w:szCs w:val="22"/>
        </w:rPr>
        <w:t xml:space="preserve"> </w:t>
      </w:r>
      <w:r w:rsidR="00CF734F" w:rsidRPr="0081763F">
        <w:rPr>
          <w:rFonts w:ascii="Calibri" w:hAnsi="Calibri" w:cs="Calibri"/>
          <w:sz w:val="22"/>
          <w:szCs w:val="22"/>
        </w:rPr>
        <w:t>9</w:t>
      </w:r>
      <w:r w:rsidRPr="0081763F">
        <w:rPr>
          <w:rFonts w:ascii="Calibri" w:hAnsi="Calibri" w:cs="Calibri"/>
          <w:sz w:val="22"/>
          <w:szCs w:val="22"/>
        </w:rPr>
        <w:t>% sector</w:t>
      </w:r>
      <w:r w:rsidR="002B148A">
        <w:rPr>
          <w:rFonts w:ascii="Calibri" w:hAnsi="Calibri" w:cs="Calibri"/>
          <w:sz w:val="22"/>
          <w:szCs w:val="22"/>
        </w:rPr>
        <w:t xml:space="preserve"> growth</w:t>
      </w:r>
      <w:r w:rsidR="00181A68">
        <w:rPr>
          <w:rFonts w:ascii="Calibri" w:hAnsi="Calibri" w:cs="Calibri"/>
          <w:sz w:val="22"/>
          <w:szCs w:val="22"/>
        </w:rPr>
        <w:t xml:space="preserve"> and higher Eurocontrol rates</w:t>
      </w:r>
      <w:r w:rsidRPr="0081763F">
        <w:rPr>
          <w:rFonts w:ascii="Calibri" w:hAnsi="Calibri" w:cs="Calibri"/>
          <w:sz w:val="22"/>
          <w:szCs w:val="22"/>
        </w:rPr>
        <w:t>.</w:t>
      </w:r>
    </w:p>
    <w:p w14:paraId="390BC6A5" w14:textId="77777777" w:rsidR="00504DD3" w:rsidRPr="0081763F" w:rsidRDefault="00504DD3" w:rsidP="00CE13BB">
      <w:pPr>
        <w:ind w:right="-142"/>
        <w:jc w:val="both"/>
        <w:rPr>
          <w:rFonts w:ascii="Calibri" w:hAnsi="Calibri" w:cs="Calibri"/>
          <w:sz w:val="22"/>
          <w:szCs w:val="22"/>
        </w:rPr>
      </w:pPr>
    </w:p>
    <w:p w14:paraId="13D06E87" w14:textId="77777777" w:rsidR="005B7C6B" w:rsidRPr="0081763F" w:rsidRDefault="005B7C6B" w:rsidP="00CE13BB">
      <w:pPr>
        <w:ind w:right="-142"/>
        <w:jc w:val="both"/>
        <w:rPr>
          <w:rFonts w:ascii="Calibri" w:hAnsi="Calibri" w:cs="Calibri"/>
          <w:b/>
          <w:sz w:val="22"/>
          <w:szCs w:val="22"/>
        </w:rPr>
      </w:pPr>
      <w:r w:rsidRPr="0081763F">
        <w:rPr>
          <w:rFonts w:ascii="Calibri" w:hAnsi="Calibri" w:cs="Calibri"/>
          <w:b/>
          <w:sz w:val="22"/>
          <w:szCs w:val="22"/>
        </w:rPr>
        <w:t xml:space="preserve">Depreciation: </w:t>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t xml:space="preserve">                  </w:t>
      </w:r>
    </w:p>
    <w:p w14:paraId="3E2CE891" w14:textId="77777777" w:rsidR="00504DD3" w:rsidRDefault="00504DD3" w:rsidP="00504DD3">
      <w:pPr>
        <w:ind w:right="-142"/>
        <w:jc w:val="both"/>
        <w:rPr>
          <w:rFonts w:ascii="Calibri" w:hAnsi="Calibri" w:cs="Calibri"/>
          <w:sz w:val="22"/>
          <w:szCs w:val="22"/>
        </w:rPr>
      </w:pPr>
      <w:r w:rsidRPr="0081763F">
        <w:rPr>
          <w:rFonts w:ascii="Calibri" w:hAnsi="Calibri" w:cs="Calibri"/>
          <w:sz w:val="22"/>
          <w:szCs w:val="22"/>
        </w:rPr>
        <w:t xml:space="preserve">Depreciation increased </w:t>
      </w:r>
      <w:r w:rsidR="00DA2F6F" w:rsidRPr="0081763F">
        <w:rPr>
          <w:rFonts w:ascii="Calibri" w:hAnsi="Calibri" w:cs="Calibri"/>
          <w:b/>
          <w:bCs/>
          <w:sz w:val="22"/>
          <w:szCs w:val="22"/>
        </w:rPr>
        <w:t>2</w:t>
      </w:r>
      <w:r w:rsidR="003D595E">
        <w:rPr>
          <w:rFonts w:ascii="Calibri" w:hAnsi="Calibri" w:cs="Calibri"/>
          <w:b/>
          <w:bCs/>
          <w:sz w:val="22"/>
          <w:szCs w:val="22"/>
        </w:rPr>
        <w:t>3</w:t>
      </w:r>
      <w:r w:rsidRPr="0081763F">
        <w:rPr>
          <w:rFonts w:ascii="Calibri" w:hAnsi="Calibri" w:cs="Calibri"/>
          <w:b/>
          <w:bCs/>
          <w:sz w:val="22"/>
          <w:szCs w:val="22"/>
        </w:rPr>
        <w:t>% to €</w:t>
      </w:r>
      <w:r w:rsidR="00DA2F6F" w:rsidRPr="0081763F">
        <w:rPr>
          <w:rFonts w:ascii="Calibri" w:hAnsi="Calibri" w:cs="Calibri"/>
          <w:b/>
          <w:bCs/>
          <w:sz w:val="22"/>
          <w:szCs w:val="22"/>
        </w:rPr>
        <w:t>5</w:t>
      </w:r>
      <w:r w:rsidR="003D595E">
        <w:rPr>
          <w:rFonts w:ascii="Calibri" w:hAnsi="Calibri" w:cs="Calibri"/>
          <w:b/>
          <w:bCs/>
          <w:sz w:val="22"/>
          <w:szCs w:val="22"/>
        </w:rPr>
        <w:t>59</w:t>
      </w:r>
      <w:r w:rsidRPr="0081763F">
        <w:rPr>
          <w:rFonts w:ascii="Calibri" w:hAnsi="Calibri" w:cs="Calibri"/>
          <w:b/>
          <w:bCs/>
          <w:sz w:val="22"/>
          <w:szCs w:val="22"/>
        </w:rPr>
        <w:t>M</w:t>
      </w:r>
      <w:r w:rsidRPr="0081763F">
        <w:rPr>
          <w:rFonts w:ascii="Calibri" w:hAnsi="Calibri" w:cs="Calibri"/>
          <w:sz w:val="22"/>
          <w:szCs w:val="22"/>
        </w:rPr>
        <w:t xml:space="preserve">, primarily due to higher amortisation resulting from higher aircraft utilisation (sectors </w:t>
      </w:r>
      <w:r w:rsidRPr="004739DA">
        <w:rPr>
          <w:rFonts w:ascii="Calibri" w:hAnsi="Calibri" w:cs="Calibri"/>
          <w:sz w:val="22"/>
          <w:szCs w:val="22"/>
        </w:rPr>
        <w:t xml:space="preserve">up </w:t>
      </w:r>
      <w:r w:rsidR="00DA2F6F" w:rsidRPr="004739DA">
        <w:rPr>
          <w:rFonts w:ascii="Calibri" w:hAnsi="Calibri" w:cs="Calibri"/>
          <w:sz w:val="22"/>
          <w:szCs w:val="22"/>
        </w:rPr>
        <w:t>9</w:t>
      </w:r>
      <w:r w:rsidRPr="004739DA">
        <w:rPr>
          <w:rFonts w:ascii="Calibri" w:hAnsi="Calibri" w:cs="Calibri"/>
          <w:sz w:val="22"/>
          <w:szCs w:val="22"/>
        </w:rPr>
        <w:t xml:space="preserve">%), the delivery of </w:t>
      </w:r>
      <w:r w:rsidR="00783404" w:rsidRPr="004739DA">
        <w:rPr>
          <w:rFonts w:ascii="Calibri" w:hAnsi="Calibri" w:cs="Calibri"/>
          <w:sz w:val="22"/>
          <w:szCs w:val="22"/>
        </w:rPr>
        <w:t>4</w:t>
      </w:r>
      <w:r w:rsidR="00AD26D6">
        <w:rPr>
          <w:rFonts w:ascii="Calibri" w:hAnsi="Calibri" w:cs="Calibri"/>
          <w:sz w:val="22"/>
          <w:szCs w:val="22"/>
        </w:rPr>
        <w:t>7</w:t>
      </w:r>
      <w:r w:rsidRPr="004739DA">
        <w:rPr>
          <w:rFonts w:ascii="Calibri" w:hAnsi="Calibri" w:cs="Calibri"/>
          <w:sz w:val="22"/>
          <w:szCs w:val="22"/>
        </w:rPr>
        <w:t xml:space="preserve"> new “Gamechanger” aircraft and increased depreciation on capitalised maintenance </w:t>
      </w:r>
      <w:r w:rsidR="004739DA" w:rsidRPr="004739DA">
        <w:rPr>
          <w:rFonts w:ascii="Calibri" w:hAnsi="Calibri" w:cs="Calibri"/>
          <w:sz w:val="22"/>
          <w:szCs w:val="22"/>
        </w:rPr>
        <w:t>for</w:t>
      </w:r>
      <w:r w:rsidRPr="004739DA">
        <w:rPr>
          <w:rFonts w:ascii="Calibri" w:hAnsi="Calibri" w:cs="Calibri"/>
          <w:sz w:val="22"/>
          <w:szCs w:val="22"/>
        </w:rPr>
        <w:t xml:space="preserve"> leased</w:t>
      </w:r>
      <w:r w:rsidRPr="0081763F">
        <w:rPr>
          <w:rFonts w:ascii="Calibri" w:hAnsi="Calibri" w:cs="Calibri"/>
          <w:sz w:val="22"/>
          <w:szCs w:val="22"/>
        </w:rPr>
        <w:t xml:space="preserve"> A320 aircraft (</w:t>
      </w:r>
      <w:r w:rsidR="002B148A">
        <w:rPr>
          <w:rFonts w:ascii="Calibri" w:hAnsi="Calibri" w:cs="Calibri"/>
          <w:sz w:val="22"/>
          <w:szCs w:val="22"/>
        </w:rPr>
        <w:t>24</w:t>
      </w:r>
      <w:r w:rsidRPr="0081763F">
        <w:rPr>
          <w:rFonts w:ascii="Calibri" w:hAnsi="Calibri" w:cs="Calibri"/>
          <w:sz w:val="22"/>
          <w:szCs w:val="22"/>
        </w:rPr>
        <w:t xml:space="preserve"> leases were extended in Q2 FY23). There is a partial timing offset in maintenance, </w:t>
      </w:r>
      <w:proofErr w:type="gramStart"/>
      <w:r w:rsidRPr="0081763F">
        <w:rPr>
          <w:rFonts w:ascii="Calibri" w:hAnsi="Calibri" w:cs="Calibri"/>
          <w:sz w:val="22"/>
          <w:szCs w:val="22"/>
        </w:rPr>
        <w:t>materials</w:t>
      </w:r>
      <w:proofErr w:type="gramEnd"/>
      <w:r w:rsidRPr="0081763F">
        <w:rPr>
          <w:rFonts w:ascii="Calibri" w:hAnsi="Calibri" w:cs="Calibri"/>
          <w:sz w:val="22"/>
          <w:szCs w:val="22"/>
        </w:rPr>
        <w:t xml:space="preserve"> and repairs below, arising from the extension of A320 leases</w:t>
      </w:r>
      <w:r w:rsidR="00330A9E">
        <w:rPr>
          <w:rFonts w:ascii="Calibri" w:hAnsi="Calibri" w:cs="Calibri"/>
          <w:sz w:val="22"/>
          <w:szCs w:val="22"/>
        </w:rPr>
        <w:t xml:space="preserve"> in FY23</w:t>
      </w:r>
      <w:r w:rsidRPr="0081763F">
        <w:rPr>
          <w:rFonts w:ascii="Calibri" w:hAnsi="Calibri" w:cs="Calibri"/>
          <w:sz w:val="22"/>
          <w:szCs w:val="22"/>
        </w:rPr>
        <w:t>.</w:t>
      </w:r>
    </w:p>
    <w:p w14:paraId="5BE2CD01" w14:textId="77777777" w:rsidR="004A178D" w:rsidRPr="0081763F" w:rsidRDefault="00892846" w:rsidP="00CE13BB">
      <w:pPr>
        <w:ind w:right="-142"/>
        <w:jc w:val="both"/>
        <w:rPr>
          <w:rFonts w:ascii="Calibri" w:hAnsi="Calibri" w:cs="Calibri"/>
          <w:b/>
          <w:sz w:val="22"/>
          <w:szCs w:val="22"/>
        </w:rPr>
      </w:pPr>
      <w:r>
        <w:rPr>
          <w:rFonts w:ascii="Calibri" w:hAnsi="Calibri" w:cs="Calibri"/>
          <w:b/>
          <w:sz w:val="22"/>
          <w:szCs w:val="22"/>
        </w:rPr>
        <w:br w:type="page"/>
      </w:r>
      <w:r w:rsidR="004A178D" w:rsidRPr="0081763F">
        <w:rPr>
          <w:rFonts w:ascii="Calibri" w:hAnsi="Calibri" w:cs="Calibri"/>
          <w:b/>
          <w:sz w:val="22"/>
          <w:szCs w:val="22"/>
        </w:rPr>
        <w:lastRenderedPageBreak/>
        <w:t xml:space="preserve">Marketing, distribution and other: </w:t>
      </w:r>
      <w:r w:rsidR="004A178D" w:rsidRPr="0081763F">
        <w:rPr>
          <w:rFonts w:ascii="Calibri" w:hAnsi="Calibri" w:cs="Calibri"/>
          <w:b/>
          <w:sz w:val="22"/>
          <w:szCs w:val="22"/>
        </w:rPr>
        <w:tab/>
      </w:r>
      <w:r w:rsidR="004A178D" w:rsidRPr="0081763F">
        <w:rPr>
          <w:rFonts w:ascii="Calibri" w:hAnsi="Calibri" w:cs="Calibri"/>
          <w:b/>
          <w:sz w:val="22"/>
          <w:szCs w:val="22"/>
        </w:rPr>
        <w:tab/>
      </w:r>
      <w:r w:rsidR="004A178D" w:rsidRPr="0081763F">
        <w:rPr>
          <w:rFonts w:ascii="Calibri" w:hAnsi="Calibri" w:cs="Calibri"/>
          <w:b/>
          <w:sz w:val="22"/>
          <w:szCs w:val="22"/>
        </w:rPr>
        <w:tab/>
      </w:r>
      <w:r w:rsidR="004A178D" w:rsidRPr="0081763F">
        <w:rPr>
          <w:rFonts w:ascii="Calibri" w:hAnsi="Calibri" w:cs="Calibri"/>
          <w:b/>
          <w:sz w:val="22"/>
          <w:szCs w:val="22"/>
        </w:rPr>
        <w:tab/>
        <w:t xml:space="preserve">                        </w:t>
      </w:r>
    </w:p>
    <w:p w14:paraId="26DF8066" w14:textId="77777777" w:rsidR="00892846" w:rsidRDefault="00504DD3" w:rsidP="00CE13BB">
      <w:pPr>
        <w:ind w:right="-142"/>
        <w:jc w:val="both"/>
        <w:rPr>
          <w:rFonts w:ascii="Calibri" w:hAnsi="Calibri" w:cs="Calibri"/>
          <w:sz w:val="22"/>
          <w:szCs w:val="22"/>
        </w:rPr>
      </w:pPr>
      <w:r w:rsidRPr="0081763F">
        <w:rPr>
          <w:rFonts w:ascii="Calibri" w:hAnsi="Calibri" w:cs="Calibri"/>
          <w:sz w:val="22"/>
          <w:szCs w:val="22"/>
        </w:rPr>
        <w:t xml:space="preserve">Marketing, distribution and other </w:t>
      </w:r>
      <w:r w:rsidRPr="004739DA">
        <w:rPr>
          <w:rFonts w:ascii="Calibri" w:hAnsi="Calibri" w:cs="Calibri"/>
          <w:sz w:val="22"/>
          <w:szCs w:val="22"/>
        </w:rPr>
        <w:t xml:space="preserve">rose </w:t>
      </w:r>
      <w:r w:rsidR="00783404" w:rsidRPr="004739DA">
        <w:rPr>
          <w:rFonts w:ascii="Calibri" w:hAnsi="Calibri" w:cs="Calibri"/>
          <w:b/>
          <w:bCs/>
          <w:sz w:val="22"/>
          <w:szCs w:val="22"/>
        </w:rPr>
        <w:t>20</w:t>
      </w:r>
      <w:r w:rsidRPr="004739DA">
        <w:rPr>
          <w:rFonts w:ascii="Calibri" w:hAnsi="Calibri" w:cs="Calibri"/>
          <w:b/>
          <w:bCs/>
          <w:sz w:val="22"/>
          <w:szCs w:val="22"/>
        </w:rPr>
        <w:t>% to €</w:t>
      </w:r>
      <w:r w:rsidR="00783404" w:rsidRPr="004739DA">
        <w:rPr>
          <w:rFonts w:ascii="Calibri" w:hAnsi="Calibri" w:cs="Calibri"/>
          <w:b/>
          <w:bCs/>
          <w:sz w:val="22"/>
          <w:szCs w:val="22"/>
        </w:rPr>
        <w:t>44</w:t>
      </w:r>
      <w:r w:rsidR="003D595E" w:rsidRPr="004739DA">
        <w:rPr>
          <w:rFonts w:ascii="Calibri" w:hAnsi="Calibri" w:cs="Calibri"/>
          <w:b/>
          <w:bCs/>
          <w:sz w:val="22"/>
          <w:szCs w:val="22"/>
        </w:rPr>
        <w:t>1</w:t>
      </w:r>
      <w:r w:rsidRPr="004739DA">
        <w:rPr>
          <w:rFonts w:ascii="Calibri" w:hAnsi="Calibri" w:cs="Calibri"/>
          <w:b/>
          <w:bCs/>
          <w:sz w:val="22"/>
          <w:szCs w:val="22"/>
        </w:rPr>
        <w:t>M</w:t>
      </w:r>
      <w:r w:rsidRPr="004739DA">
        <w:rPr>
          <w:rFonts w:ascii="Calibri" w:hAnsi="Calibri" w:cs="Calibri"/>
          <w:sz w:val="22"/>
          <w:szCs w:val="22"/>
        </w:rPr>
        <w:t xml:space="preserve"> due to higher activity</w:t>
      </w:r>
      <w:r w:rsidR="006534C0">
        <w:rPr>
          <w:rFonts w:ascii="Calibri" w:hAnsi="Calibri" w:cs="Calibri"/>
          <w:sz w:val="22"/>
          <w:szCs w:val="22"/>
        </w:rPr>
        <w:t xml:space="preserve"> in the period</w:t>
      </w:r>
      <w:r w:rsidRPr="004739DA">
        <w:rPr>
          <w:rFonts w:ascii="Calibri" w:hAnsi="Calibri" w:cs="Calibri"/>
          <w:sz w:val="22"/>
          <w:szCs w:val="22"/>
        </w:rPr>
        <w:t xml:space="preserve"> (including increased credit card transactions</w:t>
      </w:r>
      <w:r w:rsidR="0080200A">
        <w:rPr>
          <w:rFonts w:ascii="Calibri" w:hAnsi="Calibri" w:cs="Calibri"/>
          <w:sz w:val="22"/>
          <w:szCs w:val="22"/>
        </w:rPr>
        <w:t xml:space="preserve"> and</w:t>
      </w:r>
      <w:r w:rsidR="00BD194D" w:rsidRPr="004739DA">
        <w:rPr>
          <w:rFonts w:ascii="Calibri" w:hAnsi="Calibri" w:cs="Calibri"/>
          <w:sz w:val="22"/>
          <w:szCs w:val="22"/>
        </w:rPr>
        <w:t xml:space="preserve"> </w:t>
      </w:r>
      <w:r w:rsidR="0044395A" w:rsidRPr="004739DA">
        <w:rPr>
          <w:rFonts w:ascii="Calibri" w:hAnsi="Calibri" w:cs="Calibri"/>
          <w:sz w:val="22"/>
          <w:szCs w:val="22"/>
        </w:rPr>
        <w:t xml:space="preserve">higher </w:t>
      </w:r>
      <w:r w:rsidR="00BD194D" w:rsidRPr="004739DA">
        <w:rPr>
          <w:rFonts w:ascii="Calibri" w:hAnsi="Calibri" w:cs="Calibri"/>
          <w:sz w:val="22"/>
          <w:szCs w:val="22"/>
        </w:rPr>
        <w:t>inflight sales</w:t>
      </w:r>
      <w:r w:rsidR="0080200A">
        <w:rPr>
          <w:rFonts w:ascii="Calibri" w:hAnsi="Calibri" w:cs="Calibri"/>
          <w:sz w:val="22"/>
          <w:szCs w:val="22"/>
        </w:rPr>
        <w:t>)</w:t>
      </w:r>
      <w:r w:rsidR="00D579F6">
        <w:rPr>
          <w:rFonts w:ascii="Calibri" w:hAnsi="Calibri" w:cs="Calibri"/>
          <w:sz w:val="22"/>
          <w:szCs w:val="22"/>
        </w:rPr>
        <w:t xml:space="preserve"> and higher EU261 due to delays arising from the knock-on effect of ATC related disruptions (including the NATS system failure in August and significant French ATC strikes).</w:t>
      </w:r>
      <w:bookmarkStart w:id="9" w:name="_Hlk526772342"/>
    </w:p>
    <w:p w14:paraId="674D8525" w14:textId="77777777" w:rsidR="00892846" w:rsidRDefault="00892846" w:rsidP="00CE13BB">
      <w:pPr>
        <w:ind w:right="-142"/>
        <w:jc w:val="both"/>
        <w:rPr>
          <w:rFonts w:ascii="Calibri" w:hAnsi="Calibri" w:cs="Calibri"/>
          <w:sz w:val="22"/>
          <w:szCs w:val="22"/>
        </w:rPr>
      </w:pPr>
    </w:p>
    <w:p w14:paraId="23F9D035" w14:textId="77777777" w:rsidR="004A178D" w:rsidRPr="0081763F" w:rsidRDefault="004A178D" w:rsidP="00CE13BB">
      <w:pPr>
        <w:ind w:right="-142"/>
        <w:jc w:val="both"/>
        <w:rPr>
          <w:rFonts w:ascii="Calibri" w:hAnsi="Calibri" w:cs="Calibri"/>
          <w:b/>
          <w:sz w:val="22"/>
          <w:szCs w:val="22"/>
        </w:rPr>
      </w:pPr>
      <w:r w:rsidRPr="0081763F">
        <w:rPr>
          <w:rFonts w:ascii="Calibri" w:hAnsi="Calibri" w:cs="Calibri"/>
          <w:b/>
          <w:sz w:val="22"/>
          <w:szCs w:val="22"/>
        </w:rPr>
        <w:t xml:space="preserve">Maintenance, </w:t>
      </w:r>
      <w:proofErr w:type="gramStart"/>
      <w:r w:rsidRPr="0081763F">
        <w:rPr>
          <w:rFonts w:ascii="Calibri" w:hAnsi="Calibri" w:cs="Calibri"/>
          <w:b/>
          <w:sz w:val="22"/>
          <w:szCs w:val="22"/>
        </w:rPr>
        <w:t>materials</w:t>
      </w:r>
      <w:proofErr w:type="gramEnd"/>
      <w:r w:rsidRPr="0081763F">
        <w:rPr>
          <w:rFonts w:ascii="Calibri" w:hAnsi="Calibri" w:cs="Calibri"/>
          <w:b/>
          <w:sz w:val="22"/>
          <w:szCs w:val="22"/>
        </w:rPr>
        <w:t xml:space="preserve"> and repairs: </w:t>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t xml:space="preserve">                     </w:t>
      </w:r>
    </w:p>
    <w:bookmarkEnd w:id="9"/>
    <w:p w14:paraId="41B54D15" w14:textId="77777777" w:rsidR="00504DD3" w:rsidRPr="0081763F" w:rsidRDefault="00504DD3" w:rsidP="00504DD3">
      <w:pPr>
        <w:ind w:right="-142"/>
        <w:jc w:val="both"/>
        <w:rPr>
          <w:rFonts w:ascii="Calibri" w:hAnsi="Calibri" w:cs="Calibri"/>
          <w:sz w:val="22"/>
          <w:szCs w:val="22"/>
        </w:rPr>
      </w:pPr>
      <w:r w:rsidRPr="0081763F">
        <w:rPr>
          <w:rFonts w:ascii="Calibri" w:hAnsi="Calibri" w:cs="Calibri"/>
          <w:sz w:val="22"/>
          <w:szCs w:val="22"/>
        </w:rPr>
        <w:t xml:space="preserve">Maintenance, </w:t>
      </w:r>
      <w:proofErr w:type="gramStart"/>
      <w:r w:rsidRPr="0081763F">
        <w:rPr>
          <w:rFonts w:ascii="Calibri" w:hAnsi="Calibri" w:cs="Calibri"/>
          <w:sz w:val="22"/>
          <w:szCs w:val="22"/>
        </w:rPr>
        <w:t>materials</w:t>
      </w:r>
      <w:proofErr w:type="gramEnd"/>
      <w:r w:rsidRPr="0081763F">
        <w:rPr>
          <w:rFonts w:ascii="Calibri" w:hAnsi="Calibri" w:cs="Calibri"/>
          <w:sz w:val="22"/>
          <w:szCs w:val="22"/>
        </w:rPr>
        <w:t xml:space="preserve"> and repairs decreased </w:t>
      </w:r>
      <w:r w:rsidR="00783404" w:rsidRPr="0081763F">
        <w:rPr>
          <w:rFonts w:ascii="Calibri" w:hAnsi="Calibri" w:cs="Calibri"/>
          <w:b/>
          <w:bCs/>
          <w:sz w:val="22"/>
          <w:szCs w:val="22"/>
        </w:rPr>
        <w:t>9</w:t>
      </w:r>
      <w:r w:rsidRPr="0081763F">
        <w:rPr>
          <w:rFonts w:ascii="Calibri" w:hAnsi="Calibri" w:cs="Calibri"/>
          <w:b/>
          <w:bCs/>
          <w:sz w:val="22"/>
          <w:szCs w:val="22"/>
        </w:rPr>
        <w:t>% to €</w:t>
      </w:r>
      <w:r w:rsidR="00783404" w:rsidRPr="0081763F">
        <w:rPr>
          <w:rFonts w:ascii="Calibri" w:hAnsi="Calibri" w:cs="Calibri"/>
          <w:b/>
          <w:bCs/>
          <w:sz w:val="22"/>
          <w:szCs w:val="22"/>
        </w:rPr>
        <w:t>18</w:t>
      </w:r>
      <w:r w:rsidR="00E20222">
        <w:rPr>
          <w:rFonts w:ascii="Calibri" w:hAnsi="Calibri" w:cs="Calibri"/>
          <w:b/>
          <w:bCs/>
          <w:sz w:val="22"/>
          <w:szCs w:val="22"/>
        </w:rPr>
        <w:t>3</w:t>
      </w:r>
      <w:r w:rsidRPr="0081763F">
        <w:rPr>
          <w:rFonts w:ascii="Calibri" w:hAnsi="Calibri" w:cs="Calibri"/>
          <w:b/>
          <w:bCs/>
          <w:sz w:val="22"/>
          <w:szCs w:val="22"/>
        </w:rPr>
        <w:t>M</w:t>
      </w:r>
      <w:r w:rsidRPr="0081763F">
        <w:rPr>
          <w:rFonts w:ascii="Calibri" w:hAnsi="Calibri" w:cs="Calibri"/>
          <w:sz w:val="22"/>
          <w:szCs w:val="22"/>
        </w:rPr>
        <w:t xml:space="preserve"> due to </w:t>
      </w:r>
      <w:r w:rsidR="00BD194D">
        <w:rPr>
          <w:rFonts w:ascii="Calibri" w:hAnsi="Calibri" w:cs="Calibri"/>
          <w:sz w:val="22"/>
          <w:szCs w:val="22"/>
        </w:rPr>
        <w:t xml:space="preserve">the </w:t>
      </w:r>
      <w:r w:rsidRPr="0081763F">
        <w:rPr>
          <w:rFonts w:ascii="Calibri" w:hAnsi="Calibri" w:cs="Calibri"/>
          <w:sz w:val="22"/>
          <w:szCs w:val="22"/>
        </w:rPr>
        <w:t xml:space="preserve">timing of aircraft checks. There is a partial timing offset in depreciation above, arising from the extension of </w:t>
      </w:r>
      <w:r w:rsidR="00BD194D">
        <w:rPr>
          <w:rFonts w:ascii="Calibri" w:hAnsi="Calibri" w:cs="Calibri"/>
          <w:sz w:val="22"/>
          <w:szCs w:val="22"/>
        </w:rPr>
        <w:t xml:space="preserve">24 </w:t>
      </w:r>
      <w:r w:rsidRPr="0081763F">
        <w:rPr>
          <w:rFonts w:ascii="Calibri" w:hAnsi="Calibri" w:cs="Calibri"/>
          <w:sz w:val="22"/>
          <w:szCs w:val="22"/>
        </w:rPr>
        <w:t>A320 leases in FY23.</w:t>
      </w:r>
    </w:p>
    <w:p w14:paraId="635AF193" w14:textId="77777777" w:rsidR="00AD289F" w:rsidRPr="0081763F" w:rsidRDefault="00AD289F" w:rsidP="00CE13BB">
      <w:pPr>
        <w:ind w:right="-142"/>
        <w:jc w:val="both"/>
        <w:rPr>
          <w:rFonts w:ascii="Calibri" w:hAnsi="Calibri" w:cs="Calibri"/>
          <w:b/>
          <w:sz w:val="22"/>
          <w:szCs w:val="22"/>
        </w:rPr>
      </w:pP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t xml:space="preserve">         </w:t>
      </w:r>
    </w:p>
    <w:p w14:paraId="32F2712A" w14:textId="77777777" w:rsidR="00FE24D3" w:rsidRPr="00C370EA" w:rsidRDefault="00FE24D3" w:rsidP="00CE13BB">
      <w:pPr>
        <w:ind w:right="-142"/>
        <w:jc w:val="both"/>
        <w:rPr>
          <w:rFonts w:ascii="Calibri" w:hAnsi="Calibri" w:cs="Calibri"/>
          <w:b/>
          <w:sz w:val="22"/>
          <w:szCs w:val="22"/>
        </w:rPr>
      </w:pPr>
      <w:r w:rsidRPr="00C370EA">
        <w:rPr>
          <w:rFonts w:ascii="Calibri" w:hAnsi="Calibri" w:cs="Calibri"/>
          <w:b/>
          <w:sz w:val="22"/>
          <w:szCs w:val="22"/>
        </w:rPr>
        <w:t>Other expense:</w:t>
      </w:r>
      <w:r w:rsidRPr="00C370EA">
        <w:rPr>
          <w:rFonts w:ascii="Calibri" w:hAnsi="Calibri" w:cs="Calibri"/>
          <w:b/>
          <w:sz w:val="22"/>
          <w:szCs w:val="22"/>
        </w:rPr>
        <w:tab/>
      </w:r>
    </w:p>
    <w:p w14:paraId="19EC2D27" w14:textId="77777777" w:rsidR="00FE24D3" w:rsidRPr="0081763F" w:rsidRDefault="00504DD3" w:rsidP="00CE13BB">
      <w:pPr>
        <w:ind w:right="-142"/>
        <w:jc w:val="both"/>
        <w:rPr>
          <w:rFonts w:ascii="Calibri" w:hAnsi="Calibri" w:cs="Calibri"/>
          <w:sz w:val="22"/>
          <w:szCs w:val="22"/>
        </w:rPr>
      </w:pPr>
      <w:r w:rsidRPr="00C370EA">
        <w:rPr>
          <w:rFonts w:ascii="Calibri" w:hAnsi="Calibri" w:cs="Calibri"/>
          <w:sz w:val="22"/>
          <w:szCs w:val="22"/>
        </w:rPr>
        <w:t xml:space="preserve">Net finance income was positive at </w:t>
      </w:r>
      <w:r w:rsidRPr="00C370EA">
        <w:rPr>
          <w:rFonts w:ascii="Calibri" w:hAnsi="Calibri" w:cs="Calibri"/>
          <w:b/>
          <w:bCs/>
          <w:sz w:val="22"/>
          <w:szCs w:val="22"/>
        </w:rPr>
        <w:t>€</w:t>
      </w:r>
      <w:r w:rsidR="006A21D2" w:rsidRPr="00C370EA">
        <w:rPr>
          <w:rFonts w:ascii="Calibri" w:hAnsi="Calibri" w:cs="Calibri"/>
          <w:b/>
          <w:bCs/>
          <w:sz w:val="22"/>
          <w:szCs w:val="22"/>
        </w:rPr>
        <w:t>32</w:t>
      </w:r>
      <w:r w:rsidRPr="00C370EA">
        <w:rPr>
          <w:rFonts w:ascii="Calibri" w:hAnsi="Calibri" w:cs="Calibri"/>
          <w:b/>
          <w:bCs/>
          <w:sz w:val="22"/>
          <w:szCs w:val="22"/>
        </w:rPr>
        <w:t xml:space="preserve">M </w:t>
      </w:r>
      <w:r w:rsidRPr="00C370EA">
        <w:rPr>
          <w:rFonts w:ascii="Calibri" w:hAnsi="Calibri" w:cs="Calibri"/>
          <w:sz w:val="22"/>
          <w:szCs w:val="22"/>
        </w:rPr>
        <w:t>due to rising deposit interest rates</w:t>
      </w:r>
      <w:r w:rsidR="00330A9E">
        <w:rPr>
          <w:rFonts w:ascii="Calibri" w:hAnsi="Calibri" w:cs="Calibri"/>
          <w:sz w:val="22"/>
          <w:szCs w:val="22"/>
        </w:rPr>
        <w:t>,</w:t>
      </w:r>
      <w:r w:rsidRPr="00C370EA">
        <w:rPr>
          <w:rFonts w:ascii="Calibri" w:hAnsi="Calibri" w:cs="Calibri"/>
          <w:sz w:val="22"/>
          <w:szCs w:val="22"/>
        </w:rPr>
        <w:t xml:space="preserve"> lower </w:t>
      </w:r>
      <w:r w:rsidR="00FE4FA3" w:rsidRPr="00C370EA">
        <w:rPr>
          <w:rFonts w:ascii="Calibri" w:hAnsi="Calibri" w:cs="Calibri"/>
          <w:sz w:val="22"/>
          <w:szCs w:val="22"/>
        </w:rPr>
        <w:t xml:space="preserve">gross </w:t>
      </w:r>
      <w:proofErr w:type="gramStart"/>
      <w:r w:rsidRPr="00C370EA">
        <w:rPr>
          <w:rFonts w:ascii="Calibri" w:hAnsi="Calibri" w:cs="Calibri"/>
          <w:sz w:val="22"/>
          <w:szCs w:val="22"/>
        </w:rPr>
        <w:t>debt</w:t>
      </w:r>
      <w:proofErr w:type="gramEnd"/>
      <w:r w:rsidR="006534C0">
        <w:rPr>
          <w:rFonts w:ascii="Calibri" w:hAnsi="Calibri" w:cs="Calibri"/>
          <w:sz w:val="22"/>
          <w:szCs w:val="22"/>
        </w:rPr>
        <w:t xml:space="preserve"> and a net cash position throughout the period</w:t>
      </w:r>
      <w:r w:rsidRPr="00C370EA">
        <w:rPr>
          <w:rFonts w:ascii="Calibri" w:hAnsi="Calibri" w:cs="Calibri"/>
          <w:sz w:val="22"/>
          <w:szCs w:val="22"/>
        </w:rPr>
        <w:t xml:space="preserve">. </w:t>
      </w:r>
      <w:r w:rsidR="00FE4FA3" w:rsidRPr="00C370EA">
        <w:rPr>
          <w:rFonts w:ascii="Calibri" w:hAnsi="Calibri" w:cs="Calibri"/>
          <w:sz w:val="22"/>
          <w:szCs w:val="22"/>
        </w:rPr>
        <w:t>F</w:t>
      </w:r>
      <w:r w:rsidRPr="00C370EA">
        <w:rPr>
          <w:rFonts w:ascii="Calibri" w:hAnsi="Calibri" w:cs="Calibri"/>
          <w:sz w:val="22"/>
          <w:szCs w:val="22"/>
        </w:rPr>
        <w:t>oreign exchange</w:t>
      </w:r>
      <w:r w:rsidRPr="00B01273">
        <w:rPr>
          <w:rFonts w:ascii="Calibri" w:hAnsi="Calibri" w:cs="Calibri"/>
          <w:sz w:val="22"/>
          <w:szCs w:val="22"/>
        </w:rPr>
        <w:t xml:space="preserve"> translation reflect</w:t>
      </w:r>
      <w:r w:rsidR="00FE4FA3" w:rsidRPr="00B01273">
        <w:rPr>
          <w:rFonts w:ascii="Calibri" w:hAnsi="Calibri" w:cs="Calibri"/>
          <w:sz w:val="22"/>
          <w:szCs w:val="22"/>
        </w:rPr>
        <w:t xml:space="preserve">s the impact </w:t>
      </w:r>
      <w:r w:rsidRPr="00B01273">
        <w:rPr>
          <w:rFonts w:ascii="Calibri" w:hAnsi="Calibri" w:cs="Calibri"/>
          <w:sz w:val="22"/>
          <w:szCs w:val="22"/>
        </w:rPr>
        <w:t>of €/US$ exchange rate</w:t>
      </w:r>
      <w:r w:rsidR="00FE4FA3" w:rsidRPr="00B01273">
        <w:rPr>
          <w:rFonts w:ascii="Calibri" w:hAnsi="Calibri" w:cs="Calibri"/>
          <w:sz w:val="22"/>
          <w:szCs w:val="22"/>
        </w:rPr>
        <w:t xml:space="preserve"> movements</w:t>
      </w:r>
      <w:r w:rsidRPr="0081763F">
        <w:rPr>
          <w:rFonts w:ascii="Calibri" w:hAnsi="Calibri" w:cs="Calibri"/>
          <w:sz w:val="22"/>
          <w:szCs w:val="22"/>
        </w:rPr>
        <w:t xml:space="preserve"> on balance sheet revaluations.</w:t>
      </w:r>
    </w:p>
    <w:p w14:paraId="148D034B" w14:textId="77777777" w:rsidR="00504DD3" w:rsidRPr="0081763F" w:rsidRDefault="00504DD3" w:rsidP="00CE13BB">
      <w:pPr>
        <w:ind w:right="-142"/>
        <w:jc w:val="both"/>
        <w:rPr>
          <w:rFonts w:ascii="Calibri" w:hAnsi="Calibri" w:cs="Calibri"/>
          <w:b/>
          <w:sz w:val="22"/>
          <w:szCs w:val="22"/>
        </w:rPr>
      </w:pPr>
    </w:p>
    <w:p w14:paraId="00C40AB9" w14:textId="77777777" w:rsidR="004A178D" w:rsidRPr="003B0423" w:rsidRDefault="004A178D" w:rsidP="00CE13BB">
      <w:pPr>
        <w:ind w:right="-142"/>
        <w:jc w:val="both"/>
        <w:rPr>
          <w:rFonts w:ascii="Calibri" w:hAnsi="Calibri" w:cs="Calibri"/>
          <w:b/>
          <w:sz w:val="22"/>
          <w:szCs w:val="22"/>
        </w:rPr>
      </w:pPr>
      <w:r w:rsidRPr="003B0423">
        <w:rPr>
          <w:rFonts w:ascii="Calibri" w:hAnsi="Calibri" w:cs="Calibri"/>
          <w:b/>
          <w:sz w:val="22"/>
          <w:szCs w:val="22"/>
        </w:rPr>
        <w:t>Balance sheet:</w:t>
      </w:r>
    </w:p>
    <w:p w14:paraId="7BDC10B4" w14:textId="77777777" w:rsidR="00E659B7" w:rsidRPr="0081763F" w:rsidRDefault="00504DD3" w:rsidP="00504DD3">
      <w:pPr>
        <w:ind w:right="-142"/>
        <w:jc w:val="both"/>
        <w:rPr>
          <w:rFonts w:ascii="Calibri" w:hAnsi="Calibri" w:cs="Calibri"/>
          <w:sz w:val="22"/>
          <w:szCs w:val="22"/>
        </w:rPr>
      </w:pPr>
      <w:r w:rsidRPr="003B0423">
        <w:rPr>
          <w:rFonts w:ascii="Calibri" w:hAnsi="Calibri" w:cs="Calibri"/>
          <w:sz w:val="22"/>
          <w:szCs w:val="22"/>
        </w:rPr>
        <w:t xml:space="preserve">Gross cash </w:t>
      </w:r>
      <w:r w:rsidR="00783404" w:rsidRPr="003B0423">
        <w:rPr>
          <w:rFonts w:ascii="Calibri" w:hAnsi="Calibri" w:cs="Calibri"/>
          <w:sz w:val="22"/>
          <w:szCs w:val="22"/>
        </w:rPr>
        <w:t>de</w:t>
      </w:r>
      <w:r w:rsidRPr="003B0423">
        <w:rPr>
          <w:rFonts w:ascii="Calibri" w:hAnsi="Calibri" w:cs="Calibri"/>
          <w:sz w:val="22"/>
          <w:szCs w:val="22"/>
        </w:rPr>
        <w:t xml:space="preserve">creased </w:t>
      </w:r>
      <w:r w:rsidRPr="003B0423">
        <w:rPr>
          <w:rFonts w:ascii="Calibri" w:hAnsi="Calibri" w:cs="Calibri"/>
          <w:b/>
          <w:bCs/>
          <w:sz w:val="22"/>
          <w:szCs w:val="22"/>
        </w:rPr>
        <w:t>€</w:t>
      </w:r>
      <w:r w:rsidR="00783404" w:rsidRPr="003B0423">
        <w:rPr>
          <w:rFonts w:ascii="Calibri" w:hAnsi="Calibri" w:cs="Calibri"/>
          <w:b/>
          <w:bCs/>
          <w:sz w:val="22"/>
          <w:szCs w:val="22"/>
        </w:rPr>
        <w:t>1.03BN</w:t>
      </w:r>
      <w:r w:rsidRPr="003B0423">
        <w:rPr>
          <w:rFonts w:ascii="Calibri" w:hAnsi="Calibri" w:cs="Calibri"/>
          <w:b/>
          <w:bCs/>
          <w:sz w:val="22"/>
          <w:szCs w:val="22"/>
        </w:rPr>
        <w:t xml:space="preserve"> to €</w:t>
      </w:r>
      <w:r w:rsidR="00783404" w:rsidRPr="003B0423">
        <w:rPr>
          <w:rFonts w:ascii="Calibri" w:hAnsi="Calibri" w:cs="Calibri"/>
          <w:b/>
          <w:bCs/>
          <w:sz w:val="22"/>
          <w:szCs w:val="22"/>
        </w:rPr>
        <w:t>3.64</w:t>
      </w:r>
      <w:r w:rsidRPr="003B0423">
        <w:rPr>
          <w:rFonts w:ascii="Calibri" w:hAnsi="Calibri" w:cs="Calibri"/>
          <w:b/>
          <w:bCs/>
          <w:sz w:val="22"/>
          <w:szCs w:val="22"/>
        </w:rPr>
        <w:t>BN</w:t>
      </w:r>
      <w:r w:rsidRPr="003B0423">
        <w:rPr>
          <w:rFonts w:ascii="Calibri" w:hAnsi="Calibri" w:cs="Calibri"/>
          <w:sz w:val="22"/>
          <w:szCs w:val="22"/>
        </w:rPr>
        <w:t xml:space="preserve"> </w:t>
      </w:r>
      <w:proofErr w:type="gramStart"/>
      <w:r w:rsidRPr="003B0423">
        <w:rPr>
          <w:rFonts w:ascii="Calibri" w:hAnsi="Calibri" w:cs="Calibri"/>
          <w:sz w:val="22"/>
          <w:szCs w:val="22"/>
        </w:rPr>
        <w:t>at</w:t>
      </w:r>
      <w:proofErr w:type="gramEnd"/>
      <w:r w:rsidRPr="003B0423">
        <w:rPr>
          <w:rFonts w:ascii="Calibri" w:hAnsi="Calibri" w:cs="Calibri"/>
          <w:sz w:val="22"/>
          <w:szCs w:val="22"/>
        </w:rPr>
        <w:t xml:space="preserve"> September 30, 2023</w:t>
      </w:r>
      <w:r w:rsidR="00671927">
        <w:rPr>
          <w:rFonts w:ascii="Calibri" w:hAnsi="Calibri" w:cs="Calibri"/>
          <w:sz w:val="22"/>
          <w:szCs w:val="22"/>
        </w:rPr>
        <w:t>. Gross debt reduced by €1.32BN and net</w:t>
      </w:r>
      <w:r w:rsidRPr="004739DA">
        <w:rPr>
          <w:rFonts w:ascii="Calibri" w:hAnsi="Calibri" w:cs="Calibri"/>
          <w:sz w:val="22"/>
          <w:szCs w:val="22"/>
        </w:rPr>
        <w:t xml:space="preserve"> cash increased </w:t>
      </w:r>
      <w:r w:rsidRPr="004739DA">
        <w:rPr>
          <w:rFonts w:ascii="Calibri" w:hAnsi="Calibri" w:cs="Calibri"/>
          <w:b/>
          <w:bCs/>
          <w:sz w:val="22"/>
          <w:szCs w:val="22"/>
        </w:rPr>
        <w:t>€</w:t>
      </w:r>
      <w:r w:rsidR="00783404" w:rsidRPr="004739DA">
        <w:rPr>
          <w:rFonts w:ascii="Calibri" w:hAnsi="Calibri" w:cs="Calibri"/>
          <w:b/>
          <w:bCs/>
          <w:sz w:val="22"/>
          <w:szCs w:val="22"/>
        </w:rPr>
        <w:t>285</w:t>
      </w:r>
      <w:r w:rsidRPr="004739DA">
        <w:rPr>
          <w:rFonts w:ascii="Calibri" w:hAnsi="Calibri" w:cs="Calibri"/>
          <w:b/>
          <w:bCs/>
          <w:sz w:val="22"/>
          <w:szCs w:val="22"/>
        </w:rPr>
        <w:t>M to €</w:t>
      </w:r>
      <w:r w:rsidR="00783404" w:rsidRPr="004739DA">
        <w:rPr>
          <w:rFonts w:ascii="Calibri" w:hAnsi="Calibri" w:cs="Calibri"/>
          <w:b/>
          <w:bCs/>
          <w:sz w:val="22"/>
          <w:szCs w:val="22"/>
        </w:rPr>
        <w:t>844M</w:t>
      </w:r>
      <w:r w:rsidRPr="004739DA">
        <w:rPr>
          <w:rFonts w:ascii="Calibri" w:hAnsi="Calibri" w:cs="Calibri"/>
          <w:b/>
          <w:bCs/>
          <w:sz w:val="22"/>
          <w:szCs w:val="22"/>
        </w:rPr>
        <w:t xml:space="preserve"> </w:t>
      </w:r>
      <w:proofErr w:type="gramStart"/>
      <w:r w:rsidRPr="004739DA">
        <w:rPr>
          <w:rFonts w:ascii="Calibri" w:hAnsi="Calibri" w:cs="Calibri"/>
          <w:sz w:val="22"/>
          <w:szCs w:val="22"/>
        </w:rPr>
        <w:t>at</w:t>
      </w:r>
      <w:proofErr w:type="gramEnd"/>
      <w:r w:rsidRPr="004739DA">
        <w:rPr>
          <w:rFonts w:ascii="Calibri" w:hAnsi="Calibri" w:cs="Calibri"/>
          <w:sz w:val="22"/>
          <w:szCs w:val="22"/>
        </w:rPr>
        <w:t xml:space="preserve"> September</w:t>
      </w:r>
      <w:r w:rsidRPr="0081763F">
        <w:rPr>
          <w:rFonts w:ascii="Calibri" w:hAnsi="Calibri" w:cs="Calibri"/>
          <w:sz w:val="22"/>
          <w:szCs w:val="22"/>
        </w:rPr>
        <w:t xml:space="preserve"> 30, 2023.</w:t>
      </w:r>
    </w:p>
    <w:p w14:paraId="4479BDC1" w14:textId="77777777" w:rsidR="00504DD3" w:rsidRPr="0081763F" w:rsidRDefault="00504DD3" w:rsidP="00504DD3">
      <w:pPr>
        <w:ind w:right="-142"/>
        <w:jc w:val="both"/>
        <w:rPr>
          <w:rFonts w:ascii="Calibri" w:hAnsi="Calibri" w:cs="Calibri"/>
          <w:sz w:val="22"/>
          <w:szCs w:val="22"/>
        </w:rPr>
      </w:pPr>
    </w:p>
    <w:p w14:paraId="0D717DF1" w14:textId="77777777" w:rsidR="004A178D" w:rsidRPr="0081763F" w:rsidRDefault="004A178D" w:rsidP="00CE13BB">
      <w:pPr>
        <w:ind w:right="-142"/>
        <w:jc w:val="both"/>
        <w:rPr>
          <w:rFonts w:ascii="Calibri" w:hAnsi="Calibri" w:cs="Calibri"/>
          <w:b/>
          <w:bCs/>
          <w:sz w:val="22"/>
          <w:szCs w:val="22"/>
        </w:rPr>
      </w:pPr>
      <w:r w:rsidRPr="0081763F">
        <w:rPr>
          <w:rFonts w:ascii="Calibri" w:hAnsi="Calibri" w:cs="Calibri"/>
          <w:b/>
          <w:bCs/>
          <w:sz w:val="22"/>
          <w:szCs w:val="22"/>
        </w:rPr>
        <w:t>Shareholders’ equity:</w:t>
      </w:r>
      <w:r w:rsidRPr="0081763F">
        <w:rPr>
          <w:rFonts w:ascii="Calibri" w:hAnsi="Calibri" w:cs="Calibri"/>
          <w:b/>
          <w:bCs/>
          <w:sz w:val="22"/>
          <w:szCs w:val="22"/>
        </w:rPr>
        <w:tab/>
      </w:r>
      <w:r w:rsidRPr="0081763F">
        <w:rPr>
          <w:rFonts w:ascii="Calibri" w:hAnsi="Calibri" w:cs="Calibri"/>
          <w:b/>
          <w:bCs/>
          <w:sz w:val="22"/>
          <w:szCs w:val="22"/>
        </w:rPr>
        <w:tab/>
      </w:r>
      <w:r w:rsidRPr="0081763F">
        <w:rPr>
          <w:rFonts w:ascii="Calibri" w:hAnsi="Calibri" w:cs="Calibri"/>
          <w:b/>
          <w:bCs/>
          <w:sz w:val="22"/>
          <w:szCs w:val="22"/>
        </w:rPr>
        <w:tab/>
      </w:r>
      <w:r w:rsidRPr="0081763F">
        <w:rPr>
          <w:rFonts w:ascii="Calibri" w:hAnsi="Calibri" w:cs="Calibri"/>
          <w:b/>
          <w:bCs/>
          <w:sz w:val="22"/>
          <w:szCs w:val="22"/>
        </w:rPr>
        <w:tab/>
      </w:r>
      <w:r w:rsidRPr="0081763F">
        <w:rPr>
          <w:rFonts w:ascii="Calibri" w:hAnsi="Calibri" w:cs="Calibri"/>
          <w:b/>
          <w:bCs/>
          <w:sz w:val="22"/>
          <w:szCs w:val="22"/>
        </w:rPr>
        <w:tab/>
      </w:r>
      <w:r w:rsidRPr="0081763F">
        <w:rPr>
          <w:rFonts w:ascii="Calibri" w:hAnsi="Calibri" w:cs="Calibri"/>
          <w:b/>
          <w:bCs/>
          <w:sz w:val="22"/>
          <w:szCs w:val="22"/>
        </w:rPr>
        <w:tab/>
        <w:t xml:space="preserve">    </w:t>
      </w:r>
    </w:p>
    <w:p w14:paraId="55F93E72" w14:textId="77777777" w:rsidR="00FD6E41" w:rsidRDefault="00285AB3" w:rsidP="00FD6E41">
      <w:pPr>
        <w:ind w:right="-142"/>
        <w:jc w:val="both"/>
        <w:rPr>
          <w:rFonts w:ascii="Calibri" w:hAnsi="Calibri" w:cs="Calibri"/>
          <w:sz w:val="22"/>
          <w:szCs w:val="22"/>
        </w:rPr>
      </w:pPr>
      <w:r w:rsidRPr="0081763F">
        <w:rPr>
          <w:rFonts w:ascii="Calibri" w:hAnsi="Calibri" w:cs="Calibri"/>
          <w:sz w:val="22"/>
          <w:szCs w:val="22"/>
        </w:rPr>
        <w:t xml:space="preserve">Shareholders’ equity </w:t>
      </w:r>
      <w:r w:rsidR="007E6437" w:rsidRPr="007613EC">
        <w:rPr>
          <w:rFonts w:ascii="Calibri" w:hAnsi="Calibri" w:cs="Calibri"/>
          <w:sz w:val="22"/>
          <w:szCs w:val="22"/>
        </w:rPr>
        <w:t>in</w:t>
      </w:r>
      <w:r w:rsidRPr="007613EC">
        <w:rPr>
          <w:rFonts w:ascii="Calibri" w:hAnsi="Calibri" w:cs="Calibri"/>
          <w:sz w:val="22"/>
          <w:szCs w:val="22"/>
        </w:rPr>
        <w:t xml:space="preserve">creased by </w:t>
      </w:r>
      <w:r w:rsidRPr="007613EC">
        <w:rPr>
          <w:rFonts w:ascii="Calibri" w:hAnsi="Calibri" w:cs="Calibri"/>
          <w:b/>
          <w:bCs/>
          <w:sz w:val="22"/>
          <w:szCs w:val="22"/>
        </w:rPr>
        <w:t>€</w:t>
      </w:r>
      <w:r w:rsidR="007613EC" w:rsidRPr="007613EC">
        <w:rPr>
          <w:rFonts w:ascii="Calibri" w:hAnsi="Calibri" w:cs="Calibri"/>
          <w:b/>
          <w:bCs/>
          <w:sz w:val="22"/>
          <w:szCs w:val="22"/>
        </w:rPr>
        <w:t>2.7</w:t>
      </w:r>
      <w:r w:rsidR="006A21D2">
        <w:rPr>
          <w:rFonts w:ascii="Calibri" w:hAnsi="Calibri" w:cs="Calibri"/>
          <w:b/>
          <w:bCs/>
          <w:sz w:val="22"/>
          <w:szCs w:val="22"/>
        </w:rPr>
        <w:t>9</w:t>
      </w:r>
      <w:r w:rsidR="007E6A2A" w:rsidRPr="007613EC">
        <w:rPr>
          <w:rFonts w:ascii="Calibri" w:hAnsi="Calibri" w:cs="Calibri"/>
          <w:b/>
          <w:bCs/>
          <w:sz w:val="22"/>
          <w:szCs w:val="22"/>
        </w:rPr>
        <w:t>BN</w:t>
      </w:r>
      <w:r w:rsidRPr="007613EC">
        <w:rPr>
          <w:rFonts w:ascii="Calibri" w:hAnsi="Calibri" w:cs="Calibri"/>
          <w:b/>
          <w:bCs/>
          <w:sz w:val="22"/>
          <w:szCs w:val="22"/>
        </w:rPr>
        <w:t xml:space="preserve"> to</w:t>
      </w:r>
      <w:r w:rsidRPr="007613EC">
        <w:rPr>
          <w:rFonts w:ascii="Calibri" w:hAnsi="Calibri" w:cs="Calibri"/>
          <w:sz w:val="22"/>
          <w:szCs w:val="22"/>
        </w:rPr>
        <w:t xml:space="preserve"> </w:t>
      </w:r>
      <w:r w:rsidRPr="007613EC">
        <w:rPr>
          <w:rFonts w:ascii="Calibri" w:hAnsi="Calibri" w:cs="Calibri"/>
          <w:b/>
          <w:bCs/>
          <w:sz w:val="22"/>
          <w:szCs w:val="22"/>
        </w:rPr>
        <w:t>€</w:t>
      </w:r>
      <w:r w:rsidR="007613EC" w:rsidRPr="007613EC">
        <w:rPr>
          <w:rFonts w:ascii="Calibri" w:hAnsi="Calibri" w:cs="Calibri"/>
          <w:b/>
          <w:bCs/>
          <w:sz w:val="22"/>
          <w:szCs w:val="22"/>
        </w:rPr>
        <w:t>8.4</w:t>
      </w:r>
      <w:r w:rsidR="006A21D2">
        <w:rPr>
          <w:rFonts w:ascii="Calibri" w:hAnsi="Calibri" w:cs="Calibri"/>
          <w:b/>
          <w:bCs/>
          <w:sz w:val="22"/>
          <w:szCs w:val="22"/>
        </w:rPr>
        <w:t>3</w:t>
      </w:r>
      <w:r w:rsidR="007E6A2A" w:rsidRPr="007613EC">
        <w:rPr>
          <w:rFonts w:ascii="Calibri" w:hAnsi="Calibri" w:cs="Calibri"/>
          <w:b/>
          <w:bCs/>
          <w:sz w:val="22"/>
          <w:szCs w:val="22"/>
        </w:rPr>
        <w:t>BN</w:t>
      </w:r>
      <w:r w:rsidR="00095F3E" w:rsidRPr="007613EC">
        <w:rPr>
          <w:rFonts w:ascii="Calibri" w:hAnsi="Calibri" w:cs="Calibri"/>
          <w:sz w:val="22"/>
          <w:szCs w:val="22"/>
        </w:rPr>
        <w:t xml:space="preserve"> in the period primarily due to </w:t>
      </w:r>
      <w:r w:rsidR="004A1F50" w:rsidRPr="007613EC">
        <w:rPr>
          <w:rFonts w:ascii="Calibri" w:hAnsi="Calibri" w:cs="Calibri"/>
          <w:sz w:val="22"/>
          <w:szCs w:val="22"/>
        </w:rPr>
        <w:t xml:space="preserve">a </w:t>
      </w:r>
      <w:r w:rsidR="004A1F50" w:rsidRPr="007613EC">
        <w:rPr>
          <w:rFonts w:ascii="Calibri" w:hAnsi="Calibri" w:cs="Calibri"/>
          <w:b/>
          <w:bCs/>
          <w:sz w:val="22"/>
          <w:szCs w:val="22"/>
        </w:rPr>
        <w:t>€</w:t>
      </w:r>
      <w:r w:rsidR="00783404" w:rsidRPr="007613EC">
        <w:rPr>
          <w:rFonts w:ascii="Calibri" w:hAnsi="Calibri" w:cs="Calibri"/>
          <w:b/>
          <w:bCs/>
          <w:sz w:val="22"/>
          <w:szCs w:val="22"/>
        </w:rPr>
        <w:t>2.1</w:t>
      </w:r>
      <w:r w:rsidR="006A21D2">
        <w:rPr>
          <w:rFonts w:ascii="Calibri" w:hAnsi="Calibri" w:cs="Calibri"/>
          <w:b/>
          <w:bCs/>
          <w:sz w:val="22"/>
          <w:szCs w:val="22"/>
        </w:rPr>
        <w:t>8</w:t>
      </w:r>
      <w:r w:rsidR="004A1F50" w:rsidRPr="007613EC">
        <w:rPr>
          <w:rFonts w:ascii="Calibri" w:hAnsi="Calibri" w:cs="Calibri"/>
          <w:b/>
          <w:bCs/>
          <w:sz w:val="22"/>
          <w:szCs w:val="22"/>
        </w:rPr>
        <w:t xml:space="preserve">BN </w:t>
      </w:r>
      <w:r w:rsidR="004A1F50" w:rsidRPr="007613EC">
        <w:rPr>
          <w:rFonts w:ascii="Calibri" w:hAnsi="Calibri" w:cs="Calibri"/>
          <w:sz w:val="22"/>
          <w:szCs w:val="22"/>
        </w:rPr>
        <w:t xml:space="preserve">net profit </w:t>
      </w:r>
      <w:r w:rsidR="007613EC" w:rsidRPr="007613EC">
        <w:rPr>
          <w:rFonts w:ascii="Calibri" w:hAnsi="Calibri" w:cs="Calibri"/>
          <w:sz w:val="22"/>
          <w:szCs w:val="22"/>
        </w:rPr>
        <w:t>and a</w:t>
      </w:r>
      <w:r w:rsidR="00504DD3" w:rsidRPr="007613EC">
        <w:rPr>
          <w:rFonts w:ascii="Calibri" w:hAnsi="Calibri" w:cs="Calibri"/>
          <w:sz w:val="22"/>
          <w:szCs w:val="22"/>
        </w:rPr>
        <w:t xml:space="preserve"> </w:t>
      </w:r>
      <w:r w:rsidR="007613EC" w:rsidRPr="007A75CB">
        <w:rPr>
          <w:rFonts w:ascii="Calibri" w:hAnsi="Calibri" w:cs="Calibri"/>
          <w:b/>
          <w:bCs/>
          <w:sz w:val="22"/>
          <w:szCs w:val="22"/>
        </w:rPr>
        <w:t>€</w:t>
      </w:r>
      <w:r w:rsidR="007A75CB" w:rsidRPr="007A75CB">
        <w:rPr>
          <w:rFonts w:ascii="Calibri" w:hAnsi="Calibri" w:cs="Calibri"/>
          <w:b/>
          <w:bCs/>
          <w:sz w:val="22"/>
          <w:szCs w:val="22"/>
        </w:rPr>
        <w:t>0.</w:t>
      </w:r>
      <w:r w:rsidR="001B3731">
        <w:rPr>
          <w:rFonts w:ascii="Calibri" w:hAnsi="Calibri" w:cs="Calibri"/>
          <w:b/>
          <w:bCs/>
          <w:sz w:val="22"/>
          <w:szCs w:val="22"/>
        </w:rPr>
        <w:t>59</w:t>
      </w:r>
      <w:r w:rsidR="007A75CB" w:rsidRPr="007A75CB">
        <w:rPr>
          <w:rFonts w:ascii="Calibri" w:hAnsi="Calibri" w:cs="Calibri"/>
          <w:b/>
          <w:bCs/>
          <w:sz w:val="22"/>
          <w:szCs w:val="22"/>
        </w:rPr>
        <w:t>BN</w:t>
      </w:r>
      <w:r w:rsidR="00504DD3" w:rsidRPr="007613EC">
        <w:rPr>
          <w:rFonts w:ascii="Calibri" w:hAnsi="Calibri" w:cs="Calibri"/>
          <w:sz w:val="22"/>
          <w:szCs w:val="22"/>
        </w:rPr>
        <w:t xml:space="preserve"> IFRS hedge accounting </w:t>
      </w:r>
      <w:r w:rsidR="007613EC" w:rsidRPr="007613EC">
        <w:rPr>
          <w:rFonts w:ascii="Calibri" w:hAnsi="Calibri" w:cs="Calibri"/>
          <w:sz w:val="22"/>
          <w:szCs w:val="22"/>
        </w:rPr>
        <w:t>in</w:t>
      </w:r>
      <w:r w:rsidR="00504DD3" w:rsidRPr="007613EC">
        <w:rPr>
          <w:rFonts w:ascii="Calibri" w:hAnsi="Calibri" w:cs="Calibri"/>
          <w:sz w:val="22"/>
          <w:szCs w:val="22"/>
        </w:rPr>
        <w:t>crease in de</w:t>
      </w:r>
      <w:r w:rsidR="00181A68">
        <w:rPr>
          <w:rFonts w:ascii="Calibri" w:hAnsi="Calibri" w:cs="Calibri"/>
          <w:sz w:val="22"/>
          <w:szCs w:val="22"/>
        </w:rPr>
        <w:t>rivatives</w:t>
      </w:r>
      <w:r w:rsidR="00504DD3" w:rsidRPr="007613EC">
        <w:rPr>
          <w:rFonts w:ascii="Calibri" w:hAnsi="Calibri" w:cs="Calibri"/>
          <w:sz w:val="22"/>
          <w:szCs w:val="22"/>
        </w:rPr>
        <w:t>.</w:t>
      </w:r>
    </w:p>
    <w:p w14:paraId="55DD8895" w14:textId="77777777" w:rsidR="00FD6E41" w:rsidRDefault="00FD6E41" w:rsidP="00FD6E41">
      <w:pPr>
        <w:ind w:right="-142"/>
        <w:jc w:val="both"/>
        <w:rPr>
          <w:rFonts w:ascii="Calibri" w:hAnsi="Calibri" w:cs="Calibri"/>
          <w:sz w:val="22"/>
          <w:szCs w:val="22"/>
        </w:rPr>
      </w:pPr>
    </w:p>
    <w:p w14:paraId="2ECDAEEC" w14:textId="77777777" w:rsidR="003414FD" w:rsidRPr="0081763F" w:rsidRDefault="00FD6E41" w:rsidP="00FD6E41">
      <w:pPr>
        <w:ind w:right="-142"/>
        <w:jc w:val="both"/>
        <w:rPr>
          <w:rFonts w:ascii="Calibri" w:hAnsi="Calibri" w:cs="Calibri"/>
          <w:b/>
        </w:rPr>
      </w:pPr>
      <w:r>
        <w:rPr>
          <w:rFonts w:ascii="Calibri" w:hAnsi="Calibri" w:cs="Calibri"/>
          <w:sz w:val="22"/>
          <w:szCs w:val="22"/>
        </w:rPr>
        <w:br w:type="page"/>
      </w:r>
      <w:r w:rsidR="003414FD" w:rsidRPr="0081763F">
        <w:rPr>
          <w:rFonts w:ascii="Calibri" w:hAnsi="Calibri" w:cs="Calibri"/>
          <w:b/>
        </w:rPr>
        <w:lastRenderedPageBreak/>
        <w:t>MD&amp;A Quarter Ended September 30, 2023</w:t>
      </w:r>
      <w:r w:rsidR="006131F7">
        <w:rPr>
          <w:rFonts w:ascii="Calibri" w:hAnsi="Calibri" w:cs="Calibri"/>
          <w:b/>
        </w:rPr>
        <w:t xml:space="preserve"> </w:t>
      </w:r>
      <w:r w:rsidR="006131F7" w:rsidRPr="0081763F">
        <w:rPr>
          <w:rFonts w:ascii="Calibri" w:hAnsi="Calibri" w:cs="Calibri"/>
          <w:b/>
        </w:rPr>
        <w:t>(“</w:t>
      </w:r>
      <w:r w:rsidR="006131F7">
        <w:rPr>
          <w:rFonts w:ascii="Calibri" w:hAnsi="Calibri" w:cs="Calibri"/>
          <w:b/>
        </w:rPr>
        <w:t xml:space="preserve">Q2 </w:t>
      </w:r>
      <w:r w:rsidR="006131F7" w:rsidRPr="0081763F">
        <w:rPr>
          <w:rFonts w:ascii="Calibri" w:hAnsi="Calibri" w:cs="Calibri"/>
          <w:b/>
        </w:rPr>
        <w:t>FY24”)</w:t>
      </w:r>
    </w:p>
    <w:p w14:paraId="23BC51B4" w14:textId="77777777" w:rsidR="003414FD" w:rsidRPr="0081763F" w:rsidRDefault="003414FD" w:rsidP="003414FD">
      <w:pPr>
        <w:ind w:right="-142"/>
        <w:jc w:val="both"/>
        <w:rPr>
          <w:rFonts w:ascii="Calibri" w:hAnsi="Calibri" w:cs="Calibri"/>
          <w:b/>
        </w:rPr>
      </w:pPr>
    </w:p>
    <w:p w14:paraId="0A972230" w14:textId="77777777" w:rsidR="003414FD" w:rsidRPr="0081763F" w:rsidRDefault="003414FD" w:rsidP="003414FD">
      <w:pPr>
        <w:tabs>
          <w:tab w:val="left" w:pos="1630"/>
        </w:tabs>
        <w:ind w:right="-142"/>
        <w:jc w:val="both"/>
        <w:rPr>
          <w:rFonts w:ascii="Calibri" w:hAnsi="Calibri" w:cs="Calibri"/>
          <w:b/>
          <w:sz w:val="22"/>
          <w:szCs w:val="22"/>
        </w:rPr>
      </w:pPr>
      <w:r w:rsidRPr="0081763F">
        <w:rPr>
          <w:rFonts w:ascii="Calibri" w:hAnsi="Calibri" w:cs="Calibri"/>
          <w:b/>
          <w:sz w:val="22"/>
          <w:szCs w:val="22"/>
        </w:rPr>
        <w:t>Introduction</w:t>
      </w:r>
      <w:r w:rsidRPr="0081763F">
        <w:rPr>
          <w:rFonts w:ascii="Calibri" w:hAnsi="Calibri" w:cs="Calibri"/>
          <w:b/>
          <w:sz w:val="22"/>
          <w:szCs w:val="22"/>
        </w:rPr>
        <w:tab/>
      </w:r>
    </w:p>
    <w:p w14:paraId="63073CF7" w14:textId="77777777" w:rsidR="003414FD" w:rsidRPr="0081763F" w:rsidRDefault="003414FD" w:rsidP="003414FD">
      <w:pPr>
        <w:ind w:right="-142"/>
        <w:jc w:val="both"/>
        <w:rPr>
          <w:rFonts w:ascii="Calibri" w:hAnsi="Calibri" w:cs="Calibri"/>
          <w:sz w:val="22"/>
          <w:szCs w:val="22"/>
        </w:rPr>
      </w:pPr>
      <w:r w:rsidRPr="0081763F">
        <w:rPr>
          <w:rFonts w:ascii="Calibri" w:hAnsi="Calibri" w:cs="Calibri"/>
          <w:sz w:val="22"/>
          <w:szCs w:val="22"/>
        </w:rPr>
        <w:t xml:space="preserve">For the purposes of the Management Discussion and Analysis (“MD&amp;A”) all </w:t>
      </w:r>
      <w:proofErr w:type="gramStart"/>
      <w:r w:rsidRPr="0081763F">
        <w:rPr>
          <w:rFonts w:ascii="Calibri" w:hAnsi="Calibri" w:cs="Calibri"/>
          <w:sz w:val="22"/>
          <w:szCs w:val="22"/>
        </w:rPr>
        <w:t>figures</w:t>
      </w:r>
      <w:proofErr w:type="gramEnd"/>
      <w:r w:rsidRPr="0081763F">
        <w:rPr>
          <w:rFonts w:ascii="Calibri" w:hAnsi="Calibri" w:cs="Calibri"/>
          <w:sz w:val="22"/>
          <w:szCs w:val="22"/>
        </w:rPr>
        <w:t xml:space="preserve"> and comments are by reference to the </w:t>
      </w:r>
      <w:r w:rsidR="00624BC2" w:rsidRPr="0081763F">
        <w:rPr>
          <w:rFonts w:ascii="Calibri" w:hAnsi="Calibri" w:cs="Calibri"/>
          <w:sz w:val="22"/>
          <w:szCs w:val="22"/>
        </w:rPr>
        <w:t>quarter</w:t>
      </w:r>
      <w:r w:rsidRPr="0081763F">
        <w:rPr>
          <w:rFonts w:ascii="Calibri" w:hAnsi="Calibri" w:cs="Calibri"/>
          <w:sz w:val="22"/>
          <w:szCs w:val="22"/>
        </w:rPr>
        <w:t xml:space="preserve"> ended September 30, 2023 results excluding the exceptional item referred to below.</w:t>
      </w:r>
    </w:p>
    <w:p w14:paraId="27BAAC0B" w14:textId="77777777" w:rsidR="003414FD" w:rsidRPr="0081763F" w:rsidRDefault="003414FD" w:rsidP="003414FD">
      <w:pPr>
        <w:ind w:right="-142"/>
        <w:jc w:val="both"/>
        <w:rPr>
          <w:rFonts w:ascii="Calibri" w:hAnsi="Calibri" w:cs="Calibri"/>
          <w:sz w:val="22"/>
          <w:szCs w:val="22"/>
        </w:rPr>
      </w:pPr>
    </w:p>
    <w:p w14:paraId="3F66F372" w14:textId="77777777" w:rsidR="003414FD" w:rsidRPr="0081763F" w:rsidRDefault="003414FD" w:rsidP="003414FD">
      <w:pPr>
        <w:ind w:right="-142"/>
        <w:jc w:val="both"/>
        <w:rPr>
          <w:rFonts w:ascii="Calibri" w:hAnsi="Calibri" w:cs="Calibri"/>
          <w:sz w:val="22"/>
          <w:szCs w:val="22"/>
        </w:rPr>
      </w:pPr>
      <w:r w:rsidRPr="0081763F">
        <w:rPr>
          <w:rFonts w:ascii="Calibri" w:hAnsi="Calibri" w:cs="Calibri"/>
          <w:sz w:val="22"/>
          <w:szCs w:val="22"/>
        </w:rPr>
        <w:t xml:space="preserve">The Group, as part of its risk management strategy, utilised jet fuel call options to set a maximum price for up to 15% of FY23 expected fuel requirements. </w:t>
      </w:r>
      <w:r w:rsidR="0066180A">
        <w:rPr>
          <w:rFonts w:ascii="Calibri" w:hAnsi="Calibri" w:cs="Calibri"/>
          <w:sz w:val="22"/>
          <w:szCs w:val="22"/>
        </w:rPr>
        <w:t>T</w:t>
      </w:r>
      <w:r w:rsidRPr="0081763F">
        <w:rPr>
          <w:rFonts w:ascii="Calibri" w:hAnsi="Calibri" w:cs="Calibri"/>
          <w:sz w:val="22"/>
          <w:szCs w:val="22"/>
        </w:rPr>
        <w:t xml:space="preserve">hese instruments were measured at fair value through the income statement. Following the Russian invasion of Ukraine in Feb. 2022, the price of jet fuel significantly increased. </w:t>
      </w:r>
      <w:r w:rsidR="00624BC2" w:rsidRPr="0081763F">
        <w:rPr>
          <w:rFonts w:ascii="Calibri" w:hAnsi="Calibri" w:cs="Calibri"/>
          <w:sz w:val="22"/>
          <w:szCs w:val="22"/>
        </w:rPr>
        <w:t xml:space="preserve">An exceptional unrealised mark-to-market </w:t>
      </w:r>
      <w:r w:rsidR="006131F7">
        <w:rPr>
          <w:rFonts w:ascii="Calibri" w:hAnsi="Calibri" w:cs="Calibri"/>
          <w:sz w:val="22"/>
          <w:szCs w:val="22"/>
        </w:rPr>
        <w:t>loss</w:t>
      </w:r>
      <w:r w:rsidR="00624BC2" w:rsidRPr="0081763F">
        <w:rPr>
          <w:rFonts w:ascii="Calibri" w:hAnsi="Calibri" w:cs="Calibri"/>
          <w:sz w:val="22"/>
          <w:szCs w:val="22"/>
        </w:rPr>
        <w:t xml:space="preserve"> of €1</w:t>
      </w:r>
      <w:r w:rsidR="003503BE" w:rsidRPr="0081763F">
        <w:rPr>
          <w:rFonts w:ascii="Calibri" w:hAnsi="Calibri" w:cs="Calibri"/>
          <w:sz w:val="22"/>
          <w:szCs w:val="22"/>
        </w:rPr>
        <w:t>4</w:t>
      </w:r>
      <w:r w:rsidR="00624BC2" w:rsidRPr="0081763F">
        <w:rPr>
          <w:rFonts w:ascii="Calibri" w:hAnsi="Calibri" w:cs="Calibri"/>
          <w:sz w:val="22"/>
          <w:szCs w:val="22"/>
        </w:rPr>
        <w:t xml:space="preserve">3M (pre-tax) was recorded on the Group’s jet fuel call options </w:t>
      </w:r>
      <w:proofErr w:type="gramStart"/>
      <w:r w:rsidR="00624BC2" w:rsidRPr="0081763F">
        <w:rPr>
          <w:rFonts w:ascii="Calibri" w:hAnsi="Calibri" w:cs="Calibri"/>
          <w:sz w:val="22"/>
          <w:szCs w:val="22"/>
        </w:rPr>
        <w:t>at</w:t>
      </w:r>
      <w:proofErr w:type="gramEnd"/>
      <w:r w:rsidR="00624BC2" w:rsidRPr="0081763F">
        <w:rPr>
          <w:rFonts w:ascii="Calibri" w:hAnsi="Calibri" w:cs="Calibri"/>
          <w:sz w:val="22"/>
          <w:szCs w:val="22"/>
        </w:rPr>
        <w:t xml:space="preserve"> September 30, 2022.</w:t>
      </w:r>
    </w:p>
    <w:p w14:paraId="6B9620E5" w14:textId="77777777" w:rsidR="003414FD" w:rsidRPr="0081763F" w:rsidRDefault="003414FD" w:rsidP="003414FD">
      <w:pPr>
        <w:ind w:right="-142"/>
        <w:jc w:val="both"/>
        <w:rPr>
          <w:rFonts w:ascii="Calibri" w:hAnsi="Calibri" w:cs="Calibri"/>
          <w:b/>
          <w:sz w:val="22"/>
          <w:szCs w:val="22"/>
          <w:u w:val="single"/>
        </w:rPr>
      </w:pPr>
    </w:p>
    <w:p w14:paraId="7978F224" w14:textId="77777777" w:rsidR="003414FD" w:rsidRPr="0081763F" w:rsidRDefault="003414FD" w:rsidP="003414FD">
      <w:pPr>
        <w:ind w:right="-142"/>
        <w:jc w:val="both"/>
        <w:rPr>
          <w:rFonts w:ascii="Calibri" w:hAnsi="Calibri" w:cs="Calibri"/>
          <w:b/>
          <w:sz w:val="22"/>
          <w:szCs w:val="22"/>
          <w:u w:val="single"/>
        </w:rPr>
      </w:pPr>
      <w:r w:rsidRPr="0081763F">
        <w:rPr>
          <w:rFonts w:ascii="Calibri" w:hAnsi="Calibri" w:cs="Calibri"/>
          <w:b/>
          <w:sz w:val="22"/>
          <w:szCs w:val="22"/>
          <w:u w:val="single"/>
        </w:rPr>
        <w:t>Income Statement</w:t>
      </w:r>
    </w:p>
    <w:p w14:paraId="2FEE4025" w14:textId="77777777" w:rsidR="003414FD" w:rsidRPr="0081763F" w:rsidRDefault="003414FD" w:rsidP="003414FD">
      <w:pPr>
        <w:ind w:right="-142"/>
        <w:jc w:val="both"/>
        <w:rPr>
          <w:rFonts w:ascii="Calibri" w:hAnsi="Calibri" w:cs="Calibri"/>
          <w:b/>
          <w:sz w:val="22"/>
          <w:szCs w:val="22"/>
        </w:rPr>
      </w:pPr>
    </w:p>
    <w:p w14:paraId="621FA906" w14:textId="77777777" w:rsidR="003414FD" w:rsidRPr="0081763F" w:rsidRDefault="003414FD" w:rsidP="003414FD">
      <w:pPr>
        <w:keepNext/>
        <w:ind w:right="-142"/>
        <w:jc w:val="both"/>
        <w:rPr>
          <w:rFonts w:ascii="Calibri" w:hAnsi="Calibri" w:cs="Calibri"/>
          <w:b/>
          <w:sz w:val="22"/>
          <w:szCs w:val="22"/>
        </w:rPr>
      </w:pPr>
      <w:r w:rsidRPr="0081763F">
        <w:rPr>
          <w:rFonts w:ascii="Calibri" w:hAnsi="Calibri" w:cs="Calibri"/>
          <w:b/>
          <w:sz w:val="22"/>
          <w:szCs w:val="22"/>
        </w:rPr>
        <w:t>Scheduled revenues:</w:t>
      </w:r>
      <w:r w:rsidRPr="0081763F">
        <w:rPr>
          <w:rFonts w:ascii="Calibri" w:hAnsi="Calibri" w:cs="Calibri"/>
          <w:b/>
          <w:sz w:val="22"/>
          <w:szCs w:val="22"/>
        </w:rPr>
        <w:tab/>
      </w:r>
    </w:p>
    <w:p w14:paraId="73A4465C" w14:textId="77777777" w:rsidR="003414FD" w:rsidRPr="0081763F" w:rsidRDefault="003414FD" w:rsidP="003414FD">
      <w:pPr>
        <w:ind w:right="-142"/>
        <w:jc w:val="both"/>
        <w:rPr>
          <w:rFonts w:ascii="Calibri" w:hAnsi="Calibri" w:cs="Calibri"/>
          <w:sz w:val="22"/>
          <w:szCs w:val="22"/>
        </w:rPr>
      </w:pPr>
      <w:r w:rsidRPr="0081763F">
        <w:rPr>
          <w:rFonts w:ascii="Calibri" w:hAnsi="Calibri" w:cs="Calibri"/>
          <w:sz w:val="22"/>
          <w:szCs w:val="22"/>
        </w:rPr>
        <w:t xml:space="preserve">Scheduled revenues increased </w:t>
      </w:r>
      <w:r w:rsidR="00EE7836" w:rsidRPr="0081763F">
        <w:rPr>
          <w:rFonts w:ascii="Calibri" w:hAnsi="Calibri" w:cs="Calibri"/>
          <w:b/>
          <w:bCs/>
          <w:sz w:val="22"/>
          <w:szCs w:val="22"/>
        </w:rPr>
        <w:t>26</w:t>
      </w:r>
      <w:r w:rsidRPr="0081763F">
        <w:rPr>
          <w:rFonts w:ascii="Calibri" w:hAnsi="Calibri" w:cs="Calibri"/>
          <w:b/>
          <w:sz w:val="22"/>
          <w:szCs w:val="22"/>
        </w:rPr>
        <w:t>% to €</w:t>
      </w:r>
      <w:r w:rsidR="00EE7836" w:rsidRPr="0081763F">
        <w:rPr>
          <w:rFonts w:ascii="Calibri" w:hAnsi="Calibri" w:cs="Calibri"/>
          <w:b/>
          <w:sz w:val="22"/>
          <w:szCs w:val="22"/>
        </w:rPr>
        <w:t>3.6</w:t>
      </w:r>
      <w:r w:rsidR="00E20222">
        <w:rPr>
          <w:rFonts w:ascii="Calibri" w:hAnsi="Calibri" w:cs="Calibri"/>
          <w:b/>
          <w:sz w:val="22"/>
          <w:szCs w:val="22"/>
        </w:rPr>
        <w:t>0</w:t>
      </w:r>
      <w:r w:rsidRPr="0081763F">
        <w:rPr>
          <w:rFonts w:ascii="Calibri" w:hAnsi="Calibri" w:cs="Calibri"/>
          <w:b/>
          <w:sz w:val="22"/>
          <w:szCs w:val="22"/>
        </w:rPr>
        <w:t>BN</w:t>
      </w:r>
      <w:r w:rsidRPr="0081763F">
        <w:rPr>
          <w:rFonts w:ascii="Calibri" w:hAnsi="Calibri" w:cs="Calibri"/>
          <w:sz w:val="22"/>
          <w:szCs w:val="22"/>
        </w:rPr>
        <w:t xml:space="preserve"> due to </w:t>
      </w:r>
      <w:r w:rsidR="00EE7836" w:rsidRPr="0081763F">
        <w:rPr>
          <w:rFonts w:ascii="Calibri" w:hAnsi="Calibri" w:cs="Calibri"/>
          <w:sz w:val="22"/>
          <w:szCs w:val="22"/>
        </w:rPr>
        <w:t>11</w:t>
      </w:r>
      <w:r w:rsidRPr="0081763F">
        <w:rPr>
          <w:rFonts w:ascii="Calibri" w:hAnsi="Calibri" w:cs="Calibri"/>
          <w:sz w:val="22"/>
          <w:szCs w:val="22"/>
        </w:rPr>
        <w:t>% traffic</w:t>
      </w:r>
      <w:r w:rsidR="0044395A">
        <w:rPr>
          <w:rFonts w:ascii="Calibri" w:hAnsi="Calibri" w:cs="Calibri"/>
          <w:sz w:val="22"/>
          <w:szCs w:val="22"/>
        </w:rPr>
        <w:t xml:space="preserve"> growth</w:t>
      </w:r>
      <w:r w:rsidRPr="0081763F">
        <w:rPr>
          <w:rFonts w:ascii="Calibri" w:hAnsi="Calibri" w:cs="Calibri"/>
          <w:sz w:val="22"/>
          <w:szCs w:val="22"/>
        </w:rPr>
        <w:t xml:space="preserve"> </w:t>
      </w:r>
      <w:r w:rsidR="0044395A">
        <w:rPr>
          <w:rFonts w:ascii="Calibri" w:hAnsi="Calibri" w:cs="Calibri"/>
          <w:sz w:val="22"/>
          <w:szCs w:val="22"/>
        </w:rPr>
        <w:t>(</w:t>
      </w:r>
      <w:r w:rsidRPr="0081763F">
        <w:rPr>
          <w:rFonts w:ascii="Calibri" w:hAnsi="Calibri" w:cs="Calibri"/>
          <w:sz w:val="22"/>
          <w:szCs w:val="22"/>
        </w:rPr>
        <w:t xml:space="preserve">from </w:t>
      </w:r>
      <w:r w:rsidR="00EE7836" w:rsidRPr="0081763F">
        <w:rPr>
          <w:rFonts w:ascii="Calibri" w:hAnsi="Calibri" w:cs="Calibri"/>
          <w:b/>
          <w:bCs/>
          <w:sz w:val="22"/>
          <w:szCs w:val="22"/>
        </w:rPr>
        <w:t>49.5</w:t>
      </w:r>
      <w:r w:rsidRPr="0081763F">
        <w:rPr>
          <w:rFonts w:ascii="Calibri" w:hAnsi="Calibri" w:cs="Calibri"/>
          <w:b/>
          <w:bCs/>
          <w:sz w:val="22"/>
          <w:szCs w:val="22"/>
        </w:rPr>
        <w:t>M</w:t>
      </w:r>
      <w:r w:rsidRPr="0081763F">
        <w:rPr>
          <w:rFonts w:ascii="Calibri" w:hAnsi="Calibri" w:cs="Calibri"/>
          <w:sz w:val="22"/>
          <w:szCs w:val="22"/>
        </w:rPr>
        <w:t xml:space="preserve"> to </w:t>
      </w:r>
      <w:r w:rsidR="00EE7836" w:rsidRPr="0081763F">
        <w:rPr>
          <w:rFonts w:ascii="Calibri" w:hAnsi="Calibri" w:cs="Calibri"/>
          <w:b/>
          <w:bCs/>
          <w:sz w:val="22"/>
          <w:szCs w:val="22"/>
        </w:rPr>
        <w:t>55.0</w:t>
      </w:r>
      <w:r w:rsidRPr="0081763F">
        <w:rPr>
          <w:rFonts w:ascii="Calibri" w:hAnsi="Calibri" w:cs="Calibri"/>
          <w:b/>
          <w:bCs/>
          <w:sz w:val="22"/>
          <w:szCs w:val="22"/>
        </w:rPr>
        <w:t>M</w:t>
      </w:r>
      <w:r w:rsidR="0044395A" w:rsidRPr="0044395A">
        <w:rPr>
          <w:rFonts w:ascii="Calibri" w:hAnsi="Calibri" w:cs="Calibri"/>
          <w:sz w:val="22"/>
          <w:szCs w:val="22"/>
        </w:rPr>
        <w:t>)</w:t>
      </w:r>
      <w:r w:rsidRPr="0081763F">
        <w:rPr>
          <w:rFonts w:ascii="Calibri" w:hAnsi="Calibri" w:cs="Calibri"/>
          <w:sz w:val="22"/>
          <w:szCs w:val="22"/>
        </w:rPr>
        <w:t xml:space="preserve"> and </w:t>
      </w:r>
      <w:r w:rsidR="0044395A">
        <w:rPr>
          <w:rFonts w:ascii="Calibri" w:hAnsi="Calibri" w:cs="Calibri"/>
          <w:sz w:val="22"/>
          <w:szCs w:val="22"/>
        </w:rPr>
        <w:t xml:space="preserve">a </w:t>
      </w:r>
      <w:r w:rsidR="00EE7836" w:rsidRPr="0081763F">
        <w:rPr>
          <w:rFonts w:ascii="Calibri" w:hAnsi="Calibri" w:cs="Calibri"/>
          <w:sz w:val="22"/>
          <w:szCs w:val="22"/>
        </w:rPr>
        <w:t>14</w:t>
      </w:r>
      <w:r w:rsidRPr="0081763F">
        <w:rPr>
          <w:rFonts w:ascii="Calibri" w:hAnsi="Calibri" w:cs="Calibri"/>
          <w:sz w:val="22"/>
          <w:szCs w:val="22"/>
        </w:rPr>
        <w:t xml:space="preserve">% </w:t>
      </w:r>
      <w:r w:rsidR="0044395A">
        <w:rPr>
          <w:rFonts w:ascii="Calibri" w:hAnsi="Calibri" w:cs="Calibri"/>
          <w:sz w:val="22"/>
          <w:szCs w:val="22"/>
        </w:rPr>
        <w:t>increase in</w:t>
      </w:r>
      <w:r w:rsidRPr="0081763F">
        <w:rPr>
          <w:rFonts w:ascii="Calibri" w:hAnsi="Calibri" w:cs="Calibri"/>
          <w:sz w:val="22"/>
          <w:szCs w:val="22"/>
        </w:rPr>
        <w:t xml:space="preserve"> average fares</w:t>
      </w:r>
      <w:r w:rsidR="00EE7836" w:rsidRPr="0081763F">
        <w:rPr>
          <w:rFonts w:ascii="Calibri" w:hAnsi="Calibri" w:cs="Calibri"/>
          <w:sz w:val="22"/>
          <w:szCs w:val="22"/>
        </w:rPr>
        <w:t xml:space="preserve"> </w:t>
      </w:r>
      <w:r w:rsidR="0044395A">
        <w:rPr>
          <w:rFonts w:ascii="Calibri" w:hAnsi="Calibri" w:cs="Calibri"/>
          <w:sz w:val="22"/>
          <w:szCs w:val="22"/>
        </w:rPr>
        <w:t>to</w:t>
      </w:r>
      <w:r w:rsidR="00EE7836" w:rsidRPr="0081763F">
        <w:rPr>
          <w:rFonts w:ascii="Calibri" w:hAnsi="Calibri" w:cs="Calibri"/>
          <w:sz w:val="22"/>
          <w:szCs w:val="22"/>
        </w:rPr>
        <w:t xml:space="preserve"> approx. €65</w:t>
      </w:r>
      <w:r w:rsidRPr="0081763F">
        <w:rPr>
          <w:rFonts w:ascii="Calibri" w:hAnsi="Calibri" w:cs="Calibri"/>
          <w:sz w:val="22"/>
          <w:szCs w:val="22"/>
        </w:rPr>
        <w:t xml:space="preserve">. </w:t>
      </w:r>
    </w:p>
    <w:p w14:paraId="002C28F1" w14:textId="77777777" w:rsidR="003414FD" w:rsidRPr="0081763F" w:rsidRDefault="003414FD" w:rsidP="003414FD">
      <w:pPr>
        <w:ind w:right="-142"/>
        <w:jc w:val="both"/>
        <w:rPr>
          <w:rFonts w:ascii="Calibri" w:hAnsi="Calibri" w:cs="Calibri"/>
          <w:sz w:val="22"/>
          <w:szCs w:val="22"/>
        </w:rPr>
      </w:pPr>
    </w:p>
    <w:p w14:paraId="392B6038" w14:textId="77777777" w:rsidR="003414FD" w:rsidRPr="0081763F" w:rsidRDefault="003414FD" w:rsidP="003414FD">
      <w:pPr>
        <w:ind w:right="-142"/>
        <w:jc w:val="both"/>
        <w:rPr>
          <w:rFonts w:ascii="Calibri" w:hAnsi="Calibri" w:cs="Calibri"/>
          <w:b/>
          <w:sz w:val="22"/>
          <w:szCs w:val="22"/>
        </w:rPr>
      </w:pPr>
      <w:r w:rsidRPr="0081763F">
        <w:rPr>
          <w:rFonts w:ascii="Calibri" w:hAnsi="Calibri" w:cs="Calibri"/>
          <w:b/>
          <w:sz w:val="22"/>
          <w:szCs w:val="22"/>
        </w:rPr>
        <w:t xml:space="preserve">Ancillary revenues: </w:t>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t xml:space="preserve">      </w:t>
      </w:r>
    </w:p>
    <w:p w14:paraId="501726CD" w14:textId="77777777" w:rsidR="003414FD" w:rsidRPr="0081763F" w:rsidRDefault="003414FD" w:rsidP="003414FD">
      <w:pPr>
        <w:ind w:right="-142"/>
        <w:contextualSpacing/>
        <w:jc w:val="both"/>
        <w:rPr>
          <w:rFonts w:ascii="Calibri" w:hAnsi="Calibri" w:cs="Calibri"/>
          <w:sz w:val="22"/>
          <w:szCs w:val="22"/>
        </w:rPr>
      </w:pPr>
      <w:r w:rsidRPr="0081763F">
        <w:rPr>
          <w:rFonts w:ascii="Calibri" w:hAnsi="Calibri" w:cs="Calibri"/>
          <w:sz w:val="22"/>
          <w:szCs w:val="22"/>
        </w:rPr>
        <w:t xml:space="preserve">Ancillary revenues increased </w:t>
      </w:r>
      <w:r w:rsidR="00EE7836" w:rsidRPr="0081763F">
        <w:rPr>
          <w:rFonts w:ascii="Calibri" w:hAnsi="Calibri" w:cs="Calibri"/>
          <w:b/>
          <w:bCs/>
          <w:sz w:val="22"/>
          <w:szCs w:val="22"/>
        </w:rPr>
        <w:t>14</w:t>
      </w:r>
      <w:r w:rsidRPr="0081763F">
        <w:rPr>
          <w:rFonts w:ascii="Calibri" w:hAnsi="Calibri" w:cs="Calibri"/>
          <w:b/>
          <w:bCs/>
          <w:sz w:val="22"/>
          <w:szCs w:val="22"/>
        </w:rPr>
        <w:t>%</w:t>
      </w:r>
      <w:r w:rsidRPr="0081763F">
        <w:rPr>
          <w:rFonts w:ascii="Calibri" w:hAnsi="Calibri" w:cs="Calibri"/>
          <w:sz w:val="22"/>
          <w:szCs w:val="22"/>
        </w:rPr>
        <w:t xml:space="preserve"> </w:t>
      </w:r>
      <w:r w:rsidRPr="0081763F">
        <w:rPr>
          <w:rFonts w:ascii="Calibri" w:hAnsi="Calibri" w:cs="Calibri"/>
          <w:bCs/>
          <w:sz w:val="22"/>
          <w:szCs w:val="22"/>
        </w:rPr>
        <w:t>to</w:t>
      </w:r>
      <w:r w:rsidRPr="0081763F">
        <w:rPr>
          <w:rFonts w:ascii="Calibri" w:hAnsi="Calibri" w:cs="Calibri"/>
          <w:b/>
          <w:sz w:val="22"/>
          <w:szCs w:val="22"/>
        </w:rPr>
        <w:t xml:space="preserve"> €</w:t>
      </w:r>
      <w:r w:rsidR="00EE7836" w:rsidRPr="0081763F">
        <w:rPr>
          <w:rFonts w:ascii="Calibri" w:hAnsi="Calibri" w:cs="Calibri"/>
          <w:b/>
          <w:sz w:val="22"/>
          <w:szCs w:val="22"/>
        </w:rPr>
        <w:t>1.33</w:t>
      </w:r>
      <w:r w:rsidRPr="0081763F">
        <w:rPr>
          <w:rFonts w:ascii="Calibri" w:hAnsi="Calibri" w:cs="Calibri"/>
          <w:b/>
          <w:sz w:val="22"/>
          <w:szCs w:val="22"/>
        </w:rPr>
        <w:t>BN</w:t>
      </w:r>
      <w:r w:rsidRPr="0081763F">
        <w:rPr>
          <w:rFonts w:ascii="Calibri" w:hAnsi="Calibri" w:cs="Calibri"/>
          <w:sz w:val="22"/>
          <w:szCs w:val="22"/>
        </w:rPr>
        <w:t xml:space="preserve"> as traffic grew (up </w:t>
      </w:r>
      <w:r w:rsidR="00EE7836" w:rsidRPr="0081763F">
        <w:rPr>
          <w:rFonts w:ascii="Calibri" w:hAnsi="Calibri" w:cs="Calibri"/>
          <w:sz w:val="22"/>
          <w:szCs w:val="22"/>
        </w:rPr>
        <w:t>11</w:t>
      </w:r>
      <w:r w:rsidRPr="0081763F">
        <w:rPr>
          <w:rFonts w:ascii="Calibri" w:hAnsi="Calibri" w:cs="Calibri"/>
          <w:sz w:val="22"/>
          <w:szCs w:val="22"/>
        </w:rPr>
        <w:t xml:space="preserve">%) and spend on discretionary services such as priority boarding, reserved seating and inflight sales increased </w:t>
      </w:r>
      <w:r w:rsidR="00EE7836" w:rsidRPr="0081763F">
        <w:rPr>
          <w:rFonts w:ascii="Calibri" w:hAnsi="Calibri" w:cs="Calibri"/>
          <w:sz w:val="22"/>
          <w:szCs w:val="22"/>
        </w:rPr>
        <w:t>3</w:t>
      </w:r>
      <w:r w:rsidRPr="0081763F">
        <w:rPr>
          <w:rFonts w:ascii="Calibri" w:hAnsi="Calibri" w:cs="Calibri"/>
          <w:sz w:val="22"/>
          <w:szCs w:val="22"/>
        </w:rPr>
        <w:t xml:space="preserve">% to </w:t>
      </w:r>
      <w:r w:rsidR="0044395A">
        <w:rPr>
          <w:rFonts w:ascii="Calibri" w:hAnsi="Calibri" w:cs="Calibri"/>
          <w:sz w:val="22"/>
          <w:szCs w:val="22"/>
        </w:rPr>
        <w:t xml:space="preserve">over </w:t>
      </w:r>
      <w:r w:rsidRPr="0081763F">
        <w:rPr>
          <w:rFonts w:ascii="Calibri" w:hAnsi="Calibri" w:cs="Calibri"/>
          <w:sz w:val="22"/>
          <w:szCs w:val="22"/>
        </w:rPr>
        <w:t>€</w:t>
      </w:r>
      <w:r w:rsidR="00EE7836" w:rsidRPr="0081763F">
        <w:rPr>
          <w:rFonts w:ascii="Calibri" w:hAnsi="Calibri" w:cs="Calibri"/>
          <w:sz w:val="22"/>
          <w:szCs w:val="22"/>
        </w:rPr>
        <w:t>2</w:t>
      </w:r>
      <w:r w:rsidR="007A75CB">
        <w:rPr>
          <w:rFonts w:ascii="Calibri" w:hAnsi="Calibri" w:cs="Calibri"/>
          <w:sz w:val="22"/>
          <w:szCs w:val="22"/>
        </w:rPr>
        <w:t>4</w:t>
      </w:r>
      <w:r w:rsidRPr="0081763F">
        <w:rPr>
          <w:rFonts w:ascii="Calibri" w:hAnsi="Calibri" w:cs="Calibri"/>
          <w:sz w:val="22"/>
          <w:szCs w:val="22"/>
        </w:rPr>
        <w:t xml:space="preserve"> per passenger.</w:t>
      </w:r>
    </w:p>
    <w:p w14:paraId="23386243" w14:textId="77777777" w:rsidR="003414FD" w:rsidRPr="0081763F" w:rsidRDefault="003414FD" w:rsidP="003414FD">
      <w:pPr>
        <w:ind w:right="-142"/>
        <w:contextualSpacing/>
        <w:jc w:val="both"/>
        <w:rPr>
          <w:rFonts w:ascii="Calibri" w:hAnsi="Calibri" w:cs="Calibri"/>
          <w:sz w:val="22"/>
          <w:szCs w:val="22"/>
        </w:rPr>
      </w:pPr>
    </w:p>
    <w:p w14:paraId="451E6B5F" w14:textId="77777777" w:rsidR="003414FD" w:rsidRPr="0081763F" w:rsidRDefault="003414FD" w:rsidP="003414FD">
      <w:pPr>
        <w:ind w:right="-142"/>
        <w:contextualSpacing/>
        <w:jc w:val="both"/>
        <w:rPr>
          <w:rFonts w:ascii="Calibri" w:hAnsi="Calibri" w:cs="Calibri"/>
          <w:b/>
          <w:sz w:val="22"/>
          <w:szCs w:val="22"/>
        </w:rPr>
      </w:pPr>
      <w:r w:rsidRPr="0081763F">
        <w:rPr>
          <w:rFonts w:ascii="Calibri" w:hAnsi="Calibri" w:cs="Calibri"/>
          <w:b/>
          <w:sz w:val="22"/>
          <w:szCs w:val="22"/>
        </w:rPr>
        <w:t>Total revenues:</w:t>
      </w:r>
    </w:p>
    <w:p w14:paraId="3B09FCD8" w14:textId="77777777" w:rsidR="003414FD" w:rsidRPr="0081763F" w:rsidRDefault="003414FD" w:rsidP="003414FD">
      <w:pPr>
        <w:ind w:right="-142"/>
        <w:contextualSpacing/>
        <w:jc w:val="both"/>
        <w:rPr>
          <w:rFonts w:ascii="Calibri" w:hAnsi="Calibri" w:cs="Calibri"/>
          <w:b/>
          <w:sz w:val="22"/>
          <w:szCs w:val="22"/>
        </w:rPr>
      </w:pPr>
      <w:r w:rsidRPr="0081763F">
        <w:rPr>
          <w:rFonts w:ascii="Calibri" w:hAnsi="Calibri" w:cs="Calibri"/>
          <w:sz w:val="22"/>
          <w:szCs w:val="22"/>
        </w:rPr>
        <w:t xml:space="preserve">As a result of the above, total revenues increased </w:t>
      </w:r>
      <w:r w:rsidR="00EE7836" w:rsidRPr="0081763F">
        <w:rPr>
          <w:rFonts w:ascii="Calibri" w:hAnsi="Calibri" w:cs="Calibri"/>
          <w:b/>
          <w:sz w:val="22"/>
          <w:szCs w:val="22"/>
        </w:rPr>
        <w:t>23</w:t>
      </w:r>
      <w:r w:rsidRPr="0081763F">
        <w:rPr>
          <w:rFonts w:ascii="Calibri" w:hAnsi="Calibri" w:cs="Calibri"/>
          <w:b/>
          <w:sz w:val="22"/>
          <w:szCs w:val="22"/>
        </w:rPr>
        <w:t>% to €</w:t>
      </w:r>
      <w:r w:rsidR="00EE7836" w:rsidRPr="0081763F">
        <w:rPr>
          <w:rFonts w:ascii="Calibri" w:hAnsi="Calibri" w:cs="Calibri"/>
          <w:b/>
          <w:sz w:val="22"/>
          <w:szCs w:val="22"/>
        </w:rPr>
        <w:t>4.9</w:t>
      </w:r>
      <w:r w:rsidR="006A21D2">
        <w:rPr>
          <w:rFonts w:ascii="Calibri" w:hAnsi="Calibri" w:cs="Calibri"/>
          <w:b/>
          <w:sz w:val="22"/>
          <w:szCs w:val="22"/>
        </w:rPr>
        <w:t>3</w:t>
      </w:r>
      <w:r w:rsidRPr="0081763F">
        <w:rPr>
          <w:rFonts w:ascii="Calibri" w:hAnsi="Calibri" w:cs="Calibri"/>
          <w:b/>
          <w:sz w:val="22"/>
          <w:szCs w:val="22"/>
        </w:rPr>
        <w:t>BN.</w:t>
      </w:r>
    </w:p>
    <w:p w14:paraId="0935C270" w14:textId="77777777" w:rsidR="003414FD" w:rsidRPr="0081763F" w:rsidRDefault="003414FD" w:rsidP="003414FD">
      <w:pPr>
        <w:ind w:right="-142"/>
        <w:contextualSpacing/>
        <w:jc w:val="both"/>
        <w:rPr>
          <w:rFonts w:ascii="Calibri" w:hAnsi="Calibri" w:cs="Calibri"/>
          <w:b/>
          <w:sz w:val="22"/>
          <w:szCs w:val="22"/>
        </w:rPr>
      </w:pPr>
    </w:p>
    <w:p w14:paraId="6E70FF9A" w14:textId="77777777" w:rsidR="003414FD" w:rsidRPr="0081763F" w:rsidRDefault="003414FD" w:rsidP="003414FD">
      <w:pPr>
        <w:ind w:right="-142"/>
        <w:jc w:val="both"/>
        <w:rPr>
          <w:rFonts w:ascii="Calibri" w:hAnsi="Calibri" w:cs="Calibri"/>
          <w:b/>
          <w:sz w:val="22"/>
          <w:szCs w:val="22"/>
        </w:rPr>
      </w:pPr>
      <w:r w:rsidRPr="0081763F">
        <w:rPr>
          <w:rFonts w:ascii="Calibri" w:hAnsi="Calibri" w:cs="Calibri"/>
          <w:b/>
          <w:sz w:val="22"/>
          <w:szCs w:val="22"/>
        </w:rPr>
        <w:t>Operating Expenses:</w:t>
      </w:r>
    </w:p>
    <w:p w14:paraId="000AAAA4" w14:textId="77777777" w:rsidR="003414FD" w:rsidRPr="0081763F" w:rsidRDefault="003414FD" w:rsidP="003414FD">
      <w:pPr>
        <w:ind w:right="-142"/>
        <w:jc w:val="both"/>
        <w:rPr>
          <w:rFonts w:ascii="Calibri" w:hAnsi="Calibri" w:cs="Calibri"/>
          <w:b/>
          <w:sz w:val="22"/>
          <w:szCs w:val="22"/>
        </w:rPr>
      </w:pPr>
    </w:p>
    <w:p w14:paraId="3440F413" w14:textId="77777777" w:rsidR="003414FD" w:rsidRPr="0081763F" w:rsidRDefault="003414FD" w:rsidP="003414FD">
      <w:pPr>
        <w:ind w:right="-142"/>
        <w:jc w:val="both"/>
        <w:rPr>
          <w:rFonts w:ascii="Calibri" w:hAnsi="Calibri" w:cs="Calibri"/>
          <w:b/>
          <w:sz w:val="22"/>
          <w:szCs w:val="22"/>
        </w:rPr>
      </w:pPr>
      <w:r w:rsidRPr="0081763F">
        <w:rPr>
          <w:rFonts w:ascii="Calibri" w:hAnsi="Calibri" w:cs="Calibri"/>
          <w:b/>
          <w:sz w:val="22"/>
          <w:szCs w:val="22"/>
        </w:rPr>
        <w:t xml:space="preserve">Fuel and oil: </w:t>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t xml:space="preserve">       </w:t>
      </w:r>
    </w:p>
    <w:p w14:paraId="3AE053F9" w14:textId="77777777" w:rsidR="003414FD" w:rsidRPr="0081763F" w:rsidRDefault="003414FD" w:rsidP="003414FD">
      <w:pPr>
        <w:ind w:right="-142"/>
        <w:jc w:val="both"/>
        <w:rPr>
          <w:rFonts w:ascii="Calibri" w:hAnsi="Calibri" w:cs="Calibri"/>
          <w:sz w:val="22"/>
          <w:szCs w:val="22"/>
        </w:rPr>
      </w:pPr>
      <w:r w:rsidRPr="0081763F">
        <w:rPr>
          <w:rFonts w:ascii="Calibri" w:hAnsi="Calibri" w:cs="Calibri"/>
          <w:sz w:val="22"/>
          <w:szCs w:val="22"/>
        </w:rPr>
        <w:t xml:space="preserve">Fuel and oil </w:t>
      </w:r>
      <w:r w:rsidR="0044395A">
        <w:rPr>
          <w:rFonts w:ascii="Calibri" w:hAnsi="Calibri" w:cs="Calibri"/>
          <w:sz w:val="22"/>
          <w:szCs w:val="22"/>
        </w:rPr>
        <w:t>rose</w:t>
      </w:r>
      <w:r w:rsidRPr="0081763F">
        <w:rPr>
          <w:rFonts w:ascii="Calibri" w:hAnsi="Calibri" w:cs="Calibri"/>
          <w:sz w:val="22"/>
          <w:szCs w:val="22"/>
        </w:rPr>
        <w:t xml:space="preserve"> </w:t>
      </w:r>
      <w:r w:rsidR="00805797" w:rsidRPr="0081763F">
        <w:rPr>
          <w:rFonts w:ascii="Calibri" w:hAnsi="Calibri" w:cs="Calibri"/>
          <w:b/>
          <w:bCs/>
          <w:sz w:val="22"/>
          <w:szCs w:val="22"/>
        </w:rPr>
        <w:t>29</w:t>
      </w:r>
      <w:r w:rsidRPr="0081763F">
        <w:rPr>
          <w:rFonts w:ascii="Calibri" w:hAnsi="Calibri" w:cs="Calibri"/>
          <w:b/>
          <w:sz w:val="22"/>
          <w:szCs w:val="22"/>
        </w:rPr>
        <w:t>% to €</w:t>
      </w:r>
      <w:r w:rsidR="00805797" w:rsidRPr="0081763F">
        <w:rPr>
          <w:rFonts w:ascii="Calibri" w:hAnsi="Calibri" w:cs="Calibri"/>
          <w:b/>
          <w:sz w:val="22"/>
          <w:szCs w:val="22"/>
        </w:rPr>
        <w:t>1.48B</w:t>
      </w:r>
      <w:r w:rsidRPr="0081763F">
        <w:rPr>
          <w:rFonts w:ascii="Calibri" w:hAnsi="Calibri" w:cs="Calibri"/>
          <w:b/>
          <w:sz w:val="22"/>
          <w:szCs w:val="22"/>
        </w:rPr>
        <w:t xml:space="preserve">N </w:t>
      </w:r>
      <w:r w:rsidRPr="0081763F">
        <w:rPr>
          <w:rFonts w:ascii="Calibri" w:hAnsi="Calibri" w:cs="Calibri"/>
          <w:sz w:val="22"/>
          <w:szCs w:val="22"/>
        </w:rPr>
        <w:t xml:space="preserve">due to a </w:t>
      </w:r>
      <w:r w:rsidR="00805797" w:rsidRPr="0081763F">
        <w:rPr>
          <w:rFonts w:ascii="Calibri" w:hAnsi="Calibri" w:cs="Calibri"/>
          <w:sz w:val="22"/>
          <w:szCs w:val="22"/>
        </w:rPr>
        <w:t>10</w:t>
      </w:r>
      <w:r w:rsidRPr="0081763F">
        <w:rPr>
          <w:rFonts w:ascii="Calibri" w:hAnsi="Calibri" w:cs="Calibri"/>
          <w:sz w:val="22"/>
          <w:szCs w:val="22"/>
        </w:rPr>
        <w:t xml:space="preserve">% increase in sectors </w:t>
      </w:r>
      <w:r w:rsidR="00330A9E">
        <w:rPr>
          <w:rFonts w:ascii="Calibri" w:hAnsi="Calibri" w:cs="Calibri"/>
          <w:sz w:val="22"/>
          <w:szCs w:val="22"/>
        </w:rPr>
        <w:t xml:space="preserve">flown </w:t>
      </w:r>
      <w:r w:rsidRPr="0081763F">
        <w:rPr>
          <w:rFonts w:ascii="Calibri" w:hAnsi="Calibri" w:cs="Calibri"/>
          <w:sz w:val="22"/>
          <w:szCs w:val="22"/>
        </w:rPr>
        <w:t xml:space="preserve">and higher jet fuel prices offset by fuel burn savings on the new B737-8200 </w:t>
      </w:r>
      <w:r w:rsidR="0044395A">
        <w:rPr>
          <w:rFonts w:ascii="Calibri" w:hAnsi="Calibri" w:cs="Calibri"/>
          <w:sz w:val="22"/>
          <w:szCs w:val="22"/>
        </w:rPr>
        <w:t xml:space="preserve">“Gamechanger” </w:t>
      </w:r>
      <w:r w:rsidRPr="0081763F">
        <w:rPr>
          <w:rFonts w:ascii="Calibri" w:hAnsi="Calibri" w:cs="Calibri"/>
          <w:sz w:val="22"/>
          <w:szCs w:val="22"/>
        </w:rPr>
        <w:t>aircraft.</w:t>
      </w:r>
    </w:p>
    <w:p w14:paraId="4B023B1E" w14:textId="77777777" w:rsidR="003414FD" w:rsidRPr="0081763F" w:rsidRDefault="003414FD" w:rsidP="003414FD">
      <w:pPr>
        <w:ind w:right="-142"/>
        <w:jc w:val="both"/>
        <w:rPr>
          <w:rFonts w:ascii="Calibri" w:hAnsi="Calibri" w:cs="Calibri"/>
          <w:b/>
          <w:sz w:val="22"/>
          <w:szCs w:val="22"/>
        </w:rPr>
      </w:pPr>
    </w:p>
    <w:p w14:paraId="2FA2C890" w14:textId="77777777" w:rsidR="003414FD" w:rsidRPr="0081763F" w:rsidRDefault="003414FD" w:rsidP="003414FD">
      <w:pPr>
        <w:ind w:right="-142"/>
        <w:jc w:val="both"/>
        <w:rPr>
          <w:rFonts w:ascii="Calibri" w:hAnsi="Calibri" w:cs="Calibri"/>
          <w:b/>
          <w:sz w:val="22"/>
          <w:szCs w:val="22"/>
        </w:rPr>
      </w:pPr>
      <w:r w:rsidRPr="0081763F">
        <w:rPr>
          <w:rFonts w:ascii="Calibri" w:hAnsi="Calibri" w:cs="Calibri"/>
          <w:b/>
          <w:sz w:val="22"/>
          <w:szCs w:val="22"/>
        </w:rPr>
        <w:t xml:space="preserve">Airport and handling charges: </w:t>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t xml:space="preserve">                   </w:t>
      </w:r>
    </w:p>
    <w:p w14:paraId="12F50DEA" w14:textId="77777777" w:rsidR="003414FD" w:rsidRPr="0081763F" w:rsidRDefault="003414FD" w:rsidP="003414FD">
      <w:pPr>
        <w:ind w:right="-142"/>
        <w:jc w:val="both"/>
        <w:rPr>
          <w:rFonts w:ascii="Calibri" w:hAnsi="Calibri" w:cs="Calibri"/>
          <w:sz w:val="22"/>
          <w:szCs w:val="22"/>
        </w:rPr>
      </w:pPr>
      <w:r w:rsidRPr="0081763F">
        <w:rPr>
          <w:rFonts w:ascii="Calibri" w:hAnsi="Calibri" w:cs="Calibri"/>
          <w:sz w:val="22"/>
          <w:szCs w:val="22"/>
        </w:rPr>
        <w:t xml:space="preserve">Airport and handling charges rose </w:t>
      </w:r>
      <w:r w:rsidR="00D62064" w:rsidRPr="0081763F">
        <w:rPr>
          <w:rFonts w:ascii="Calibri" w:hAnsi="Calibri" w:cs="Calibri"/>
          <w:b/>
          <w:bCs/>
          <w:sz w:val="22"/>
          <w:szCs w:val="22"/>
        </w:rPr>
        <w:t>25</w:t>
      </w:r>
      <w:r w:rsidRPr="0081763F">
        <w:rPr>
          <w:rFonts w:ascii="Calibri" w:hAnsi="Calibri" w:cs="Calibri"/>
          <w:b/>
          <w:bCs/>
          <w:sz w:val="22"/>
          <w:szCs w:val="22"/>
        </w:rPr>
        <w:t>% to €</w:t>
      </w:r>
      <w:r w:rsidR="00D62064" w:rsidRPr="0081763F">
        <w:rPr>
          <w:rFonts w:ascii="Calibri" w:hAnsi="Calibri" w:cs="Calibri"/>
          <w:b/>
          <w:bCs/>
          <w:sz w:val="22"/>
          <w:szCs w:val="22"/>
        </w:rPr>
        <w:t>444</w:t>
      </w:r>
      <w:r w:rsidRPr="0081763F">
        <w:rPr>
          <w:rFonts w:ascii="Calibri" w:hAnsi="Calibri" w:cs="Calibri"/>
          <w:b/>
          <w:bCs/>
          <w:sz w:val="22"/>
          <w:szCs w:val="22"/>
        </w:rPr>
        <w:t>M</w:t>
      </w:r>
      <w:r w:rsidRPr="0081763F">
        <w:rPr>
          <w:rFonts w:ascii="Calibri" w:hAnsi="Calibri" w:cs="Calibri"/>
          <w:sz w:val="22"/>
          <w:szCs w:val="22"/>
        </w:rPr>
        <w:t xml:space="preserve">, due to </w:t>
      </w:r>
      <w:r w:rsidR="00D62064" w:rsidRPr="0081763F">
        <w:rPr>
          <w:rFonts w:ascii="Calibri" w:hAnsi="Calibri" w:cs="Calibri"/>
          <w:sz w:val="22"/>
          <w:szCs w:val="22"/>
        </w:rPr>
        <w:t>11</w:t>
      </w:r>
      <w:r w:rsidRPr="0081763F">
        <w:rPr>
          <w:rFonts w:ascii="Calibri" w:hAnsi="Calibri" w:cs="Calibri"/>
          <w:sz w:val="22"/>
          <w:szCs w:val="22"/>
        </w:rPr>
        <w:t>% traffic growth</w:t>
      </w:r>
      <w:r w:rsidR="00181A68">
        <w:rPr>
          <w:rFonts w:ascii="Calibri" w:hAnsi="Calibri" w:cs="Calibri"/>
          <w:sz w:val="22"/>
          <w:szCs w:val="22"/>
        </w:rPr>
        <w:t>,</w:t>
      </w:r>
      <w:r w:rsidRPr="0081763F">
        <w:rPr>
          <w:rFonts w:ascii="Calibri" w:hAnsi="Calibri" w:cs="Calibri"/>
          <w:sz w:val="22"/>
          <w:szCs w:val="22"/>
        </w:rPr>
        <w:t xml:space="preserve"> </w:t>
      </w:r>
      <w:r w:rsidR="00181A68" w:rsidRPr="0081763F">
        <w:rPr>
          <w:rFonts w:ascii="Calibri" w:hAnsi="Calibri" w:cs="Calibri"/>
          <w:sz w:val="22"/>
          <w:szCs w:val="22"/>
        </w:rPr>
        <w:t>higher ATC rates</w:t>
      </w:r>
      <w:r w:rsidR="00181A68">
        <w:rPr>
          <w:rFonts w:ascii="Calibri" w:hAnsi="Calibri" w:cs="Calibri"/>
          <w:sz w:val="22"/>
          <w:szCs w:val="22"/>
        </w:rPr>
        <w:t xml:space="preserve">, and termination of </w:t>
      </w:r>
      <w:r w:rsidR="0044395A">
        <w:rPr>
          <w:rFonts w:ascii="Calibri" w:hAnsi="Calibri" w:cs="Calibri"/>
          <w:sz w:val="22"/>
          <w:szCs w:val="22"/>
        </w:rPr>
        <w:t xml:space="preserve">temporary </w:t>
      </w:r>
      <w:r w:rsidR="00181A68">
        <w:rPr>
          <w:rFonts w:ascii="Calibri" w:hAnsi="Calibri" w:cs="Calibri"/>
          <w:sz w:val="22"/>
          <w:szCs w:val="22"/>
        </w:rPr>
        <w:t>Covid reliefs</w:t>
      </w:r>
      <w:r w:rsidR="0044395A">
        <w:rPr>
          <w:rFonts w:ascii="Calibri" w:hAnsi="Calibri" w:cs="Calibri"/>
          <w:sz w:val="22"/>
          <w:szCs w:val="22"/>
        </w:rPr>
        <w:t xml:space="preserve"> (included in the prior period comparative)</w:t>
      </w:r>
      <w:r w:rsidR="00181A68" w:rsidRPr="0081763F">
        <w:rPr>
          <w:rFonts w:ascii="Calibri" w:hAnsi="Calibri" w:cs="Calibri"/>
          <w:sz w:val="22"/>
          <w:szCs w:val="22"/>
        </w:rPr>
        <w:t>.</w:t>
      </w:r>
    </w:p>
    <w:p w14:paraId="5E237610" w14:textId="77777777" w:rsidR="003414FD" w:rsidRPr="0081763F" w:rsidRDefault="003414FD" w:rsidP="003414FD">
      <w:pPr>
        <w:ind w:right="-142"/>
        <w:jc w:val="both"/>
        <w:rPr>
          <w:rFonts w:ascii="Calibri" w:hAnsi="Calibri" w:cs="Calibri"/>
          <w:sz w:val="22"/>
          <w:szCs w:val="22"/>
        </w:rPr>
      </w:pPr>
    </w:p>
    <w:p w14:paraId="11753C86" w14:textId="77777777" w:rsidR="003414FD" w:rsidRPr="0081763F" w:rsidRDefault="003414FD" w:rsidP="003414FD">
      <w:pPr>
        <w:ind w:right="-142"/>
        <w:jc w:val="both"/>
        <w:rPr>
          <w:rFonts w:ascii="Calibri" w:hAnsi="Calibri" w:cs="Calibri"/>
          <w:b/>
          <w:sz w:val="22"/>
          <w:szCs w:val="22"/>
        </w:rPr>
      </w:pPr>
      <w:r w:rsidRPr="0081763F">
        <w:rPr>
          <w:rFonts w:ascii="Calibri" w:hAnsi="Calibri" w:cs="Calibri"/>
          <w:b/>
          <w:sz w:val="22"/>
          <w:szCs w:val="22"/>
        </w:rPr>
        <w:t>Staff costs:</w:t>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t xml:space="preserve">                                   </w:t>
      </w:r>
    </w:p>
    <w:p w14:paraId="599FAC0E" w14:textId="77777777" w:rsidR="003414FD" w:rsidRPr="0081763F" w:rsidRDefault="003414FD" w:rsidP="003414FD">
      <w:pPr>
        <w:ind w:right="-142"/>
        <w:jc w:val="both"/>
        <w:rPr>
          <w:rFonts w:ascii="Calibri" w:hAnsi="Calibri" w:cs="Calibri"/>
          <w:sz w:val="22"/>
          <w:szCs w:val="22"/>
        </w:rPr>
      </w:pPr>
      <w:r w:rsidRPr="0081763F">
        <w:rPr>
          <w:rFonts w:ascii="Calibri" w:hAnsi="Calibri" w:cs="Calibri"/>
          <w:sz w:val="22"/>
          <w:szCs w:val="22"/>
        </w:rPr>
        <w:t xml:space="preserve">Staff costs increased </w:t>
      </w:r>
      <w:r w:rsidR="005F6F55" w:rsidRPr="0081763F">
        <w:rPr>
          <w:rFonts w:ascii="Calibri" w:hAnsi="Calibri" w:cs="Calibri"/>
          <w:b/>
          <w:bCs/>
          <w:sz w:val="22"/>
          <w:szCs w:val="22"/>
        </w:rPr>
        <w:t>24</w:t>
      </w:r>
      <w:r w:rsidRPr="0081763F">
        <w:rPr>
          <w:rFonts w:ascii="Calibri" w:hAnsi="Calibri" w:cs="Calibri"/>
          <w:b/>
          <w:bCs/>
          <w:sz w:val="22"/>
          <w:szCs w:val="22"/>
        </w:rPr>
        <w:t>% to €</w:t>
      </w:r>
      <w:r w:rsidR="005F6F55" w:rsidRPr="0081763F">
        <w:rPr>
          <w:rFonts w:ascii="Calibri" w:hAnsi="Calibri" w:cs="Calibri"/>
          <w:b/>
          <w:bCs/>
          <w:sz w:val="22"/>
          <w:szCs w:val="22"/>
        </w:rPr>
        <w:t>38</w:t>
      </w:r>
      <w:r w:rsidR="006A21D2">
        <w:rPr>
          <w:rFonts w:ascii="Calibri" w:hAnsi="Calibri" w:cs="Calibri"/>
          <w:b/>
          <w:bCs/>
          <w:sz w:val="22"/>
          <w:szCs w:val="22"/>
        </w:rPr>
        <w:t>3</w:t>
      </w:r>
      <w:r w:rsidRPr="0081763F">
        <w:rPr>
          <w:rFonts w:ascii="Calibri" w:hAnsi="Calibri" w:cs="Calibri"/>
          <w:b/>
          <w:bCs/>
          <w:sz w:val="22"/>
          <w:szCs w:val="22"/>
        </w:rPr>
        <w:t>M</w:t>
      </w:r>
      <w:r w:rsidRPr="0081763F">
        <w:rPr>
          <w:rFonts w:ascii="Calibri" w:hAnsi="Calibri" w:cs="Calibri"/>
          <w:sz w:val="22"/>
          <w:szCs w:val="22"/>
        </w:rPr>
        <w:t xml:space="preserve"> due to the larger fleet, an investment in </w:t>
      </w:r>
      <w:r w:rsidR="0044395A">
        <w:rPr>
          <w:rFonts w:ascii="Calibri" w:hAnsi="Calibri" w:cs="Calibri"/>
          <w:sz w:val="22"/>
          <w:szCs w:val="22"/>
        </w:rPr>
        <w:t xml:space="preserve">S.23 </w:t>
      </w:r>
      <w:r w:rsidRPr="0081763F">
        <w:rPr>
          <w:rFonts w:ascii="Calibri" w:hAnsi="Calibri" w:cs="Calibri"/>
          <w:sz w:val="22"/>
          <w:szCs w:val="22"/>
        </w:rPr>
        <w:t>operational resilience with higher crewing ratios</w:t>
      </w:r>
      <w:r w:rsidR="0044395A">
        <w:rPr>
          <w:rFonts w:ascii="Calibri" w:hAnsi="Calibri" w:cs="Calibri"/>
          <w:sz w:val="22"/>
          <w:szCs w:val="22"/>
        </w:rPr>
        <w:t>,</w:t>
      </w:r>
      <w:r w:rsidRPr="0081763F">
        <w:rPr>
          <w:rFonts w:ascii="Calibri" w:hAnsi="Calibri" w:cs="Calibri"/>
          <w:sz w:val="22"/>
          <w:szCs w:val="22"/>
        </w:rPr>
        <w:t xml:space="preserve"> restoration of Covid-19 pay reductions</w:t>
      </w:r>
      <w:r w:rsidR="006534C0">
        <w:rPr>
          <w:rFonts w:ascii="Calibri" w:hAnsi="Calibri" w:cs="Calibri"/>
          <w:sz w:val="22"/>
          <w:szCs w:val="22"/>
        </w:rPr>
        <w:t>,</w:t>
      </w:r>
      <w:r w:rsidR="0044395A">
        <w:rPr>
          <w:rFonts w:ascii="Calibri" w:hAnsi="Calibri" w:cs="Calibri"/>
          <w:sz w:val="22"/>
          <w:szCs w:val="22"/>
        </w:rPr>
        <w:t xml:space="preserve"> crew pay increases implemented</w:t>
      </w:r>
      <w:r w:rsidR="006534C0">
        <w:rPr>
          <w:rFonts w:ascii="Calibri" w:hAnsi="Calibri" w:cs="Calibri"/>
          <w:sz w:val="22"/>
          <w:szCs w:val="22"/>
        </w:rPr>
        <w:t xml:space="preserve"> and 10% higher sectors</w:t>
      </w:r>
      <w:r w:rsidRPr="0081763F">
        <w:rPr>
          <w:rFonts w:ascii="Calibri" w:hAnsi="Calibri" w:cs="Calibri"/>
          <w:sz w:val="22"/>
          <w:szCs w:val="22"/>
        </w:rPr>
        <w:t>.</w:t>
      </w:r>
    </w:p>
    <w:p w14:paraId="5D988AF2" w14:textId="77777777" w:rsidR="003414FD" w:rsidRPr="0081763F" w:rsidRDefault="003414FD" w:rsidP="003414FD">
      <w:pPr>
        <w:ind w:right="-142"/>
        <w:jc w:val="both"/>
        <w:rPr>
          <w:rFonts w:ascii="Calibri" w:hAnsi="Calibri" w:cs="Calibri"/>
          <w:sz w:val="22"/>
          <w:szCs w:val="22"/>
        </w:rPr>
      </w:pPr>
    </w:p>
    <w:p w14:paraId="40175B67" w14:textId="77777777" w:rsidR="003414FD" w:rsidRPr="0081763F" w:rsidRDefault="003414FD" w:rsidP="003414FD">
      <w:pPr>
        <w:ind w:right="-142"/>
        <w:jc w:val="both"/>
        <w:rPr>
          <w:rFonts w:ascii="Calibri" w:hAnsi="Calibri" w:cs="Calibri"/>
          <w:b/>
          <w:sz w:val="22"/>
          <w:szCs w:val="22"/>
        </w:rPr>
      </w:pPr>
      <w:r w:rsidRPr="0081763F">
        <w:rPr>
          <w:rFonts w:ascii="Calibri" w:hAnsi="Calibri" w:cs="Calibri"/>
          <w:b/>
          <w:sz w:val="22"/>
          <w:szCs w:val="22"/>
        </w:rPr>
        <w:t>Route charges:</w:t>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t xml:space="preserve">                   </w:t>
      </w:r>
    </w:p>
    <w:p w14:paraId="5B1A5110" w14:textId="77777777" w:rsidR="003414FD" w:rsidRPr="0081763F" w:rsidRDefault="003414FD" w:rsidP="003414FD">
      <w:pPr>
        <w:ind w:right="-142"/>
        <w:jc w:val="both"/>
        <w:rPr>
          <w:rFonts w:ascii="Calibri" w:hAnsi="Calibri" w:cs="Calibri"/>
          <w:sz w:val="22"/>
          <w:szCs w:val="22"/>
        </w:rPr>
      </w:pPr>
      <w:r w:rsidRPr="0081763F">
        <w:rPr>
          <w:rFonts w:ascii="Calibri" w:hAnsi="Calibri" w:cs="Calibri"/>
          <w:sz w:val="22"/>
          <w:szCs w:val="22"/>
        </w:rPr>
        <w:t xml:space="preserve">Route charges increased </w:t>
      </w:r>
      <w:r w:rsidR="00EE7836" w:rsidRPr="0081763F">
        <w:rPr>
          <w:rFonts w:ascii="Calibri" w:hAnsi="Calibri" w:cs="Calibri"/>
          <w:b/>
          <w:bCs/>
          <w:sz w:val="22"/>
          <w:szCs w:val="22"/>
        </w:rPr>
        <w:t>15</w:t>
      </w:r>
      <w:r w:rsidRPr="0081763F">
        <w:rPr>
          <w:rFonts w:ascii="Calibri" w:hAnsi="Calibri" w:cs="Calibri"/>
          <w:b/>
          <w:bCs/>
          <w:sz w:val="22"/>
          <w:szCs w:val="22"/>
        </w:rPr>
        <w:t>% to €</w:t>
      </w:r>
      <w:r w:rsidR="00EE7836" w:rsidRPr="0081763F">
        <w:rPr>
          <w:rFonts w:ascii="Calibri" w:hAnsi="Calibri" w:cs="Calibri"/>
          <w:b/>
          <w:bCs/>
          <w:sz w:val="22"/>
          <w:szCs w:val="22"/>
        </w:rPr>
        <w:t>293</w:t>
      </w:r>
      <w:r w:rsidRPr="0081763F">
        <w:rPr>
          <w:rFonts w:ascii="Calibri" w:hAnsi="Calibri" w:cs="Calibri"/>
          <w:b/>
          <w:bCs/>
          <w:sz w:val="22"/>
          <w:szCs w:val="22"/>
        </w:rPr>
        <w:t>M</w:t>
      </w:r>
      <w:r w:rsidRPr="0081763F">
        <w:rPr>
          <w:rFonts w:ascii="Calibri" w:hAnsi="Calibri" w:cs="Calibri"/>
          <w:sz w:val="22"/>
          <w:szCs w:val="22"/>
        </w:rPr>
        <w:t xml:space="preserve">, </w:t>
      </w:r>
      <w:r w:rsidR="0044395A">
        <w:rPr>
          <w:rFonts w:ascii="Calibri" w:hAnsi="Calibri" w:cs="Calibri"/>
          <w:sz w:val="22"/>
          <w:szCs w:val="22"/>
        </w:rPr>
        <w:t>due to</w:t>
      </w:r>
      <w:r w:rsidRPr="0081763F">
        <w:rPr>
          <w:rFonts w:ascii="Calibri" w:hAnsi="Calibri" w:cs="Calibri"/>
          <w:sz w:val="22"/>
          <w:szCs w:val="22"/>
        </w:rPr>
        <w:t xml:space="preserve"> </w:t>
      </w:r>
      <w:r w:rsidR="00EE7836" w:rsidRPr="0081763F">
        <w:rPr>
          <w:rFonts w:ascii="Calibri" w:hAnsi="Calibri" w:cs="Calibri"/>
          <w:sz w:val="22"/>
          <w:szCs w:val="22"/>
        </w:rPr>
        <w:t>10</w:t>
      </w:r>
      <w:r w:rsidRPr="0081763F">
        <w:rPr>
          <w:rFonts w:ascii="Calibri" w:hAnsi="Calibri" w:cs="Calibri"/>
          <w:sz w:val="22"/>
          <w:szCs w:val="22"/>
        </w:rPr>
        <w:t>% sector</w:t>
      </w:r>
      <w:r w:rsidR="0044395A">
        <w:rPr>
          <w:rFonts w:ascii="Calibri" w:hAnsi="Calibri" w:cs="Calibri"/>
          <w:sz w:val="22"/>
          <w:szCs w:val="22"/>
        </w:rPr>
        <w:t xml:space="preserve"> growth</w:t>
      </w:r>
      <w:r w:rsidR="00181A68">
        <w:rPr>
          <w:rFonts w:ascii="Calibri" w:hAnsi="Calibri" w:cs="Calibri"/>
          <w:sz w:val="22"/>
          <w:szCs w:val="22"/>
        </w:rPr>
        <w:t xml:space="preserve"> and higher Eurocontrol rates</w:t>
      </w:r>
      <w:r w:rsidRPr="0081763F">
        <w:rPr>
          <w:rFonts w:ascii="Calibri" w:hAnsi="Calibri" w:cs="Calibri"/>
          <w:sz w:val="22"/>
          <w:szCs w:val="22"/>
        </w:rPr>
        <w:t>.</w:t>
      </w:r>
    </w:p>
    <w:p w14:paraId="1BA4BA11" w14:textId="77777777" w:rsidR="003414FD" w:rsidRPr="0081763F" w:rsidRDefault="003414FD" w:rsidP="003414FD">
      <w:pPr>
        <w:ind w:right="-142"/>
        <w:jc w:val="both"/>
        <w:rPr>
          <w:rFonts w:ascii="Calibri" w:hAnsi="Calibri" w:cs="Calibri"/>
          <w:sz w:val="22"/>
          <w:szCs w:val="22"/>
        </w:rPr>
      </w:pPr>
    </w:p>
    <w:p w14:paraId="1982DD31" w14:textId="77777777" w:rsidR="003414FD" w:rsidRPr="0081763F" w:rsidRDefault="003414FD" w:rsidP="003414FD">
      <w:pPr>
        <w:ind w:right="-142"/>
        <w:jc w:val="both"/>
        <w:rPr>
          <w:rFonts w:ascii="Calibri" w:hAnsi="Calibri" w:cs="Calibri"/>
          <w:b/>
          <w:sz w:val="22"/>
          <w:szCs w:val="22"/>
        </w:rPr>
      </w:pPr>
      <w:r w:rsidRPr="0081763F">
        <w:rPr>
          <w:rFonts w:ascii="Calibri" w:hAnsi="Calibri" w:cs="Calibri"/>
          <w:b/>
          <w:sz w:val="22"/>
          <w:szCs w:val="22"/>
        </w:rPr>
        <w:t xml:space="preserve">Depreciation: </w:t>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t xml:space="preserve">                  </w:t>
      </w:r>
    </w:p>
    <w:p w14:paraId="4C6C716C" w14:textId="77777777" w:rsidR="003414FD" w:rsidRPr="0081763F" w:rsidRDefault="003414FD" w:rsidP="003414FD">
      <w:pPr>
        <w:ind w:right="-142"/>
        <w:jc w:val="both"/>
        <w:rPr>
          <w:rFonts w:ascii="Calibri" w:hAnsi="Calibri" w:cs="Calibri"/>
          <w:sz w:val="22"/>
          <w:szCs w:val="22"/>
        </w:rPr>
      </w:pPr>
      <w:r w:rsidRPr="0081763F">
        <w:rPr>
          <w:rFonts w:ascii="Calibri" w:hAnsi="Calibri" w:cs="Calibri"/>
          <w:sz w:val="22"/>
          <w:szCs w:val="22"/>
        </w:rPr>
        <w:t xml:space="preserve">Depreciation increased </w:t>
      </w:r>
      <w:r w:rsidR="00624BC2" w:rsidRPr="0081763F">
        <w:rPr>
          <w:rFonts w:ascii="Calibri" w:hAnsi="Calibri" w:cs="Calibri"/>
          <w:b/>
          <w:bCs/>
          <w:sz w:val="22"/>
          <w:szCs w:val="22"/>
        </w:rPr>
        <w:t>2</w:t>
      </w:r>
      <w:r w:rsidR="006A21D2">
        <w:rPr>
          <w:rFonts w:ascii="Calibri" w:hAnsi="Calibri" w:cs="Calibri"/>
          <w:b/>
          <w:bCs/>
          <w:sz w:val="22"/>
          <w:szCs w:val="22"/>
        </w:rPr>
        <w:t>5</w:t>
      </w:r>
      <w:r w:rsidRPr="0081763F">
        <w:rPr>
          <w:rFonts w:ascii="Calibri" w:hAnsi="Calibri" w:cs="Calibri"/>
          <w:b/>
          <w:bCs/>
          <w:sz w:val="22"/>
          <w:szCs w:val="22"/>
        </w:rPr>
        <w:t>% to €</w:t>
      </w:r>
      <w:r w:rsidR="00624BC2" w:rsidRPr="0081763F">
        <w:rPr>
          <w:rFonts w:ascii="Calibri" w:hAnsi="Calibri" w:cs="Calibri"/>
          <w:b/>
          <w:bCs/>
          <w:sz w:val="22"/>
          <w:szCs w:val="22"/>
        </w:rPr>
        <w:t>28</w:t>
      </w:r>
      <w:r w:rsidR="006A21D2">
        <w:rPr>
          <w:rFonts w:ascii="Calibri" w:hAnsi="Calibri" w:cs="Calibri"/>
          <w:b/>
          <w:bCs/>
          <w:sz w:val="22"/>
          <w:szCs w:val="22"/>
        </w:rPr>
        <w:t>4</w:t>
      </w:r>
      <w:r w:rsidRPr="0081763F">
        <w:rPr>
          <w:rFonts w:ascii="Calibri" w:hAnsi="Calibri" w:cs="Calibri"/>
          <w:b/>
          <w:bCs/>
          <w:sz w:val="22"/>
          <w:szCs w:val="22"/>
        </w:rPr>
        <w:t>M</w:t>
      </w:r>
      <w:r w:rsidRPr="0081763F">
        <w:rPr>
          <w:rFonts w:ascii="Calibri" w:hAnsi="Calibri" w:cs="Calibri"/>
          <w:sz w:val="22"/>
          <w:szCs w:val="22"/>
        </w:rPr>
        <w:t>, primarily due to higher amortisation resulting from higher aircraft utilisation (</w:t>
      </w:r>
      <w:r w:rsidRPr="004739DA">
        <w:rPr>
          <w:rFonts w:ascii="Calibri" w:hAnsi="Calibri" w:cs="Calibri"/>
          <w:sz w:val="22"/>
          <w:szCs w:val="22"/>
        </w:rPr>
        <w:t xml:space="preserve">sectors up </w:t>
      </w:r>
      <w:r w:rsidR="00624BC2" w:rsidRPr="004739DA">
        <w:rPr>
          <w:rFonts w:ascii="Calibri" w:hAnsi="Calibri" w:cs="Calibri"/>
          <w:sz w:val="22"/>
          <w:szCs w:val="22"/>
        </w:rPr>
        <w:t>10</w:t>
      </w:r>
      <w:r w:rsidRPr="004739DA">
        <w:rPr>
          <w:rFonts w:ascii="Calibri" w:hAnsi="Calibri" w:cs="Calibri"/>
          <w:sz w:val="22"/>
          <w:szCs w:val="22"/>
        </w:rPr>
        <w:t xml:space="preserve">%), the delivery of </w:t>
      </w:r>
      <w:r w:rsidR="00EE7836" w:rsidRPr="004739DA">
        <w:rPr>
          <w:rFonts w:ascii="Calibri" w:hAnsi="Calibri" w:cs="Calibri"/>
          <w:sz w:val="22"/>
          <w:szCs w:val="22"/>
        </w:rPr>
        <w:t>4</w:t>
      </w:r>
      <w:r w:rsidR="00AD26D6">
        <w:rPr>
          <w:rFonts w:ascii="Calibri" w:hAnsi="Calibri" w:cs="Calibri"/>
          <w:sz w:val="22"/>
          <w:szCs w:val="22"/>
        </w:rPr>
        <w:t>7</w:t>
      </w:r>
      <w:r w:rsidRPr="004739DA">
        <w:rPr>
          <w:rFonts w:ascii="Calibri" w:hAnsi="Calibri" w:cs="Calibri"/>
          <w:sz w:val="22"/>
          <w:szCs w:val="22"/>
        </w:rPr>
        <w:t xml:space="preserve"> new “Gamechanger” aircraft and increased depreciation on capitalised maintenance </w:t>
      </w:r>
      <w:r w:rsidR="004739DA" w:rsidRPr="004739DA">
        <w:rPr>
          <w:rFonts w:ascii="Calibri" w:hAnsi="Calibri" w:cs="Calibri"/>
          <w:sz w:val="22"/>
          <w:szCs w:val="22"/>
        </w:rPr>
        <w:t>for</w:t>
      </w:r>
      <w:r w:rsidRPr="004739DA">
        <w:rPr>
          <w:rFonts w:ascii="Calibri" w:hAnsi="Calibri" w:cs="Calibri"/>
          <w:sz w:val="22"/>
          <w:szCs w:val="22"/>
        </w:rPr>
        <w:t xml:space="preserve"> leased</w:t>
      </w:r>
      <w:r w:rsidRPr="0081763F">
        <w:rPr>
          <w:rFonts w:ascii="Calibri" w:hAnsi="Calibri" w:cs="Calibri"/>
          <w:sz w:val="22"/>
          <w:szCs w:val="22"/>
        </w:rPr>
        <w:t xml:space="preserve"> A320 aircraft (</w:t>
      </w:r>
      <w:r w:rsidR="0044395A">
        <w:rPr>
          <w:rFonts w:ascii="Calibri" w:hAnsi="Calibri" w:cs="Calibri"/>
          <w:sz w:val="22"/>
          <w:szCs w:val="22"/>
        </w:rPr>
        <w:t>24</w:t>
      </w:r>
      <w:r w:rsidRPr="0081763F">
        <w:rPr>
          <w:rFonts w:ascii="Calibri" w:hAnsi="Calibri" w:cs="Calibri"/>
          <w:sz w:val="22"/>
          <w:szCs w:val="22"/>
        </w:rPr>
        <w:t xml:space="preserve"> leases were extended in Q2 FY23). There is a partial timing offset in maintenance, </w:t>
      </w:r>
      <w:proofErr w:type="gramStart"/>
      <w:r w:rsidRPr="0081763F">
        <w:rPr>
          <w:rFonts w:ascii="Calibri" w:hAnsi="Calibri" w:cs="Calibri"/>
          <w:sz w:val="22"/>
          <w:szCs w:val="22"/>
        </w:rPr>
        <w:t>materials</w:t>
      </w:r>
      <w:proofErr w:type="gramEnd"/>
      <w:r w:rsidRPr="0081763F">
        <w:rPr>
          <w:rFonts w:ascii="Calibri" w:hAnsi="Calibri" w:cs="Calibri"/>
          <w:sz w:val="22"/>
          <w:szCs w:val="22"/>
        </w:rPr>
        <w:t xml:space="preserve"> and repairs below, arising from the extension of A320 leases</w:t>
      </w:r>
      <w:r w:rsidR="00330A9E">
        <w:rPr>
          <w:rFonts w:ascii="Calibri" w:hAnsi="Calibri" w:cs="Calibri"/>
          <w:sz w:val="22"/>
          <w:szCs w:val="22"/>
        </w:rPr>
        <w:t xml:space="preserve"> in FY23</w:t>
      </w:r>
      <w:r w:rsidRPr="0081763F">
        <w:rPr>
          <w:rFonts w:ascii="Calibri" w:hAnsi="Calibri" w:cs="Calibri"/>
          <w:sz w:val="22"/>
          <w:szCs w:val="22"/>
        </w:rPr>
        <w:t>.</w:t>
      </w:r>
    </w:p>
    <w:p w14:paraId="77482727" w14:textId="77777777" w:rsidR="003414FD" w:rsidRPr="0081763F" w:rsidRDefault="003414FD" w:rsidP="003414FD">
      <w:pPr>
        <w:ind w:right="-142"/>
        <w:jc w:val="both"/>
        <w:rPr>
          <w:rFonts w:ascii="Calibri" w:hAnsi="Calibri" w:cs="Calibri"/>
          <w:b/>
          <w:sz w:val="22"/>
          <w:szCs w:val="22"/>
        </w:rPr>
      </w:pPr>
    </w:p>
    <w:p w14:paraId="26130B17" w14:textId="77777777" w:rsidR="003414FD" w:rsidRPr="0081763F" w:rsidRDefault="003414FD" w:rsidP="003414FD">
      <w:pPr>
        <w:ind w:right="-142"/>
        <w:jc w:val="both"/>
        <w:rPr>
          <w:rFonts w:ascii="Calibri" w:hAnsi="Calibri" w:cs="Calibri"/>
          <w:b/>
          <w:sz w:val="22"/>
          <w:szCs w:val="22"/>
        </w:rPr>
      </w:pPr>
      <w:r w:rsidRPr="0081763F">
        <w:rPr>
          <w:rFonts w:ascii="Calibri" w:hAnsi="Calibri" w:cs="Calibri"/>
          <w:b/>
          <w:sz w:val="22"/>
          <w:szCs w:val="22"/>
        </w:rPr>
        <w:t xml:space="preserve">Marketing, distribution and other: </w:t>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r>
      <w:r w:rsidRPr="0081763F">
        <w:rPr>
          <w:rFonts w:ascii="Calibri" w:hAnsi="Calibri" w:cs="Calibri"/>
          <w:b/>
          <w:sz w:val="22"/>
          <w:szCs w:val="22"/>
        </w:rPr>
        <w:tab/>
        <w:t xml:space="preserve">                        </w:t>
      </w:r>
    </w:p>
    <w:p w14:paraId="439D3803" w14:textId="77777777" w:rsidR="0080200A" w:rsidRPr="00892846" w:rsidRDefault="003414FD" w:rsidP="003414FD">
      <w:pPr>
        <w:ind w:right="-142"/>
        <w:jc w:val="both"/>
        <w:rPr>
          <w:rFonts w:ascii="Calibri" w:hAnsi="Calibri" w:cs="Calibri"/>
          <w:sz w:val="22"/>
          <w:szCs w:val="22"/>
        </w:rPr>
      </w:pPr>
      <w:r w:rsidRPr="0081763F">
        <w:rPr>
          <w:rFonts w:ascii="Calibri" w:hAnsi="Calibri" w:cs="Calibri"/>
          <w:sz w:val="22"/>
          <w:szCs w:val="22"/>
        </w:rPr>
        <w:t xml:space="preserve">Marketing, distribution and other rose </w:t>
      </w:r>
      <w:r w:rsidR="00624BC2" w:rsidRPr="0081763F">
        <w:rPr>
          <w:rFonts w:ascii="Calibri" w:hAnsi="Calibri" w:cs="Calibri"/>
          <w:b/>
          <w:bCs/>
          <w:sz w:val="22"/>
          <w:szCs w:val="22"/>
        </w:rPr>
        <w:t>2</w:t>
      </w:r>
      <w:r w:rsidR="006A21D2">
        <w:rPr>
          <w:rFonts w:ascii="Calibri" w:hAnsi="Calibri" w:cs="Calibri"/>
          <w:b/>
          <w:bCs/>
          <w:sz w:val="22"/>
          <w:szCs w:val="22"/>
        </w:rPr>
        <w:t>3</w:t>
      </w:r>
      <w:r w:rsidRPr="0081763F">
        <w:rPr>
          <w:rFonts w:ascii="Calibri" w:hAnsi="Calibri" w:cs="Calibri"/>
          <w:b/>
          <w:bCs/>
          <w:sz w:val="22"/>
          <w:szCs w:val="22"/>
        </w:rPr>
        <w:t>% to €</w:t>
      </w:r>
      <w:r w:rsidR="00624BC2" w:rsidRPr="0081763F">
        <w:rPr>
          <w:rFonts w:ascii="Calibri" w:hAnsi="Calibri" w:cs="Calibri"/>
          <w:b/>
          <w:bCs/>
          <w:sz w:val="22"/>
          <w:szCs w:val="22"/>
        </w:rPr>
        <w:t>2</w:t>
      </w:r>
      <w:r w:rsidR="006A21D2">
        <w:rPr>
          <w:rFonts w:ascii="Calibri" w:hAnsi="Calibri" w:cs="Calibri"/>
          <w:b/>
          <w:bCs/>
          <w:sz w:val="22"/>
          <w:szCs w:val="22"/>
        </w:rPr>
        <w:t>39</w:t>
      </w:r>
      <w:r w:rsidRPr="0081763F">
        <w:rPr>
          <w:rFonts w:ascii="Calibri" w:hAnsi="Calibri" w:cs="Calibri"/>
          <w:b/>
          <w:bCs/>
          <w:sz w:val="22"/>
          <w:szCs w:val="22"/>
        </w:rPr>
        <w:t>M</w:t>
      </w:r>
      <w:r w:rsidRPr="0081763F">
        <w:rPr>
          <w:rFonts w:ascii="Calibri" w:hAnsi="Calibri" w:cs="Calibri"/>
          <w:sz w:val="22"/>
          <w:szCs w:val="22"/>
        </w:rPr>
        <w:t xml:space="preserve"> due to higher activity</w:t>
      </w:r>
      <w:r w:rsidR="006534C0">
        <w:rPr>
          <w:rFonts w:ascii="Calibri" w:hAnsi="Calibri" w:cs="Calibri"/>
          <w:sz w:val="22"/>
          <w:szCs w:val="22"/>
        </w:rPr>
        <w:t xml:space="preserve"> in the period </w:t>
      </w:r>
      <w:r w:rsidR="0080200A" w:rsidRPr="004739DA">
        <w:rPr>
          <w:rFonts w:ascii="Calibri" w:hAnsi="Calibri" w:cs="Calibri"/>
          <w:sz w:val="22"/>
          <w:szCs w:val="22"/>
        </w:rPr>
        <w:t>(including increased credit card transactions</w:t>
      </w:r>
      <w:r w:rsidR="0080200A">
        <w:rPr>
          <w:rFonts w:ascii="Calibri" w:hAnsi="Calibri" w:cs="Calibri"/>
          <w:sz w:val="22"/>
          <w:szCs w:val="22"/>
        </w:rPr>
        <w:t xml:space="preserve"> and</w:t>
      </w:r>
      <w:r w:rsidR="0080200A" w:rsidRPr="004739DA">
        <w:rPr>
          <w:rFonts w:ascii="Calibri" w:hAnsi="Calibri" w:cs="Calibri"/>
          <w:sz w:val="22"/>
          <w:szCs w:val="22"/>
        </w:rPr>
        <w:t xml:space="preserve"> higher inflight sales</w:t>
      </w:r>
      <w:r w:rsidR="0080200A">
        <w:rPr>
          <w:rFonts w:ascii="Calibri" w:hAnsi="Calibri" w:cs="Calibri"/>
          <w:sz w:val="22"/>
          <w:szCs w:val="22"/>
        </w:rPr>
        <w:t>)</w:t>
      </w:r>
      <w:r w:rsidR="00D579F6" w:rsidRPr="00D579F6">
        <w:rPr>
          <w:rFonts w:ascii="Calibri" w:hAnsi="Calibri" w:cs="Calibri"/>
          <w:sz w:val="22"/>
          <w:szCs w:val="22"/>
        </w:rPr>
        <w:t xml:space="preserve"> </w:t>
      </w:r>
      <w:r w:rsidR="00D579F6">
        <w:rPr>
          <w:rFonts w:ascii="Calibri" w:hAnsi="Calibri" w:cs="Calibri"/>
          <w:sz w:val="22"/>
          <w:szCs w:val="22"/>
        </w:rPr>
        <w:t>and higher EU261 due to delays arising from the knock-on effect of ATC related disruptions (including the NATS system failure in August and significant French ATC strikes).</w:t>
      </w:r>
    </w:p>
    <w:p w14:paraId="017AAFF3" w14:textId="77777777" w:rsidR="003414FD" w:rsidRPr="0081763F" w:rsidRDefault="00892846" w:rsidP="003414FD">
      <w:pPr>
        <w:ind w:right="-142"/>
        <w:jc w:val="both"/>
        <w:rPr>
          <w:rFonts w:ascii="Calibri" w:hAnsi="Calibri" w:cs="Calibri"/>
          <w:b/>
          <w:sz w:val="22"/>
          <w:szCs w:val="22"/>
        </w:rPr>
      </w:pPr>
      <w:r>
        <w:rPr>
          <w:rFonts w:ascii="Calibri" w:hAnsi="Calibri" w:cs="Calibri"/>
          <w:b/>
          <w:sz w:val="22"/>
          <w:szCs w:val="22"/>
        </w:rPr>
        <w:br w:type="page"/>
      </w:r>
      <w:r w:rsidR="003414FD" w:rsidRPr="0081763F">
        <w:rPr>
          <w:rFonts w:ascii="Calibri" w:hAnsi="Calibri" w:cs="Calibri"/>
          <w:b/>
          <w:sz w:val="22"/>
          <w:szCs w:val="22"/>
        </w:rPr>
        <w:lastRenderedPageBreak/>
        <w:t xml:space="preserve">Maintenance, </w:t>
      </w:r>
      <w:proofErr w:type="gramStart"/>
      <w:r w:rsidR="003414FD" w:rsidRPr="0081763F">
        <w:rPr>
          <w:rFonts w:ascii="Calibri" w:hAnsi="Calibri" w:cs="Calibri"/>
          <w:b/>
          <w:sz w:val="22"/>
          <w:szCs w:val="22"/>
        </w:rPr>
        <w:t>materials</w:t>
      </w:r>
      <w:proofErr w:type="gramEnd"/>
      <w:r w:rsidR="003414FD" w:rsidRPr="0081763F">
        <w:rPr>
          <w:rFonts w:ascii="Calibri" w:hAnsi="Calibri" w:cs="Calibri"/>
          <w:b/>
          <w:sz w:val="22"/>
          <w:szCs w:val="22"/>
        </w:rPr>
        <w:t xml:space="preserve"> and repairs: </w:t>
      </w:r>
      <w:r w:rsidR="003414FD" w:rsidRPr="0081763F">
        <w:rPr>
          <w:rFonts w:ascii="Calibri" w:hAnsi="Calibri" w:cs="Calibri"/>
          <w:b/>
          <w:sz w:val="22"/>
          <w:szCs w:val="22"/>
        </w:rPr>
        <w:tab/>
      </w:r>
      <w:r w:rsidR="003414FD" w:rsidRPr="0081763F">
        <w:rPr>
          <w:rFonts w:ascii="Calibri" w:hAnsi="Calibri" w:cs="Calibri"/>
          <w:b/>
          <w:sz w:val="22"/>
          <w:szCs w:val="22"/>
        </w:rPr>
        <w:tab/>
      </w:r>
      <w:r w:rsidR="003414FD" w:rsidRPr="0081763F">
        <w:rPr>
          <w:rFonts w:ascii="Calibri" w:hAnsi="Calibri" w:cs="Calibri"/>
          <w:b/>
          <w:sz w:val="22"/>
          <w:szCs w:val="22"/>
        </w:rPr>
        <w:tab/>
        <w:t xml:space="preserve">                     </w:t>
      </w:r>
    </w:p>
    <w:p w14:paraId="5ABC9D1F" w14:textId="77777777" w:rsidR="00892846" w:rsidRDefault="003414FD" w:rsidP="003414FD">
      <w:pPr>
        <w:ind w:right="-142"/>
        <w:jc w:val="both"/>
        <w:rPr>
          <w:rFonts w:ascii="Calibri" w:hAnsi="Calibri" w:cs="Calibri"/>
          <w:sz w:val="22"/>
          <w:szCs w:val="22"/>
        </w:rPr>
      </w:pPr>
      <w:r w:rsidRPr="0081763F">
        <w:rPr>
          <w:rFonts w:ascii="Calibri" w:hAnsi="Calibri" w:cs="Calibri"/>
          <w:sz w:val="22"/>
          <w:szCs w:val="22"/>
        </w:rPr>
        <w:t xml:space="preserve">Maintenance, </w:t>
      </w:r>
      <w:proofErr w:type="gramStart"/>
      <w:r w:rsidRPr="0081763F">
        <w:rPr>
          <w:rFonts w:ascii="Calibri" w:hAnsi="Calibri" w:cs="Calibri"/>
          <w:sz w:val="22"/>
          <w:szCs w:val="22"/>
        </w:rPr>
        <w:t>materials</w:t>
      </w:r>
      <w:proofErr w:type="gramEnd"/>
      <w:r w:rsidRPr="0081763F">
        <w:rPr>
          <w:rFonts w:ascii="Calibri" w:hAnsi="Calibri" w:cs="Calibri"/>
          <w:sz w:val="22"/>
          <w:szCs w:val="22"/>
        </w:rPr>
        <w:t xml:space="preserve"> and repairs decreased </w:t>
      </w:r>
      <w:r w:rsidR="00624BC2" w:rsidRPr="0081763F">
        <w:rPr>
          <w:rFonts w:ascii="Calibri" w:hAnsi="Calibri" w:cs="Calibri"/>
          <w:b/>
          <w:bCs/>
          <w:sz w:val="22"/>
          <w:szCs w:val="22"/>
        </w:rPr>
        <w:t>9</w:t>
      </w:r>
      <w:r w:rsidRPr="0081763F">
        <w:rPr>
          <w:rFonts w:ascii="Calibri" w:hAnsi="Calibri" w:cs="Calibri"/>
          <w:b/>
          <w:bCs/>
          <w:sz w:val="22"/>
          <w:szCs w:val="22"/>
        </w:rPr>
        <w:t>% to €</w:t>
      </w:r>
      <w:r w:rsidR="00624BC2" w:rsidRPr="0081763F">
        <w:rPr>
          <w:rFonts w:ascii="Calibri" w:hAnsi="Calibri" w:cs="Calibri"/>
          <w:b/>
          <w:bCs/>
          <w:sz w:val="22"/>
          <w:szCs w:val="22"/>
        </w:rPr>
        <w:t>102</w:t>
      </w:r>
      <w:r w:rsidRPr="0081763F">
        <w:rPr>
          <w:rFonts w:ascii="Calibri" w:hAnsi="Calibri" w:cs="Calibri"/>
          <w:b/>
          <w:bCs/>
          <w:sz w:val="22"/>
          <w:szCs w:val="22"/>
        </w:rPr>
        <w:t>M</w:t>
      </w:r>
      <w:r w:rsidRPr="0081763F">
        <w:rPr>
          <w:rFonts w:ascii="Calibri" w:hAnsi="Calibri" w:cs="Calibri"/>
          <w:sz w:val="22"/>
          <w:szCs w:val="22"/>
        </w:rPr>
        <w:t xml:space="preserve"> due to </w:t>
      </w:r>
      <w:r w:rsidR="00DD64A2">
        <w:rPr>
          <w:rFonts w:ascii="Calibri" w:hAnsi="Calibri" w:cs="Calibri"/>
          <w:sz w:val="22"/>
          <w:szCs w:val="22"/>
        </w:rPr>
        <w:t xml:space="preserve">the </w:t>
      </w:r>
      <w:r w:rsidRPr="0081763F">
        <w:rPr>
          <w:rFonts w:ascii="Calibri" w:hAnsi="Calibri" w:cs="Calibri"/>
          <w:sz w:val="22"/>
          <w:szCs w:val="22"/>
        </w:rPr>
        <w:t>timing of aircraft checks. There is a partial timing offset in depreciation above, arising from the extension of A320 leases in FY23.</w:t>
      </w:r>
    </w:p>
    <w:p w14:paraId="10E48FAC" w14:textId="77777777" w:rsidR="00892846" w:rsidRDefault="00892846" w:rsidP="003414FD">
      <w:pPr>
        <w:ind w:right="-142"/>
        <w:jc w:val="both"/>
        <w:rPr>
          <w:rFonts w:ascii="Calibri" w:hAnsi="Calibri" w:cs="Calibri"/>
          <w:sz w:val="22"/>
          <w:szCs w:val="22"/>
        </w:rPr>
      </w:pPr>
    </w:p>
    <w:p w14:paraId="2B687D85" w14:textId="77777777" w:rsidR="003414FD" w:rsidRPr="00AF0E62" w:rsidRDefault="003414FD" w:rsidP="003414FD">
      <w:pPr>
        <w:ind w:right="-142"/>
        <w:jc w:val="both"/>
        <w:rPr>
          <w:rFonts w:ascii="Calibri" w:hAnsi="Calibri" w:cs="Calibri"/>
          <w:b/>
          <w:sz w:val="22"/>
          <w:szCs w:val="22"/>
        </w:rPr>
      </w:pPr>
      <w:r w:rsidRPr="00AF0E62">
        <w:rPr>
          <w:rFonts w:ascii="Calibri" w:hAnsi="Calibri" w:cs="Calibri"/>
          <w:b/>
          <w:sz w:val="22"/>
          <w:szCs w:val="22"/>
        </w:rPr>
        <w:t>Other expense:</w:t>
      </w:r>
      <w:r w:rsidRPr="00AF0E62">
        <w:rPr>
          <w:rFonts w:ascii="Calibri" w:hAnsi="Calibri" w:cs="Calibri"/>
          <w:b/>
          <w:sz w:val="22"/>
          <w:szCs w:val="22"/>
        </w:rPr>
        <w:tab/>
      </w:r>
    </w:p>
    <w:p w14:paraId="62A42E75" w14:textId="77777777" w:rsidR="00CA6F7F" w:rsidRPr="00C42B71" w:rsidRDefault="003414FD" w:rsidP="00892846">
      <w:pPr>
        <w:ind w:right="-142"/>
        <w:jc w:val="both"/>
        <w:rPr>
          <w:rFonts w:ascii="Calibri" w:hAnsi="Calibri" w:cs="Calibri"/>
          <w:b/>
          <w:sz w:val="22"/>
          <w:szCs w:val="22"/>
          <w:highlight w:val="green"/>
        </w:rPr>
      </w:pPr>
      <w:r w:rsidRPr="00AF0E62">
        <w:rPr>
          <w:rFonts w:ascii="Calibri" w:hAnsi="Calibri" w:cs="Calibri"/>
          <w:sz w:val="22"/>
          <w:szCs w:val="22"/>
        </w:rPr>
        <w:t xml:space="preserve">Net finance income was positive at </w:t>
      </w:r>
      <w:r w:rsidRPr="00AF0E62">
        <w:rPr>
          <w:rFonts w:ascii="Calibri" w:hAnsi="Calibri" w:cs="Calibri"/>
          <w:b/>
          <w:bCs/>
          <w:sz w:val="22"/>
          <w:szCs w:val="22"/>
        </w:rPr>
        <w:t>€</w:t>
      </w:r>
      <w:r w:rsidR="00624BC2" w:rsidRPr="00AF0E62">
        <w:rPr>
          <w:rFonts w:ascii="Calibri" w:hAnsi="Calibri" w:cs="Calibri"/>
          <w:b/>
          <w:bCs/>
          <w:sz w:val="22"/>
          <w:szCs w:val="22"/>
        </w:rPr>
        <w:t>1</w:t>
      </w:r>
      <w:r w:rsidR="006A21D2" w:rsidRPr="00AF0E62">
        <w:rPr>
          <w:rFonts w:ascii="Calibri" w:hAnsi="Calibri" w:cs="Calibri"/>
          <w:b/>
          <w:bCs/>
          <w:sz w:val="22"/>
          <w:szCs w:val="22"/>
        </w:rPr>
        <w:t>4</w:t>
      </w:r>
      <w:r w:rsidRPr="00AF0E62">
        <w:rPr>
          <w:rFonts w:ascii="Calibri" w:hAnsi="Calibri" w:cs="Calibri"/>
          <w:b/>
          <w:bCs/>
          <w:sz w:val="22"/>
          <w:szCs w:val="22"/>
        </w:rPr>
        <w:t xml:space="preserve">M </w:t>
      </w:r>
      <w:r w:rsidRPr="00AF0E62">
        <w:rPr>
          <w:rFonts w:ascii="Calibri" w:hAnsi="Calibri" w:cs="Calibri"/>
          <w:sz w:val="22"/>
          <w:szCs w:val="22"/>
        </w:rPr>
        <w:t>due to rising deposit interest rates</w:t>
      </w:r>
      <w:r w:rsidR="006534C0">
        <w:rPr>
          <w:rFonts w:ascii="Calibri" w:hAnsi="Calibri" w:cs="Calibri"/>
          <w:sz w:val="22"/>
          <w:szCs w:val="22"/>
        </w:rPr>
        <w:t>,</w:t>
      </w:r>
      <w:r w:rsidRPr="00AF0E62">
        <w:rPr>
          <w:rFonts w:ascii="Calibri" w:hAnsi="Calibri" w:cs="Calibri"/>
          <w:sz w:val="22"/>
          <w:szCs w:val="22"/>
        </w:rPr>
        <w:t xml:space="preserve"> lower </w:t>
      </w:r>
      <w:r w:rsidR="00B01273" w:rsidRPr="00AF0E62">
        <w:rPr>
          <w:rFonts w:ascii="Calibri" w:hAnsi="Calibri" w:cs="Calibri"/>
          <w:sz w:val="22"/>
          <w:szCs w:val="22"/>
        </w:rPr>
        <w:t xml:space="preserve">gross </w:t>
      </w:r>
      <w:r w:rsidRPr="00AF0E62">
        <w:rPr>
          <w:rFonts w:ascii="Calibri" w:hAnsi="Calibri" w:cs="Calibri"/>
          <w:sz w:val="22"/>
          <w:szCs w:val="22"/>
        </w:rPr>
        <w:t>debt</w:t>
      </w:r>
      <w:r w:rsidR="00330A9E">
        <w:rPr>
          <w:rFonts w:ascii="Calibri" w:hAnsi="Calibri" w:cs="Calibri"/>
          <w:sz w:val="22"/>
          <w:szCs w:val="22"/>
        </w:rPr>
        <w:t>, a</w:t>
      </w:r>
      <w:r w:rsidR="006534C0">
        <w:rPr>
          <w:rFonts w:ascii="Calibri" w:hAnsi="Calibri" w:cs="Calibri"/>
          <w:sz w:val="22"/>
          <w:szCs w:val="22"/>
        </w:rPr>
        <w:t>nd a net cash position throughout the period.</w:t>
      </w:r>
      <w:r w:rsidRPr="00AF0E62">
        <w:rPr>
          <w:rFonts w:ascii="Calibri" w:hAnsi="Calibri" w:cs="Calibri"/>
          <w:sz w:val="22"/>
          <w:szCs w:val="22"/>
        </w:rPr>
        <w:t xml:space="preserve"> </w:t>
      </w:r>
      <w:r w:rsidR="00B01273" w:rsidRPr="00AF0E62">
        <w:rPr>
          <w:rFonts w:ascii="Calibri" w:hAnsi="Calibri" w:cs="Calibri"/>
          <w:sz w:val="22"/>
          <w:szCs w:val="22"/>
        </w:rPr>
        <w:t>F</w:t>
      </w:r>
      <w:r w:rsidRPr="00AF0E62">
        <w:rPr>
          <w:rFonts w:ascii="Calibri" w:hAnsi="Calibri" w:cs="Calibri"/>
          <w:sz w:val="22"/>
          <w:szCs w:val="22"/>
        </w:rPr>
        <w:t>oreign exchange translation reflect</w:t>
      </w:r>
      <w:r w:rsidR="00B01273" w:rsidRPr="00AF0E62">
        <w:rPr>
          <w:rFonts w:ascii="Calibri" w:hAnsi="Calibri" w:cs="Calibri"/>
          <w:sz w:val="22"/>
          <w:szCs w:val="22"/>
        </w:rPr>
        <w:t>s the impact of</w:t>
      </w:r>
      <w:r w:rsidRPr="00AF0E62">
        <w:rPr>
          <w:rFonts w:ascii="Calibri" w:hAnsi="Calibri" w:cs="Calibri"/>
          <w:sz w:val="22"/>
          <w:szCs w:val="22"/>
        </w:rPr>
        <w:t xml:space="preserve"> €/US$ exchange rate </w:t>
      </w:r>
      <w:r w:rsidR="00B01273" w:rsidRPr="00AF0E62">
        <w:rPr>
          <w:rFonts w:ascii="Calibri" w:hAnsi="Calibri" w:cs="Calibri"/>
          <w:sz w:val="22"/>
          <w:szCs w:val="22"/>
        </w:rPr>
        <w:t xml:space="preserve">movements </w:t>
      </w:r>
      <w:r w:rsidRPr="00AF0E62">
        <w:rPr>
          <w:rFonts w:ascii="Calibri" w:hAnsi="Calibri" w:cs="Calibri"/>
          <w:sz w:val="22"/>
          <w:szCs w:val="22"/>
        </w:rPr>
        <w:t>on balance sheet revaluations.</w:t>
      </w:r>
      <w:bookmarkStart w:id="10" w:name="_Hlk496863401"/>
      <w:bookmarkStart w:id="11" w:name="_Hlk527704259"/>
    </w:p>
    <w:p w14:paraId="4F9721DC" w14:textId="77777777" w:rsidR="00063A4D" w:rsidRPr="0081763F" w:rsidRDefault="00655B29" w:rsidP="00CE13BB">
      <w:pPr>
        <w:pStyle w:val="CG-Title-Center-Bold"/>
        <w:keepNext w:val="0"/>
        <w:tabs>
          <w:tab w:val="left" w:pos="-600"/>
          <w:tab w:val="left" w:pos="6120"/>
          <w:tab w:val="left" w:pos="6360"/>
          <w:tab w:val="left" w:pos="7800"/>
        </w:tabs>
        <w:spacing w:after="0"/>
        <w:ind w:left="-601" w:right="-142"/>
        <w:rPr>
          <w:rFonts w:ascii="Calibri" w:hAnsi="Calibri" w:cs="Calibri"/>
          <w:sz w:val="24"/>
          <w:szCs w:val="24"/>
        </w:rPr>
      </w:pPr>
      <w:r w:rsidRPr="0081763F">
        <w:rPr>
          <w:rFonts w:ascii="Calibri" w:hAnsi="Calibri" w:cs="Calibri"/>
          <w:sz w:val="24"/>
          <w:szCs w:val="24"/>
        </w:rPr>
        <w:br w:type="page"/>
      </w:r>
      <w:r w:rsidR="00063A4D" w:rsidRPr="0081763F">
        <w:rPr>
          <w:rFonts w:ascii="Calibri" w:hAnsi="Calibri" w:cs="Calibri"/>
          <w:sz w:val="24"/>
          <w:szCs w:val="24"/>
        </w:rPr>
        <w:lastRenderedPageBreak/>
        <w:t>Ryanair Holdings plc and Subsidiaries</w:t>
      </w:r>
    </w:p>
    <w:p w14:paraId="73FAC937" w14:textId="77777777" w:rsidR="00063A4D" w:rsidRPr="0081763F" w:rsidRDefault="00063A4D" w:rsidP="00CE13BB">
      <w:pPr>
        <w:pStyle w:val="CG-Title-Center-Bold"/>
        <w:keepNext w:val="0"/>
        <w:tabs>
          <w:tab w:val="left" w:pos="-600"/>
          <w:tab w:val="left" w:pos="6120"/>
          <w:tab w:val="left" w:pos="6360"/>
          <w:tab w:val="left" w:pos="7800"/>
        </w:tabs>
        <w:spacing w:after="0"/>
        <w:ind w:left="-601" w:right="-142"/>
        <w:rPr>
          <w:rFonts w:ascii="Calibri" w:hAnsi="Calibri" w:cs="Calibri"/>
          <w:sz w:val="24"/>
          <w:szCs w:val="24"/>
        </w:rPr>
      </w:pPr>
      <w:r w:rsidRPr="0081763F">
        <w:rPr>
          <w:rFonts w:ascii="Calibri" w:hAnsi="Calibri" w:cs="Calibri"/>
          <w:sz w:val="24"/>
          <w:szCs w:val="24"/>
        </w:rPr>
        <w:t>Interim Management Report</w:t>
      </w:r>
    </w:p>
    <w:p w14:paraId="77062A14" w14:textId="77777777" w:rsidR="00063A4D" w:rsidRPr="0081763F" w:rsidRDefault="00063A4D" w:rsidP="00063A4D">
      <w:pPr>
        <w:rPr>
          <w:rFonts w:ascii="Calibri" w:hAnsi="Calibri" w:cs="Calibri"/>
        </w:rPr>
      </w:pPr>
    </w:p>
    <w:p w14:paraId="42893F12" w14:textId="77777777" w:rsidR="00063A4D" w:rsidRPr="0081763F" w:rsidRDefault="00063A4D" w:rsidP="00CE13BB">
      <w:pPr>
        <w:spacing w:line="300" w:lineRule="exact"/>
        <w:ind w:right="-142"/>
        <w:jc w:val="both"/>
        <w:rPr>
          <w:rFonts w:ascii="Calibri" w:hAnsi="Calibri" w:cs="Calibri"/>
          <w:b/>
          <w:sz w:val="22"/>
          <w:szCs w:val="22"/>
        </w:rPr>
      </w:pPr>
      <w:r w:rsidRPr="0081763F">
        <w:rPr>
          <w:rFonts w:ascii="Calibri" w:hAnsi="Calibri" w:cs="Calibri"/>
          <w:b/>
          <w:sz w:val="22"/>
          <w:szCs w:val="22"/>
        </w:rPr>
        <w:t>Introduction</w:t>
      </w:r>
    </w:p>
    <w:p w14:paraId="26456E7B" w14:textId="77777777" w:rsidR="00063A4D" w:rsidRPr="0081763F" w:rsidRDefault="00063A4D" w:rsidP="00CE13BB">
      <w:pPr>
        <w:spacing w:line="300" w:lineRule="exact"/>
        <w:ind w:right="-142"/>
        <w:jc w:val="both"/>
        <w:rPr>
          <w:rFonts w:ascii="Calibri" w:hAnsi="Calibri" w:cs="Calibri"/>
          <w:b/>
          <w:sz w:val="22"/>
          <w:szCs w:val="22"/>
        </w:rPr>
      </w:pPr>
    </w:p>
    <w:p w14:paraId="50AC2F76" w14:textId="77777777" w:rsidR="00063A4D" w:rsidRPr="0081763F" w:rsidRDefault="00063A4D" w:rsidP="00CE13BB">
      <w:pPr>
        <w:autoSpaceDE w:val="0"/>
        <w:autoSpaceDN w:val="0"/>
        <w:adjustRightInd w:val="0"/>
        <w:spacing w:line="300" w:lineRule="exact"/>
        <w:ind w:right="-142"/>
        <w:jc w:val="both"/>
        <w:rPr>
          <w:rFonts w:ascii="Calibri" w:hAnsi="Calibri" w:cs="Calibri"/>
          <w:sz w:val="22"/>
          <w:szCs w:val="22"/>
        </w:rPr>
      </w:pPr>
      <w:r w:rsidRPr="0081763F">
        <w:rPr>
          <w:rFonts w:ascii="Calibri" w:hAnsi="Calibri" w:cs="Calibri"/>
          <w:sz w:val="22"/>
          <w:szCs w:val="22"/>
        </w:rPr>
        <w:t xml:space="preserve">This financial report for the half-year ended September 30, </w:t>
      </w:r>
      <w:proofErr w:type="gramStart"/>
      <w:r w:rsidR="00867EA4" w:rsidRPr="0081763F">
        <w:rPr>
          <w:rFonts w:ascii="Calibri" w:hAnsi="Calibri" w:cs="Calibri"/>
          <w:sz w:val="22"/>
          <w:szCs w:val="22"/>
        </w:rPr>
        <w:t>202</w:t>
      </w:r>
      <w:r w:rsidR="00504DD3" w:rsidRPr="0081763F">
        <w:rPr>
          <w:rFonts w:ascii="Calibri" w:hAnsi="Calibri" w:cs="Calibri"/>
          <w:sz w:val="22"/>
          <w:szCs w:val="22"/>
        </w:rPr>
        <w:t>3</w:t>
      </w:r>
      <w:proofErr w:type="gramEnd"/>
      <w:r w:rsidR="00504DD3" w:rsidRPr="0081763F">
        <w:rPr>
          <w:rFonts w:ascii="Calibri" w:hAnsi="Calibri" w:cs="Calibri"/>
          <w:sz w:val="22"/>
          <w:szCs w:val="22"/>
        </w:rPr>
        <w:t xml:space="preserve"> </w:t>
      </w:r>
      <w:r w:rsidRPr="0081763F">
        <w:rPr>
          <w:rFonts w:ascii="Calibri" w:hAnsi="Calibri" w:cs="Calibri"/>
          <w:sz w:val="22"/>
          <w:szCs w:val="22"/>
        </w:rPr>
        <w:t xml:space="preserve">meets the reporting requirements pursuant to the Transparency (Directive 2004/109/EC) Regulations 2007 and the </w:t>
      </w:r>
      <w:r w:rsidR="00E51A1B" w:rsidRPr="0081763F">
        <w:rPr>
          <w:rFonts w:ascii="Calibri" w:hAnsi="Calibri" w:cs="Calibri"/>
          <w:sz w:val="22"/>
          <w:szCs w:val="22"/>
        </w:rPr>
        <w:t>Central Bank</w:t>
      </w:r>
      <w:r w:rsidR="00397D1F">
        <w:rPr>
          <w:rFonts w:ascii="Calibri" w:hAnsi="Calibri" w:cs="Calibri"/>
          <w:sz w:val="22"/>
          <w:szCs w:val="22"/>
        </w:rPr>
        <w:t xml:space="preserve"> (Investment Market Conduct) Rules 2019</w:t>
      </w:r>
      <w:r w:rsidRPr="0081763F">
        <w:rPr>
          <w:rFonts w:ascii="Calibri" w:hAnsi="Calibri" w:cs="Calibri"/>
          <w:sz w:val="22"/>
          <w:szCs w:val="22"/>
        </w:rPr>
        <w:t>.</w:t>
      </w:r>
    </w:p>
    <w:p w14:paraId="78A5A658" w14:textId="77777777" w:rsidR="008123E1" w:rsidRPr="0081763F" w:rsidRDefault="008123E1" w:rsidP="00CE13BB">
      <w:pPr>
        <w:autoSpaceDE w:val="0"/>
        <w:autoSpaceDN w:val="0"/>
        <w:adjustRightInd w:val="0"/>
        <w:spacing w:line="300" w:lineRule="exact"/>
        <w:ind w:right="-142"/>
        <w:jc w:val="both"/>
        <w:rPr>
          <w:rFonts w:ascii="Calibri" w:hAnsi="Calibri" w:cs="Calibri"/>
          <w:sz w:val="22"/>
          <w:szCs w:val="22"/>
        </w:rPr>
      </w:pPr>
    </w:p>
    <w:p w14:paraId="05EB6E11" w14:textId="77777777" w:rsidR="00063A4D" w:rsidRPr="0081763F" w:rsidRDefault="00063A4D" w:rsidP="00CE13BB">
      <w:pPr>
        <w:autoSpaceDE w:val="0"/>
        <w:autoSpaceDN w:val="0"/>
        <w:adjustRightInd w:val="0"/>
        <w:spacing w:line="300" w:lineRule="exact"/>
        <w:ind w:right="-142"/>
        <w:jc w:val="both"/>
        <w:rPr>
          <w:rFonts w:ascii="Calibri" w:hAnsi="Calibri" w:cs="Calibri"/>
          <w:sz w:val="22"/>
          <w:szCs w:val="22"/>
        </w:rPr>
      </w:pPr>
      <w:r w:rsidRPr="0081763F">
        <w:rPr>
          <w:rFonts w:ascii="Calibri" w:hAnsi="Calibri" w:cs="Calibri"/>
          <w:sz w:val="22"/>
          <w:szCs w:val="22"/>
        </w:rPr>
        <w:t xml:space="preserve">This interim management report includes the following: </w:t>
      </w:r>
    </w:p>
    <w:p w14:paraId="33EA2B76" w14:textId="77777777" w:rsidR="00063A4D" w:rsidRPr="0081763F" w:rsidRDefault="00063A4D" w:rsidP="00CE13BB">
      <w:pPr>
        <w:tabs>
          <w:tab w:val="num" w:pos="240"/>
        </w:tabs>
        <w:autoSpaceDE w:val="0"/>
        <w:autoSpaceDN w:val="0"/>
        <w:adjustRightInd w:val="0"/>
        <w:ind w:right="-142"/>
        <w:jc w:val="both"/>
        <w:rPr>
          <w:rFonts w:ascii="Calibri" w:hAnsi="Calibri" w:cs="Calibri"/>
          <w:sz w:val="22"/>
          <w:szCs w:val="22"/>
        </w:rPr>
      </w:pPr>
    </w:p>
    <w:p w14:paraId="39922AEE" w14:textId="77777777" w:rsidR="00063A4D" w:rsidRPr="0081763F" w:rsidRDefault="00063A4D" w:rsidP="00CE13BB">
      <w:pPr>
        <w:numPr>
          <w:ilvl w:val="0"/>
          <w:numId w:val="4"/>
        </w:numPr>
        <w:tabs>
          <w:tab w:val="clear" w:pos="720"/>
          <w:tab w:val="num" w:pos="240"/>
        </w:tabs>
        <w:autoSpaceDE w:val="0"/>
        <w:autoSpaceDN w:val="0"/>
        <w:adjustRightInd w:val="0"/>
        <w:ind w:left="426" w:right="-142" w:hanging="339"/>
        <w:jc w:val="both"/>
        <w:rPr>
          <w:rFonts w:ascii="Calibri" w:hAnsi="Calibri" w:cs="Calibri"/>
          <w:sz w:val="22"/>
          <w:szCs w:val="22"/>
        </w:rPr>
      </w:pPr>
      <w:r w:rsidRPr="0081763F">
        <w:rPr>
          <w:rFonts w:ascii="Calibri" w:hAnsi="Calibri" w:cs="Calibri"/>
          <w:sz w:val="22"/>
          <w:szCs w:val="22"/>
        </w:rPr>
        <w:t xml:space="preserve">Principal risks and uncertainties relating to the remaining six months of the </w:t>
      </w:r>
      <w:proofErr w:type="gramStart"/>
      <w:r w:rsidRPr="0081763F">
        <w:rPr>
          <w:rFonts w:ascii="Calibri" w:hAnsi="Calibri" w:cs="Calibri"/>
          <w:sz w:val="22"/>
          <w:szCs w:val="22"/>
        </w:rPr>
        <w:t>year;</w:t>
      </w:r>
      <w:proofErr w:type="gramEnd"/>
    </w:p>
    <w:p w14:paraId="3785B6DE" w14:textId="77777777" w:rsidR="00063A4D" w:rsidRPr="0081763F" w:rsidRDefault="00063A4D" w:rsidP="00CE13BB">
      <w:pPr>
        <w:tabs>
          <w:tab w:val="num" w:pos="240"/>
        </w:tabs>
        <w:autoSpaceDE w:val="0"/>
        <w:autoSpaceDN w:val="0"/>
        <w:adjustRightInd w:val="0"/>
        <w:ind w:left="426" w:right="-142" w:hanging="339"/>
        <w:jc w:val="both"/>
        <w:rPr>
          <w:rFonts w:ascii="Calibri" w:hAnsi="Calibri" w:cs="Calibri"/>
          <w:sz w:val="22"/>
          <w:szCs w:val="22"/>
        </w:rPr>
      </w:pPr>
    </w:p>
    <w:p w14:paraId="1FC5244A" w14:textId="77777777" w:rsidR="00063A4D" w:rsidRPr="0081763F" w:rsidRDefault="00063A4D" w:rsidP="00CE13BB">
      <w:pPr>
        <w:numPr>
          <w:ilvl w:val="0"/>
          <w:numId w:val="4"/>
        </w:numPr>
        <w:tabs>
          <w:tab w:val="clear" w:pos="720"/>
          <w:tab w:val="num" w:pos="240"/>
        </w:tabs>
        <w:autoSpaceDE w:val="0"/>
        <w:autoSpaceDN w:val="0"/>
        <w:adjustRightInd w:val="0"/>
        <w:ind w:left="426" w:right="-142" w:hanging="339"/>
        <w:jc w:val="both"/>
        <w:rPr>
          <w:rFonts w:ascii="Calibri" w:hAnsi="Calibri" w:cs="Calibri"/>
          <w:sz w:val="22"/>
          <w:szCs w:val="22"/>
        </w:rPr>
      </w:pPr>
      <w:r w:rsidRPr="0081763F">
        <w:rPr>
          <w:rFonts w:ascii="Calibri" w:hAnsi="Calibri" w:cs="Calibri"/>
          <w:sz w:val="22"/>
          <w:szCs w:val="22"/>
        </w:rPr>
        <w:t>Related party transactions; and</w:t>
      </w:r>
    </w:p>
    <w:p w14:paraId="690DE2DA" w14:textId="77777777" w:rsidR="00063A4D" w:rsidRPr="0081763F" w:rsidRDefault="00063A4D" w:rsidP="00CE13BB">
      <w:pPr>
        <w:tabs>
          <w:tab w:val="num" w:pos="240"/>
        </w:tabs>
        <w:autoSpaceDE w:val="0"/>
        <w:autoSpaceDN w:val="0"/>
        <w:adjustRightInd w:val="0"/>
        <w:ind w:left="426" w:right="-142" w:hanging="339"/>
        <w:jc w:val="both"/>
        <w:rPr>
          <w:rFonts w:ascii="Calibri" w:hAnsi="Calibri" w:cs="Calibri"/>
          <w:sz w:val="22"/>
          <w:szCs w:val="22"/>
        </w:rPr>
      </w:pPr>
    </w:p>
    <w:p w14:paraId="54C4B955" w14:textId="77777777" w:rsidR="00047371" w:rsidRPr="0081763F" w:rsidRDefault="00063A4D" w:rsidP="00CE13BB">
      <w:pPr>
        <w:numPr>
          <w:ilvl w:val="0"/>
          <w:numId w:val="4"/>
        </w:numPr>
        <w:tabs>
          <w:tab w:val="clear" w:pos="720"/>
          <w:tab w:val="num" w:pos="240"/>
        </w:tabs>
        <w:autoSpaceDE w:val="0"/>
        <w:autoSpaceDN w:val="0"/>
        <w:adjustRightInd w:val="0"/>
        <w:ind w:left="426" w:right="-142" w:hanging="339"/>
        <w:jc w:val="both"/>
        <w:rPr>
          <w:rFonts w:ascii="Calibri" w:hAnsi="Calibri" w:cs="Calibri"/>
          <w:sz w:val="22"/>
          <w:szCs w:val="22"/>
        </w:rPr>
      </w:pPr>
      <w:r w:rsidRPr="0081763F">
        <w:rPr>
          <w:rFonts w:ascii="Calibri" w:hAnsi="Calibri" w:cs="Calibri"/>
          <w:sz w:val="22"/>
          <w:szCs w:val="22"/>
        </w:rPr>
        <w:t xml:space="preserve">Post balance sheet events. </w:t>
      </w:r>
    </w:p>
    <w:p w14:paraId="1A06E08D" w14:textId="77777777" w:rsidR="00047371" w:rsidRPr="0081763F" w:rsidRDefault="00047371" w:rsidP="00CE13BB">
      <w:pPr>
        <w:autoSpaceDE w:val="0"/>
        <w:autoSpaceDN w:val="0"/>
        <w:adjustRightInd w:val="0"/>
        <w:spacing w:line="276" w:lineRule="auto"/>
        <w:ind w:right="-142"/>
        <w:jc w:val="both"/>
        <w:rPr>
          <w:rFonts w:ascii="Calibri" w:hAnsi="Calibri" w:cs="Calibri"/>
          <w:sz w:val="22"/>
          <w:szCs w:val="22"/>
        </w:rPr>
      </w:pPr>
    </w:p>
    <w:p w14:paraId="14E13F91" w14:textId="77777777" w:rsidR="00063A4D" w:rsidRPr="0081763F" w:rsidRDefault="00063A4D" w:rsidP="00CE13BB">
      <w:pPr>
        <w:tabs>
          <w:tab w:val="num" w:pos="-240"/>
        </w:tabs>
        <w:spacing w:line="300" w:lineRule="exact"/>
        <w:ind w:right="-142"/>
        <w:jc w:val="both"/>
        <w:rPr>
          <w:rFonts w:ascii="Calibri" w:hAnsi="Calibri" w:cs="Calibri"/>
          <w:sz w:val="22"/>
          <w:szCs w:val="22"/>
        </w:rPr>
      </w:pPr>
      <w:r w:rsidRPr="0081763F">
        <w:rPr>
          <w:rFonts w:ascii="Calibri" w:hAnsi="Calibri" w:cs="Calibri"/>
          <w:sz w:val="22"/>
          <w:szCs w:val="22"/>
        </w:rPr>
        <w:t xml:space="preserve">Results of operations for the </w:t>
      </w:r>
      <w:r w:rsidR="006745AA" w:rsidRPr="0081763F">
        <w:rPr>
          <w:rFonts w:ascii="Calibri" w:hAnsi="Calibri" w:cs="Calibri"/>
          <w:sz w:val="22"/>
          <w:szCs w:val="22"/>
        </w:rPr>
        <w:t>six-month</w:t>
      </w:r>
      <w:r w:rsidRPr="0081763F">
        <w:rPr>
          <w:rFonts w:ascii="Calibri" w:hAnsi="Calibri" w:cs="Calibri"/>
          <w:sz w:val="22"/>
          <w:szCs w:val="22"/>
        </w:rPr>
        <w:t xml:space="preserve"> period ended September 30, </w:t>
      </w:r>
      <w:proofErr w:type="gramStart"/>
      <w:r w:rsidRPr="0081763F">
        <w:rPr>
          <w:rFonts w:ascii="Calibri" w:hAnsi="Calibri" w:cs="Calibri"/>
          <w:sz w:val="22"/>
          <w:szCs w:val="22"/>
        </w:rPr>
        <w:t>20</w:t>
      </w:r>
      <w:r w:rsidR="005C0750" w:rsidRPr="0081763F">
        <w:rPr>
          <w:rFonts w:ascii="Calibri" w:hAnsi="Calibri" w:cs="Calibri"/>
          <w:sz w:val="22"/>
          <w:szCs w:val="22"/>
        </w:rPr>
        <w:t>2</w:t>
      </w:r>
      <w:r w:rsidR="00504DD3" w:rsidRPr="0081763F">
        <w:rPr>
          <w:rFonts w:ascii="Calibri" w:hAnsi="Calibri" w:cs="Calibri"/>
          <w:sz w:val="22"/>
          <w:szCs w:val="22"/>
        </w:rPr>
        <w:t>3</w:t>
      </w:r>
      <w:proofErr w:type="gramEnd"/>
      <w:r w:rsidRPr="0081763F">
        <w:rPr>
          <w:rFonts w:ascii="Calibri" w:hAnsi="Calibri" w:cs="Calibri"/>
          <w:sz w:val="22"/>
          <w:szCs w:val="22"/>
        </w:rPr>
        <w:t xml:space="preserve"> compared to the six</w:t>
      </w:r>
      <w:r w:rsidR="00B47D39" w:rsidRPr="0081763F">
        <w:rPr>
          <w:rFonts w:ascii="Calibri" w:hAnsi="Calibri" w:cs="Calibri"/>
          <w:sz w:val="22"/>
          <w:szCs w:val="22"/>
        </w:rPr>
        <w:t>-</w:t>
      </w:r>
      <w:r w:rsidRPr="0081763F">
        <w:rPr>
          <w:rFonts w:ascii="Calibri" w:hAnsi="Calibri" w:cs="Calibri"/>
          <w:sz w:val="22"/>
          <w:szCs w:val="22"/>
        </w:rPr>
        <w:t xml:space="preserve">month period ended September 30, </w:t>
      </w:r>
      <w:r w:rsidR="00867EA4" w:rsidRPr="0081763F">
        <w:rPr>
          <w:rFonts w:ascii="Calibri" w:hAnsi="Calibri" w:cs="Calibri"/>
          <w:sz w:val="22"/>
          <w:szCs w:val="22"/>
        </w:rPr>
        <w:t>20</w:t>
      </w:r>
      <w:r w:rsidR="003861E2" w:rsidRPr="0081763F">
        <w:rPr>
          <w:rFonts w:ascii="Calibri" w:hAnsi="Calibri" w:cs="Calibri"/>
          <w:sz w:val="22"/>
          <w:szCs w:val="22"/>
        </w:rPr>
        <w:t>2</w:t>
      </w:r>
      <w:r w:rsidR="00504DD3" w:rsidRPr="0081763F">
        <w:rPr>
          <w:rFonts w:ascii="Calibri" w:hAnsi="Calibri" w:cs="Calibri"/>
          <w:sz w:val="22"/>
          <w:szCs w:val="22"/>
        </w:rPr>
        <w:t>2</w:t>
      </w:r>
      <w:r w:rsidRPr="0081763F">
        <w:rPr>
          <w:rFonts w:ascii="Calibri" w:hAnsi="Calibri" w:cs="Calibri"/>
          <w:sz w:val="22"/>
          <w:szCs w:val="22"/>
        </w:rPr>
        <w:t>, including important events that occurred during the half-year, are set forth above in the MD&amp;A.</w:t>
      </w:r>
    </w:p>
    <w:p w14:paraId="205055F3" w14:textId="77777777" w:rsidR="00063A4D" w:rsidRPr="0081763F" w:rsidRDefault="00063A4D" w:rsidP="00CE13BB">
      <w:pPr>
        <w:pStyle w:val="S2"/>
        <w:spacing w:after="0" w:line="300" w:lineRule="exact"/>
        <w:ind w:right="-142" w:firstLine="431"/>
        <w:rPr>
          <w:rFonts w:ascii="Calibri" w:hAnsi="Calibri" w:cs="Calibri"/>
          <w:szCs w:val="22"/>
        </w:rPr>
      </w:pPr>
    </w:p>
    <w:p w14:paraId="44FE0E90" w14:textId="77777777" w:rsidR="00063A4D" w:rsidRPr="0081763F" w:rsidRDefault="00063A4D" w:rsidP="00CE13BB">
      <w:pPr>
        <w:spacing w:line="300" w:lineRule="exact"/>
        <w:ind w:right="-142"/>
        <w:jc w:val="both"/>
        <w:rPr>
          <w:rFonts w:ascii="Calibri" w:hAnsi="Calibri" w:cs="Calibri"/>
          <w:b/>
          <w:sz w:val="22"/>
          <w:szCs w:val="22"/>
        </w:rPr>
      </w:pPr>
      <w:r w:rsidRPr="0081763F">
        <w:rPr>
          <w:rFonts w:ascii="Calibri" w:hAnsi="Calibri" w:cs="Calibri"/>
          <w:b/>
          <w:sz w:val="22"/>
          <w:szCs w:val="22"/>
        </w:rPr>
        <w:t>Principal risks and uncertainties for the remainder of the year</w:t>
      </w:r>
    </w:p>
    <w:p w14:paraId="6181887F" w14:textId="77777777" w:rsidR="00017906" w:rsidRPr="0081763F" w:rsidRDefault="00017906" w:rsidP="00CE13BB">
      <w:pPr>
        <w:keepNext/>
        <w:ind w:right="-142" w:firstLine="720"/>
        <w:jc w:val="both"/>
        <w:rPr>
          <w:rFonts w:ascii="Calibri" w:hAnsi="Calibri" w:cs="Calibri"/>
          <w:sz w:val="22"/>
          <w:szCs w:val="22"/>
        </w:rPr>
      </w:pPr>
    </w:p>
    <w:p w14:paraId="415E5657" w14:textId="77777777" w:rsidR="00504DD3" w:rsidRPr="0081763F" w:rsidRDefault="00504DD3" w:rsidP="00504DD3">
      <w:pPr>
        <w:spacing w:line="300" w:lineRule="exact"/>
        <w:ind w:right="-142"/>
        <w:jc w:val="both"/>
        <w:rPr>
          <w:rFonts w:ascii="Calibri" w:hAnsi="Calibri" w:cs="Calibri"/>
          <w:sz w:val="22"/>
          <w:szCs w:val="22"/>
        </w:rPr>
      </w:pPr>
      <w:r w:rsidRPr="0081763F">
        <w:rPr>
          <w:rFonts w:ascii="Calibri" w:hAnsi="Calibri" w:cs="Calibri"/>
          <w:sz w:val="22"/>
          <w:szCs w:val="22"/>
        </w:rPr>
        <w:t xml:space="preserve">Jet fuel is subject to wide price fluctuations </w:t>
      </w:r>
      <w:proofErr w:type="gramStart"/>
      <w:r w:rsidRPr="0081763F">
        <w:rPr>
          <w:rFonts w:ascii="Calibri" w:hAnsi="Calibri" w:cs="Calibri"/>
          <w:sz w:val="22"/>
          <w:szCs w:val="22"/>
        </w:rPr>
        <w:t>as a result of</w:t>
      </w:r>
      <w:proofErr w:type="gramEnd"/>
      <w:r w:rsidRPr="0081763F">
        <w:rPr>
          <w:rFonts w:ascii="Calibri" w:hAnsi="Calibri" w:cs="Calibri"/>
          <w:sz w:val="22"/>
          <w:szCs w:val="22"/>
        </w:rPr>
        <w:t xml:space="preserve"> many economic and political factors and events occurring throughout the world that Ryanair can neither control nor accurately predict, </w:t>
      </w:r>
      <w:bookmarkStart w:id="12" w:name="_Hlk148705425"/>
      <w:r w:rsidR="00330A9E">
        <w:rPr>
          <w:rFonts w:ascii="Calibri" w:hAnsi="Calibri" w:cs="Calibri"/>
          <w:sz w:val="22"/>
          <w:szCs w:val="22"/>
        </w:rPr>
        <w:t>including</w:t>
      </w:r>
      <w:bookmarkEnd w:id="12"/>
      <w:r w:rsidR="00F447BF">
        <w:rPr>
          <w:rFonts w:ascii="Calibri" w:hAnsi="Calibri" w:cs="Calibri"/>
          <w:sz w:val="22"/>
          <w:szCs w:val="22"/>
        </w:rPr>
        <w:t xml:space="preserve"> </w:t>
      </w:r>
      <w:r w:rsidRPr="0081763F">
        <w:rPr>
          <w:rFonts w:ascii="Calibri" w:hAnsi="Calibri" w:cs="Calibri"/>
          <w:sz w:val="22"/>
          <w:szCs w:val="22"/>
        </w:rPr>
        <w:t xml:space="preserve">increases in demand, sudden disruptions in supply and other concerns about global supply, </w:t>
      </w:r>
      <w:r w:rsidR="00ED6A42">
        <w:rPr>
          <w:rFonts w:ascii="Calibri" w:hAnsi="Calibri" w:cs="Calibri"/>
          <w:sz w:val="22"/>
          <w:szCs w:val="22"/>
        </w:rPr>
        <w:t xml:space="preserve">as well </w:t>
      </w:r>
      <w:r w:rsidRPr="0081763F">
        <w:rPr>
          <w:rFonts w:ascii="Calibri" w:hAnsi="Calibri" w:cs="Calibri"/>
          <w:sz w:val="22"/>
          <w:szCs w:val="22"/>
        </w:rPr>
        <w:t xml:space="preserve">as market speculation. Oil prices increased significantly following Russia’s invasion of Ukraine in </w:t>
      </w:r>
      <w:r w:rsidRPr="00D643A8">
        <w:rPr>
          <w:rFonts w:ascii="Calibri" w:hAnsi="Calibri" w:cs="Calibri"/>
          <w:sz w:val="22"/>
          <w:szCs w:val="22"/>
        </w:rPr>
        <w:t>February 2022</w:t>
      </w:r>
      <w:r w:rsidR="00592F12">
        <w:rPr>
          <w:rFonts w:ascii="Calibri" w:hAnsi="Calibri" w:cs="Calibri"/>
          <w:sz w:val="22"/>
          <w:szCs w:val="22"/>
        </w:rPr>
        <w:t xml:space="preserve"> and remain volatile</w:t>
      </w:r>
      <w:r w:rsidRPr="00D643A8">
        <w:rPr>
          <w:rFonts w:ascii="Calibri" w:hAnsi="Calibri" w:cs="Calibri"/>
          <w:sz w:val="22"/>
          <w:szCs w:val="22"/>
        </w:rPr>
        <w:t>.</w:t>
      </w:r>
      <w:r w:rsidRPr="0081763F">
        <w:rPr>
          <w:rFonts w:ascii="Calibri" w:hAnsi="Calibri" w:cs="Calibri"/>
          <w:sz w:val="22"/>
          <w:szCs w:val="22"/>
        </w:rPr>
        <w:t xml:space="preserve"> </w:t>
      </w:r>
    </w:p>
    <w:p w14:paraId="5B231827" w14:textId="77777777" w:rsidR="00504DD3" w:rsidRPr="0081763F" w:rsidRDefault="00504DD3" w:rsidP="00504DD3">
      <w:pPr>
        <w:spacing w:line="300" w:lineRule="exact"/>
        <w:ind w:right="-142"/>
        <w:jc w:val="both"/>
        <w:rPr>
          <w:rFonts w:ascii="Calibri" w:hAnsi="Calibri" w:cs="Calibri"/>
          <w:sz w:val="22"/>
          <w:szCs w:val="22"/>
        </w:rPr>
      </w:pPr>
    </w:p>
    <w:p w14:paraId="6C62741F" w14:textId="77777777" w:rsidR="00504DD3" w:rsidRPr="0081763F" w:rsidRDefault="00504DD3" w:rsidP="00504DD3">
      <w:pPr>
        <w:spacing w:line="300" w:lineRule="exact"/>
        <w:ind w:right="-142"/>
        <w:jc w:val="both"/>
        <w:rPr>
          <w:rFonts w:ascii="Calibri" w:hAnsi="Calibri" w:cs="Calibri"/>
          <w:sz w:val="22"/>
          <w:szCs w:val="22"/>
        </w:rPr>
      </w:pPr>
      <w:r w:rsidRPr="0081763F">
        <w:rPr>
          <w:rFonts w:ascii="Calibri" w:hAnsi="Calibri" w:cs="Calibri"/>
          <w:sz w:val="22"/>
          <w:szCs w:val="22"/>
        </w:rPr>
        <w:t xml:space="preserve">Despite the Group’s strong recovery from the Covid-19 pandemic, future developments may again have a material adverse impact on the Company’s business, results of operations, financial </w:t>
      </w:r>
      <w:proofErr w:type="gramStart"/>
      <w:r w:rsidRPr="0081763F">
        <w:rPr>
          <w:rFonts w:ascii="Calibri" w:hAnsi="Calibri" w:cs="Calibri"/>
          <w:sz w:val="22"/>
          <w:szCs w:val="22"/>
        </w:rPr>
        <w:t>condition</w:t>
      </w:r>
      <w:proofErr w:type="gramEnd"/>
      <w:r w:rsidRPr="0081763F">
        <w:rPr>
          <w:rFonts w:ascii="Calibri" w:hAnsi="Calibri" w:cs="Calibri"/>
          <w:sz w:val="22"/>
          <w:szCs w:val="22"/>
        </w:rPr>
        <w:t xml:space="preserve"> and liquidity.</w:t>
      </w:r>
    </w:p>
    <w:p w14:paraId="180DAEF1" w14:textId="77777777" w:rsidR="00504DD3" w:rsidRPr="0081763F" w:rsidRDefault="00504DD3" w:rsidP="00504DD3">
      <w:pPr>
        <w:spacing w:line="300" w:lineRule="exact"/>
        <w:ind w:right="-142"/>
        <w:jc w:val="both"/>
        <w:rPr>
          <w:rFonts w:ascii="Calibri" w:hAnsi="Calibri" w:cs="Calibri"/>
          <w:sz w:val="22"/>
          <w:szCs w:val="22"/>
        </w:rPr>
      </w:pPr>
    </w:p>
    <w:p w14:paraId="5FFD19C2" w14:textId="77777777" w:rsidR="00063A4D" w:rsidRPr="0081763F" w:rsidRDefault="00504DD3" w:rsidP="00504DD3">
      <w:pPr>
        <w:spacing w:line="300" w:lineRule="exact"/>
        <w:ind w:right="-142"/>
        <w:jc w:val="both"/>
        <w:rPr>
          <w:rFonts w:ascii="Calibri" w:hAnsi="Calibri" w:cs="Calibri"/>
          <w:sz w:val="22"/>
          <w:szCs w:val="22"/>
        </w:rPr>
      </w:pPr>
      <w:r w:rsidRPr="0081763F">
        <w:rPr>
          <w:rFonts w:ascii="Calibri" w:hAnsi="Calibri" w:cs="Calibri"/>
          <w:sz w:val="22"/>
          <w:szCs w:val="22"/>
        </w:rPr>
        <w:t xml:space="preserve">Among </w:t>
      </w:r>
      <w:r w:rsidR="00330A9E">
        <w:rPr>
          <w:rFonts w:ascii="Calibri" w:hAnsi="Calibri" w:cs="Calibri"/>
          <w:sz w:val="22"/>
          <w:szCs w:val="22"/>
        </w:rPr>
        <w:t>the</w:t>
      </w:r>
      <w:r w:rsidRPr="0081763F">
        <w:rPr>
          <w:rFonts w:ascii="Calibri" w:hAnsi="Calibri" w:cs="Calibri"/>
          <w:sz w:val="22"/>
          <w:szCs w:val="22"/>
        </w:rPr>
        <w:t xml:space="preserve"> factors that are subject to change and could significantly impact Ryanair’s expected results for the remainder of the year are the airline pricing environment, capacity growth in Europe, competition from new and existing carriers, market prices for the replacement of aircraft, costs associated with environmental, safety and security measures, the availability of appropriate insurance coverage, actions of the Irish, U.K., European Union (“EU”) and other governments and their respective regulatory agencies, delays in the delivery of contracted aircraft, supply chain disruptions/delays, weather related disruptions, ATC strikes and staffing related disruptions, uncertainties surrounding Brexit, fluctuations in currency exchange rates and interest rates, airport access and charges, labour relations, the economic environment of the airline industry, the general economic environment in Ireland, the U.K., and Continental Europe, including the risk of a recession or significant economic slowdown, the general willingness of passengers to travel, other economic, social and political factors and unforeseen security events.</w:t>
      </w:r>
    </w:p>
    <w:p w14:paraId="0BD208E3" w14:textId="77777777" w:rsidR="00504DD3" w:rsidRPr="0081763F" w:rsidRDefault="00504DD3" w:rsidP="00504DD3">
      <w:pPr>
        <w:spacing w:line="300" w:lineRule="exact"/>
        <w:ind w:right="-142"/>
        <w:jc w:val="both"/>
        <w:rPr>
          <w:rFonts w:ascii="Calibri" w:hAnsi="Calibri" w:cs="Calibri"/>
          <w:sz w:val="22"/>
          <w:szCs w:val="22"/>
        </w:rPr>
      </w:pPr>
    </w:p>
    <w:p w14:paraId="13ABA50A" w14:textId="77777777" w:rsidR="00063A4D" w:rsidRPr="0081763F" w:rsidRDefault="00063A4D" w:rsidP="00CE13BB">
      <w:pPr>
        <w:ind w:right="-142"/>
        <w:jc w:val="both"/>
        <w:rPr>
          <w:rFonts w:ascii="Calibri" w:hAnsi="Calibri" w:cs="Calibri"/>
          <w:b/>
          <w:sz w:val="22"/>
          <w:szCs w:val="22"/>
        </w:rPr>
      </w:pPr>
      <w:r w:rsidRPr="0081763F">
        <w:rPr>
          <w:rFonts w:ascii="Calibri" w:hAnsi="Calibri" w:cs="Calibri"/>
          <w:b/>
          <w:sz w:val="22"/>
          <w:szCs w:val="22"/>
        </w:rPr>
        <w:t>Board of Directors</w:t>
      </w:r>
    </w:p>
    <w:p w14:paraId="3AE7296E" w14:textId="77777777" w:rsidR="00063A4D" w:rsidRPr="0081763F" w:rsidRDefault="00063A4D" w:rsidP="00CE13BB">
      <w:pPr>
        <w:ind w:right="-142"/>
        <w:jc w:val="both"/>
        <w:rPr>
          <w:rFonts w:ascii="Calibri" w:hAnsi="Calibri" w:cs="Calibri"/>
          <w:sz w:val="22"/>
          <w:szCs w:val="22"/>
        </w:rPr>
      </w:pPr>
    </w:p>
    <w:p w14:paraId="512D2EA9" w14:textId="77777777" w:rsidR="00504DD3" w:rsidRPr="0081763F" w:rsidRDefault="00504DD3" w:rsidP="00CE13BB">
      <w:pPr>
        <w:autoSpaceDE w:val="0"/>
        <w:autoSpaceDN w:val="0"/>
        <w:adjustRightInd w:val="0"/>
        <w:spacing w:line="300" w:lineRule="exact"/>
        <w:ind w:right="-142"/>
        <w:jc w:val="both"/>
        <w:rPr>
          <w:rFonts w:ascii="Calibri" w:hAnsi="Calibri" w:cs="Calibri"/>
          <w:sz w:val="22"/>
          <w:szCs w:val="22"/>
        </w:rPr>
      </w:pPr>
      <w:r w:rsidRPr="0081763F">
        <w:rPr>
          <w:rFonts w:ascii="Calibri" w:hAnsi="Calibri" w:cs="Calibri"/>
          <w:sz w:val="22"/>
          <w:szCs w:val="22"/>
        </w:rPr>
        <w:t>Details of the members of the Company’s Board of Directors are set forth on pages 119 and 120 of the Group’s 2023 Annual Report.</w:t>
      </w:r>
      <w:r w:rsidR="00A86912" w:rsidRPr="0081763F">
        <w:rPr>
          <w:rFonts w:ascii="Calibri" w:hAnsi="Calibri" w:cs="Calibri"/>
          <w:sz w:val="22"/>
          <w:szCs w:val="22"/>
        </w:rPr>
        <w:t xml:space="preserve"> Bertrand Grabowski was appointed to the Board </w:t>
      </w:r>
      <w:r w:rsidR="006131F7">
        <w:rPr>
          <w:rFonts w:ascii="Calibri" w:hAnsi="Calibri" w:cs="Calibri"/>
          <w:sz w:val="22"/>
          <w:szCs w:val="22"/>
        </w:rPr>
        <w:t>with effect from</w:t>
      </w:r>
      <w:r w:rsidR="00A86912" w:rsidRPr="0081763F">
        <w:rPr>
          <w:rFonts w:ascii="Calibri" w:hAnsi="Calibri" w:cs="Calibri"/>
          <w:sz w:val="22"/>
          <w:szCs w:val="22"/>
        </w:rPr>
        <w:t xml:space="preserve"> October</w:t>
      </w:r>
      <w:r w:rsidR="006131F7">
        <w:rPr>
          <w:rFonts w:ascii="Calibri" w:hAnsi="Calibri" w:cs="Calibri"/>
          <w:sz w:val="22"/>
          <w:szCs w:val="22"/>
        </w:rPr>
        <w:t xml:space="preserve"> 1,</w:t>
      </w:r>
      <w:r w:rsidR="00A86912" w:rsidRPr="0081763F">
        <w:rPr>
          <w:rFonts w:ascii="Calibri" w:hAnsi="Calibri" w:cs="Calibri"/>
          <w:sz w:val="22"/>
          <w:szCs w:val="22"/>
        </w:rPr>
        <w:t xml:space="preserve"> </w:t>
      </w:r>
      <w:proofErr w:type="gramStart"/>
      <w:r w:rsidR="00A86912" w:rsidRPr="0081763F">
        <w:rPr>
          <w:rFonts w:ascii="Calibri" w:hAnsi="Calibri" w:cs="Calibri"/>
          <w:sz w:val="22"/>
          <w:szCs w:val="22"/>
        </w:rPr>
        <w:t>2023</w:t>
      </w:r>
      <w:proofErr w:type="gramEnd"/>
      <w:r w:rsidR="006534C0">
        <w:rPr>
          <w:rFonts w:ascii="Calibri" w:hAnsi="Calibri" w:cs="Calibri"/>
          <w:sz w:val="22"/>
          <w:szCs w:val="22"/>
        </w:rPr>
        <w:t xml:space="preserve"> and</w:t>
      </w:r>
      <w:r w:rsidR="00837FDD">
        <w:rPr>
          <w:rFonts w:ascii="Calibri" w:hAnsi="Calibri" w:cs="Calibri"/>
          <w:sz w:val="22"/>
          <w:szCs w:val="22"/>
        </w:rPr>
        <w:t xml:space="preserve"> Dick Milliken re</w:t>
      </w:r>
      <w:r w:rsidR="006534C0">
        <w:rPr>
          <w:rFonts w:ascii="Calibri" w:hAnsi="Calibri" w:cs="Calibri"/>
          <w:sz w:val="22"/>
          <w:szCs w:val="22"/>
        </w:rPr>
        <w:t>tir</w:t>
      </w:r>
      <w:r w:rsidR="00837FDD">
        <w:rPr>
          <w:rFonts w:ascii="Calibri" w:hAnsi="Calibri" w:cs="Calibri"/>
          <w:sz w:val="22"/>
          <w:szCs w:val="22"/>
        </w:rPr>
        <w:t xml:space="preserve">ed from the Board with effect from </w:t>
      </w:r>
      <w:r w:rsidR="00837FDD" w:rsidRPr="0081763F">
        <w:rPr>
          <w:rFonts w:ascii="Calibri" w:hAnsi="Calibri" w:cs="Calibri"/>
          <w:sz w:val="22"/>
          <w:szCs w:val="22"/>
        </w:rPr>
        <w:t>September 14, 2023</w:t>
      </w:r>
      <w:r w:rsidR="00837FDD">
        <w:rPr>
          <w:rFonts w:ascii="Calibri" w:hAnsi="Calibri" w:cs="Calibri"/>
          <w:sz w:val="22"/>
          <w:szCs w:val="22"/>
        </w:rPr>
        <w:t>.</w:t>
      </w:r>
    </w:p>
    <w:p w14:paraId="4D63F118" w14:textId="77777777" w:rsidR="00A86912" w:rsidRPr="0081763F" w:rsidRDefault="00A86912" w:rsidP="00CE13BB">
      <w:pPr>
        <w:ind w:right="-142"/>
        <w:jc w:val="both"/>
        <w:rPr>
          <w:rFonts w:ascii="Calibri" w:hAnsi="Calibri" w:cs="Calibri"/>
          <w:b/>
          <w:sz w:val="22"/>
          <w:szCs w:val="22"/>
        </w:rPr>
      </w:pPr>
    </w:p>
    <w:p w14:paraId="0E250E8C" w14:textId="77777777" w:rsidR="00063A4D" w:rsidRPr="0081763F" w:rsidRDefault="00063A4D" w:rsidP="00CE13BB">
      <w:pPr>
        <w:ind w:right="-142"/>
        <w:jc w:val="both"/>
        <w:rPr>
          <w:rFonts w:ascii="Calibri" w:hAnsi="Calibri" w:cs="Calibri"/>
          <w:sz w:val="22"/>
          <w:szCs w:val="22"/>
        </w:rPr>
      </w:pPr>
      <w:r w:rsidRPr="0081763F">
        <w:rPr>
          <w:rFonts w:ascii="Calibri" w:hAnsi="Calibri" w:cs="Calibri"/>
          <w:b/>
          <w:sz w:val="22"/>
          <w:szCs w:val="22"/>
        </w:rPr>
        <w:t>Related party transactions</w:t>
      </w:r>
      <w:r w:rsidR="008123E1" w:rsidRPr="0081763F">
        <w:rPr>
          <w:rFonts w:ascii="Calibri" w:hAnsi="Calibri" w:cs="Calibri"/>
          <w:b/>
          <w:sz w:val="22"/>
          <w:szCs w:val="22"/>
        </w:rPr>
        <w:t xml:space="preserve"> </w:t>
      </w:r>
      <w:r w:rsidR="008123E1" w:rsidRPr="0081763F">
        <w:rPr>
          <w:rFonts w:ascii="Calibri" w:hAnsi="Calibri" w:cs="Calibri"/>
          <w:sz w:val="22"/>
          <w:szCs w:val="22"/>
        </w:rPr>
        <w:t>–</w:t>
      </w:r>
      <w:r w:rsidR="008123E1" w:rsidRPr="0081763F">
        <w:rPr>
          <w:rFonts w:ascii="Calibri" w:hAnsi="Calibri" w:cs="Calibri"/>
          <w:b/>
          <w:sz w:val="22"/>
          <w:szCs w:val="22"/>
        </w:rPr>
        <w:t xml:space="preserve"> </w:t>
      </w:r>
      <w:r w:rsidR="008123E1" w:rsidRPr="0081763F">
        <w:rPr>
          <w:rFonts w:ascii="Calibri" w:hAnsi="Calibri" w:cs="Calibri"/>
          <w:sz w:val="22"/>
          <w:szCs w:val="22"/>
        </w:rPr>
        <w:t>Please see note</w:t>
      </w:r>
      <w:r w:rsidR="00E36553" w:rsidRPr="0081763F">
        <w:rPr>
          <w:rFonts w:ascii="Calibri" w:hAnsi="Calibri" w:cs="Calibri"/>
          <w:sz w:val="22"/>
          <w:szCs w:val="22"/>
        </w:rPr>
        <w:t xml:space="preserve"> 9</w:t>
      </w:r>
      <w:r w:rsidR="008123E1" w:rsidRPr="0081763F">
        <w:rPr>
          <w:rFonts w:ascii="Calibri" w:hAnsi="Calibri" w:cs="Calibri"/>
          <w:sz w:val="22"/>
          <w:szCs w:val="22"/>
        </w:rPr>
        <w:t>.</w:t>
      </w:r>
    </w:p>
    <w:p w14:paraId="3EABC8C2" w14:textId="77777777" w:rsidR="008123E1" w:rsidRPr="0081763F" w:rsidRDefault="008123E1" w:rsidP="00CE13BB">
      <w:pPr>
        <w:ind w:right="-142"/>
        <w:jc w:val="both"/>
        <w:rPr>
          <w:rFonts w:ascii="Calibri" w:hAnsi="Calibri" w:cs="Calibri"/>
          <w:b/>
          <w:sz w:val="22"/>
          <w:szCs w:val="22"/>
        </w:rPr>
      </w:pPr>
    </w:p>
    <w:p w14:paraId="5F418148" w14:textId="77777777" w:rsidR="00892846" w:rsidRDefault="00063A4D" w:rsidP="00892846">
      <w:pPr>
        <w:ind w:right="-142"/>
        <w:jc w:val="both"/>
        <w:rPr>
          <w:rFonts w:ascii="Calibri" w:hAnsi="Calibri" w:cs="Calibri"/>
          <w:sz w:val="22"/>
          <w:szCs w:val="22"/>
        </w:rPr>
      </w:pPr>
      <w:r w:rsidRPr="0081763F">
        <w:rPr>
          <w:rFonts w:ascii="Calibri" w:hAnsi="Calibri" w:cs="Calibri"/>
          <w:b/>
          <w:sz w:val="22"/>
          <w:szCs w:val="22"/>
        </w:rPr>
        <w:lastRenderedPageBreak/>
        <w:t>Post balance sheet events</w:t>
      </w:r>
      <w:r w:rsidR="008123E1" w:rsidRPr="0081763F">
        <w:rPr>
          <w:rFonts w:ascii="Calibri" w:hAnsi="Calibri" w:cs="Calibri"/>
          <w:b/>
          <w:sz w:val="22"/>
          <w:szCs w:val="22"/>
        </w:rPr>
        <w:t xml:space="preserve"> </w:t>
      </w:r>
      <w:r w:rsidR="008123E1" w:rsidRPr="0081763F">
        <w:rPr>
          <w:rFonts w:ascii="Calibri" w:hAnsi="Calibri" w:cs="Calibri"/>
          <w:sz w:val="22"/>
          <w:szCs w:val="22"/>
        </w:rPr>
        <w:t>–</w:t>
      </w:r>
      <w:r w:rsidR="008123E1" w:rsidRPr="0081763F">
        <w:rPr>
          <w:rFonts w:ascii="Calibri" w:hAnsi="Calibri" w:cs="Calibri"/>
          <w:b/>
          <w:sz w:val="22"/>
          <w:szCs w:val="22"/>
        </w:rPr>
        <w:t xml:space="preserve"> </w:t>
      </w:r>
      <w:r w:rsidR="008123E1" w:rsidRPr="0081763F">
        <w:rPr>
          <w:rFonts w:ascii="Calibri" w:hAnsi="Calibri" w:cs="Calibri"/>
          <w:sz w:val="22"/>
          <w:szCs w:val="22"/>
        </w:rPr>
        <w:t xml:space="preserve">Please see note </w:t>
      </w:r>
      <w:r w:rsidR="00FB1140" w:rsidRPr="0081763F">
        <w:rPr>
          <w:rFonts w:ascii="Calibri" w:hAnsi="Calibri" w:cs="Calibri"/>
          <w:sz w:val="22"/>
          <w:szCs w:val="22"/>
        </w:rPr>
        <w:t>1</w:t>
      </w:r>
      <w:r w:rsidR="004A6FF0" w:rsidRPr="0081763F">
        <w:rPr>
          <w:rFonts w:ascii="Calibri" w:hAnsi="Calibri" w:cs="Calibri"/>
          <w:sz w:val="22"/>
          <w:szCs w:val="22"/>
        </w:rPr>
        <w:t>2</w:t>
      </w:r>
      <w:r w:rsidR="008123E1" w:rsidRPr="0081763F">
        <w:rPr>
          <w:rFonts w:ascii="Calibri" w:hAnsi="Calibri" w:cs="Calibri"/>
          <w:sz w:val="22"/>
          <w:szCs w:val="22"/>
        </w:rPr>
        <w:t xml:space="preserve">. </w:t>
      </w:r>
      <w:bookmarkStart w:id="13" w:name="_Hlk527704336"/>
      <w:bookmarkEnd w:id="11"/>
    </w:p>
    <w:p w14:paraId="6F0999F2" w14:textId="77777777" w:rsidR="00892846" w:rsidRDefault="00892846" w:rsidP="00892846">
      <w:pPr>
        <w:ind w:right="-142"/>
        <w:jc w:val="both"/>
        <w:rPr>
          <w:rFonts w:ascii="Calibri" w:hAnsi="Calibri" w:cs="Calibri"/>
          <w:sz w:val="22"/>
          <w:szCs w:val="22"/>
        </w:rPr>
      </w:pPr>
    </w:p>
    <w:p w14:paraId="5E63BD3E" w14:textId="77777777" w:rsidR="00063A4D" w:rsidRPr="0081763F" w:rsidRDefault="00063A4D" w:rsidP="00892846">
      <w:pPr>
        <w:ind w:right="-142"/>
        <w:jc w:val="both"/>
        <w:rPr>
          <w:rFonts w:ascii="Calibri" w:hAnsi="Calibri" w:cs="Calibri"/>
          <w:b/>
          <w:bCs/>
          <w:sz w:val="22"/>
          <w:szCs w:val="22"/>
        </w:rPr>
      </w:pPr>
      <w:r w:rsidRPr="0081763F">
        <w:rPr>
          <w:rFonts w:ascii="Calibri" w:hAnsi="Calibri" w:cs="Calibri"/>
          <w:b/>
          <w:bCs/>
          <w:sz w:val="22"/>
          <w:szCs w:val="22"/>
        </w:rPr>
        <w:t>Going concern</w:t>
      </w:r>
    </w:p>
    <w:bookmarkEnd w:id="7"/>
    <w:bookmarkEnd w:id="10"/>
    <w:bookmarkEnd w:id="13"/>
    <w:p w14:paraId="335FD5C1" w14:textId="77777777" w:rsidR="008A6095" w:rsidRPr="0081763F" w:rsidRDefault="008A6095" w:rsidP="009C5CA5">
      <w:pPr>
        <w:autoSpaceDE w:val="0"/>
        <w:autoSpaceDN w:val="0"/>
        <w:adjustRightInd w:val="0"/>
        <w:spacing w:line="300" w:lineRule="exact"/>
        <w:ind w:right="-143"/>
        <w:jc w:val="both"/>
        <w:rPr>
          <w:rFonts w:ascii="Calibri" w:hAnsi="Calibri" w:cs="Calibri"/>
          <w:sz w:val="22"/>
          <w:szCs w:val="22"/>
        </w:rPr>
      </w:pPr>
      <w:r w:rsidRPr="0081763F">
        <w:rPr>
          <w:rFonts w:ascii="Calibri" w:hAnsi="Calibri" w:cs="Calibri"/>
          <w:sz w:val="22"/>
          <w:szCs w:val="22"/>
        </w:rPr>
        <w:t xml:space="preserve">The Directors, having made inquiries, believe that the Group has adequate resources to continue in operational existence for at least the next 12 months and that it is appropriate to adopt the going concern basis in preparing these interim financial statements. The continued preparation of the Group’s consolidated interim financial statements on the going concern basis is supported by the financial projections prepared by the Group. </w:t>
      </w:r>
    </w:p>
    <w:p w14:paraId="7E982BF8" w14:textId="77777777" w:rsidR="008A6095" w:rsidRPr="0081763F" w:rsidRDefault="008A6095" w:rsidP="009C5CA5">
      <w:pPr>
        <w:autoSpaceDE w:val="0"/>
        <w:autoSpaceDN w:val="0"/>
        <w:adjustRightInd w:val="0"/>
        <w:spacing w:line="300" w:lineRule="exact"/>
        <w:ind w:right="-143"/>
        <w:jc w:val="both"/>
        <w:rPr>
          <w:rFonts w:ascii="Calibri" w:hAnsi="Calibri" w:cs="Calibri"/>
          <w:sz w:val="22"/>
          <w:szCs w:val="22"/>
        </w:rPr>
      </w:pPr>
    </w:p>
    <w:p w14:paraId="2EDBC7A6" w14:textId="77777777" w:rsidR="008A6095" w:rsidRPr="0081763F" w:rsidRDefault="008A6095" w:rsidP="009C5CA5">
      <w:pPr>
        <w:autoSpaceDE w:val="0"/>
        <w:autoSpaceDN w:val="0"/>
        <w:adjustRightInd w:val="0"/>
        <w:spacing w:line="300" w:lineRule="exact"/>
        <w:ind w:right="-143"/>
        <w:jc w:val="both"/>
        <w:rPr>
          <w:rFonts w:ascii="Calibri" w:hAnsi="Calibri" w:cs="Calibri"/>
          <w:bCs/>
          <w:sz w:val="22"/>
          <w:szCs w:val="22"/>
        </w:rPr>
      </w:pPr>
      <w:r w:rsidRPr="0081763F">
        <w:rPr>
          <w:rFonts w:ascii="Calibri" w:hAnsi="Calibri" w:cs="Calibri"/>
          <w:bCs/>
          <w:sz w:val="22"/>
          <w:szCs w:val="22"/>
        </w:rPr>
        <w:t>In arriving at this decision to adopt the going concern basis of accounting, the Board has considered, among other things:</w:t>
      </w:r>
    </w:p>
    <w:p w14:paraId="4086FD34" w14:textId="77777777" w:rsidR="008A6095" w:rsidRPr="0081763F" w:rsidRDefault="008A6095" w:rsidP="009C5CA5">
      <w:pPr>
        <w:pStyle w:val="CG-Title-Center-Bold"/>
        <w:keepNext w:val="0"/>
        <w:tabs>
          <w:tab w:val="left" w:pos="-600"/>
          <w:tab w:val="left" w:pos="6120"/>
          <w:tab w:val="left" w:pos="6360"/>
          <w:tab w:val="left" w:pos="7800"/>
        </w:tabs>
        <w:spacing w:after="0"/>
        <w:ind w:right="-143"/>
        <w:jc w:val="both"/>
        <w:rPr>
          <w:rFonts w:ascii="Calibri" w:hAnsi="Calibri" w:cs="Calibri"/>
          <w:sz w:val="22"/>
          <w:szCs w:val="22"/>
        </w:rPr>
      </w:pPr>
    </w:p>
    <w:p w14:paraId="15AC7BD3" w14:textId="77777777" w:rsidR="008A6095" w:rsidRPr="0081763F" w:rsidRDefault="008A6095" w:rsidP="00837FDD">
      <w:pPr>
        <w:numPr>
          <w:ilvl w:val="0"/>
          <w:numId w:val="11"/>
        </w:numPr>
        <w:spacing w:line="300" w:lineRule="exact"/>
        <w:ind w:left="714" w:right="-143" w:hanging="357"/>
        <w:jc w:val="both"/>
        <w:rPr>
          <w:rFonts w:ascii="Calibri" w:hAnsi="Calibri" w:cs="Calibri"/>
          <w:bCs/>
          <w:sz w:val="22"/>
          <w:szCs w:val="22"/>
        </w:rPr>
      </w:pPr>
      <w:r w:rsidRPr="0081763F">
        <w:rPr>
          <w:rFonts w:ascii="Calibri" w:hAnsi="Calibri" w:cs="Calibri"/>
          <w:bCs/>
          <w:sz w:val="22"/>
          <w:szCs w:val="22"/>
        </w:rPr>
        <w:t>The Group’s net profit of €</w:t>
      </w:r>
      <w:r w:rsidR="00CB3D93" w:rsidRPr="0081763F">
        <w:rPr>
          <w:rFonts w:ascii="Calibri" w:hAnsi="Calibri" w:cs="Calibri"/>
          <w:bCs/>
          <w:sz w:val="22"/>
          <w:szCs w:val="22"/>
        </w:rPr>
        <w:t>2.1</w:t>
      </w:r>
      <w:r w:rsidR="006A21D2">
        <w:rPr>
          <w:rFonts w:ascii="Calibri" w:hAnsi="Calibri" w:cs="Calibri"/>
          <w:bCs/>
          <w:sz w:val="22"/>
          <w:szCs w:val="22"/>
        </w:rPr>
        <w:t>8</w:t>
      </w:r>
      <w:r w:rsidRPr="0081763F">
        <w:rPr>
          <w:rFonts w:ascii="Calibri" w:hAnsi="Calibri" w:cs="Calibri"/>
          <w:bCs/>
          <w:sz w:val="22"/>
          <w:szCs w:val="22"/>
        </w:rPr>
        <w:t>BN</w:t>
      </w:r>
      <w:r w:rsidR="004E6C0E" w:rsidRPr="0081763F">
        <w:rPr>
          <w:rFonts w:ascii="Calibri" w:hAnsi="Calibri" w:cs="Calibri"/>
          <w:bCs/>
          <w:sz w:val="22"/>
          <w:szCs w:val="22"/>
        </w:rPr>
        <w:t xml:space="preserve"> </w:t>
      </w:r>
      <w:r w:rsidRPr="0081763F">
        <w:rPr>
          <w:rFonts w:ascii="Calibri" w:hAnsi="Calibri" w:cs="Calibri"/>
          <w:bCs/>
          <w:sz w:val="22"/>
          <w:szCs w:val="22"/>
        </w:rPr>
        <w:t xml:space="preserve">in the half-year ended September 30, </w:t>
      </w:r>
      <w:proofErr w:type="gramStart"/>
      <w:r w:rsidRPr="0081763F">
        <w:rPr>
          <w:rFonts w:ascii="Calibri" w:hAnsi="Calibri" w:cs="Calibri"/>
          <w:bCs/>
          <w:sz w:val="22"/>
          <w:szCs w:val="22"/>
        </w:rPr>
        <w:t>202</w:t>
      </w:r>
      <w:r w:rsidR="00504DD3" w:rsidRPr="0081763F">
        <w:rPr>
          <w:rFonts w:ascii="Calibri" w:hAnsi="Calibri" w:cs="Calibri"/>
          <w:bCs/>
          <w:sz w:val="22"/>
          <w:szCs w:val="22"/>
        </w:rPr>
        <w:t>3</w:t>
      </w:r>
      <w:r w:rsidRPr="0081763F">
        <w:rPr>
          <w:rFonts w:ascii="Calibri" w:hAnsi="Calibri" w:cs="Calibri"/>
          <w:bCs/>
          <w:sz w:val="22"/>
          <w:szCs w:val="22"/>
        </w:rPr>
        <w:t>;</w:t>
      </w:r>
      <w:proofErr w:type="gramEnd"/>
    </w:p>
    <w:p w14:paraId="15170F84" w14:textId="77777777" w:rsidR="008A6095" w:rsidRPr="0081763F" w:rsidRDefault="008A6095" w:rsidP="00837FDD">
      <w:pPr>
        <w:numPr>
          <w:ilvl w:val="0"/>
          <w:numId w:val="11"/>
        </w:numPr>
        <w:spacing w:line="300" w:lineRule="exact"/>
        <w:ind w:left="714" w:right="-143" w:hanging="357"/>
        <w:jc w:val="both"/>
        <w:rPr>
          <w:rFonts w:ascii="Calibri" w:hAnsi="Calibri" w:cs="Calibri"/>
          <w:bCs/>
          <w:sz w:val="22"/>
          <w:szCs w:val="22"/>
        </w:rPr>
      </w:pPr>
      <w:r w:rsidRPr="0081763F">
        <w:rPr>
          <w:rFonts w:ascii="Calibri" w:hAnsi="Calibri" w:cs="Calibri"/>
          <w:bCs/>
          <w:sz w:val="22"/>
          <w:szCs w:val="22"/>
        </w:rPr>
        <w:t>The Group’s liquidity, with €</w:t>
      </w:r>
      <w:r w:rsidR="009B5068" w:rsidRPr="0081763F">
        <w:rPr>
          <w:rFonts w:ascii="Calibri" w:hAnsi="Calibri" w:cs="Calibri"/>
          <w:bCs/>
          <w:sz w:val="22"/>
          <w:szCs w:val="22"/>
        </w:rPr>
        <w:t>3.64</w:t>
      </w:r>
      <w:r w:rsidR="00504DD3" w:rsidRPr="0081763F">
        <w:rPr>
          <w:rFonts w:ascii="Calibri" w:hAnsi="Calibri" w:cs="Calibri"/>
          <w:bCs/>
          <w:sz w:val="22"/>
          <w:szCs w:val="22"/>
        </w:rPr>
        <w:t>B</w:t>
      </w:r>
      <w:r w:rsidRPr="0081763F">
        <w:rPr>
          <w:rFonts w:ascii="Calibri" w:hAnsi="Calibri" w:cs="Calibri"/>
          <w:bCs/>
          <w:sz w:val="22"/>
          <w:szCs w:val="22"/>
        </w:rPr>
        <w:t xml:space="preserve">N </w:t>
      </w:r>
      <w:r w:rsidR="006131F7">
        <w:rPr>
          <w:rFonts w:ascii="Calibri" w:hAnsi="Calibri" w:cs="Calibri"/>
          <w:bCs/>
          <w:sz w:val="22"/>
          <w:szCs w:val="22"/>
        </w:rPr>
        <w:t xml:space="preserve">gross </w:t>
      </w:r>
      <w:r w:rsidRPr="0081763F">
        <w:rPr>
          <w:rFonts w:ascii="Calibri" w:hAnsi="Calibri" w:cs="Calibri"/>
          <w:bCs/>
          <w:sz w:val="22"/>
          <w:szCs w:val="22"/>
        </w:rPr>
        <w:t xml:space="preserve">cash </w:t>
      </w:r>
      <w:r w:rsidR="006131F7">
        <w:rPr>
          <w:rFonts w:ascii="Calibri" w:hAnsi="Calibri" w:cs="Calibri"/>
          <w:bCs/>
          <w:sz w:val="22"/>
          <w:szCs w:val="22"/>
        </w:rPr>
        <w:t>and €</w:t>
      </w:r>
      <w:r w:rsidR="006534C0">
        <w:rPr>
          <w:rFonts w:ascii="Calibri" w:hAnsi="Calibri" w:cs="Calibri"/>
          <w:bCs/>
          <w:sz w:val="22"/>
          <w:szCs w:val="22"/>
        </w:rPr>
        <w:t>0.84BN</w:t>
      </w:r>
      <w:r w:rsidR="006131F7">
        <w:rPr>
          <w:rFonts w:ascii="Calibri" w:hAnsi="Calibri" w:cs="Calibri"/>
          <w:bCs/>
          <w:sz w:val="22"/>
          <w:szCs w:val="22"/>
        </w:rPr>
        <w:t xml:space="preserve"> net cash </w:t>
      </w:r>
      <w:proofErr w:type="gramStart"/>
      <w:r w:rsidRPr="0081763F">
        <w:rPr>
          <w:rFonts w:ascii="Calibri" w:hAnsi="Calibri" w:cs="Calibri"/>
          <w:bCs/>
          <w:sz w:val="22"/>
          <w:szCs w:val="22"/>
        </w:rPr>
        <w:t>at</w:t>
      </w:r>
      <w:proofErr w:type="gramEnd"/>
      <w:r w:rsidRPr="0081763F">
        <w:rPr>
          <w:rFonts w:ascii="Calibri" w:hAnsi="Calibri" w:cs="Calibri"/>
          <w:bCs/>
          <w:sz w:val="22"/>
          <w:szCs w:val="22"/>
        </w:rPr>
        <w:t xml:space="preserve"> September 30, 202</w:t>
      </w:r>
      <w:r w:rsidR="00504DD3" w:rsidRPr="0081763F">
        <w:rPr>
          <w:rFonts w:ascii="Calibri" w:hAnsi="Calibri" w:cs="Calibri"/>
          <w:bCs/>
          <w:sz w:val="22"/>
          <w:szCs w:val="22"/>
        </w:rPr>
        <w:t>3</w:t>
      </w:r>
      <w:r w:rsidRPr="0081763F">
        <w:rPr>
          <w:rFonts w:ascii="Calibri" w:hAnsi="Calibri" w:cs="Calibri"/>
          <w:bCs/>
          <w:sz w:val="22"/>
          <w:szCs w:val="22"/>
        </w:rPr>
        <w:t xml:space="preserve">, </w:t>
      </w:r>
      <w:r w:rsidR="00DA295D">
        <w:rPr>
          <w:rFonts w:ascii="Calibri" w:hAnsi="Calibri" w:cs="Calibri"/>
          <w:bCs/>
          <w:sz w:val="22"/>
          <w:szCs w:val="22"/>
        </w:rPr>
        <w:t>€</w:t>
      </w:r>
      <w:r w:rsidR="006534C0">
        <w:rPr>
          <w:rFonts w:ascii="Calibri" w:hAnsi="Calibri" w:cs="Calibri"/>
          <w:bCs/>
          <w:sz w:val="22"/>
          <w:szCs w:val="22"/>
        </w:rPr>
        <w:t>0.</w:t>
      </w:r>
      <w:r w:rsidR="00502376">
        <w:rPr>
          <w:rFonts w:ascii="Calibri" w:hAnsi="Calibri" w:cs="Calibri"/>
          <w:bCs/>
          <w:sz w:val="22"/>
          <w:szCs w:val="22"/>
        </w:rPr>
        <w:t>26</w:t>
      </w:r>
      <w:r w:rsidR="006534C0">
        <w:rPr>
          <w:rFonts w:ascii="Calibri" w:hAnsi="Calibri" w:cs="Calibri"/>
          <w:bCs/>
          <w:sz w:val="22"/>
          <w:szCs w:val="22"/>
        </w:rPr>
        <w:t>BN</w:t>
      </w:r>
      <w:r w:rsidR="00DA295D">
        <w:rPr>
          <w:rFonts w:ascii="Calibri" w:hAnsi="Calibri" w:cs="Calibri"/>
          <w:bCs/>
          <w:sz w:val="22"/>
          <w:szCs w:val="22"/>
        </w:rPr>
        <w:t xml:space="preserve"> undrawn funds under the Group’s </w:t>
      </w:r>
      <w:r w:rsidR="006534C0">
        <w:rPr>
          <w:rFonts w:ascii="Calibri" w:hAnsi="Calibri" w:cs="Calibri"/>
          <w:bCs/>
          <w:sz w:val="22"/>
          <w:szCs w:val="22"/>
        </w:rPr>
        <w:t xml:space="preserve">€0.75BN </w:t>
      </w:r>
      <w:r w:rsidR="00DA295D">
        <w:rPr>
          <w:rFonts w:ascii="Calibri" w:hAnsi="Calibri" w:cs="Calibri"/>
          <w:bCs/>
          <w:sz w:val="22"/>
          <w:szCs w:val="22"/>
        </w:rPr>
        <w:t xml:space="preserve">revolving credit facility </w:t>
      </w:r>
      <w:r w:rsidRPr="0081763F">
        <w:rPr>
          <w:rFonts w:ascii="Calibri" w:hAnsi="Calibri" w:cs="Calibri"/>
          <w:bCs/>
          <w:sz w:val="22"/>
          <w:szCs w:val="22"/>
        </w:rPr>
        <w:t>and the Group’s continued focus on cash management;</w:t>
      </w:r>
    </w:p>
    <w:p w14:paraId="30BB07D5" w14:textId="77777777" w:rsidR="008A6095" w:rsidRPr="0081763F" w:rsidRDefault="008A6095" w:rsidP="00837FDD">
      <w:pPr>
        <w:numPr>
          <w:ilvl w:val="0"/>
          <w:numId w:val="11"/>
        </w:numPr>
        <w:spacing w:line="300" w:lineRule="exact"/>
        <w:ind w:left="714" w:right="-143" w:hanging="357"/>
        <w:jc w:val="both"/>
        <w:rPr>
          <w:rFonts w:ascii="Calibri" w:hAnsi="Calibri" w:cs="Calibri"/>
          <w:bCs/>
          <w:sz w:val="22"/>
          <w:szCs w:val="22"/>
        </w:rPr>
      </w:pPr>
      <w:r w:rsidRPr="0081763F">
        <w:rPr>
          <w:rFonts w:ascii="Calibri" w:hAnsi="Calibri" w:cs="Calibri"/>
          <w:bCs/>
          <w:sz w:val="22"/>
          <w:szCs w:val="22"/>
        </w:rPr>
        <w:t>The Group’s BBB</w:t>
      </w:r>
      <w:r w:rsidR="00504DD3" w:rsidRPr="0081763F">
        <w:rPr>
          <w:rFonts w:ascii="Calibri" w:hAnsi="Calibri" w:cs="Calibri"/>
          <w:bCs/>
          <w:sz w:val="22"/>
          <w:szCs w:val="22"/>
        </w:rPr>
        <w:t>+ (stable)</w:t>
      </w:r>
      <w:r w:rsidRPr="0081763F">
        <w:rPr>
          <w:rFonts w:ascii="Calibri" w:hAnsi="Calibri" w:cs="Calibri"/>
          <w:bCs/>
          <w:sz w:val="22"/>
          <w:szCs w:val="22"/>
        </w:rPr>
        <w:t xml:space="preserve"> credit </w:t>
      </w:r>
      <w:r w:rsidR="006131F7">
        <w:rPr>
          <w:rFonts w:ascii="Calibri" w:hAnsi="Calibri" w:cs="Calibri"/>
          <w:bCs/>
          <w:sz w:val="22"/>
          <w:szCs w:val="22"/>
        </w:rPr>
        <w:t xml:space="preserve">ratings </w:t>
      </w:r>
      <w:r w:rsidRPr="0081763F">
        <w:rPr>
          <w:rFonts w:ascii="Calibri" w:hAnsi="Calibri" w:cs="Calibri"/>
          <w:bCs/>
          <w:sz w:val="22"/>
          <w:szCs w:val="22"/>
        </w:rPr>
        <w:t xml:space="preserve">from both S&amp;P and Fitch </w:t>
      </w:r>
      <w:proofErr w:type="gramStart"/>
      <w:r w:rsidRPr="0081763F">
        <w:rPr>
          <w:rFonts w:ascii="Calibri" w:hAnsi="Calibri" w:cs="Calibri"/>
          <w:bCs/>
          <w:sz w:val="22"/>
          <w:szCs w:val="22"/>
        </w:rPr>
        <w:t>Ratings;</w:t>
      </w:r>
      <w:proofErr w:type="gramEnd"/>
      <w:r w:rsidRPr="0081763F">
        <w:rPr>
          <w:rFonts w:ascii="Calibri" w:hAnsi="Calibri" w:cs="Calibri"/>
          <w:bCs/>
          <w:sz w:val="22"/>
          <w:szCs w:val="22"/>
        </w:rPr>
        <w:t xml:space="preserve"> </w:t>
      </w:r>
    </w:p>
    <w:p w14:paraId="122837CB" w14:textId="77777777" w:rsidR="008A6095" w:rsidRPr="0081763F" w:rsidRDefault="008A6095" w:rsidP="00837FDD">
      <w:pPr>
        <w:numPr>
          <w:ilvl w:val="0"/>
          <w:numId w:val="11"/>
        </w:numPr>
        <w:spacing w:line="300" w:lineRule="exact"/>
        <w:ind w:left="714" w:right="-143" w:hanging="357"/>
        <w:jc w:val="both"/>
        <w:rPr>
          <w:rFonts w:ascii="Calibri" w:hAnsi="Calibri" w:cs="Calibri"/>
          <w:bCs/>
          <w:sz w:val="22"/>
          <w:szCs w:val="22"/>
        </w:rPr>
      </w:pPr>
      <w:r w:rsidRPr="0081763F">
        <w:rPr>
          <w:rFonts w:ascii="Calibri" w:hAnsi="Calibri" w:cs="Calibri"/>
          <w:bCs/>
          <w:sz w:val="22"/>
          <w:szCs w:val="22"/>
        </w:rPr>
        <w:t>The Group’s strong balance sheet position with</w:t>
      </w:r>
      <w:r w:rsidR="00C4701B" w:rsidRPr="0081763F">
        <w:rPr>
          <w:rFonts w:ascii="Calibri" w:hAnsi="Calibri" w:cs="Calibri"/>
          <w:sz w:val="22"/>
          <w:szCs w:val="22"/>
        </w:rPr>
        <w:t xml:space="preserve"> its </w:t>
      </w:r>
      <w:r w:rsidR="006534C0">
        <w:rPr>
          <w:rFonts w:ascii="Calibri" w:hAnsi="Calibri" w:cs="Calibri"/>
          <w:sz w:val="22"/>
          <w:szCs w:val="22"/>
        </w:rPr>
        <w:t xml:space="preserve">534 owned </w:t>
      </w:r>
      <w:r w:rsidR="00C4701B" w:rsidRPr="0081763F">
        <w:rPr>
          <w:rFonts w:ascii="Calibri" w:hAnsi="Calibri" w:cs="Calibri"/>
          <w:sz w:val="22"/>
          <w:szCs w:val="22"/>
        </w:rPr>
        <w:t xml:space="preserve">B737 fleet </w:t>
      </w:r>
      <w:proofErr w:type="gramStart"/>
      <w:r w:rsidR="00C4701B" w:rsidRPr="0081763F">
        <w:rPr>
          <w:rFonts w:ascii="Calibri" w:hAnsi="Calibri" w:cs="Calibri"/>
          <w:sz w:val="22"/>
          <w:szCs w:val="22"/>
        </w:rPr>
        <w:t>unencumbered</w:t>
      </w:r>
      <w:r w:rsidRPr="0081763F">
        <w:rPr>
          <w:rFonts w:ascii="Calibri" w:hAnsi="Calibri" w:cs="Calibri"/>
          <w:bCs/>
          <w:sz w:val="22"/>
          <w:szCs w:val="22"/>
        </w:rPr>
        <w:t>;</w:t>
      </w:r>
      <w:proofErr w:type="gramEnd"/>
      <w:r w:rsidRPr="0081763F">
        <w:rPr>
          <w:rFonts w:ascii="Calibri" w:hAnsi="Calibri" w:cs="Calibri"/>
          <w:bCs/>
          <w:sz w:val="22"/>
          <w:szCs w:val="22"/>
        </w:rPr>
        <w:t xml:space="preserve"> </w:t>
      </w:r>
    </w:p>
    <w:p w14:paraId="2BF1302D" w14:textId="77777777" w:rsidR="008A6095" w:rsidRPr="0081763F" w:rsidRDefault="008A6095" w:rsidP="00837FDD">
      <w:pPr>
        <w:numPr>
          <w:ilvl w:val="0"/>
          <w:numId w:val="11"/>
        </w:numPr>
        <w:spacing w:line="300" w:lineRule="exact"/>
        <w:ind w:left="714" w:right="-143" w:hanging="357"/>
        <w:jc w:val="both"/>
        <w:rPr>
          <w:rFonts w:ascii="Calibri" w:hAnsi="Calibri" w:cs="Calibri"/>
          <w:bCs/>
          <w:sz w:val="22"/>
          <w:szCs w:val="22"/>
        </w:rPr>
      </w:pPr>
      <w:r w:rsidRPr="0081763F">
        <w:rPr>
          <w:rFonts w:ascii="Calibri" w:hAnsi="Calibri" w:cs="Calibri"/>
          <w:bCs/>
          <w:sz w:val="22"/>
          <w:szCs w:val="22"/>
        </w:rPr>
        <w:t>The Group’s access to the debt capital markets, unsecured</w:t>
      </w:r>
      <w:r w:rsidR="004E6C0E" w:rsidRPr="0081763F">
        <w:rPr>
          <w:rFonts w:ascii="Calibri" w:hAnsi="Calibri" w:cs="Calibri"/>
          <w:bCs/>
          <w:sz w:val="22"/>
          <w:szCs w:val="22"/>
        </w:rPr>
        <w:t>/secured</w:t>
      </w:r>
      <w:r w:rsidRPr="0081763F">
        <w:rPr>
          <w:rFonts w:ascii="Calibri" w:hAnsi="Calibri" w:cs="Calibri"/>
          <w:bCs/>
          <w:sz w:val="22"/>
          <w:szCs w:val="22"/>
        </w:rPr>
        <w:t xml:space="preserve"> bank debt and sale and leaseback </w:t>
      </w:r>
      <w:proofErr w:type="gramStart"/>
      <w:r w:rsidRPr="0081763F">
        <w:rPr>
          <w:rFonts w:ascii="Calibri" w:hAnsi="Calibri" w:cs="Calibri"/>
          <w:bCs/>
          <w:sz w:val="22"/>
          <w:szCs w:val="22"/>
        </w:rPr>
        <w:t>transactions;</w:t>
      </w:r>
      <w:proofErr w:type="gramEnd"/>
    </w:p>
    <w:p w14:paraId="5ED2087C" w14:textId="77777777" w:rsidR="008A6095" w:rsidRPr="0081763F" w:rsidRDefault="009B5068" w:rsidP="00837FDD">
      <w:pPr>
        <w:numPr>
          <w:ilvl w:val="0"/>
          <w:numId w:val="11"/>
        </w:numPr>
        <w:autoSpaceDE w:val="0"/>
        <w:autoSpaceDN w:val="0"/>
        <w:adjustRightInd w:val="0"/>
        <w:spacing w:line="300" w:lineRule="exact"/>
        <w:ind w:left="714" w:right="-428" w:hanging="357"/>
        <w:jc w:val="both"/>
        <w:rPr>
          <w:rFonts w:ascii="Calibri" w:hAnsi="Calibri" w:cs="Calibri"/>
          <w:sz w:val="22"/>
          <w:szCs w:val="22"/>
        </w:rPr>
      </w:pPr>
      <w:r w:rsidRPr="0081763F">
        <w:rPr>
          <w:rFonts w:ascii="Calibri" w:hAnsi="Calibri" w:cs="Calibri"/>
          <w:sz w:val="22"/>
          <w:szCs w:val="22"/>
        </w:rPr>
        <w:t xml:space="preserve">Strong cost control across the </w:t>
      </w:r>
      <w:proofErr w:type="gramStart"/>
      <w:r w:rsidRPr="0081763F">
        <w:rPr>
          <w:rFonts w:ascii="Calibri" w:hAnsi="Calibri" w:cs="Calibri"/>
          <w:sz w:val="22"/>
          <w:szCs w:val="22"/>
        </w:rPr>
        <w:t>Group;</w:t>
      </w:r>
      <w:proofErr w:type="gramEnd"/>
    </w:p>
    <w:p w14:paraId="3A9C6A98" w14:textId="77777777" w:rsidR="00C4701B" w:rsidRPr="0081763F" w:rsidRDefault="00C4701B" w:rsidP="00837FDD">
      <w:pPr>
        <w:numPr>
          <w:ilvl w:val="0"/>
          <w:numId w:val="11"/>
        </w:numPr>
        <w:spacing w:line="300" w:lineRule="exact"/>
        <w:ind w:left="714" w:hanging="357"/>
        <w:rPr>
          <w:rFonts w:ascii="Calibri" w:hAnsi="Calibri" w:cs="Calibri"/>
          <w:bCs/>
          <w:sz w:val="22"/>
          <w:szCs w:val="22"/>
        </w:rPr>
      </w:pPr>
      <w:r w:rsidRPr="0081763F">
        <w:rPr>
          <w:rFonts w:ascii="Calibri" w:hAnsi="Calibri" w:cs="Calibri"/>
          <w:bCs/>
          <w:sz w:val="22"/>
          <w:szCs w:val="22"/>
        </w:rPr>
        <w:t>The Group’s fuel hedging position (</w:t>
      </w:r>
      <w:bookmarkStart w:id="14" w:name="_Hlk147477588"/>
      <w:r w:rsidRPr="0081763F">
        <w:rPr>
          <w:rFonts w:ascii="Calibri" w:hAnsi="Calibri" w:cs="Calibri"/>
          <w:bCs/>
          <w:sz w:val="22"/>
          <w:szCs w:val="22"/>
        </w:rPr>
        <w:t xml:space="preserve">FY24 fuel requirements </w:t>
      </w:r>
      <w:r w:rsidR="00DA295D">
        <w:rPr>
          <w:rFonts w:ascii="Calibri" w:hAnsi="Calibri" w:cs="Calibri"/>
          <w:bCs/>
          <w:sz w:val="22"/>
          <w:szCs w:val="22"/>
        </w:rPr>
        <w:t>we</w:t>
      </w:r>
      <w:r w:rsidRPr="0081763F">
        <w:rPr>
          <w:rFonts w:ascii="Calibri" w:hAnsi="Calibri" w:cs="Calibri"/>
          <w:bCs/>
          <w:sz w:val="22"/>
          <w:szCs w:val="22"/>
        </w:rPr>
        <w:t xml:space="preserve">re </w:t>
      </w:r>
      <w:r w:rsidR="00DA2F6F" w:rsidRPr="0081763F">
        <w:rPr>
          <w:rFonts w:ascii="Calibri" w:hAnsi="Calibri" w:cs="Calibri"/>
          <w:bCs/>
          <w:sz w:val="22"/>
          <w:szCs w:val="22"/>
        </w:rPr>
        <w:t>83</w:t>
      </w:r>
      <w:r w:rsidRPr="0081763F">
        <w:rPr>
          <w:rFonts w:ascii="Calibri" w:hAnsi="Calibri" w:cs="Calibri"/>
          <w:bCs/>
          <w:sz w:val="22"/>
          <w:szCs w:val="22"/>
        </w:rPr>
        <w:t>% hedged (</w:t>
      </w:r>
      <w:r w:rsidR="00DA2F6F" w:rsidRPr="0081763F">
        <w:rPr>
          <w:rFonts w:ascii="Calibri" w:hAnsi="Calibri" w:cs="Calibri"/>
          <w:bCs/>
          <w:sz w:val="22"/>
          <w:szCs w:val="22"/>
        </w:rPr>
        <w:t>via swaps and caps</w:t>
      </w:r>
      <w:r w:rsidRPr="0081763F">
        <w:rPr>
          <w:rFonts w:ascii="Calibri" w:hAnsi="Calibri" w:cs="Calibri"/>
          <w:bCs/>
          <w:sz w:val="22"/>
          <w:szCs w:val="22"/>
        </w:rPr>
        <w:t xml:space="preserve">) and </w:t>
      </w:r>
      <w:r w:rsidR="00DA2F6F" w:rsidRPr="0081763F">
        <w:rPr>
          <w:rFonts w:ascii="Calibri" w:hAnsi="Calibri" w:cs="Calibri"/>
          <w:bCs/>
          <w:sz w:val="22"/>
          <w:szCs w:val="22"/>
        </w:rPr>
        <w:t>37</w:t>
      </w:r>
      <w:r w:rsidRPr="0081763F">
        <w:rPr>
          <w:rFonts w:ascii="Calibri" w:hAnsi="Calibri" w:cs="Calibri"/>
          <w:bCs/>
          <w:sz w:val="22"/>
          <w:szCs w:val="22"/>
        </w:rPr>
        <w:t xml:space="preserve">% (all swaps) of FY25 jet fuel requirements </w:t>
      </w:r>
      <w:r w:rsidR="006131F7">
        <w:rPr>
          <w:rFonts w:ascii="Calibri" w:hAnsi="Calibri" w:cs="Calibri"/>
          <w:bCs/>
          <w:sz w:val="22"/>
          <w:szCs w:val="22"/>
        </w:rPr>
        <w:t>we</w:t>
      </w:r>
      <w:r w:rsidRPr="0081763F">
        <w:rPr>
          <w:rFonts w:ascii="Calibri" w:hAnsi="Calibri" w:cs="Calibri"/>
          <w:bCs/>
          <w:sz w:val="22"/>
          <w:szCs w:val="22"/>
        </w:rPr>
        <w:t xml:space="preserve">re hedged </w:t>
      </w:r>
      <w:proofErr w:type="gramStart"/>
      <w:r w:rsidRPr="0081763F">
        <w:rPr>
          <w:rFonts w:ascii="Calibri" w:hAnsi="Calibri" w:cs="Calibri"/>
          <w:bCs/>
          <w:sz w:val="22"/>
          <w:szCs w:val="22"/>
        </w:rPr>
        <w:t>at</w:t>
      </w:r>
      <w:proofErr w:type="gramEnd"/>
      <w:r w:rsidRPr="0081763F">
        <w:rPr>
          <w:rFonts w:ascii="Calibri" w:hAnsi="Calibri" w:cs="Calibri"/>
          <w:bCs/>
          <w:sz w:val="22"/>
          <w:szCs w:val="22"/>
        </w:rPr>
        <w:t xml:space="preserve"> </w:t>
      </w:r>
      <w:r w:rsidR="006F7432" w:rsidRPr="0081763F">
        <w:rPr>
          <w:rFonts w:ascii="Calibri" w:hAnsi="Calibri" w:cs="Calibri"/>
          <w:bCs/>
          <w:sz w:val="22"/>
          <w:szCs w:val="22"/>
        </w:rPr>
        <w:t>September</w:t>
      </w:r>
      <w:r w:rsidRPr="0081763F">
        <w:rPr>
          <w:rFonts w:ascii="Calibri" w:hAnsi="Calibri" w:cs="Calibri"/>
          <w:bCs/>
          <w:sz w:val="22"/>
          <w:szCs w:val="22"/>
        </w:rPr>
        <w:t xml:space="preserve"> 30, 2023); and</w:t>
      </w:r>
    </w:p>
    <w:p w14:paraId="1DB21220" w14:textId="77777777" w:rsidR="008A6095" w:rsidRPr="0081763F" w:rsidRDefault="008A6095" w:rsidP="00837FDD">
      <w:pPr>
        <w:numPr>
          <w:ilvl w:val="0"/>
          <w:numId w:val="11"/>
        </w:numPr>
        <w:spacing w:line="300" w:lineRule="exact"/>
        <w:ind w:left="714" w:right="-143" w:hanging="357"/>
        <w:jc w:val="both"/>
        <w:rPr>
          <w:rFonts w:ascii="Calibri" w:hAnsi="Calibri" w:cs="Calibri"/>
          <w:bCs/>
          <w:sz w:val="22"/>
          <w:szCs w:val="22"/>
        </w:rPr>
      </w:pPr>
      <w:r w:rsidRPr="0081763F">
        <w:rPr>
          <w:rFonts w:ascii="Calibri" w:hAnsi="Calibri" w:cs="Calibri"/>
          <w:bCs/>
          <w:sz w:val="22"/>
          <w:szCs w:val="22"/>
        </w:rPr>
        <w:t xml:space="preserve">The Group’s ability, </w:t>
      </w:r>
      <w:bookmarkEnd w:id="14"/>
      <w:r w:rsidRPr="0081763F">
        <w:rPr>
          <w:rFonts w:ascii="Calibri" w:hAnsi="Calibri" w:cs="Calibri"/>
          <w:bCs/>
          <w:sz w:val="22"/>
          <w:szCs w:val="22"/>
        </w:rPr>
        <w:t>as evidenced throughout the Covid-19 crisis, to preserve cash and reduce operational and capital expenditure in a downturn.</w:t>
      </w:r>
    </w:p>
    <w:p w14:paraId="536E2559" w14:textId="77777777" w:rsidR="00C24E17" w:rsidRPr="006D09A6" w:rsidRDefault="00C24E17" w:rsidP="00AD289F">
      <w:pPr>
        <w:autoSpaceDE w:val="0"/>
        <w:autoSpaceDN w:val="0"/>
        <w:adjustRightInd w:val="0"/>
        <w:spacing w:line="300" w:lineRule="exact"/>
        <w:jc w:val="both"/>
        <w:rPr>
          <w:rFonts w:ascii="Calibri" w:hAnsi="Calibri" w:cs="Calibri"/>
          <w:sz w:val="22"/>
          <w:szCs w:val="22"/>
        </w:rPr>
      </w:pPr>
    </w:p>
    <w:p w14:paraId="439BAB5D" w14:textId="77777777" w:rsidR="00097571" w:rsidRPr="0081763F" w:rsidRDefault="0095240F" w:rsidP="00097571">
      <w:pPr>
        <w:pStyle w:val="CG-Title-Center-Bold"/>
        <w:keepNext w:val="0"/>
        <w:tabs>
          <w:tab w:val="left" w:pos="-600"/>
          <w:tab w:val="left" w:pos="6120"/>
          <w:tab w:val="left" w:pos="6360"/>
          <w:tab w:val="left" w:pos="7800"/>
        </w:tabs>
        <w:spacing w:after="0"/>
        <w:ind w:left="-839" w:right="-595"/>
        <w:rPr>
          <w:rFonts w:ascii="Calibri" w:hAnsi="Calibri" w:cs="Calibri"/>
        </w:rPr>
      </w:pPr>
      <w:r w:rsidRPr="00C22F7C">
        <w:rPr>
          <w:rFonts w:ascii="Calibri" w:hAnsi="Calibri" w:cs="Calibri"/>
          <w:sz w:val="22"/>
          <w:szCs w:val="22"/>
        </w:rPr>
        <w:br w:type="page"/>
      </w:r>
      <w:bookmarkStart w:id="15" w:name="_Hlk527706211"/>
      <w:bookmarkEnd w:id="4"/>
      <w:bookmarkEnd w:id="5"/>
      <w:bookmarkEnd w:id="6"/>
      <w:r w:rsidR="00097571" w:rsidRPr="0081763F">
        <w:rPr>
          <w:rFonts w:ascii="Calibri" w:hAnsi="Calibri" w:cs="Calibri"/>
          <w:sz w:val="24"/>
          <w:szCs w:val="24"/>
        </w:rPr>
        <w:lastRenderedPageBreak/>
        <w:t>Ryanair Holdings plc and Subsidiaries</w:t>
      </w:r>
    </w:p>
    <w:p w14:paraId="4609D511" w14:textId="77777777" w:rsidR="00097571" w:rsidRPr="0081763F" w:rsidRDefault="00097571" w:rsidP="00097571">
      <w:pPr>
        <w:pStyle w:val="CG-Title-Center-Bold"/>
        <w:keepNext w:val="0"/>
        <w:tabs>
          <w:tab w:val="left" w:pos="-600"/>
          <w:tab w:val="left" w:pos="6120"/>
          <w:tab w:val="left" w:pos="6360"/>
          <w:tab w:val="left" w:pos="7800"/>
        </w:tabs>
        <w:spacing w:after="0"/>
        <w:ind w:left="-839" w:right="-595"/>
        <w:rPr>
          <w:rFonts w:ascii="Calibri" w:hAnsi="Calibri" w:cs="Calibri"/>
          <w:sz w:val="24"/>
          <w:szCs w:val="24"/>
        </w:rPr>
      </w:pPr>
      <w:r w:rsidRPr="0081763F">
        <w:rPr>
          <w:rFonts w:ascii="Calibri" w:hAnsi="Calibri" w:cs="Calibri"/>
          <w:sz w:val="24"/>
          <w:szCs w:val="24"/>
        </w:rPr>
        <w:t>Notes forming Part of the Condensed Consolidated</w:t>
      </w:r>
    </w:p>
    <w:p w14:paraId="023FD58E" w14:textId="77777777" w:rsidR="00097571" w:rsidRPr="0081763F" w:rsidRDefault="00097571" w:rsidP="00097571">
      <w:pPr>
        <w:jc w:val="center"/>
        <w:rPr>
          <w:rFonts w:ascii="Calibri" w:hAnsi="Calibri" w:cs="Calibri"/>
          <w:b/>
          <w:lang w:val="en-US"/>
        </w:rPr>
      </w:pPr>
      <w:r w:rsidRPr="0081763F">
        <w:rPr>
          <w:rFonts w:ascii="Calibri" w:hAnsi="Calibri" w:cs="Calibri"/>
          <w:b/>
          <w:lang w:val="en-US"/>
        </w:rPr>
        <w:t>Interim Financial Statements</w:t>
      </w:r>
    </w:p>
    <w:p w14:paraId="65F05D09" w14:textId="77777777" w:rsidR="00097571" w:rsidRPr="0081763F" w:rsidRDefault="00097571" w:rsidP="00097571">
      <w:pPr>
        <w:jc w:val="center"/>
        <w:rPr>
          <w:rFonts w:ascii="Calibri" w:hAnsi="Calibri" w:cs="Calibri"/>
          <w:b/>
          <w:lang w:val="en-US"/>
        </w:rPr>
      </w:pPr>
    </w:p>
    <w:p w14:paraId="512E01CE" w14:textId="77777777" w:rsidR="00097571" w:rsidRPr="0081763F" w:rsidRDefault="00097571" w:rsidP="0002602C">
      <w:pPr>
        <w:pStyle w:val="Outline3L1"/>
        <w:numPr>
          <w:ilvl w:val="0"/>
          <w:numId w:val="7"/>
        </w:numPr>
        <w:tabs>
          <w:tab w:val="clear" w:pos="720"/>
        </w:tabs>
        <w:spacing w:after="0"/>
        <w:ind w:right="-143"/>
        <w:jc w:val="both"/>
        <w:rPr>
          <w:rFonts w:ascii="Calibri" w:hAnsi="Calibri" w:cs="Calibri"/>
          <w:b/>
          <w:sz w:val="22"/>
          <w:szCs w:val="22"/>
        </w:rPr>
      </w:pPr>
      <w:r w:rsidRPr="0081763F">
        <w:rPr>
          <w:rFonts w:ascii="Calibri" w:hAnsi="Calibri" w:cs="Calibri"/>
          <w:b/>
          <w:sz w:val="22"/>
          <w:szCs w:val="22"/>
        </w:rPr>
        <w:t xml:space="preserve">Basis of preparation and </w:t>
      </w:r>
      <w:r w:rsidR="00397D1F">
        <w:rPr>
          <w:rFonts w:ascii="Calibri" w:hAnsi="Calibri" w:cs="Calibri"/>
          <w:b/>
          <w:sz w:val="22"/>
          <w:szCs w:val="22"/>
        </w:rPr>
        <w:t>material</w:t>
      </w:r>
      <w:r w:rsidRPr="0081763F">
        <w:rPr>
          <w:rFonts w:ascii="Calibri" w:hAnsi="Calibri" w:cs="Calibri"/>
          <w:b/>
          <w:sz w:val="22"/>
          <w:szCs w:val="22"/>
        </w:rPr>
        <w:t xml:space="preserve"> accounting policies</w:t>
      </w:r>
    </w:p>
    <w:p w14:paraId="6D081D04" w14:textId="77777777" w:rsidR="00984744" w:rsidRPr="0081763F" w:rsidRDefault="00984744" w:rsidP="0002602C">
      <w:pPr>
        <w:pStyle w:val="Outline3L1"/>
        <w:numPr>
          <w:ilvl w:val="0"/>
          <w:numId w:val="0"/>
        </w:numPr>
        <w:tabs>
          <w:tab w:val="num" w:pos="0"/>
        </w:tabs>
        <w:spacing w:after="0"/>
        <w:ind w:right="-143"/>
        <w:jc w:val="both"/>
        <w:rPr>
          <w:rFonts w:ascii="Calibri" w:hAnsi="Calibri" w:cs="Calibri"/>
          <w:sz w:val="22"/>
          <w:szCs w:val="22"/>
        </w:rPr>
      </w:pPr>
    </w:p>
    <w:p w14:paraId="6B4E12D8" w14:textId="77777777" w:rsidR="00C4701B" w:rsidRPr="0081763F" w:rsidRDefault="00C4701B" w:rsidP="00C4701B">
      <w:pPr>
        <w:autoSpaceDE w:val="0"/>
        <w:autoSpaceDN w:val="0"/>
        <w:adjustRightInd w:val="0"/>
        <w:ind w:right="-143"/>
        <w:jc w:val="both"/>
        <w:rPr>
          <w:rFonts w:ascii="Calibri" w:hAnsi="Calibri" w:cs="Calibri"/>
          <w:sz w:val="22"/>
          <w:szCs w:val="22"/>
          <w:lang w:val="en-US"/>
        </w:rPr>
      </w:pPr>
      <w:r w:rsidRPr="0081763F">
        <w:rPr>
          <w:rFonts w:ascii="Calibri" w:hAnsi="Calibri" w:cs="Calibri"/>
          <w:sz w:val="22"/>
          <w:szCs w:val="22"/>
          <w:lang w:val="en-US"/>
        </w:rPr>
        <w:t>Ryanair Holdings plc (the “Company”) is a company domiciled in Ireland. The unaudited condensed consolidated interim financial statements for the half</w:t>
      </w:r>
      <w:r w:rsidR="0058230A">
        <w:rPr>
          <w:rFonts w:ascii="Calibri" w:hAnsi="Calibri" w:cs="Calibri"/>
          <w:sz w:val="22"/>
          <w:szCs w:val="22"/>
          <w:lang w:val="en-US"/>
        </w:rPr>
        <w:t>-</w:t>
      </w:r>
      <w:r w:rsidRPr="0081763F">
        <w:rPr>
          <w:rFonts w:ascii="Calibri" w:hAnsi="Calibri" w:cs="Calibri"/>
          <w:sz w:val="22"/>
          <w:szCs w:val="22"/>
          <w:lang w:val="en-US"/>
        </w:rPr>
        <w:t xml:space="preserve">year ended September 30, </w:t>
      </w:r>
      <w:proofErr w:type="gramStart"/>
      <w:r w:rsidRPr="0081763F">
        <w:rPr>
          <w:rFonts w:ascii="Calibri" w:hAnsi="Calibri" w:cs="Calibri"/>
          <w:sz w:val="22"/>
          <w:szCs w:val="22"/>
          <w:lang w:val="en-US"/>
        </w:rPr>
        <w:t>2023</w:t>
      </w:r>
      <w:proofErr w:type="gramEnd"/>
      <w:r w:rsidRPr="0081763F">
        <w:rPr>
          <w:rFonts w:ascii="Calibri" w:hAnsi="Calibri" w:cs="Calibri"/>
          <w:sz w:val="22"/>
          <w:szCs w:val="22"/>
          <w:lang w:val="en-US"/>
        </w:rPr>
        <w:t xml:space="preserve"> comprise the results of the Company and its subsidiaries (together referred to as the “Group”). </w:t>
      </w:r>
    </w:p>
    <w:p w14:paraId="2D35D3FE" w14:textId="77777777" w:rsidR="00C4701B" w:rsidRPr="0081763F" w:rsidRDefault="00C4701B" w:rsidP="00C4701B">
      <w:pPr>
        <w:autoSpaceDE w:val="0"/>
        <w:autoSpaceDN w:val="0"/>
        <w:adjustRightInd w:val="0"/>
        <w:ind w:right="-143"/>
        <w:jc w:val="both"/>
        <w:rPr>
          <w:rFonts w:ascii="Calibri" w:hAnsi="Calibri" w:cs="Calibri"/>
          <w:sz w:val="22"/>
          <w:szCs w:val="22"/>
          <w:lang w:val="en-US"/>
        </w:rPr>
      </w:pPr>
    </w:p>
    <w:p w14:paraId="051283EE" w14:textId="77777777" w:rsidR="00C4701B" w:rsidRPr="0081763F" w:rsidRDefault="00C4701B" w:rsidP="00C4701B">
      <w:pPr>
        <w:autoSpaceDE w:val="0"/>
        <w:autoSpaceDN w:val="0"/>
        <w:adjustRightInd w:val="0"/>
        <w:ind w:right="-143"/>
        <w:jc w:val="both"/>
        <w:rPr>
          <w:rFonts w:ascii="Calibri" w:hAnsi="Calibri" w:cs="Calibri"/>
          <w:sz w:val="22"/>
          <w:szCs w:val="22"/>
          <w:lang w:val="en-US"/>
        </w:rPr>
      </w:pPr>
      <w:r w:rsidRPr="0081763F">
        <w:rPr>
          <w:rFonts w:ascii="Calibri" w:hAnsi="Calibri" w:cs="Calibri"/>
          <w:sz w:val="22"/>
          <w:szCs w:val="22"/>
          <w:lang w:val="en-US"/>
        </w:rPr>
        <w:t xml:space="preserve">These unaudited condensed consolidated interim financial statements (“the interim financial statements”), which should be read in conjunction with our 2023 Annual Report for the year ended March 31, 2023, have been prepared in accordance with IAS 34 Interim Financial Reporting as adopted by the EU (“IAS 34”). They do not include </w:t>
      </w:r>
      <w:proofErr w:type="gramStart"/>
      <w:r w:rsidRPr="0081763F">
        <w:rPr>
          <w:rFonts w:ascii="Calibri" w:hAnsi="Calibri" w:cs="Calibri"/>
          <w:sz w:val="22"/>
          <w:szCs w:val="22"/>
          <w:lang w:val="en-US"/>
        </w:rPr>
        <w:t>all of</w:t>
      </w:r>
      <w:proofErr w:type="gramEnd"/>
      <w:r w:rsidRPr="0081763F">
        <w:rPr>
          <w:rFonts w:ascii="Calibri" w:hAnsi="Calibri" w:cs="Calibri"/>
          <w:sz w:val="22"/>
          <w:szCs w:val="22"/>
          <w:lang w:val="en-US"/>
        </w:rPr>
        <w:t xml:space="preserve"> the information required for full annual financial statements and should be read in conjunction with the most recent published consolidated financial statements of the Group. The consolidated financial statements of the Group as at and for the year ended March 31, 2023, are available at http://investor.ryanair.com/. </w:t>
      </w:r>
    </w:p>
    <w:p w14:paraId="325BEDF8" w14:textId="77777777" w:rsidR="00C4701B" w:rsidRPr="0081763F" w:rsidRDefault="00C4701B" w:rsidP="00C4701B">
      <w:pPr>
        <w:autoSpaceDE w:val="0"/>
        <w:autoSpaceDN w:val="0"/>
        <w:adjustRightInd w:val="0"/>
        <w:ind w:right="-143"/>
        <w:jc w:val="both"/>
        <w:rPr>
          <w:rFonts w:ascii="Calibri" w:hAnsi="Calibri" w:cs="Calibri"/>
          <w:sz w:val="22"/>
          <w:szCs w:val="22"/>
          <w:lang w:val="en-US"/>
        </w:rPr>
      </w:pPr>
    </w:p>
    <w:p w14:paraId="0BC518E4" w14:textId="77777777" w:rsidR="00C4701B" w:rsidRPr="0081763F" w:rsidRDefault="00C4701B" w:rsidP="00C4701B">
      <w:pPr>
        <w:autoSpaceDE w:val="0"/>
        <w:autoSpaceDN w:val="0"/>
        <w:adjustRightInd w:val="0"/>
        <w:ind w:right="-143"/>
        <w:jc w:val="both"/>
        <w:rPr>
          <w:rFonts w:ascii="Calibri" w:hAnsi="Calibri" w:cs="Calibri"/>
          <w:sz w:val="22"/>
          <w:szCs w:val="22"/>
          <w:lang w:val="en-US"/>
        </w:rPr>
      </w:pPr>
      <w:r w:rsidRPr="0081763F">
        <w:rPr>
          <w:rFonts w:ascii="Calibri" w:hAnsi="Calibri" w:cs="Calibri"/>
          <w:sz w:val="22"/>
          <w:szCs w:val="22"/>
          <w:lang w:val="en-US"/>
        </w:rPr>
        <w:t xml:space="preserve">In adopting the going concern basis in preparing the interim financial statements, the Directors have considered Ryanair’s available sources of finance including access to the capital markets, sale and leaseback transactions, secured and unsecured debt structures, </w:t>
      </w:r>
      <w:r w:rsidR="00DA295D">
        <w:rPr>
          <w:rFonts w:ascii="Calibri" w:hAnsi="Calibri" w:cs="Calibri"/>
          <w:sz w:val="22"/>
          <w:szCs w:val="22"/>
          <w:lang w:val="en-US"/>
        </w:rPr>
        <w:t xml:space="preserve">undrawn funds under the Group’s revolving credit facility, </w:t>
      </w:r>
      <w:r w:rsidRPr="0081763F">
        <w:rPr>
          <w:rFonts w:ascii="Calibri" w:hAnsi="Calibri" w:cs="Calibri"/>
          <w:sz w:val="22"/>
          <w:szCs w:val="22"/>
          <w:lang w:val="en-US"/>
        </w:rPr>
        <w:t xml:space="preserve">the Group’s cash on-hand and cash generation and preservation projections, together with factors likely to affect its future performance, as well as the Group’s principal risks and uncertainties. </w:t>
      </w:r>
    </w:p>
    <w:p w14:paraId="2358957B" w14:textId="77777777" w:rsidR="00C4701B" w:rsidRPr="0081763F" w:rsidRDefault="00C4701B" w:rsidP="00C4701B">
      <w:pPr>
        <w:autoSpaceDE w:val="0"/>
        <w:autoSpaceDN w:val="0"/>
        <w:adjustRightInd w:val="0"/>
        <w:ind w:right="-143"/>
        <w:jc w:val="both"/>
        <w:rPr>
          <w:rFonts w:ascii="Calibri" w:hAnsi="Calibri" w:cs="Calibri"/>
          <w:sz w:val="22"/>
          <w:szCs w:val="22"/>
          <w:lang w:val="en-US"/>
        </w:rPr>
      </w:pPr>
    </w:p>
    <w:p w14:paraId="186B616F" w14:textId="77777777" w:rsidR="00C4701B" w:rsidRPr="0081763F" w:rsidRDefault="00C4701B" w:rsidP="00C4701B">
      <w:pPr>
        <w:autoSpaceDE w:val="0"/>
        <w:autoSpaceDN w:val="0"/>
        <w:adjustRightInd w:val="0"/>
        <w:ind w:right="-143"/>
        <w:jc w:val="both"/>
        <w:rPr>
          <w:rFonts w:ascii="Calibri" w:hAnsi="Calibri" w:cs="Calibri"/>
          <w:sz w:val="22"/>
          <w:szCs w:val="22"/>
          <w:lang w:val="en-US"/>
        </w:rPr>
      </w:pPr>
      <w:r w:rsidRPr="0081763F">
        <w:rPr>
          <w:rFonts w:ascii="Calibri" w:hAnsi="Calibri" w:cs="Calibri"/>
          <w:sz w:val="22"/>
          <w:szCs w:val="22"/>
          <w:lang w:val="en-US"/>
        </w:rPr>
        <w:t xml:space="preserve">The September 30, </w:t>
      </w:r>
      <w:proofErr w:type="gramStart"/>
      <w:r w:rsidRPr="0081763F">
        <w:rPr>
          <w:rFonts w:ascii="Calibri" w:hAnsi="Calibri" w:cs="Calibri"/>
          <w:sz w:val="22"/>
          <w:szCs w:val="22"/>
          <w:lang w:val="en-US"/>
        </w:rPr>
        <w:t>2023</w:t>
      </w:r>
      <w:proofErr w:type="gramEnd"/>
      <w:r w:rsidRPr="0081763F">
        <w:rPr>
          <w:rFonts w:ascii="Calibri" w:hAnsi="Calibri" w:cs="Calibri"/>
          <w:sz w:val="22"/>
          <w:szCs w:val="22"/>
          <w:lang w:val="en-US"/>
        </w:rPr>
        <w:t xml:space="preserve"> figures and the September 30, 2022 comparative figures do not include all of the information required for full annual financial statements and therefore do not constitute statutory financial statements of the Group within the meaning of the Companies Act, 2014. The consolidated financial statements of the Group for the year ended March 31, 2023, together with the independent auditor’s report thereon, are available on the Company’s </w:t>
      </w:r>
      <w:r w:rsidR="006131F7">
        <w:rPr>
          <w:rFonts w:ascii="Calibri" w:hAnsi="Calibri" w:cs="Calibri"/>
          <w:sz w:val="22"/>
          <w:szCs w:val="22"/>
          <w:lang w:val="en-US"/>
        </w:rPr>
        <w:t>w</w:t>
      </w:r>
      <w:r w:rsidRPr="0081763F">
        <w:rPr>
          <w:rFonts w:ascii="Calibri" w:hAnsi="Calibri" w:cs="Calibri"/>
          <w:sz w:val="22"/>
          <w:szCs w:val="22"/>
          <w:lang w:val="en-US"/>
        </w:rPr>
        <w:t xml:space="preserve">ebsite and </w:t>
      </w:r>
      <w:r w:rsidR="006F7432" w:rsidRPr="0081763F">
        <w:rPr>
          <w:rFonts w:ascii="Calibri" w:hAnsi="Calibri" w:cs="Calibri"/>
          <w:sz w:val="22"/>
          <w:szCs w:val="22"/>
          <w:lang w:val="en-US"/>
        </w:rPr>
        <w:t>were filed</w:t>
      </w:r>
      <w:r w:rsidRPr="0081763F">
        <w:rPr>
          <w:rFonts w:ascii="Calibri" w:hAnsi="Calibri" w:cs="Calibri"/>
          <w:sz w:val="22"/>
          <w:szCs w:val="22"/>
          <w:lang w:val="en-US"/>
        </w:rPr>
        <w:t xml:space="preserve"> with the Irish Registrar of Companies following the Company’s Annual General Meeting</w:t>
      </w:r>
      <w:r w:rsidR="006F7432" w:rsidRPr="0081763F">
        <w:rPr>
          <w:rFonts w:ascii="Calibri" w:hAnsi="Calibri" w:cs="Calibri"/>
          <w:sz w:val="22"/>
          <w:szCs w:val="22"/>
          <w:lang w:val="en-US"/>
        </w:rPr>
        <w:t>. The auditor</w:t>
      </w:r>
      <w:r w:rsidR="000B5D76">
        <w:rPr>
          <w:rFonts w:ascii="Calibri" w:hAnsi="Calibri" w:cs="Calibri"/>
          <w:sz w:val="22"/>
          <w:szCs w:val="22"/>
          <w:lang w:val="en-US"/>
        </w:rPr>
        <w:t>’</w:t>
      </w:r>
      <w:r w:rsidR="006F7432" w:rsidRPr="0081763F">
        <w:rPr>
          <w:rFonts w:ascii="Calibri" w:hAnsi="Calibri" w:cs="Calibri"/>
          <w:sz w:val="22"/>
          <w:szCs w:val="22"/>
          <w:lang w:val="en-US"/>
        </w:rPr>
        <w:t>s report on those financial statements was unqualified</w:t>
      </w:r>
      <w:r w:rsidRPr="0081763F">
        <w:rPr>
          <w:rFonts w:ascii="Calibri" w:hAnsi="Calibri" w:cs="Calibri"/>
          <w:sz w:val="22"/>
          <w:szCs w:val="22"/>
          <w:lang w:val="en-US"/>
        </w:rPr>
        <w:t xml:space="preserve">. The accounting policies, presentation and methods of computation followed in the </w:t>
      </w:r>
      <w:r w:rsidR="00330A9E">
        <w:rPr>
          <w:rFonts w:ascii="Calibri" w:hAnsi="Calibri" w:cs="Calibri"/>
          <w:sz w:val="22"/>
          <w:szCs w:val="22"/>
          <w:lang w:val="en-US"/>
        </w:rPr>
        <w:t>i</w:t>
      </w:r>
      <w:r w:rsidRPr="0081763F">
        <w:rPr>
          <w:rFonts w:ascii="Calibri" w:hAnsi="Calibri" w:cs="Calibri"/>
          <w:sz w:val="22"/>
          <w:szCs w:val="22"/>
          <w:lang w:val="en-US"/>
        </w:rPr>
        <w:t xml:space="preserve">nterim </w:t>
      </w:r>
      <w:r w:rsidR="00330A9E">
        <w:rPr>
          <w:rFonts w:ascii="Calibri" w:hAnsi="Calibri" w:cs="Calibri"/>
          <w:sz w:val="22"/>
          <w:szCs w:val="22"/>
          <w:lang w:val="en-US"/>
        </w:rPr>
        <w:t>f</w:t>
      </w:r>
      <w:r w:rsidRPr="0081763F">
        <w:rPr>
          <w:rFonts w:ascii="Calibri" w:hAnsi="Calibri" w:cs="Calibri"/>
          <w:sz w:val="22"/>
          <w:szCs w:val="22"/>
          <w:lang w:val="en-US"/>
        </w:rPr>
        <w:t xml:space="preserve">inancial </w:t>
      </w:r>
      <w:r w:rsidR="00330A9E">
        <w:rPr>
          <w:rFonts w:ascii="Calibri" w:hAnsi="Calibri" w:cs="Calibri"/>
          <w:sz w:val="22"/>
          <w:szCs w:val="22"/>
          <w:lang w:val="en-US"/>
        </w:rPr>
        <w:t>s</w:t>
      </w:r>
      <w:r w:rsidRPr="0081763F">
        <w:rPr>
          <w:rFonts w:ascii="Calibri" w:hAnsi="Calibri" w:cs="Calibri"/>
          <w:sz w:val="22"/>
          <w:szCs w:val="22"/>
          <w:lang w:val="en-US"/>
        </w:rPr>
        <w:t>tatements are consistent with those applied in the Company’s latest Annual Report.</w:t>
      </w:r>
    </w:p>
    <w:p w14:paraId="6A859951" w14:textId="77777777" w:rsidR="00C4701B" w:rsidRPr="0081763F" w:rsidRDefault="00C4701B" w:rsidP="00C4701B">
      <w:pPr>
        <w:autoSpaceDE w:val="0"/>
        <w:autoSpaceDN w:val="0"/>
        <w:adjustRightInd w:val="0"/>
        <w:ind w:right="-143"/>
        <w:jc w:val="both"/>
        <w:rPr>
          <w:rFonts w:ascii="Calibri" w:hAnsi="Calibri" w:cs="Calibri"/>
          <w:sz w:val="22"/>
          <w:szCs w:val="22"/>
          <w:lang w:val="en-US"/>
        </w:rPr>
      </w:pPr>
    </w:p>
    <w:p w14:paraId="2257A8E5" w14:textId="77777777" w:rsidR="00C4701B" w:rsidRPr="0081763F" w:rsidRDefault="00C4701B" w:rsidP="00C4701B">
      <w:pPr>
        <w:autoSpaceDE w:val="0"/>
        <w:autoSpaceDN w:val="0"/>
        <w:adjustRightInd w:val="0"/>
        <w:ind w:right="-143"/>
        <w:jc w:val="both"/>
        <w:rPr>
          <w:rFonts w:ascii="Calibri" w:hAnsi="Calibri" w:cs="Calibri"/>
          <w:sz w:val="22"/>
          <w:szCs w:val="22"/>
          <w:lang w:val="en-US"/>
        </w:rPr>
      </w:pPr>
      <w:r w:rsidRPr="0081763F">
        <w:rPr>
          <w:rFonts w:ascii="Calibri" w:hAnsi="Calibri" w:cs="Calibri"/>
          <w:sz w:val="22"/>
          <w:szCs w:val="22"/>
          <w:lang w:val="en-US"/>
        </w:rPr>
        <w:t>The Audit Committee, upon delegation of authority by the Board of Directors, approved the unaudited condensed consolidated interim financial statements for the half</w:t>
      </w:r>
      <w:r w:rsidR="0058230A">
        <w:rPr>
          <w:rFonts w:ascii="Calibri" w:hAnsi="Calibri" w:cs="Calibri"/>
          <w:sz w:val="22"/>
          <w:szCs w:val="22"/>
          <w:lang w:val="en-US"/>
        </w:rPr>
        <w:t>-</w:t>
      </w:r>
      <w:r w:rsidRPr="0081763F">
        <w:rPr>
          <w:rFonts w:ascii="Calibri" w:hAnsi="Calibri" w:cs="Calibri"/>
          <w:sz w:val="22"/>
          <w:szCs w:val="22"/>
          <w:lang w:val="en-US"/>
        </w:rPr>
        <w:t xml:space="preserve">year ended September 30, </w:t>
      </w:r>
      <w:proofErr w:type="gramStart"/>
      <w:r w:rsidRPr="0081763F">
        <w:rPr>
          <w:rFonts w:ascii="Calibri" w:hAnsi="Calibri" w:cs="Calibri"/>
          <w:sz w:val="22"/>
          <w:szCs w:val="22"/>
          <w:lang w:val="en-US"/>
        </w:rPr>
        <w:t>2023</w:t>
      </w:r>
      <w:proofErr w:type="gramEnd"/>
      <w:r w:rsidRPr="0081763F">
        <w:rPr>
          <w:rFonts w:ascii="Calibri" w:hAnsi="Calibri" w:cs="Calibri"/>
          <w:sz w:val="22"/>
          <w:szCs w:val="22"/>
          <w:lang w:val="en-US"/>
        </w:rPr>
        <w:t xml:space="preserve"> on </w:t>
      </w:r>
      <w:r w:rsidR="00C962A7" w:rsidRPr="0081763F">
        <w:rPr>
          <w:rFonts w:ascii="Calibri" w:hAnsi="Calibri" w:cs="Calibri"/>
          <w:sz w:val="22"/>
          <w:szCs w:val="22"/>
          <w:lang w:val="en-US"/>
        </w:rPr>
        <w:t>November 3</w:t>
      </w:r>
      <w:r w:rsidRPr="0081763F">
        <w:rPr>
          <w:rFonts w:ascii="Calibri" w:hAnsi="Calibri" w:cs="Calibri"/>
          <w:sz w:val="22"/>
          <w:szCs w:val="22"/>
          <w:lang w:val="en-US"/>
        </w:rPr>
        <w:t>, 2023.</w:t>
      </w:r>
    </w:p>
    <w:p w14:paraId="17F72552" w14:textId="77777777" w:rsidR="00C4701B" w:rsidRPr="0081763F" w:rsidRDefault="00C4701B" w:rsidP="00C4701B">
      <w:pPr>
        <w:autoSpaceDE w:val="0"/>
        <w:autoSpaceDN w:val="0"/>
        <w:adjustRightInd w:val="0"/>
        <w:ind w:right="-143"/>
        <w:jc w:val="both"/>
        <w:rPr>
          <w:rFonts w:ascii="Calibri" w:hAnsi="Calibri" w:cs="Calibri"/>
          <w:sz w:val="22"/>
          <w:szCs w:val="22"/>
          <w:lang w:val="en-US"/>
        </w:rPr>
      </w:pPr>
    </w:p>
    <w:p w14:paraId="7F5F833E" w14:textId="77777777" w:rsidR="00C4701B" w:rsidRPr="0081763F" w:rsidRDefault="00C4701B" w:rsidP="00C4701B">
      <w:pPr>
        <w:autoSpaceDE w:val="0"/>
        <w:autoSpaceDN w:val="0"/>
        <w:adjustRightInd w:val="0"/>
        <w:ind w:right="-143"/>
        <w:jc w:val="both"/>
        <w:rPr>
          <w:rFonts w:ascii="Calibri" w:hAnsi="Calibri" w:cs="Calibri"/>
          <w:sz w:val="22"/>
          <w:szCs w:val="22"/>
          <w:lang w:val="en-US"/>
        </w:rPr>
      </w:pPr>
      <w:r w:rsidRPr="0081763F">
        <w:rPr>
          <w:rFonts w:ascii="Calibri" w:hAnsi="Calibri" w:cs="Calibri"/>
          <w:sz w:val="22"/>
          <w:szCs w:val="22"/>
          <w:lang w:val="en-US"/>
        </w:rPr>
        <w:t xml:space="preserve">Except as stated otherwise below, the interim financial statements for the </w:t>
      </w:r>
      <w:r w:rsidR="00E36553" w:rsidRPr="0081763F">
        <w:rPr>
          <w:rFonts w:ascii="Calibri" w:hAnsi="Calibri" w:cs="Calibri"/>
          <w:sz w:val="22"/>
          <w:szCs w:val="22"/>
          <w:lang w:val="en-US"/>
        </w:rPr>
        <w:t>half</w:t>
      </w:r>
      <w:r w:rsidR="0058230A">
        <w:rPr>
          <w:rFonts w:ascii="Calibri" w:hAnsi="Calibri" w:cs="Calibri"/>
          <w:sz w:val="22"/>
          <w:szCs w:val="22"/>
          <w:lang w:val="en-US"/>
        </w:rPr>
        <w:t>-</w:t>
      </w:r>
      <w:r w:rsidR="00E36553" w:rsidRPr="0081763F">
        <w:rPr>
          <w:rFonts w:ascii="Calibri" w:hAnsi="Calibri" w:cs="Calibri"/>
          <w:sz w:val="22"/>
          <w:szCs w:val="22"/>
          <w:lang w:val="en-US"/>
        </w:rPr>
        <w:t>year</w:t>
      </w:r>
      <w:r w:rsidRPr="0081763F">
        <w:rPr>
          <w:rFonts w:ascii="Calibri" w:hAnsi="Calibri" w:cs="Calibri"/>
          <w:sz w:val="22"/>
          <w:szCs w:val="22"/>
          <w:lang w:val="en-US"/>
        </w:rPr>
        <w:t xml:space="preserve"> ended </w:t>
      </w:r>
      <w:r w:rsidR="00E36553" w:rsidRPr="0081763F">
        <w:rPr>
          <w:rFonts w:ascii="Calibri" w:hAnsi="Calibri" w:cs="Calibri"/>
          <w:sz w:val="22"/>
          <w:szCs w:val="22"/>
          <w:lang w:val="en-US"/>
        </w:rPr>
        <w:t>September</w:t>
      </w:r>
      <w:r w:rsidRPr="0081763F">
        <w:rPr>
          <w:rFonts w:ascii="Calibri" w:hAnsi="Calibri" w:cs="Calibri"/>
          <w:sz w:val="22"/>
          <w:szCs w:val="22"/>
          <w:lang w:val="en-US"/>
        </w:rPr>
        <w:t xml:space="preserve"> 30, </w:t>
      </w:r>
      <w:proofErr w:type="gramStart"/>
      <w:r w:rsidRPr="0081763F">
        <w:rPr>
          <w:rFonts w:ascii="Calibri" w:hAnsi="Calibri" w:cs="Calibri"/>
          <w:sz w:val="22"/>
          <w:szCs w:val="22"/>
          <w:lang w:val="en-US"/>
        </w:rPr>
        <w:t>2023</w:t>
      </w:r>
      <w:proofErr w:type="gramEnd"/>
      <w:r w:rsidRPr="0081763F">
        <w:rPr>
          <w:rFonts w:ascii="Calibri" w:hAnsi="Calibri" w:cs="Calibri"/>
          <w:sz w:val="22"/>
          <w:szCs w:val="22"/>
          <w:lang w:val="en-US"/>
        </w:rPr>
        <w:t xml:space="preserve"> have been prepared in accordance with the accounting policies set out in the Group’s most recent published consolidated financial statements, which were prepared in accordance with IFRS as adopted by the EU and also in compliance with IFRS as issued by the International Accounting Standards Board (IASB).</w:t>
      </w:r>
    </w:p>
    <w:p w14:paraId="0E3AD42B" w14:textId="77777777" w:rsidR="00C4701B" w:rsidRPr="0081763F" w:rsidRDefault="00C4701B" w:rsidP="00C4701B">
      <w:pPr>
        <w:autoSpaceDE w:val="0"/>
        <w:autoSpaceDN w:val="0"/>
        <w:adjustRightInd w:val="0"/>
        <w:ind w:right="-143"/>
        <w:jc w:val="both"/>
        <w:rPr>
          <w:rFonts w:ascii="Calibri" w:hAnsi="Calibri" w:cs="Calibri"/>
          <w:sz w:val="22"/>
          <w:szCs w:val="22"/>
          <w:lang w:val="en-US"/>
        </w:rPr>
      </w:pPr>
    </w:p>
    <w:p w14:paraId="01EA25CE" w14:textId="77777777" w:rsidR="00C4701B" w:rsidRPr="0081763F" w:rsidRDefault="00C4701B" w:rsidP="00C4701B">
      <w:pPr>
        <w:autoSpaceDE w:val="0"/>
        <w:autoSpaceDN w:val="0"/>
        <w:adjustRightInd w:val="0"/>
        <w:ind w:right="-143"/>
        <w:jc w:val="both"/>
        <w:rPr>
          <w:rFonts w:ascii="Calibri" w:hAnsi="Calibri" w:cs="Calibri"/>
          <w:i/>
          <w:iCs/>
          <w:sz w:val="22"/>
          <w:szCs w:val="22"/>
          <w:lang w:val="en-US"/>
        </w:rPr>
      </w:pPr>
      <w:r w:rsidRPr="0081763F">
        <w:rPr>
          <w:rFonts w:ascii="Calibri" w:hAnsi="Calibri" w:cs="Calibri"/>
          <w:i/>
          <w:iCs/>
          <w:sz w:val="22"/>
          <w:szCs w:val="22"/>
          <w:lang w:val="en-US"/>
        </w:rPr>
        <w:t>New IFRS standards and amendments adopted during the year</w:t>
      </w:r>
    </w:p>
    <w:p w14:paraId="0EB8FB73" w14:textId="77777777" w:rsidR="00097571" w:rsidRPr="0081763F" w:rsidRDefault="00C4701B" w:rsidP="00C4701B">
      <w:pPr>
        <w:autoSpaceDE w:val="0"/>
        <w:autoSpaceDN w:val="0"/>
        <w:adjustRightInd w:val="0"/>
        <w:ind w:right="-143"/>
        <w:jc w:val="both"/>
        <w:rPr>
          <w:rFonts w:ascii="Calibri" w:hAnsi="Calibri" w:cs="Calibri"/>
          <w:sz w:val="22"/>
          <w:szCs w:val="22"/>
          <w:lang w:val="en-US"/>
        </w:rPr>
      </w:pPr>
      <w:r w:rsidRPr="0081763F">
        <w:rPr>
          <w:rFonts w:ascii="Calibri" w:hAnsi="Calibri" w:cs="Calibri"/>
          <w:sz w:val="22"/>
          <w:szCs w:val="22"/>
          <w:lang w:val="en-US"/>
        </w:rPr>
        <w:t xml:space="preserve">The following new and amended IFRS standards, amendments and IFRIC interpretations, have been issued by the IASB, and have also been endorsed by the EU unless stated otherwise. These standards are effective for the first time for the Group’s financial year beginning on April 1, </w:t>
      </w:r>
      <w:proofErr w:type="gramStart"/>
      <w:r w:rsidRPr="0081763F">
        <w:rPr>
          <w:rFonts w:ascii="Calibri" w:hAnsi="Calibri" w:cs="Calibri"/>
          <w:sz w:val="22"/>
          <w:szCs w:val="22"/>
          <w:lang w:val="en-US"/>
        </w:rPr>
        <w:t>2023</w:t>
      </w:r>
      <w:proofErr w:type="gramEnd"/>
      <w:r w:rsidRPr="0081763F">
        <w:rPr>
          <w:rFonts w:ascii="Calibri" w:hAnsi="Calibri" w:cs="Calibri"/>
          <w:sz w:val="22"/>
          <w:szCs w:val="22"/>
          <w:lang w:val="en-US"/>
        </w:rPr>
        <w:t xml:space="preserve"> and therefore have been applied by the Group in these condensed consolidated interim financial statements:</w:t>
      </w:r>
    </w:p>
    <w:p w14:paraId="69931350" w14:textId="77777777" w:rsidR="00C4701B" w:rsidRPr="0081763F" w:rsidRDefault="00C4701B" w:rsidP="00C4701B">
      <w:pPr>
        <w:autoSpaceDE w:val="0"/>
        <w:autoSpaceDN w:val="0"/>
        <w:adjustRightInd w:val="0"/>
        <w:ind w:right="-143"/>
        <w:jc w:val="both"/>
        <w:rPr>
          <w:rFonts w:ascii="Calibri" w:hAnsi="Calibri" w:cs="Calibri"/>
          <w:sz w:val="22"/>
          <w:szCs w:val="22"/>
          <w:lang w:val="en-US"/>
        </w:rPr>
      </w:pPr>
    </w:p>
    <w:p w14:paraId="4A58DF2B" w14:textId="77777777" w:rsidR="00C4701B" w:rsidRPr="0081763F" w:rsidRDefault="00C4701B" w:rsidP="00C4701B">
      <w:pPr>
        <w:numPr>
          <w:ilvl w:val="0"/>
          <w:numId w:val="16"/>
        </w:numPr>
        <w:autoSpaceDE w:val="0"/>
        <w:autoSpaceDN w:val="0"/>
        <w:adjustRightInd w:val="0"/>
        <w:ind w:right="-143"/>
        <w:jc w:val="both"/>
        <w:rPr>
          <w:rFonts w:ascii="Calibri" w:hAnsi="Calibri" w:cs="Calibri"/>
          <w:sz w:val="22"/>
          <w:szCs w:val="22"/>
        </w:rPr>
      </w:pPr>
      <w:bookmarkStart w:id="16" w:name="_Hlk39778100"/>
      <w:r w:rsidRPr="0081763F">
        <w:rPr>
          <w:rFonts w:ascii="Calibri" w:hAnsi="Calibri" w:cs="Calibri"/>
          <w:sz w:val="22"/>
          <w:szCs w:val="22"/>
        </w:rPr>
        <w:t>Amendments to IAS 12 Income Taxes: Deferred Tax related to Assets and Liabilities arising from a Single Transaction (effective on or after January 1, 2023).</w:t>
      </w:r>
    </w:p>
    <w:p w14:paraId="4E765F2B" w14:textId="77777777" w:rsidR="00C4701B" w:rsidRPr="0081763F" w:rsidRDefault="00C4701B" w:rsidP="00C4701B">
      <w:pPr>
        <w:numPr>
          <w:ilvl w:val="0"/>
          <w:numId w:val="16"/>
        </w:numPr>
        <w:autoSpaceDE w:val="0"/>
        <w:autoSpaceDN w:val="0"/>
        <w:adjustRightInd w:val="0"/>
        <w:ind w:right="-143"/>
        <w:jc w:val="both"/>
        <w:rPr>
          <w:rFonts w:ascii="Calibri" w:hAnsi="Calibri" w:cs="Calibri"/>
          <w:sz w:val="22"/>
          <w:szCs w:val="22"/>
        </w:rPr>
      </w:pPr>
      <w:r w:rsidRPr="0081763F">
        <w:rPr>
          <w:rFonts w:ascii="Calibri" w:hAnsi="Calibri" w:cs="Calibri"/>
          <w:sz w:val="22"/>
          <w:szCs w:val="22"/>
        </w:rPr>
        <w:t>Amendments to IAS 8 Accounting Policies, Changes in Accounting Estimates and Errors: Definition of Accounting Estimates (effective on or after January 1, 2023).</w:t>
      </w:r>
    </w:p>
    <w:p w14:paraId="2E2DD9B3" w14:textId="77777777" w:rsidR="00C4701B" w:rsidRPr="0081763F" w:rsidRDefault="00C4701B" w:rsidP="00C4701B">
      <w:pPr>
        <w:numPr>
          <w:ilvl w:val="0"/>
          <w:numId w:val="16"/>
        </w:numPr>
        <w:autoSpaceDE w:val="0"/>
        <w:autoSpaceDN w:val="0"/>
        <w:adjustRightInd w:val="0"/>
        <w:ind w:right="-143"/>
        <w:jc w:val="both"/>
        <w:rPr>
          <w:rFonts w:ascii="Calibri" w:hAnsi="Calibri" w:cs="Calibri"/>
          <w:sz w:val="22"/>
          <w:szCs w:val="22"/>
        </w:rPr>
      </w:pPr>
      <w:r w:rsidRPr="0081763F">
        <w:rPr>
          <w:rFonts w:ascii="Calibri" w:hAnsi="Calibri" w:cs="Calibri"/>
          <w:sz w:val="22"/>
          <w:szCs w:val="22"/>
        </w:rPr>
        <w:t>Amendments to IAS 1 Presentation of Financial Statements and IFRS Practice Statement 2: Disclosure of Accounting policies (effective on or after January 1, 2023).</w:t>
      </w:r>
    </w:p>
    <w:p w14:paraId="30058324" w14:textId="77777777" w:rsidR="00C4701B" w:rsidRPr="0081763F" w:rsidRDefault="00C4701B" w:rsidP="00C4701B">
      <w:pPr>
        <w:numPr>
          <w:ilvl w:val="0"/>
          <w:numId w:val="16"/>
        </w:numPr>
        <w:autoSpaceDE w:val="0"/>
        <w:autoSpaceDN w:val="0"/>
        <w:adjustRightInd w:val="0"/>
        <w:ind w:right="-143"/>
        <w:jc w:val="both"/>
        <w:rPr>
          <w:rFonts w:ascii="Calibri" w:hAnsi="Calibri" w:cs="Calibri"/>
          <w:sz w:val="22"/>
          <w:szCs w:val="22"/>
        </w:rPr>
      </w:pPr>
      <w:r w:rsidRPr="0081763F">
        <w:rPr>
          <w:rFonts w:ascii="Calibri" w:hAnsi="Calibri" w:cs="Calibri"/>
          <w:sz w:val="22"/>
          <w:szCs w:val="22"/>
        </w:rPr>
        <w:t>IFRS 17 Insurance Contracts</w:t>
      </w:r>
      <w:r w:rsidR="00851E49">
        <w:rPr>
          <w:rFonts w:ascii="Calibri" w:hAnsi="Calibri" w:cs="Calibri"/>
          <w:sz w:val="22"/>
          <w:szCs w:val="22"/>
        </w:rPr>
        <w:t>; including amendments to IFRS 17</w:t>
      </w:r>
      <w:r w:rsidRPr="0081763F">
        <w:rPr>
          <w:rFonts w:ascii="Calibri" w:hAnsi="Calibri" w:cs="Calibri"/>
          <w:sz w:val="22"/>
          <w:szCs w:val="22"/>
        </w:rPr>
        <w:t xml:space="preserve"> (effective on or after January 1, 2023).</w:t>
      </w:r>
    </w:p>
    <w:p w14:paraId="5E84D11F" w14:textId="77777777" w:rsidR="00C4701B" w:rsidRPr="0081763F" w:rsidRDefault="00C4701B" w:rsidP="00C4701B">
      <w:pPr>
        <w:numPr>
          <w:ilvl w:val="0"/>
          <w:numId w:val="16"/>
        </w:numPr>
        <w:autoSpaceDE w:val="0"/>
        <w:autoSpaceDN w:val="0"/>
        <w:adjustRightInd w:val="0"/>
        <w:ind w:right="-143"/>
        <w:jc w:val="both"/>
        <w:rPr>
          <w:rFonts w:ascii="Calibri" w:hAnsi="Calibri" w:cs="Calibri"/>
          <w:sz w:val="22"/>
          <w:szCs w:val="22"/>
        </w:rPr>
      </w:pPr>
      <w:r w:rsidRPr="0081763F">
        <w:rPr>
          <w:rFonts w:ascii="Calibri" w:hAnsi="Calibri" w:cs="Calibri"/>
          <w:sz w:val="22"/>
          <w:szCs w:val="22"/>
        </w:rPr>
        <w:t>Amendments to IFRS 17 Insurance contracts: Initial Application of IFRS 17 and IFRS 9 – Comparative Information (effective on or after January 1, 2023).</w:t>
      </w:r>
    </w:p>
    <w:p w14:paraId="28577252" w14:textId="77777777" w:rsidR="00C4701B" w:rsidRPr="0081763F" w:rsidRDefault="00C4701B" w:rsidP="00FD77D1">
      <w:pPr>
        <w:numPr>
          <w:ilvl w:val="0"/>
          <w:numId w:val="16"/>
        </w:numPr>
        <w:autoSpaceDE w:val="0"/>
        <w:autoSpaceDN w:val="0"/>
        <w:adjustRightInd w:val="0"/>
        <w:ind w:right="-143"/>
        <w:jc w:val="both"/>
        <w:rPr>
          <w:rFonts w:ascii="Calibri" w:hAnsi="Calibri" w:cs="Calibri"/>
          <w:sz w:val="22"/>
          <w:szCs w:val="22"/>
        </w:rPr>
      </w:pPr>
      <w:r w:rsidRPr="0081763F">
        <w:rPr>
          <w:rFonts w:ascii="Calibri" w:hAnsi="Calibri" w:cs="Calibri"/>
          <w:sz w:val="22"/>
          <w:szCs w:val="22"/>
        </w:rPr>
        <w:lastRenderedPageBreak/>
        <w:t>Amendments to IAS 12 Income taxes: International Tax Reform – Pillar Two Model Rules (effective on or after January 1, 2023</w:t>
      </w:r>
      <w:proofErr w:type="gramStart"/>
      <w:r w:rsidRPr="0081763F">
        <w:rPr>
          <w:rFonts w:ascii="Calibri" w:hAnsi="Calibri" w:cs="Calibri"/>
          <w:sz w:val="22"/>
          <w:szCs w:val="22"/>
        </w:rPr>
        <w:t>).*</w:t>
      </w:r>
      <w:proofErr w:type="gramEnd"/>
      <w:r w:rsidRPr="0081763F">
        <w:rPr>
          <w:rFonts w:ascii="Calibri" w:hAnsi="Calibri" w:cs="Calibri"/>
          <w:sz w:val="22"/>
          <w:szCs w:val="22"/>
        </w:rPr>
        <w:t xml:space="preserve"> </w:t>
      </w:r>
    </w:p>
    <w:p w14:paraId="3DC98862" w14:textId="77777777" w:rsidR="00C4701B" w:rsidRPr="0081763F" w:rsidRDefault="00C4701B" w:rsidP="00FD77D1">
      <w:pPr>
        <w:autoSpaceDE w:val="0"/>
        <w:autoSpaceDN w:val="0"/>
        <w:adjustRightInd w:val="0"/>
        <w:ind w:right="-143"/>
        <w:jc w:val="both"/>
        <w:rPr>
          <w:rFonts w:ascii="Calibri" w:hAnsi="Calibri" w:cs="Calibri"/>
          <w:sz w:val="22"/>
          <w:szCs w:val="22"/>
        </w:rPr>
      </w:pPr>
    </w:p>
    <w:p w14:paraId="7781F436" w14:textId="77777777" w:rsidR="0049212F" w:rsidRPr="0081763F" w:rsidRDefault="0049212F" w:rsidP="00FD77D1">
      <w:pPr>
        <w:autoSpaceDE w:val="0"/>
        <w:autoSpaceDN w:val="0"/>
        <w:adjustRightInd w:val="0"/>
        <w:ind w:right="-143"/>
        <w:jc w:val="both"/>
        <w:rPr>
          <w:rFonts w:ascii="Calibri" w:hAnsi="Calibri" w:cs="Calibri"/>
          <w:sz w:val="22"/>
          <w:szCs w:val="22"/>
        </w:rPr>
      </w:pPr>
      <w:r w:rsidRPr="0081763F">
        <w:rPr>
          <w:rFonts w:ascii="Calibri" w:hAnsi="Calibri" w:cs="Calibri"/>
          <w:sz w:val="22"/>
          <w:szCs w:val="22"/>
        </w:rPr>
        <w:t>The adoption of these new or amended standards did not have a material impact on the Group’s financial position or results in the half</w:t>
      </w:r>
      <w:r w:rsidR="005839AB" w:rsidRPr="0081763F">
        <w:rPr>
          <w:rFonts w:ascii="Calibri" w:hAnsi="Calibri" w:cs="Calibri"/>
          <w:sz w:val="22"/>
          <w:szCs w:val="22"/>
        </w:rPr>
        <w:t>-</w:t>
      </w:r>
      <w:r w:rsidRPr="0081763F">
        <w:rPr>
          <w:rFonts w:ascii="Calibri" w:hAnsi="Calibri" w:cs="Calibri"/>
          <w:sz w:val="22"/>
          <w:szCs w:val="22"/>
        </w:rPr>
        <w:t>year ended September 30, 202</w:t>
      </w:r>
      <w:r w:rsidR="00C4701B" w:rsidRPr="0081763F">
        <w:rPr>
          <w:rFonts w:ascii="Calibri" w:hAnsi="Calibri" w:cs="Calibri"/>
          <w:sz w:val="22"/>
          <w:szCs w:val="22"/>
        </w:rPr>
        <w:t>3</w:t>
      </w:r>
      <w:r w:rsidRPr="0081763F">
        <w:rPr>
          <w:rFonts w:ascii="Calibri" w:hAnsi="Calibri" w:cs="Calibri"/>
          <w:sz w:val="22"/>
          <w:szCs w:val="22"/>
        </w:rPr>
        <w:t xml:space="preserve">. </w:t>
      </w:r>
    </w:p>
    <w:p w14:paraId="4F82A8F0" w14:textId="77777777" w:rsidR="00784439" w:rsidRPr="0081763F" w:rsidRDefault="00784439" w:rsidP="00FD77D1">
      <w:pPr>
        <w:autoSpaceDE w:val="0"/>
        <w:autoSpaceDN w:val="0"/>
        <w:adjustRightInd w:val="0"/>
        <w:ind w:left="720" w:right="-143"/>
        <w:jc w:val="both"/>
        <w:rPr>
          <w:rFonts w:ascii="Calibri" w:hAnsi="Calibri" w:cs="Calibri"/>
          <w:sz w:val="22"/>
          <w:szCs w:val="22"/>
          <w:lang w:val="en-US"/>
        </w:rPr>
      </w:pPr>
    </w:p>
    <w:bookmarkEnd w:id="16"/>
    <w:p w14:paraId="6297D9A0" w14:textId="77777777" w:rsidR="00097571" w:rsidRPr="0081763F" w:rsidRDefault="00097571" w:rsidP="00FD77D1">
      <w:pPr>
        <w:ind w:right="-143"/>
        <w:jc w:val="both"/>
        <w:rPr>
          <w:rFonts w:ascii="Calibri" w:hAnsi="Calibri" w:cs="Calibri"/>
          <w:bCs/>
          <w:i/>
          <w:sz w:val="22"/>
          <w:szCs w:val="22"/>
        </w:rPr>
      </w:pPr>
      <w:r w:rsidRPr="0081763F">
        <w:rPr>
          <w:rFonts w:ascii="Calibri" w:hAnsi="Calibri" w:cs="Calibri"/>
          <w:bCs/>
          <w:i/>
          <w:sz w:val="22"/>
          <w:szCs w:val="22"/>
        </w:rPr>
        <w:t>New IFRS standards and amendments issued but not yet effective</w:t>
      </w:r>
    </w:p>
    <w:p w14:paraId="7684B22D" w14:textId="77777777" w:rsidR="0030345C" w:rsidRPr="0081763F" w:rsidRDefault="00C4701B" w:rsidP="00FD77D1">
      <w:pPr>
        <w:autoSpaceDE w:val="0"/>
        <w:autoSpaceDN w:val="0"/>
        <w:adjustRightInd w:val="0"/>
        <w:ind w:right="-143"/>
        <w:jc w:val="both"/>
        <w:rPr>
          <w:rFonts w:ascii="Calibri" w:hAnsi="Calibri" w:cs="Calibri"/>
          <w:sz w:val="22"/>
          <w:szCs w:val="22"/>
          <w:lang w:val="en-US"/>
        </w:rPr>
      </w:pPr>
      <w:r w:rsidRPr="0081763F">
        <w:rPr>
          <w:rFonts w:ascii="Calibri" w:hAnsi="Calibri" w:cs="Calibri"/>
          <w:sz w:val="22"/>
          <w:szCs w:val="22"/>
          <w:lang w:val="en-US"/>
        </w:rPr>
        <w:t>The following new or amended standards and interpretations will be adopted for the purposes of the preparation of future financial statements, where applicable.  While under review, we do not anticipate that the adoption of these new or revised standards and interpretations will have a material impact on our financial position or performance:</w:t>
      </w:r>
    </w:p>
    <w:p w14:paraId="5BB46D7E" w14:textId="77777777" w:rsidR="00C4701B" w:rsidRPr="0081763F" w:rsidRDefault="00C4701B" w:rsidP="00FD77D1">
      <w:pPr>
        <w:numPr>
          <w:ilvl w:val="0"/>
          <w:numId w:val="17"/>
        </w:numPr>
        <w:autoSpaceDE w:val="0"/>
        <w:autoSpaceDN w:val="0"/>
        <w:adjustRightInd w:val="0"/>
        <w:ind w:right="-143"/>
        <w:jc w:val="both"/>
        <w:rPr>
          <w:rFonts w:ascii="Calibri" w:hAnsi="Calibri" w:cs="Calibri"/>
          <w:sz w:val="22"/>
          <w:szCs w:val="22"/>
        </w:rPr>
      </w:pPr>
      <w:bookmarkStart w:id="17" w:name="_Hlk39778253"/>
      <w:r w:rsidRPr="0081763F">
        <w:rPr>
          <w:rFonts w:ascii="Calibri" w:hAnsi="Calibri" w:cs="Calibri"/>
          <w:sz w:val="22"/>
          <w:szCs w:val="22"/>
        </w:rPr>
        <w:t>Amendments to IAS 1 Presentation of Financial Statements: Classification of Liabilities as Current or Non-current</w:t>
      </w:r>
      <w:r w:rsidR="00851E49">
        <w:rPr>
          <w:rFonts w:ascii="Calibri" w:hAnsi="Calibri" w:cs="Calibri"/>
          <w:sz w:val="22"/>
          <w:szCs w:val="22"/>
        </w:rPr>
        <w:t xml:space="preserve"> date</w:t>
      </w:r>
      <w:r w:rsidRPr="0081763F">
        <w:rPr>
          <w:rFonts w:ascii="Calibri" w:hAnsi="Calibri" w:cs="Calibri"/>
          <w:sz w:val="22"/>
          <w:szCs w:val="22"/>
        </w:rPr>
        <w:t>, Classification of Liabilities as Current or Non-current – Deferral of Effective Date, and Non-current Liabilities with Covenants (effective on or after January 1, 2024</w:t>
      </w:r>
      <w:proofErr w:type="gramStart"/>
      <w:r w:rsidRPr="0081763F">
        <w:rPr>
          <w:rFonts w:ascii="Calibri" w:hAnsi="Calibri" w:cs="Calibri"/>
          <w:sz w:val="22"/>
          <w:szCs w:val="22"/>
        </w:rPr>
        <w:t>).*</w:t>
      </w:r>
      <w:proofErr w:type="gramEnd"/>
    </w:p>
    <w:p w14:paraId="33D9726F" w14:textId="77777777" w:rsidR="00C4701B" w:rsidRPr="0081763F" w:rsidRDefault="00C4701B" w:rsidP="00FD77D1">
      <w:pPr>
        <w:numPr>
          <w:ilvl w:val="0"/>
          <w:numId w:val="17"/>
        </w:numPr>
        <w:autoSpaceDE w:val="0"/>
        <w:autoSpaceDN w:val="0"/>
        <w:adjustRightInd w:val="0"/>
        <w:ind w:right="-143"/>
        <w:jc w:val="both"/>
        <w:rPr>
          <w:rFonts w:ascii="Calibri" w:hAnsi="Calibri" w:cs="Calibri"/>
          <w:sz w:val="22"/>
          <w:szCs w:val="22"/>
        </w:rPr>
      </w:pPr>
      <w:r w:rsidRPr="0081763F">
        <w:rPr>
          <w:rFonts w:ascii="Calibri" w:hAnsi="Calibri" w:cs="Calibri"/>
          <w:sz w:val="22"/>
          <w:szCs w:val="22"/>
        </w:rPr>
        <w:t>Amendments to IFRS 16 Leases: Lease Liability in a Sale and Leaseback (effective on or after January 1, 2024</w:t>
      </w:r>
      <w:proofErr w:type="gramStart"/>
      <w:r w:rsidRPr="0081763F">
        <w:rPr>
          <w:rFonts w:ascii="Calibri" w:hAnsi="Calibri" w:cs="Calibri"/>
          <w:sz w:val="22"/>
          <w:szCs w:val="22"/>
        </w:rPr>
        <w:t>).*</w:t>
      </w:r>
      <w:proofErr w:type="gramEnd"/>
      <w:r w:rsidRPr="0081763F">
        <w:rPr>
          <w:rFonts w:ascii="Calibri" w:hAnsi="Calibri" w:cs="Calibri"/>
          <w:sz w:val="22"/>
          <w:szCs w:val="22"/>
        </w:rPr>
        <w:t xml:space="preserve"> </w:t>
      </w:r>
    </w:p>
    <w:p w14:paraId="3807E93C" w14:textId="77777777" w:rsidR="00C4701B" w:rsidRDefault="00C4701B" w:rsidP="00FD77D1">
      <w:pPr>
        <w:numPr>
          <w:ilvl w:val="0"/>
          <w:numId w:val="17"/>
        </w:numPr>
        <w:autoSpaceDE w:val="0"/>
        <w:autoSpaceDN w:val="0"/>
        <w:adjustRightInd w:val="0"/>
        <w:ind w:right="-143"/>
        <w:jc w:val="both"/>
        <w:rPr>
          <w:rFonts w:ascii="Calibri" w:hAnsi="Calibri" w:cs="Calibri"/>
          <w:sz w:val="22"/>
          <w:szCs w:val="22"/>
        </w:rPr>
      </w:pPr>
      <w:r w:rsidRPr="0081763F">
        <w:rPr>
          <w:rFonts w:ascii="Calibri" w:hAnsi="Calibri" w:cs="Calibri"/>
          <w:sz w:val="22"/>
          <w:szCs w:val="22"/>
        </w:rPr>
        <w:t>Amendments to IAS 7 Statement of Cash Flows and IFRS 7 Financial Instruments: Disclosures: Supplier Finance Arrangements (effective on or after January 1, 2024</w:t>
      </w:r>
      <w:proofErr w:type="gramStart"/>
      <w:r w:rsidRPr="0081763F">
        <w:rPr>
          <w:rFonts w:ascii="Calibri" w:hAnsi="Calibri" w:cs="Calibri"/>
          <w:sz w:val="22"/>
          <w:szCs w:val="22"/>
        </w:rPr>
        <w:t>).*</w:t>
      </w:r>
      <w:proofErr w:type="gramEnd"/>
      <w:r w:rsidRPr="0081763F">
        <w:rPr>
          <w:rFonts w:ascii="Calibri" w:hAnsi="Calibri" w:cs="Calibri"/>
          <w:sz w:val="22"/>
          <w:szCs w:val="22"/>
        </w:rPr>
        <w:t xml:space="preserve"> </w:t>
      </w:r>
    </w:p>
    <w:p w14:paraId="228B85A1" w14:textId="77777777" w:rsidR="00846C67" w:rsidRPr="0081763F" w:rsidRDefault="00846C67" w:rsidP="00FD77D1">
      <w:pPr>
        <w:numPr>
          <w:ilvl w:val="0"/>
          <w:numId w:val="17"/>
        </w:numPr>
        <w:autoSpaceDE w:val="0"/>
        <w:autoSpaceDN w:val="0"/>
        <w:adjustRightInd w:val="0"/>
        <w:ind w:right="-143"/>
        <w:jc w:val="both"/>
        <w:rPr>
          <w:rFonts w:ascii="Calibri" w:hAnsi="Calibri" w:cs="Calibri"/>
          <w:sz w:val="22"/>
          <w:szCs w:val="22"/>
        </w:rPr>
      </w:pPr>
      <w:r w:rsidRPr="00846C67">
        <w:rPr>
          <w:rFonts w:ascii="Calibri" w:hAnsi="Calibri" w:cs="Calibri"/>
          <w:sz w:val="22"/>
          <w:szCs w:val="22"/>
        </w:rPr>
        <w:t>Amendments to IAS 21 The Effects of Changes in Foreign Exchange Rates: Lack of Exchangeability (issued on August</w:t>
      </w:r>
      <w:r w:rsidR="00100F3A">
        <w:rPr>
          <w:rFonts w:ascii="Calibri" w:hAnsi="Calibri" w:cs="Calibri"/>
          <w:sz w:val="22"/>
          <w:szCs w:val="22"/>
        </w:rPr>
        <w:t xml:space="preserve"> 15,</w:t>
      </w:r>
      <w:r w:rsidRPr="00846C67">
        <w:rPr>
          <w:rFonts w:ascii="Calibri" w:hAnsi="Calibri" w:cs="Calibri"/>
          <w:sz w:val="22"/>
          <w:szCs w:val="22"/>
        </w:rPr>
        <w:t xml:space="preserve"> 2023</w:t>
      </w:r>
      <w:proofErr w:type="gramStart"/>
      <w:r w:rsidRPr="00846C67">
        <w:rPr>
          <w:rFonts w:ascii="Calibri" w:hAnsi="Calibri" w:cs="Calibri"/>
          <w:sz w:val="22"/>
          <w:szCs w:val="22"/>
        </w:rPr>
        <w:t>)</w:t>
      </w:r>
      <w:r>
        <w:rPr>
          <w:rFonts w:ascii="Calibri" w:hAnsi="Calibri" w:cs="Calibri"/>
          <w:sz w:val="22"/>
          <w:szCs w:val="22"/>
        </w:rPr>
        <w:t>.</w:t>
      </w:r>
      <w:r w:rsidRPr="0081763F">
        <w:rPr>
          <w:rFonts w:ascii="Calibri" w:hAnsi="Calibri" w:cs="Calibri"/>
          <w:sz w:val="22"/>
          <w:szCs w:val="22"/>
        </w:rPr>
        <w:t>*</w:t>
      </w:r>
      <w:proofErr w:type="gramEnd"/>
    </w:p>
    <w:p w14:paraId="5D923B5E" w14:textId="77777777" w:rsidR="00C4701B" w:rsidRPr="0081763F" w:rsidRDefault="00C4701B" w:rsidP="0002602C">
      <w:pPr>
        <w:autoSpaceDE w:val="0"/>
        <w:autoSpaceDN w:val="0"/>
        <w:adjustRightInd w:val="0"/>
        <w:ind w:right="-143"/>
        <w:jc w:val="both"/>
        <w:rPr>
          <w:rFonts w:ascii="Calibri" w:hAnsi="Calibri" w:cs="Calibri"/>
          <w:sz w:val="22"/>
          <w:szCs w:val="22"/>
        </w:rPr>
      </w:pPr>
    </w:p>
    <w:p w14:paraId="4DFC62BC" w14:textId="77777777" w:rsidR="00C36AFD" w:rsidRPr="0081763F" w:rsidRDefault="00C36AFD" w:rsidP="0002602C">
      <w:pPr>
        <w:autoSpaceDE w:val="0"/>
        <w:autoSpaceDN w:val="0"/>
        <w:adjustRightInd w:val="0"/>
        <w:ind w:right="-143"/>
        <w:jc w:val="both"/>
        <w:rPr>
          <w:rFonts w:ascii="Calibri" w:hAnsi="Calibri" w:cs="Calibri"/>
          <w:sz w:val="16"/>
          <w:szCs w:val="16"/>
        </w:rPr>
      </w:pPr>
      <w:r w:rsidRPr="0081763F">
        <w:rPr>
          <w:rFonts w:ascii="Calibri" w:hAnsi="Calibri" w:cs="Calibri"/>
          <w:sz w:val="16"/>
          <w:szCs w:val="16"/>
        </w:rPr>
        <w:t xml:space="preserve">* These standards or amendments to standards are not </w:t>
      </w:r>
      <w:proofErr w:type="gramStart"/>
      <w:r w:rsidRPr="0081763F">
        <w:rPr>
          <w:rFonts w:ascii="Calibri" w:hAnsi="Calibri" w:cs="Calibri"/>
          <w:sz w:val="16"/>
          <w:szCs w:val="16"/>
        </w:rPr>
        <w:t>as of yet</w:t>
      </w:r>
      <w:proofErr w:type="gramEnd"/>
      <w:r w:rsidRPr="0081763F">
        <w:rPr>
          <w:rFonts w:ascii="Calibri" w:hAnsi="Calibri" w:cs="Calibri"/>
          <w:sz w:val="16"/>
          <w:szCs w:val="16"/>
        </w:rPr>
        <w:t xml:space="preserve"> EU endorsed.</w:t>
      </w:r>
    </w:p>
    <w:bookmarkEnd w:id="17"/>
    <w:p w14:paraId="66649B1D" w14:textId="77777777" w:rsidR="00097571" w:rsidRPr="00C962A7" w:rsidRDefault="00097571" w:rsidP="0002602C">
      <w:pPr>
        <w:autoSpaceDE w:val="0"/>
        <w:autoSpaceDN w:val="0"/>
        <w:adjustRightInd w:val="0"/>
        <w:ind w:right="-143"/>
        <w:jc w:val="both"/>
        <w:rPr>
          <w:rFonts w:ascii="Calibri" w:hAnsi="Calibri" w:cs="Calibri"/>
          <w:i/>
          <w:iCs/>
          <w:sz w:val="22"/>
          <w:szCs w:val="22"/>
          <w:highlight w:val="green"/>
          <w:lang w:val="en-US"/>
        </w:rPr>
      </w:pPr>
    </w:p>
    <w:p w14:paraId="3C9F990D" w14:textId="77777777" w:rsidR="00097571" w:rsidRPr="0081763F" w:rsidRDefault="00097571" w:rsidP="0002602C">
      <w:pPr>
        <w:pStyle w:val="Outline3L1"/>
        <w:numPr>
          <w:ilvl w:val="0"/>
          <w:numId w:val="7"/>
        </w:numPr>
        <w:spacing w:after="0"/>
        <w:ind w:right="-143"/>
        <w:jc w:val="both"/>
        <w:rPr>
          <w:rFonts w:ascii="Calibri" w:hAnsi="Calibri" w:cs="Calibri"/>
          <w:b/>
          <w:sz w:val="22"/>
          <w:szCs w:val="22"/>
        </w:rPr>
      </w:pPr>
      <w:r w:rsidRPr="0081763F">
        <w:rPr>
          <w:rFonts w:ascii="Calibri" w:hAnsi="Calibri" w:cs="Calibri"/>
          <w:b/>
          <w:sz w:val="22"/>
          <w:szCs w:val="22"/>
        </w:rPr>
        <w:t>Judgements and estimates</w:t>
      </w:r>
    </w:p>
    <w:p w14:paraId="51BF68AE" w14:textId="77777777" w:rsidR="00984744" w:rsidRPr="0081763F" w:rsidRDefault="00984744" w:rsidP="0002602C">
      <w:pPr>
        <w:pStyle w:val="Outline3L1"/>
        <w:numPr>
          <w:ilvl w:val="0"/>
          <w:numId w:val="0"/>
        </w:numPr>
        <w:tabs>
          <w:tab w:val="num" w:pos="0"/>
        </w:tabs>
        <w:spacing w:after="0"/>
        <w:ind w:right="-143"/>
        <w:jc w:val="both"/>
        <w:rPr>
          <w:rFonts w:ascii="Calibri" w:hAnsi="Calibri" w:cs="Calibri"/>
          <w:sz w:val="22"/>
          <w:szCs w:val="22"/>
        </w:rPr>
      </w:pPr>
    </w:p>
    <w:p w14:paraId="371FB6B3" w14:textId="77777777" w:rsidR="00D00A73" w:rsidRPr="0081763F" w:rsidRDefault="00C4701B" w:rsidP="00C4701B">
      <w:pPr>
        <w:tabs>
          <w:tab w:val="num" w:pos="0"/>
        </w:tabs>
        <w:ind w:right="-143"/>
        <w:jc w:val="both"/>
        <w:rPr>
          <w:rFonts w:ascii="Calibri" w:hAnsi="Calibri" w:cs="Calibri"/>
          <w:sz w:val="22"/>
          <w:szCs w:val="22"/>
          <w:lang w:val="en-US"/>
        </w:rPr>
      </w:pPr>
      <w:r w:rsidRPr="0081763F">
        <w:rPr>
          <w:rFonts w:ascii="Calibri" w:hAnsi="Calibri" w:cs="Calibri"/>
          <w:sz w:val="22"/>
          <w:szCs w:val="22"/>
          <w:lang w:val="en-US"/>
        </w:rPr>
        <w:t xml:space="preserve">The preparation of financial statements in conformity with IFRS requires management to make estimates, judgements and assumptions that affect the application of policies and reported amounts of assets and liabilities, </w:t>
      </w:r>
      <w:proofErr w:type="gramStart"/>
      <w:r w:rsidRPr="0081763F">
        <w:rPr>
          <w:rFonts w:ascii="Calibri" w:hAnsi="Calibri" w:cs="Calibri"/>
          <w:sz w:val="22"/>
          <w:szCs w:val="22"/>
          <w:lang w:val="en-US"/>
        </w:rPr>
        <w:t>income</w:t>
      </w:r>
      <w:proofErr w:type="gramEnd"/>
      <w:r w:rsidRPr="0081763F">
        <w:rPr>
          <w:rFonts w:ascii="Calibri" w:hAnsi="Calibri" w:cs="Calibri"/>
          <w:sz w:val="22"/>
          <w:szCs w:val="22"/>
          <w:lang w:val="en-US"/>
        </w:rPr>
        <w:t xml:space="preserve"> and expenses. These estimates and associated assumptions are based on historical experience and various other factors believed to be reasonable under the circumstances, and the results of such estimates form the basis of carrying values of assets and liabilities that are not readily apparent from other sources. Actual results could differ materially from these estimates. These underlying assumptions are reviewed on an ongoing basis. A revision to an accounting estimate is recognised in the period in which the estimate is revised if the revision affects only that period or in the period of the revision and future periods if these are also affected. Principal sources of estimation uncertainty have been set forth below. Actual results may differ from estimates.</w:t>
      </w:r>
      <w:r w:rsidR="00D00A73" w:rsidRPr="0081763F">
        <w:rPr>
          <w:rFonts w:ascii="Calibri" w:hAnsi="Calibri" w:cs="Calibri"/>
          <w:sz w:val="22"/>
          <w:szCs w:val="22"/>
          <w:lang w:val="en-US"/>
        </w:rPr>
        <w:t xml:space="preserve"> </w:t>
      </w:r>
    </w:p>
    <w:p w14:paraId="56B0C28C" w14:textId="77777777" w:rsidR="00C4701B" w:rsidRPr="0081763F" w:rsidRDefault="00C4701B" w:rsidP="00C4701B">
      <w:pPr>
        <w:tabs>
          <w:tab w:val="num" w:pos="0"/>
        </w:tabs>
        <w:ind w:right="-143"/>
        <w:jc w:val="both"/>
        <w:rPr>
          <w:rFonts w:ascii="Calibri" w:hAnsi="Calibri" w:cs="Calibri"/>
          <w:sz w:val="22"/>
          <w:szCs w:val="22"/>
          <w:lang w:val="en-US"/>
        </w:rPr>
      </w:pPr>
    </w:p>
    <w:p w14:paraId="562466AD" w14:textId="77777777" w:rsidR="00C4701B" w:rsidRPr="0081763F" w:rsidRDefault="00C4701B" w:rsidP="00C4701B">
      <w:pPr>
        <w:tabs>
          <w:tab w:val="num" w:pos="0"/>
        </w:tabs>
        <w:ind w:right="-143"/>
        <w:jc w:val="both"/>
        <w:rPr>
          <w:rFonts w:ascii="Calibri" w:hAnsi="Calibri" w:cs="Calibri"/>
          <w:b/>
          <w:bCs/>
          <w:sz w:val="22"/>
          <w:szCs w:val="22"/>
          <w:lang w:val="en-US"/>
        </w:rPr>
      </w:pPr>
      <w:r w:rsidRPr="0081763F">
        <w:rPr>
          <w:rFonts w:ascii="Calibri" w:hAnsi="Calibri" w:cs="Calibri"/>
          <w:b/>
          <w:bCs/>
          <w:sz w:val="22"/>
          <w:szCs w:val="22"/>
          <w:lang w:val="en-US"/>
        </w:rPr>
        <w:t>Critical estimates</w:t>
      </w:r>
    </w:p>
    <w:p w14:paraId="4D83D150" w14:textId="77777777" w:rsidR="00837FDD" w:rsidRDefault="00837FDD" w:rsidP="00C4701B">
      <w:pPr>
        <w:tabs>
          <w:tab w:val="num" w:pos="0"/>
        </w:tabs>
        <w:ind w:right="-143"/>
        <w:jc w:val="both"/>
        <w:rPr>
          <w:rFonts w:ascii="Calibri" w:hAnsi="Calibri" w:cs="Calibri"/>
          <w:b/>
          <w:bCs/>
          <w:sz w:val="22"/>
          <w:szCs w:val="22"/>
          <w:lang w:val="en-US"/>
        </w:rPr>
      </w:pPr>
    </w:p>
    <w:p w14:paraId="5501DB6E" w14:textId="77777777" w:rsidR="00C4701B" w:rsidRPr="0081763F" w:rsidRDefault="00C4701B" w:rsidP="00C4701B">
      <w:pPr>
        <w:tabs>
          <w:tab w:val="num" w:pos="0"/>
        </w:tabs>
        <w:ind w:right="-143"/>
        <w:jc w:val="both"/>
        <w:rPr>
          <w:rFonts w:ascii="Calibri" w:hAnsi="Calibri" w:cs="Calibri"/>
          <w:sz w:val="22"/>
          <w:szCs w:val="22"/>
          <w:lang w:val="en-US"/>
        </w:rPr>
      </w:pPr>
      <w:r w:rsidRPr="0081763F">
        <w:rPr>
          <w:rFonts w:ascii="Calibri" w:hAnsi="Calibri" w:cs="Calibri"/>
          <w:b/>
          <w:bCs/>
          <w:sz w:val="22"/>
          <w:szCs w:val="22"/>
          <w:lang w:val="en-US"/>
        </w:rPr>
        <w:t>Long-lived assets</w:t>
      </w:r>
      <w:r w:rsidRPr="0081763F">
        <w:rPr>
          <w:rFonts w:ascii="Calibri" w:hAnsi="Calibri" w:cs="Calibri"/>
          <w:sz w:val="22"/>
          <w:szCs w:val="22"/>
          <w:lang w:val="en-US"/>
        </w:rPr>
        <w:t xml:space="preserve"> </w:t>
      </w:r>
    </w:p>
    <w:p w14:paraId="434BDDFB" w14:textId="77777777" w:rsidR="00C4701B" w:rsidRPr="0081763F" w:rsidRDefault="00C4701B" w:rsidP="00C4701B">
      <w:pPr>
        <w:tabs>
          <w:tab w:val="num" w:pos="0"/>
        </w:tabs>
        <w:ind w:right="-143"/>
        <w:jc w:val="both"/>
        <w:rPr>
          <w:rFonts w:ascii="Calibri" w:hAnsi="Calibri" w:cs="Calibri"/>
          <w:sz w:val="22"/>
          <w:szCs w:val="22"/>
          <w:lang w:val="en-US"/>
        </w:rPr>
      </w:pPr>
    </w:p>
    <w:p w14:paraId="508FC9EA" w14:textId="77777777" w:rsidR="00837FDD" w:rsidRDefault="00C4701B" w:rsidP="00C4701B">
      <w:pPr>
        <w:tabs>
          <w:tab w:val="num" w:pos="0"/>
        </w:tabs>
        <w:ind w:right="-143"/>
        <w:jc w:val="both"/>
        <w:rPr>
          <w:rFonts w:ascii="Calibri" w:hAnsi="Calibri" w:cs="Calibri"/>
          <w:sz w:val="22"/>
          <w:szCs w:val="22"/>
          <w:lang w:val="en-US"/>
        </w:rPr>
      </w:pPr>
      <w:proofErr w:type="gramStart"/>
      <w:r w:rsidRPr="0015779B">
        <w:rPr>
          <w:rFonts w:ascii="Calibri" w:hAnsi="Calibri" w:cs="Calibri"/>
          <w:sz w:val="22"/>
          <w:szCs w:val="22"/>
          <w:lang w:val="en-US"/>
        </w:rPr>
        <w:t>At</w:t>
      </w:r>
      <w:proofErr w:type="gramEnd"/>
      <w:r w:rsidRPr="0015779B">
        <w:rPr>
          <w:rFonts w:ascii="Calibri" w:hAnsi="Calibri" w:cs="Calibri"/>
          <w:sz w:val="22"/>
          <w:szCs w:val="22"/>
          <w:lang w:val="en-US"/>
        </w:rPr>
        <w:t xml:space="preserve"> September 30, 2023, the Group had €</w:t>
      </w:r>
      <w:r w:rsidR="00CB3D93" w:rsidRPr="0015779B">
        <w:rPr>
          <w:rFonts w:ascii="Calibri" w:hAnsi="Calibri" w:cs="Calibri"/>
          <w:sz w:val="22"/>
          <w:szCs w:val="22"/>
          <w:lang w:val="en-US"/>
        </w:rPr>
        <w:t>10.32</w:t>
      </w:r>
      <w:r w:rsidRPr="0015779B">
        <w:rPr>
          <w:rFonts w:ascii="Calibri" w:hAnsi="Calibri" w:cs="Calibri"/>
          <w:sz w:val="22"/>
          <w:szCs w:val="22"/>
          <w:lang w:val="en-US"/>
        </w:rPr>
        <w:t>BN of property, plant and equipment long-lived assets, of which €</w:t>
      </w:r>
      <w:r w:rsidR="006E2C07" w:rsidRPr="0015779B">
        <w:rPr>
          <w:rFonts w:ascii="Calibri" w:hAnsi="Calibri" w:cs="Calibri"/>
          <w:sz w:val="22"/>
          <w:szCs w:val="22"/>
          <w:lang w:val="en-US"/>
        </w:rPr>
        <w:t>10.12</w:t>
      </w:r>
      <w:r w:rsidRPr="0015779B">
        <w:rPr>
          <w:rFonts w:ascii="Calibri" w:hAnsi="Calibri" w:cs="Calibri"/>
          <w:sz w:val="22"/>
          <w:szCs w:val="22"/>
          <w:lang w:val="en-US"/>
        </w:rPr>
        <w:t>BN were aircraft</w:t>
      </w:r>
      <w:r w:rsidRPr="0081763F">
        <w:rPr>
          <w:rFonts w:ascii="Calibri" w:hAnsi="Calibri" w:cs="Calibri"/>
          <w:sz w:val="22"/>
          <w:szCs w:val="22"/>
          <w:lang w:val="en-US"/>
        </w:rPr>
        <w:t xml:space="preserve"> related. In accounting for long-lived assets, the Group must make estimates about the expected useful lives of the assets and the expected residual values of the assets. </w:t>
      </w:r>
    </w:p>
    <w:p w14:paraId="3741E6C8" w14:textId="77777777" w:rsidR="00837FDD" w:rsidRDefault="00837FDD" w:rsidP="00C4701B">
      <w:pPr>
        <w:tabs>
          <w:tab w:val="num" w:pos="0"/>
        </w:tabs>
        <w:ind w:right="-143"/>
        <w:jc w:val="both"/>
        <w:rPr>
          <w:rFonts w:ascii="Calibri" w:hAnsi="Calibri" w:cs="Calibri"/>
          <w:sz w:val="22"/>
          <w:szCs w:val="22"/>
          <w:lang w:val="en-US"/>
        </w:rPr>
      </w:pPr>
    </w:p>
    <w:p w14:paraId="763F5926" w14:textId="77777777" w:rsidR="00C4701B" w:rsidRPr="0081763F" w:rsidRDefault="00C4701B" w:rsidP="00C4701B">
      <w:pPr>
        <w:tabs>
          <w:tab w:val="num" w:pos="0"/>
        </w:tabs>
        <w:ind w:right="-143"/>
        <w:jc w:val="both"/>
        <w:rPr>
          <w:rFonts w:ascii="Calibri" w:hAnsi="Calibri" w:cs="Calibri"/>
          <w:sz w:val="22"/>
          <w:szCs w:val="22"/>
          <w:lang w:val="en-US"/>
        </w:rPr>
      </w:pPr>
      <w:r w:rsidRPr="0081763F">
        <w:rPr>
          <w:rFonts w:ascii="Calibri" w:hAnsi="Calibri" w:cs="Calibri"/>
          <w:sz w:val="22"/>
          <w:szCs w:val="22"/>
          <w:lang w:val="en-US"/>
        </w:rPr>
        <w:t xml:space="preserve">In estimating the useful lives and expected residual values of the aircraft component, the Group considered </w:t>
      </w:r>
      <w:proofErr w:type="gramStart"/>
      <w:r w:rsidRPr="0081763F">
        <w:rPr>
          <w:rFonts w:ascii="Calibri" w:hAnsi="Calibri" w:cs="Calibri"/>
          <w:sz w:val="22"/>
          <w:szCs w:val="22"/>
          <w:lang w:val="en-US"/>
        </w:rPr>
        <w:t>a number of</w:t>
      </w:r>
      <w:proofErr w:type="gramEnd"/>
      <w:r w:rsidRPr="0081763F">
        <w:rPr>
          <w:rFonts w:ascii="Calibri" w:hAnsi="Calibri" w:cs="Calibri"/>
          <w:sz w:val="22"/>
          <w:szCs w:val="22"/>
          <w:lang w:val="en-US"/>
        </w:rPr>
        <w:t xml:space="preserve"> factors, including its own historic experience and past practices of aircraft disposals, renewal programmes, forecasted growth plans, external valuations from independent appraisers, recommendations from the aircraft supplier and manufacturer and other industry-available information.</w:t>
      </w:r>
    </w:p>
    <w:p w14:paraId="774C067B" w14:textId="77777777" w:rsidR="00C4701B" w:rsidRPr="0081763F" w:rsidRDefault="00C4701B" w:rsidP="00C4701B">
      <w:pPr>
        <w:tabs>
          <w:tab w:val="num" w:pos="0"/>
        </w:tabs>
        <w:ind w:right="-143"/>
        <w:jc w:val="both"/>
        <w:rPr>
          <w:rFonts w:ascii="Calibri" w:hAnsi="Calibri" w:cs="Calibri"/>
          <w:sz w:val="22"/>
          <w:szCs w:val="22"/>
          <w:lang w:val="en-US"/>
        </w:rPr>
      </w:pPr>
    </w:p>
    <w:p w14:paraId="3AA18A4E" w14:textId="77777777" w:rsidR="00837FDD" w:rsidRDefault="00C4701B" w:rsidP="00C4701B">
      <w:pPr>
        <w:tabs>
          <w:tab w:val="num" w:pos="0"/>
        </w:tabs>
        <w:ind w:right="-143"/>
        <w:jc w:val="both"/>
        <w:rPr>
          <w:rFonts w:ascii="Calibri" w:hAnsi="Calibri" w:cs="Calibri"/>
          <w:sz w:val="22"/>
          <w:szCs w:val="22"/>
          <w:lang w:val="en-US"/>
        </w:rPr>
      </w:pPr>
      <w:r w:rsidRPr="0081763F">
        <w:rPr>
          <w:rFonts w:ascii="Calibri" w:hAnsi="Calibri" w:cs="Calibri"/>
          <w:sz w:val="22"/>
          <w:szCs w:val="22"/>
          <w:lang w:val="en-US"/>
        </w:rPr>
        <w:t xml:space="preserve">The Group's estimate of each aircraft’s residual value is 15% of market value </w:t>
      </w:r>
      <w:r w:rsidR="00D579F6">
        <w:rPr>
          <w:rFonts w:ascii="Calibri" w:hAnsi="Calibri" w:cs="Calibri"/>
          <w:sz w:val="22"/>
          <w:szCs w:val="22"/>
          <w:lang w:val="en-US"/>
        </w:rPr>
        <w:t>on delivery</w:t>
      </w:r>
      <w:r w:rsidRPr="0081763F">
        <w:rPr>
          <w:rFonts w:ascii="Calibri" w:hAnsi="Calibri" w:cs="Calibri"/>
          <w:sz w:val="22"/>
          <w:szCs w:val="22"/>
          <w:lang w:val="en-US"/>
        </w:rPr>
        <w:t xml:space="preserve">, based on independent valuations and actual aircraft disposals during prior periods, and each aircraft’s useful life is determined to be 23 years. </w:t>
      </w:r>
    </w:p>
    <w:p w14:paraId="6243A248" w14:textId="77777777" w:rsidR="00837FDD" w:rsidRDefault="00837FDD" w:rsidP="00C4701B">
      <w:pPr>
        <w:tabs>
          <w:tab w:val="num" w:pos="0"/>
        </w:tabs>
        <w:ind w:right="-143"/>
        <w:jc w:val="both"/>
        <w:rPr>
          <w:rFonts w:ascii="Calibri" w:hAnsi="Calibri" w:cs="Calibri"/>
          <w:sz w:val="22"/>
          <w:szCs w:val="22"/>
          <w:lang w:val="en-US"/>
        </w:rPr>
      </w:pPr>
    </w:p>
    <w:p w14:paraId="57B59D17" w14:textId="77777777" w:rsidR="00C4701B" w:rsidRPr="0081763F" w:rsidRDefault="00C4701B" w:rsidP="00C4701B">
      <w:pPr>
        <w:tabs>
          <w:tab w:val="num" w:pos="0"/>
        </w:tabs>
        <w:ind w:right="-143"/>
        <w:jc w:val="both"/>
        <w:rPr>
          <w:rFonts w:ascii="Calibri" w:hAnsi="Calibri" w:cs="Calibri"/>
          <w:sz w:val="22"/>
          <w:szCs w:val="22"/>
          <w:lang w:val="en-US"/>
        </w:rPr>
      </w:pPr>
      <w:r w:rsidRPr="0081763F">
        <w:rPr>
          <w:rFonts w:ascii="Calibri" w:hAnsi="Calibri" w:cs="Calibri"/>
          <w:sz w:val="22"/>
          <w:szCs w:val="22"/>
          <w:lang w:val="en-US"/>
        </w:rPr>
        <w:t xml:space="preserve">Revisions to these estimates could be caused by changes to maintenance programmes, changes in utilisation of the aircraft, governmental regulations on ageing aircraft, changes in new aircraft technology, changes in governmental and environmental taxes, changes in new aircraft fuel efficiency and changing market prices for new and used aircraft of the same or similar types. The Group therefore evaluates its estimates and assumptions in each </w:t>
      </w:r>
      <w:r w:rsidRPr="0081763F">
        <w:rPr>
          <w:rFonts w:ascii="Calibri" w:hAnsi="Calibri" w:cs="Calibri"/>
          <w:sz w:val="22"/>
          <w:szCs w:val="22"/>
          <w:lang w:val="en-US"/>
        </w:rPr>
        <w:lastRenderedPageBreak/>
        <w:t>reporting period, and, when warranted, adjusts these assumptions. Any adjustments are accounted for on a prospective basis through depreciation expense.</w:t>
      </w:r>
    </w:p>
    <w:p w14:paraId="6D585BA3" w14:textId="77777777" w:rsidR="00D00A73" w:rsidRPr="0081763F" w:rsidRDefault="00D00A73" w:rsidP="00C4701B">
      <w:pPr>
        <w:tabs>
          <w:tab w:val="num" w:pos="0"/>
        </w:tabs>
        <w:ind w:right="-143"/>
        <w:jc w:val="both"/>
        <w:rPr>
          <w:rFonts w:ascii="Calibri" w:hAnsi="Calibri" w:cs="Calibri"/>
          <w:b/>
          <w:bCs/>
          <w:sz w:val="22"/>
          <w:szCs w:val="22"/>
          <w:lang w:val="en-US"/>
        </w:rPr>
      </w:pPr>
    </w:p>
    <w:p w14:paraId="71C065B6" w14:textId="77777777" w:rsidR="00C4701B" w:rsidRPr="0081763F" w:rsidRDefault="00C4701B" w:rsidP="00C4701B">
      <w:pPr>
        <w:tabs>
          <w:tab w:val="num" w:pos="0"/>
        </w:tabs>
        <w:ind w:right="-143"/>
        <w:jc w:val="both"/>
        <w:rPr>
          <w:rFonts w:ascii="Calibri" w:hAnsi="Calibri" w:cs="Calibri"/>
          <w:b/>
          <w:bCs/>
          <w:sz w:val="22"/>
          <w:szCs w:val="22"/>
          <w:lang w:val="en-US"/>
        </w:rPr>
      </w:pPr>
      <w:r w:rsidRPr="0081763F">
        <w:rPr>
          <w:rFonts w:ascii="Calibri" w:hAnsi="Calibri" w:cs="Calibri"/>
          <w:b/>
          <w:bCs/>
          <w:sz w:val="22"/>
          <w:szCs w:val="22"/>
          <w:lang w:val="en-US"/>
        </w:rPr>
        <w:t>Critical judgements</w:t>
      </w:r>
    </w:p>
    <w:p w14:paraId="7D0AEDBA" w14:textId="77777777" w:rsidR="00C4701B" w:rsidRPr="0081763F" w:rsidRDefault="00C4701B" w:rsidP="00C4701B">
      <w:pPr>
        <w:tabs>
          <w:tab w:val="num" w:pos="0"/>
        </w:tabs>
        <w:ind w:right="-143"/>
        <w:jc w:val="both"/>
        <w:rPr>
          <w:rFonts w:ascii="Calibri" w:hAnsi="Calibri" w:cs="Calibri"/>
          <w:sz w:val="22"/>
          <w:szCs w:val="22"/>
          <w:lang w:val="en-US"/>
        </w:rPr>
      </w:pPr>
      <w:r w:rsidRPr="0081763F">
        <w:rPr>
          <w:rFonts w:ascii="Calibri" w:hAnsi="Calibri" w:cs="Calibri"/>
          <w:sz w:val="22"/>
          <w:szCs w:val="22"/>
          <w:lang w:val="en-US"/>
        </w:rPr>
        <w:t>In the opinion of the Directors, the following significant judgements were exercised in the preparation of the financial statements:</w:t>
      </w:r>
    </w:p>
    <w:p w14:paraId="274EE717" w14:textId="77777777" w:rsidR="00C4701B" w:rsidRPr="0081763F" w:rsidRDefault="00C4701B" w:rsidP="00C4701B">
      <w:pPr>
        <w:tabs>
          <w:tab w:val="num" w:pos="0"/>
        </w:tabs>
        <w:ind w:right="-143"/>
        <w:jc w:val="both"/>
        <w:rPr>
          <w:rFonts w:ascii="Calibri" w:hAnsi="Calibri" w:cs="Calibri"/>
          <w:sz w:val="22"/>
          <w:szCs w:val="22"/>
          <w:lang w:val="en-US"/>
        </w:rPr>
      </w:pPr>
    </w:p>
    <w:p w14:paraId="19043433" w14:textId="77777777" w:rsidR="00C4701B" w:rsidRPr="0081763F" w:rsidRDefault="00C4701B" w:rsidP="00C4701B">
      <w:pPr>
        <w:tabs>
          <w:tab w:val="num" w:pos="0"/>
        </w:tabs>
        <w:ind w:right="-143"/>
        <w:jc w:val="both"/>
        <w:rPr>
          <w:rFonts w:ascii="Calibri" w:hAnsi="Calibri" w:cs="Calibri"/>
          <w:b/>
          <w:bCs/>
          <w:sz w:val="22"/>
          <w:szCs w:val="22"/>
          <w:lang w:val="en-US"/>
        </w:rPr>
      </w:pPr>
      <w:r w:rsidRPr="0081763F">
        <w:rPr>
          <w:rFonts w:ascii="Calibri" w:hAnsi="Calibri" w:cs="Calibri"/>
          <w:b/>
          <w:bCs/>
          <w:sz w:val="22"/>
          <w:szCs w:val="22"/>
          <w:lang w:val="en-US"/>
        </w:rPr>
        <w:t>Long-lived assets</w:t>
      </w:r>
    </w:p>
    <w:p w14:paraId="51535002" w14:textId="77777777" w:rsidR="00B22CFC" w:rsidRPr="0081763F" w:rsidRDefault="00C4701B" w:rsidP="00C4701B">
      <w:pPr>
        <w:tabs>
          <w:tab w:val="num" w:pos="0"/>
        </w:tabs>
        <w:ind w:right="-143"/>
        <w:jc w:val="both"/>
        <w:rPr>
          <w:rFonts w:ascii="Calibri" w:hAnsi="Calibri" w:cs="Calibri"/>
          <w:sz w:val="22"/>
          <w:szCs w:val="22"/>
          <w:lang w:val="en-US"/>
        </w:rPr>
      </w:pPr>
      <w:r w:rsidRPr="0081763F">
        <w:rPr>
          <w:rFonts w:ascii="Calibri" w:hAnsi="Calibri" w:cs="Calibri"/>
          <w:sz w:val="22"/>
          <w:szCs w:val="22"/>
          <w:lang w:val="en-US"/>
        </w:rPr>
        <w:t>On acquisition a judgement is made to allocate an element of the cost of an acquired aircraft to the cost of major airframe and engine overhauls, reflecting its service potential and the maintenance condition of its engines and airframe. This cost, which can equate to a substantial element of the total aircraft cost, is amortised over the shorter of the period to the next maintenance check (usually between 8 and 12 years) or the remaining useful life of the aircraft.</w:t>
      </w:r>
    </w:p>
    <w:p w14:paraId="04314182" w14:textId="77777777" w:rsidR="006F7432" w:rsidRPr="00C962A7" w:rsidRDefault="006F7432" w:rsidP="00C4701B">
      <w:pPr>
        <w:tabs>
          <w:tab w:val="num" w:pos="0"/>
        </w:tabs>
        <w:ind w:right="-143"/>
        <w:jc w:val="both"/>
        <w:rPr>
          <w:rFonts w:ascii="Calibri" w:hAnsi="Calibri" w:cs="Calibri"/>
          <w:sz w:val="22"/>
          <w:szCs w:val="22"/>
          <w:highlight w:val="green"/>
        </w:rPr>
      </w:pPr>
    </w:p>
    <w:p w14:paraId="70AAD777" w14:textId="77777777" w:rsidR="00097571" w:rsidRPr="0081763F" w:rsidRDefault="00097571" w:rsidP="0002602C">
      <w:pPr>
        <w:pStyle w:val="Outline3L1"/>
        <w:numPr>
          <w:ilvl w:val="0"/>
          <w:numId w:val="7"/>
        </w:numPr>
        <w:tabs>
          <w:tab w:val="num" w:pos="1855"/>
        </w:tabs>
        <w:spacing w:after="0"/>
        <w:ind w:right="-143"/>
        <w:jc w:val="both"/>
        <w:rPr>
          <w:rFonts w:ascii="Calibri" w:hAnsi="Calibri" w:cs="Calibri"/>
          <w:b/>
          <w:bCs/>
          <w:sz w:val="22"/>
          <w:szCs w:val="22"/>
        </w:rPr>
      </w:pPr>
      <w:r w:rsidRPr="0081763F">
        <w:rPr>
          <w:rFonts w:ascii="Calibri" w:hAnsi="Calibri" w:cs="Calibri"/>
          <w:b/>
          <w:bCs/>
          <w:sz w:val="22"/>
          <w:szCs w:val="22"/>
        </w:rPr>
        <w:t>Seasonality of operations</w:t>
      </w:r>
    </w:p>
    <w:p w14:paraId="6518D5C2" w14:textId="77777777" w:rsidR="00984744" w:rsidRPr="0081763F" w:rsidRDefault="00984744" w:rsidP="0002602C">
      <w:pPr>
        <w:keepNext/>
        <w:tabs>
          <w:tab w:val="num" w:pos="0"/>
        </w:tabs>
        <w:ind w:right="-143"/>
        <w:jc w:val="both"/>
        <w:rPr>
          <w:rFonts w:ascii="Calibri" w:hAnsi="Calibri" w:cs="Calibri"/>
          <w:sz w:val="22"/>
          <w:szCs w:val="22"/>
        </w:rPr>
      </w:pPr>
    </w:p>
    <w:p w14:paraId="04CD521D" w14:textId="77777777" w:rsidR="00423853" w:rsidRPr="0081763F" w:rsidRDefault="00C4701B" w:rsidP="0002602C">
      <w:pPr>
        <w:ind w:right="-143"/>
        <w:jc w:val="both"/>
        <w:rPr>
          <w:rFonts w:ascii="Calibri" w:hAnsi="Calibri" w:cs="Calibri"/>
          <w:sz w:val="22"/>
          <w:szCs w:val="22"/>
        </w:rPr>
      </w:pPr>
      <w:r w:rsidRPr="0081763F">
        <w:rPr>
          <w:rFonts w:ascii="Calibri" w:hAnsi="Calibri" w:cs="Calibri"/>
          <w:sz w:val="22"/>
          <w:szCs w:val="22"/>
        </w:rPr>
        <w:t>The Group’s results of operations have varied significantly from quarter to quarter, and management expects these variations to continue.  Among the factors causing these variations are the airline industry’s sensitivity to general economic conditions and the seasonal nature of air travel.  Accordingly, the first half-year typically results in higher revenues and results.</w:t>
      </w:r>
    </w:p>
    <w:p w14:paraId="53D3E5D2" w14:textId="77777777" w:rsidR="00C4701B" w:rsidRPr="0081763F" w:rsidRDefault="00C4701B" w:rsidP="00C4701B">
      <w:pPr>
        <w:ind w:right="-143"/>
        <w:jc w:val="both"/>
        <w:rPr>
          <w:lang w:val="en-US"/>
        </w:rPr>
      </w:pPr>
    </w:p>
    <w:p w14:paraId="0324877A" w14:textId="77777777" w:rsidR="0002602C" w:rsidRPr="0081763F" w:rsidRDefault="00097571" w:rsidP="0002602C">
      <w:pPr>
        <w:pStyle w:val="Outline3L1"/>
        <w:numPr>
          <w:ilvl w:val="0"/>
          <w:numId w:val="7"/>
        </w:numPr>
        <w:tabs>
          <w:tab w:val="num" w:pos="0"/>
          <w:tab w:val="num" w:pos="1855"/>
        </w:tabs>
        <w:spacing w:after="0"/>
        <w:ind w:right="-143"/>
        <w:jc w:val="both"/>
        <w:rPr>
          <w:rFonts w:ascii="Calibri" w:hAnsi="Calibri" w:cs="Calibri"/>
          <w:b/>
          <w:bCs/>
          <w:sz w:val="22"/>
          <w:szCs w:val="22"/>
        </w:rPr>
      </w:pPr>
      <w:bookmarkStart w:id="18" w:name="_Hlk526950167"/>
      <w:r w:rsidRPr="0081763F">
        <w:rPr>
          <w:rFonts w:ascii="Calibri" w:hAnsi="Calibri" w:cs="Calibri"/>
          <w:b/>
          <w:bCs/>
          <w:sz w:val="22"/>
          <w:szCs w:val="22"/>
        </w:rPr>
        <w:t>Income tax expense</w:t>
      </w:r>
      <w:bookmarkStart w:id="19" w:name="_Hlk85444753"/>
      <w:r w:rsidR="00841634">
        <w:rPr>
          <w:rFonts w:ascii="Calibri" w:hAnsi="Calibri" w:cs="Calibri"/>
          <w:b/>
          <w:bCs/>
          <w:sz w:val="22"/>
          <w:szCs w:val="22"/>
        </w:rPr>
        <w:t xml:space="preserve"> </w:t>
      </w:r>
    </w:p>
    <w:p w14:paraId="2B6E1329" w14:textId="77777777" w:rsidR="009C5CA5" w:rsidRPr="0081763F" w:rsidRDefault="009C5CA5" w:rsidP="009C5CA5">
      <w:pPr>
        <w:keepNext/>
        <w:tabs>
          <w:tab w:val="num" w:pos="0"/>
        </w:tabs>
        <w:ind w:right="-143"/>
        <w:jc w:val="both"/>
        <w:rPr>
          <w:rFonts w:ascii="Calibri" w:hAnsi="Calibri" w:cs="Calibri"/>
          <w:sz w:val="22"/>
          <w:szCs w:val="22"/>
        </w:rPr>
      </w:pPr>
    </w:p>
    <w:p w14:paraId="38E1DC72" w14:textId="77777777" w:rsidR="000B38A8" w:rsidRPr="0081763F" w:rsidRDefault="00043B4D" w:rsidP="009C5CA5">
      <w:pPr>
        <w:keepNext/>
        <w:tabs>
          <w:tab w:val="num" w:pos="0"/>
        </w:tabs>
        <w:ind w:right="-143"/>
        <w:jc w:val="both"/>
        <w:rPr>
          <w:rFonts w:ascii="Calibri" w:hAnsi="Calibri" w:cs="Calibri"/>
          <w:sz w:val="22"/>
          <w:szCs w:val="22"/>
        </w:rPr>
      </w:pPr>
      <w:r w:rsidRPr="005D1F50">
        <w:rPr>
          <w:rFonts w:ascii="Calibri" w:hAnsi="Calibri" w:cs="Calibri"/>
          <w:sz w:val="22"/>
          <w:szCs w:val="22"/>
        </w:rPr>
        <w:t xml:space="preserve">The Group’s consolidated tax </w:t>
      </w:r>
      <w:r w:rsidR="000E43DA" w:rsidRPr="005D1F50">
        <w:rPr>
          <w:rFonts w:ascii="Calibri" w:hAnsi="Calibri" w:cs="Calibri"/>
          <w:sz w:val="22"/>
          <w:szCs w:val="22"/>
        </w:rPr>
        <w:t>expense</w:t>
      </w:r>
      <w:r w:rsidRPr="005D1F50">
        <w:rPr>
          <w:rFonts w:ascii="Calibri" w:hAnsi="Calibri" w:cs="Calibri"/>
          <w:sz w:val="22"/>
          <w:szCs w:val="22"/>
        </w:rPr>
        <w:t xml:space="preserve"> for the half-year ended September 30, </w:t>
      </w:r>
      <w:proofErr w:type="gramStart"/>
      <w:r w:rsidRPr="005D1F50">
        <w:rPr>
          <w:rFonts w:ascii="Calibri" w:hAnsi="Calibri" w:cs="Calibri"/>
          <w:sz w:val="22"/>
          <w:szCs w:val="22"/>
        </w:rPr>
        <w:t>202</w:t>
      </w:r>
      <w:r w:rsidR="00C4701B" w:rsidRPr="005D1F50">
        <w:rPr>
          <w:rFonts w:ascii="Calibri" w:hAnsi="Calibri" w:cs="Calibri"/>
          <w:sz w:val="22"/>
          <w:szCs w:val="22"/>
        </w:rPr>
        <w:t>3</w:t>
      </w:r>
      <w:proofErr w:type="gramEnd"/>
      <w:r w:rsidRPr="005D1F50">
        <w:rPr>
          <w:rFonts w:ascii="Calibri" w:hAnsi="Calibri" w:cs="Calibri"/>
          <w:sz w:val="22"/>
          <w:szCs w:val="22"/>
        </w:rPr>
        <w:t xml:space="preserve"> of €</w:t>
      </w:r>
      <w:r w:rsidR="00CB3D93" w:rsidRPr="005D1F50">
        <w:rPr>
          <w:rFonts w:ascii="Calibri" w:hAnsi="Calibri" w:cs="Calibri"/>
          <w:sz w:val="22"/>
          <w:szCs w:val="22"/>
        </w:rPr>
        <w:t>2</w:t>
      </w:r>
      <w:r w:rsidR="006A21D2" w:rsidRPr="005D1F50">
        <w:rPr>
          <w:rFonts w:ascii="Calibri" w:hAnsi="Calibri" w:cs="Calibri"/>
          <w:sz w:val="22"/>
          <w:szCs w:val="22"/>
        </w:rPr>
        <w:t>80</w:t>
      </w:r>
      <w:r w:rsidRPr="005D1F50">
        <w:rPr>
          <w:rFonts w:ascii="Calibri" w:hAnsi="Calibri" w:cs="Calibri"/>
          <w:sz w:val="22"/>
          <w:szCs w:val="22"/>
        </w:rPr>
        <w:t>M (September 30, 202</w:t>
      </w:r>
      <w:r w:rsidR="00C4701B" w:rsidRPr="005D1F50">
        <w:rPr>
          <w:rFonts w:ascii="Calibri" w:hAnsi="Calibri" w:cs="Calibri"/>
          <w:sz w:val="22"/>
          <w:szCs w:val="22"/>
        </w:rPr>
        <w:t>2</w:t>
      </w:r>
      <w:r w:rsidRPr="005D1F50">
        <w:rPr>
          <w:rFonts w:ascii="Calibri" w:hAnsi="Calibri" w:cs="Calibri"/>
          <w:sz w:val="22"/>
          <w:szCs w:val="22"/>
        </w:rPr>
        <w:t xml:space="preserve">: </w:t>
      </w:r>
      <w:r w:rsidR="001B3731" w:rsidRPr="005D1F50">
        <w:rPr>
          <w:rFonts w:ascii="Calibri" w:hAnsi="Calibri" w:cs="Calibri"/>
          <w:sz w:val="22"/>
          <w:szCs w:val="22"/>
        </w:rPr>
        <w:t xml:space="preserve">pre-exceptional </w:t>
      </w:r>
      <w:r w:rsidRPr="005D1F50">
        <w:rPr>
          <w:rFonts w:ascii="Calibri" w:hAnsi="Calibri" w:cs="Calibri"/>
          <w:sz w:val="22"/>
          <w:szCs w:val="22"/>
        </w:rPr>
        <w:t>€</w:t>
      </w:r>
      <w:r w:rsidR="00C4701B" w:rsidRPr="005D1F50">
        <w:rPr>
          <w:rFonts w:ascii="Calibri" w:hAnsi="Calibri" w:cs="Calibri"/>
          <w:sz w:val="22"/>
          <w:szCs w:val="22"/>
        </w:rPr>
        <w:t>1</w:t>
      </w:r>
      <w:r w:rsidR="001B3731" w:rsidRPr="005D1F50">
        <w:rPr>
          <w:rFonts w:ascii="Calibri" w:hAnsi="Calibri" w:cs="Calibri"/>
          <w:sz w:val="22"/>
          <w:szCs w:val="22"/>
        </w:rPr>
        <w:t>75</w:t>
      </w:r>
      <w:r w:rsidRPr="005D1F50">
        <w:rPr>
          <w:rFonts w:ascii="Calibri" w:hAnsi="Calibri" w:cs="Calibri"/>
          <w:sz w:val="22"/>
          <w:szCs w:val="22"/>
        </w:rPr>
        <w:t>M) comprises</w:t>
      </w:r>
      <w:r w:rsidRPr="0081763F">
        <w:rPr>
          <w:rFonts w:ascii="Calibri" w:hAnsi="Calibri" w:cs="Calibri"/>
          <w:sz w:val="22"/>
          <w:szCs w:val="22"/>
        </w:rPr>
        <w:t xml:space="preserve"> a current tax </w:t>
      </w:r>
      <w:r w:rsidRPr="00BD72C8">
        <w:rPr>
          <w:rFonts w:ascii="Calibri" w:hAnsi="Calibri" w:cs="Calibri"/>
          <w:sz w:val="22"/>
          <w:szCs w:val="22"/>
        </w:rPr>
        <w:t>c</w:t>
      </w:r>
      <w:r w:rsidR="0003277F" w:rsidRPr="00BD72C8">
        <w:rPr>
          <w:rFonts w:ascii="Calibri" w:hAnsi="Calibri" w:cs="Calibri"/>
          <w:sz w:val="22"/>
          <w:szCs w:val="22"/>
        </w:rPr>
        <w:t>harge</w:t>
      </w:r>
      <w:r w:rsidRPr="00BD72C8">
        <w:rPr>
          <w:rFonts w:ascii="Calibri" w:hAnsi="Calibri" w:cs="Calibri"/>
          <w:sz w:val="22"/>
          <w:szCs w:val="22"/>
        </w:rPr>
        <w:t xml:space="preserve"> of €</w:t>
      </w:r>
      <w:r w:rsidR="00BD72C8" w:rsidRPr="00BD72C8">
        <w:rPr>
          <w:rFonts w:ascii="Calibri" w:hAnsi="Calibri" w:cs="Calibri"/>
          <w:sz w:val="22"/>
          <w:szCs w:val="22"/>
        </w:rPr>
        <w:t>28</w:t>
      </w:r>
      <w:r w:rsidR="0003277F" w:rsidRPr="00BD72C8">
        <w:rPr>
          <w:rFonts w:ascii="Calibri" w:hAnsi="Calibri" w:cs="Calibri"/>
          <w:sz w:val="22"/>
          <w:szCs w:val="22"/>
        </w:rPr>
        <w:t>M</w:t>
      </w:r>
      <w:r w:rsidRPr="00BD72C8">
        <w:rPr>
          <w:rFonts w:ascii="Calibri" w:hAnsi="Calibri" w:cs="Calibri"/>
          <w:sz w:val="22"/>
          <w:szCs w:val="22"/>
        </w:rPr>
        <w:t xml:space="preserve"> and a deferred tax c</w:t>
      </w:r>
      <w:r w:rsidR="0072627B" w:rsidRPr="00BD72C8">
        <w:rPr>
          <w:rFonts w:ascii="Calibri" w:hAnsi="Calibri" w:cs="Calibri"/>
          <w:sz w:val="22"/>
          <w:szCs w:val="22"/>
        </w:rPr>
        <w:t>harge</w:t>
      </w:r>
      <w:r w:rsidRPr="00BD72C8">
        <w:rPr>
          <w:rFonts w:ascii="Calibri" w:hAnsi="Calibri" w:cs="Calibri"/>
          <w:sz w:val="22"/>
          <w:szCs w:val="22"/>
        </w:rPr>
        <w:t xml:space="preserve"> of €</w:t>
      </w:r>
      <w:r w:rsidR="00BD72C8" w:rsidRPr="00BD72C8">
        <w:rPr>
          <w:rFonts w:ascii="Calibri" w:hAnsi="Calibri" w:cs="Calibri"/>
          <w:sz w:val="22"/>
          <w:szCs w:val="22"/>
        </w:rPr>
        <w:t>252</w:t>
      </w:r>
      <w:r w:rsidR="0003277F" w:rsidRPr="00BD72C8">
        <w:rPr>
          <w:rFonts w:ascii="Calibri" w:hAnsi="Calibri" w:cs="Calibri"/>
          <w:sz w:val="22"/>
          <w:szCs w:val="22"/>
        </w:rPr>
        <w:t>M</w:t>
      </w:r>
      <w:r w:rsidRPr="00BD72C8">
        <w:rPr>
          <w:rFonts w:ascii="Calibri" w:hAnsi="Calibri" w:cs="Calibri"/>
          <w:sz w:val="22"/>
          <w:szCs w:val="22"/>
        </w:rPr>
        <w:t xml:space="preserve"> primarily</w:t>
      </w:r>
      <w:r w:rsidRPr="0081763F">
        <w:rPr>
          <w:rFonts w:ascii="Calibri" w:hAnsi="Calibri" w:cs="Calibri"/>
          <w:sz w:val="22"/>
          <w:szCs w:val="22"/>
        </w:rPr>
        <w:t xml:space="preserve"> relating to the temporary differences for property, plant and equipment and net operating losses. No significant or unusual tax charges or credits arose during the period.  </w:t>
      </w:r>
      <w:bookmarkEnd w:id="18"/>
      <w:r w:rsidR="0081746D" w:rsidRPr="0081763F">
        <w:rPr>
          <w:rFonts w:ascii="Calibri" w:hAnsi="Calibri" w:cs="Calibri"/>
          <w:sz w:val="22"/>
          <w:szCs w:val="22"/>
        </w:rPr>
        <w:t xml:space="preserve">The effective tax </w:t>
      </w:r>
      <w:r w:rsidR="0081746D" w:rsidRPr="00FB1F4E">
        <w:rPr>
          <w:rFonts w:ascii="Calibri" w:hAnsi="Calibri" w:cs="Calibri"/>
          <w:sz w:val="22"/>
          <w:szCs w:val="22"/>
        </w:rPr>
        <w:t xml:space="preserve">rate of </w:t>
      </w:r>
      <w:r w:rsidR="00CB3D93" w:rsidRPr="00FB1F4E">
        <w:rPr>
          <w:rFonts w:ascii="Calibri" w:hAnsi="Calibri" w:cs="Calibri"/>
          <w:sz w:val="22"/>
          <w:szCs w:val="22"/>
        </w:rPr>
        <w:t>11</w:t>
      </w:r>
      <w:r w:rsidR="0081746D" w:rsidRPr="00FB1F4E">
        <w:rPr>
          <w:rFonts w:ascii="Calibri" w:hAnsi="Calibri" w:cs="Calibri"/>
          <w:sz w:val="22"/>
          <w:szCs w:val="22"/>
        </w:rPr>
        <w:t>% for the half</w:t>
      </w:r>
      <w:r w:rsidR="00BB5631" w:rsidRPr="00FB1F4E">
        <w:rPr>
          <w:rFonts w:ascii="Calibri" w:hAnsi="Calibri" w:cs="Calibri"/>
          <w:sz w:val="22"/>
          <w:szCs w:val="22"/>
        </w:rPr>
        <w:t>-</w:t>
      </w:r>
      <w:r w:rsidR="0081746D" w:rsidRPr="00FB1F4E">
        <w:rPr>
          <w:rFonts w:ascii="Calibri" w:hAnsi="Calibri" w:cs="Calibri"/>
          <w:sz w:val="22"/>
          <w:szCs w:val="22"/>
        </w:rPr>
        <w:t>year (</w:t>
      </w:r>
      <w:r w:rsidR="0081746D" w:rsidRPr="0081763F">
        <w:rPr>
          <w:rFonts w:ascii="Calibri" w:hAnsi="Calibri" w:cs="Calibri"/>
          <w:sz w:val="22"/>
          <w:szCs w:val="22"/>
        </w:rPr>
        <w:t>September 30, 202</w:t>
      </w:r>
      <w:r w:rsidR="00C4701B" w:rsidRPr="0081763F">
        <w:rPr>
          <w:rFonts w:ascii="Calibri" w:hAnsi="Calibri" w:cs="Calibri"/>
          <w:sz w:val="22"/>
          <w:szCs w:val="22"/>
        </w:rPr>
        <w:t>2</w:t>
      </w:r>
      <w:r w:rsidR="0081746D" w:rsidRPr="0081763F">
        <w:rPr>
          <w:rFonts w:ascii="Calibri" w:hAnsi="Calibri" w:cs="Calibri"/>
          <w:sz w:val="22"/>
          <w:szCs w:val="22"/>
        </w:rPr>
        <w:t xml:space="preserve">: </w:t>
      </w:r>
      <w:r w:rsidR="00C4701B" w:rsidRPr="0081763F">
        <w:rPr>
          <w:rFonts w:ascii="Calibri" w:hAnsi="Calibri" w:cs="Calibri"/>
          <w:sz w:val="22"/>
          <w:szCs w:val="22"/>
        </w:rPr>
        <w:t>11</w:t>
      </w:r>
      <w:r w:rsidR="0081746D" w:rsidRPr="0081763F">
        <w:rPr>
          <w:rFonts w:ascii="Calibri" w:hAnsi="Calibri" w:cs="Calibri"/>
          <w:sz w:val="22"/>
          <w:szCs w:val="22"/>
        </w:rPr>
        <w:t xml:space="preserve">%) is the result of the mix of profits and losses incurred by Ryanair’s operating subsidiaries primarily in Ireland, Malta, </w:t>
      </w:r>
      <w:proofErr w:type="gramStart"/>
      <w:r w:rsidR="0081746D" w:rsidRPr="0081763F">
        <w:rPr>
          <w:rFonts w:ascii="Calibri" w:hAnsi="Calibri" w:cs="Calibri"/>
          <w:sz w:val="22"/>
          <w:szCs w:val="22"/>
        </w:rPr>
        <w:t>Poland</w:t>
      </w:r>
      <w:proofErr w:type="gramEnd"/>
      <w:r w:rsidR="0081746D" w:rsidRPr="0081763F">
        <w:rPr>
          <w:rFonts w:ascii="Calibri" w:hAnsi="Calibri" w:cs="Calibri"/>
          <w:sz w:val="22"/>
          <w:szCs w:val="22"/>
        </w:rPr>
        <w:t xml:space="preserve"> and the U</w:t>
      </w:r>
      <w:r w:rsidR="00BB5631" w:rsidRPr="0081763F">
        <w:rPr>
          <w:rFonts w:ascii="Calibri" w:hAnsi="Calibri" w:cs="Calibri"/>
          <w:sz w:val="22"/>
          <w:szCs w:val="22"/>
        </w:rPr>
        <w:t>.</w:t>
      </w:r>
      <w:r w:rsidR="0081746D" w:rsidRPr="0081763F">
        <w:rPr>
          <w:rFonts w:ascii="Calibri" w:hAnsi="Calibri" w:cs="Calibri"/>
          <w:sz w:val="22"/>
          <w:szCs w:val="22"/>
        </w:rPr>
        <w:t>K.</w:t>
      </w:r>
      <w:bookmarkEnd w:id="19"/>
    </w:p>
    <w:p w14:paraId="4BD2D602" w14:textId="77777777" w:rsidR="008173A8" w:rsidRPr="0081763F" w:rsidRDefault="008173A8" w:rsidP="009C5CA5">
      <w:pPr>
        <w:keepNext/>
        <w:tabs>
          <w:tab w:val="num" w:pos="0"/>
        </w:tabs>
        <w:ind w:right="-143"/>
        <w:jc w:val="both"/>
        <w:rPr>
          <w:rFonts w:ascii="Calibri" w:hAnsi="Calibri" w:cs="Calibri"/>
          <w:sz w:val="22"/>
          <w:szCs w:val="22"/>
        </w:rPr>
      </w:pPr>
    </w:p>
    <w:p w14:paraId="7268E756" w14:textId="77777777" w:rsidR="0003476E" w:rsidRPr="0081763F" w:rsidRDefault="00615446" w:rsidP="009C5CA5">
      <w:pPr>
        <w:pStyle w:val="Outline3L1"/>
        <w:numPr>
          <w:ilvl w:val="0"/>
          <w:numId w:val="7"/>
        </w:numPr>
        <w:tabs>
          <w:tab w:val="num" w:pos="0"/>
          <w:tab w:val="num" w:pos="1855"/>
        </w:tabs>
        <w:spacing w:after="0"/>
        <w:ind w:right="-143"/>
        <w:jc w:val="both"/>
        <w:rPr>
          <w:rFonts w:ascii="Calibri" w:hAnsi="Calibri" w:cs="Calibri"/>
          <w:b/>
          <w:bCs/>
          <w:sz w:val="22"/>
          <w:szCs w:val="22"/>
        </w:rPr>
      </w:pPr>
      <w:r w:rsidRPr="0081763F">
        <w:rPr>
          <w:rFonts w:ascii="Calibri" w:hAnsi="Calibri" w:cs="Calibri"/>
          <w:b/>
          <w:bCs/>
          <w:sz w:val="22"/>
          <w:szCs w:val="22"/>
        </w:rPr>
        <w:t>C</w:t>
      </w:r>
      <w:r w:rsidR="00097571" w:rsidRPr="0081763F">
        <w:rPr>
          <w:rFonts w:ascii="Calibri" w:hAnsi="Calibri" w:cs="Calibri"/>
          <w:b/>
          <w:bCs/>
          <w:sz w:val="22"/>
          <w:szCs w:val="22"/>
        </w:rPr>
        <w:t>ontingencies</w:t>
      </w:r>
    </w:p>
    <w:p w14:paraId="3D7FBB90" w14:textId="77777777" w:rsidR="00984744" w:rsidRPr="0081763F" w:rsidRDefault="00984744" w:rsidP="009C5CA5">
      <w:pPr>
        <w:tabs>
          <w:tab w:val="num" w:pos="0"/>
        </w:tabs>
        <w:ind w:right="-143"/>
        <w:jc w:val="both"/>
        <w:rPr>
          <w:rFonts w:ascii="Calibri" w:hAnsi="Calibri" w:cs="Calibri"/>
          <w:sz w:val="22"/>
          <w:szCs w:val="22"/>
        </w:rPr>
      </w:pPr>
    </w:p>
    <w:p w14:paraId="684B5DC0" w14:textId="77777777" w:rsidR="00717D05" w:rsidRPr="0081763F" w:rsidRDefault="00717D05" w:rsidP="009C5CA5">
      <w:pPr>
        <w:tabs>
          <w:tab w:val="num" w:pos="0"/>
        </w:tabs>
        <w:ind w:right="-143"/>
        <w:jc w:val="both"/>
        <w:rPr>
          <w:rFonts w:ascii="Calibri" w:hAnsi="Calibri" w:cs="Calibri"/>
          <w:sz w:val="22"/>
          <w:szCs w:val="22"/>
        </w:rPr>
      </w:pPr>
      <w:r w:rsidRPr="0081763F">
        <w:rPr>
          <w:rFonts w:ascii="Calibri" w:hAnsi="Calibri" w:cs="Calibri"/>
          <w:sz w:val="22"/>
          <w:szCs w:val="22"/>
        </w:rPr>
        <w:t xml:space="preserve">The Group is engaged in litigation arising in the ordinary course of its business.  The Group does not believe that any such litigation will individually, or in aggregate, have a material adverse effect on the financial condition of the Group. Should the Group be unsuccessful in these litigation actions, management believes the possible liabilities then arising cannot be determined but are not expected to </w:t>
      </w:r>
      <w:proofErr w:type="gramStart"/>
      <w:r w:rsidRPr="0081763F">
        <w:rPr>
          <w:rFonts w:ascii="Calibri" w:hAnsi="Calibri" w:cs="Calibri"/>
          <w:sz w:val="22"/>
          <w:szCs w:val="22"/>
        </w:rPr>
        <w:t>materially adversely affect the Group’s results of operations or financial position</w:t>
      </w:r>
      <w:proofErr w:type="gramEnd"/>
      <w:r w:rsidRPr="0081763F">
        <w:rPr>
          <w:rFonts w:ascii="Calibri" w:hAnsi="Calibri" w:cs="Calibri"/>
          <w:sz w:val="22"/>
          <w:szCs w:val="22"/>
        </w:rPr>
        <w:t>.</w:t>
      </w:r>
    </w:p>
    <w:p w14:paraId="2E5871CE" w14:textId="77777777" w:rsidR="009E2D21" w:rsidRPr="0081763F" w:rsidRDefault="009E2D21" w:rsidP="009C5CA5">
      <w:pPr>
        <w:tabs>
          <w:tab w:val="num" w:pos="0"/>
        </w:tabs>
        <w:ind w:right="-143"/>
        <w:jc w:val="both"/>
        <w:rPr>
          <w:rFonts w:ascii="Calibri" w:hAnsi="Calibri" w:cs="Calibri"/>
          <w:sz w:val="22"/>
          <w:szCs w:val="22"/>
        </w:rPr>
      </w:pPr>
    </w:p>
    <w:p w14:paraId="1212CAA0" w14:textId="77777777" w:rsidR="00097571" w:rsidRPr="0081763F" w:rsidRDefault="00097571" w:rsidP="009C5CA5">
      <w:pPr>
        <w:pStyle w:val="Outline3L1"/>
        <w:numPr>
          <w:ilvl w:val="0"/>
          <w:numId w:val="7"/>
        </w:numPr>
        <w:tabs>
          <w:tab w:val="num" w:pos="1855"/>
        </w:tabs>
        <w:spacing w:after="0"/>
        <w:ind w:right="-143"/>
        <w:jc w:val="both"/>
        <w:rPr>
          <w:rFonts w:ascii="Calibri" w:hAnsi="Calibri" w:cs="Calibri"/>
          <w:b/>
          <w:bCs/>
          <w:sz w:val="22"/>
          <w:szCs w:val="22"/>
        </w:rPr>
      </w:pPr>
      <w:r w:rsidRPr="0081763F">
        <w:rPr>
          <w:rFonts w:ascii="Calibri" w:hAnsi="Calibri" w:cs="Calibri"/>
          <w:b/>
          <w:bCs/>
          <w:sz w:val="22"/>
          <w:szCs w:val="22"/>
        </w:rPr>
        <w:t>Capital commitments</w:t>
      </w:r>
    </w:p>
    <w:p w14:paraId="75F406FB" w14:textId="77777777" w:rsidR="00984744" w:rsidRPr="0081763F" w:rsidRDefault="00984744" w:rsidP="009C5CA5">
      <w:pPr>
        <w:pStyle w:val="Outline3L1"/>
        <w:numPr>
          <w:ilvl w:val="0"/>
          <w:numId w:val="0"/>
        </w:numPr>
        <w:tabs>
          <w:tab w:val="num" w:pos="0"/>
        </w:tabs>
        <w:spacing w:after="0"/>
        <w:ind w:right="-143"/>
        <w:jc w:val="both"/>
        <w:rPr>
          <w:rFonts w:ascii="Calibri" w:hAnsi="Calibri" w:cs="Calibri"/>
          <w:sz w:val="22"/>
          <w:szCs w:val="22"/>
        </w:rPr>
      </w:pPr>
    </w:p>
    <w:p w14:paraId="2DBCC77E" w14:textId="77777777" w:rsidR="00512285" w:rsidRDefault="00097571" w:rsidP="00512285">
      <w:pPr>
        <w:pStyle w:val="Outline3L1"/>
        <w:numPr>
          <w:ilvl w:val="0"/>
          <w:numId w:val="0"/>
        </w:numPr>
        <w:tabs>
          <w:tab w:val="num" w:pos="0"/>
        </w:tabs>
        <w:spacing w:after="0"/>
        <w:ind w:right="-143"/>
        <w:jc w:val="both"/>
        <w:rPr>
          <w:rFonts w:ascii="Calibri" w:hAnsi="Calibri" w:cs="Calibri"/>
          <w:sz w:val="22"/>
          <w:szCs w:val="22"/>
          <w:lang w:val="en-IE"/>
        </w:rPr>
      </w:pPr>
      <w:proofErr w:type="gramStart"/>
      <w:r w:rsidRPr="0081763F">
        <w:rPr>
          <w:rFonts w:ascii="Calibri" w:hAnsi="Calibri" w:cs="Calibri"/>
          <w:sz w:val="22"/>
          <w:szCs w:val="22"/>
        </w:rPr>
        <w:t>At</w:t>
      </w:r>
      <w:proofErr w:type="gramEnd"/>
      <w:r w:rsidRPr="0081763F">
        <w:rPr>
          <w:rFonts w:ascii="Calibri" w:hAnsi="Calibri" w:cs="Calibri"/>
          <w:sz w:val="22"/>
          <w:szCs w:val="22"/>
        </w:rPr>
        <w:t xml:space="preserve"> </w:t>
      </w:r>
      <w:r w:rsidR="00082F73" w:rsidRPr="0081763F">
        <w:rPr>
          <w:rFonts w:ascii="Calibri" w:hAnsi="Calibri" w:cs="Calibri"/>
          <w:sz w:val="22"/>
          <w:szCs w:val="22"/>
        </w:rPr>
        <w:t>September</w:t>
      </w:r>
      <w:r w:rsidRPr="0081763F">
        <w:rPr>
          <w:rFonts w:ascii="Calibri" w:hAnsi="Calibri" w:cs="Calibri"/>
          <w:sz w:val="22"/>
          <w:szCs w:val="22"/>
        </w:rPr>
        <w:t xml:space="preserve"> 30, 202</w:t>
      </w:r>
      <w:r w:rsidR="00C4701B" w:rsidRPr="0081763F">
        <w:rPr>
          <w:rFonts w:ascii="Calibri" w:hAnsi="Calibri" w:cs="Calibri"/>
          <w:sz w:val="22"/>
          <w:szCs w:val="22"/>
        </w:rPr>
        <w:t>3</w:t>
      </w:r>
      <w:r w:rsidRPr="0081763F">
        <w:rPr>
          <w:rFonts w:ascii="Calibri" w:hAnsi="Calibri" w:cs="Calibri"/>
          <w:sz w:val="22"/>
          <w:szCs w:val="22"/>
        </w:rPr>
        <w:t xml:space="preserve"> the Group had an operating fleet of </w:t>
      </w:r>
      <w:r w:rsidR="00552F10" w:rsidRPr="0081763F">
        <w:rPr>
          <w:rFonts w:ascii="Calibri" w:hAnsi="Calibri" w:cs="Calibri"/>
          <w:sz w:val="22"/>
          <w:szCs w:val="22"/>
        </w:rPr>
        <w:t>535</w:t>
      </w:r>
      <w:r w:rsidRPr="0081763F">
        <w:rPr>
          <w:rFonts w:ascii="Calibri" w:hAnsi="Calibri" w:cs="Calibri"/>
          <w:sz w:val="22"/>
          <w:szCs w:val="22"/>
        </w:rPr>
        <w:t xml:space="preserve"> (20</w:t>
      </w:r>
      <w:r w:rsidR="005F1275" w:rsidRPr="0081763F">
        <w:rPr>
          <w:rFonts w:ascii="Calibri" w:hAnsi="Calibri" w:cs="Calibri"/>
          <w:sz w:val="22"/>
          <w:szCs w:val="22"/>
        </w:rPr>
        <w:t>2</w:t>
      </w:r>
      <w:r w:rsidR="00C4701B" w:rsidRPr="0081763F">
        <w:rPr>
          <w:rFonts w:ascii="Calibri" w:hAnsi="Calibri" w:cs="Calibri"/>
          <w:sz w:val="22"/>
          <w:szCs w:val="22"/>
        </w:rPr>
        <w:t>2</w:t>
      </w:r>
      <w:r w:rsidRPr="0081763F">
        <w:rPr>
          <w:rFonts w:ascii="Calibri" w:hAnsi="Calibri" w:cs="Calibri"/>
          <w:sz w:val="22"/>
          <w:szCs w:val="22"/>
        </w:rPr>
        <w:t xml:space="preserve">: </w:t>
      </w:r>
      <w:r w:rsidR="00C4701B" w:rsidRPr="0081763F">
        <w:rPr>
          <w:rFonts w:ascii="Calibri" w:hAnsi="Calibri" w:cs="Calibri"/>
          <w:sz w:val="22"/>
          <w:szCs w:val="22"/>
        </w:rPr>
        <w:t>486</w:t>
      </w:r>
      <w:r w:rsidRPr="0081763F">
        <w:rPr>
          <w:rFonts w:ascii="Calibri" w:hAnsi="Calibri" w:cs="Calibri"/>
          <w:sz w:val="22"/>
          <w:szCs w:val="22"/>
        </w:rPr>
        <w:t xml:space="preserve">) Boeing 737 and </w:t>
      </w:r>
      <w:r w:rsidR="00552F10" w:rsidRPr="0081763F">
        <w:rPr>
          <w:rFonts w:ascii="Calibri" w:hAnsi="Calibri" w:cs="Calibri"/>
          <w:sz w:val="22"/>
          <w:szCs w:val="22"/>
        </w:rPr>
        <w:t>28</w:t>
      </w:r>
      <w:r w:rsidRPr="0081763F">
        <w:rPr>
          <w:rFonts w:ascii="Calibri" w:hAnsi="Calibri" w:cs="Calibri"/>
          <w:sz w:val="22"/>
          <w:szCs w:val="22"/>
        </w:rPr>
        <w:t xml:space="preserve"> (20</w:t>
      </w:r>
      <w:r w:rsidR="005F1275" w:rsidRPr="0081763F">
        <w:rPr>
          <w:rFonts w:ascii="Calibri" w:hAnsi="Calibri" w:cs="Calibri"/>
          <w:sz w:val="22"/>
          <w:szCs w:val="22"/>
        </w:rPr>
        <w:t>2</w:t>
      </w:r>
      <w:r w:rsidR="00C4701B" w:rsidRPr="0081763F">
        <w:rPr>
          <w:rFonts w:ascii="Calibri" w:hAnsi="Calibri" w:cs="Calibri"/>
          <w:sz w:val="22"/>
          <w:szCs w:val="22"/>
        </w:rPr>
        <w:t>2</w:t>
      </w:r>
      <w:r w:rsidRPr="0081763F">
        <w:rPr>
          <w:rFonts w:ascii="Calibri" w:hAnsi="Calibri" w:cs="Calibri"/>
          <w:sz w:val="22"/>
          <w:szCs w:val="22"/>
        </w:rPr>
        <w:t xml:space="preserve">: </w:t>
      </w:r>
      <w:r w:rsidR="00391F59" w:rsidRPr="0081763F">
        <w:rPr>
          <w:rFonts w:ascii="Calibri" w:hAnsi="Calibri" w:cs="Calibri"/>
          <w:sz w:val="22"/>
          <w:szCs w:val="22"/>
        </w:rPr>
        <w:t>2</w:t>
      </w:r>
      <w:r w:rsidR="008519CB" w:rsidRPr="0081763F">
        <w:rPr>
          <w:rFonts w:ascii="Calibri" w:hAnsi="Calibri" w:cs="Calibri"/>
          <w:sz w:val="22"/>
          <w:szCs w:val="22"/>
        </w:rPr>
        <w:t>9</w:t>
      </w:r>
      <w:r w:rsidRPr="0081763F">
        <w:rPr>
          <w:rFonts w:ascii="Calibri" w:hAnsi="Calibri" w:cs="Calibri"/>
          <w:sz w:val="22"/>
          <w:szCs w:val="22"/>
        </w:rPr>
        <w:t xml:space="preserve">) Airbus A320 aircraft. </w:t>
      </w:r>
      <w:r w:rsidR="00B83E52" w:rsidRPr="0081763F">
        <w:rPr>
          <w:rFonts w:ascii="Calibri" w:hAnsi="Calibri" w:cs="Calibri"/>
          <w:sz w:val="22"/>
          <w:szCs w:val="22"/>
          <w:lang w:val="en-IE"/>
        </w:rPr>
        <w:t>In September 2014, the Group agreed to purchase up to 200 (100 firm and 100 options) Boeing 737-8200 aircraft</w:t>
      </w:r>
      <w:r w:rsidR="00552F10" w:rsidRPr="0081763F">
        <w:rPr>
          <w:rFonts w:ascii="Calibri" w:hAnsi="Calibri" w:cs="Calibri"/>
          <w:sz w:val="22"/>
          <w:szCs w:val="22"/>
          <w:lang w:val="en-IE"/>
        </w:rPr>
        <w:t xml:space="preserve"> which was subsequently increased to 210 (135 firm and 75 options). In December 2020, the Group increased its firm orders from 135 to 210 Boeing 737-8200 aircraft</w:t>
      </w:r>
      <w:r w:rsidR="00F3553F" w:rsidRPr="0081763F">
        <w:rPr>
          <w:rFonts w:ascii="Calibri" w:hAnsi="Calibri" w:cs="Calibri"/>
          <w:sz w:val="22"/>
          <w:szCs w:val="22"/>
          <w:lang w:val="en-IE"/>
        </w:rPr>
        <w:t xml:space="preserve">. </w:t>
      </w:r>
      <w:proofErr w:type="gramStart"/>
      <w:r w:rsidR="00F3553F" w:rsidRPr="0081763F">
        <w:rPr>
          <w:rFonts w:ascii="Calibri" w:hAnsi="Calibri" w:cs="Calibri"/>
          <w:sz w:val="22"/>
          <w:szCs w:val="22"/>
          <w:lang w:val="en-IE"/>
        </w:rPr>
        <w:t>At</w:t>
      </w:r>
      <w:proofErr w:type="gramEnd"/>
      <w:r w:rsidR="00F3553F" w:rsidRPr="0081763F">
        <w:rPr>
          <w:rFonts w:ascii="Calibri" w:hAnsi="Calibri" w:cs="Calibri"/>
          <w:sz w:val="22"/>
          <w:szCs w:val="22"/>
          <w:lang w:val="en-IE"/>
        </w:rPr>
        <w:t xml:space="preserve"> </w:t>
      </w:r>
      <w:r w:rsidR="006F7432" w:rsidRPr="0081763F">
        <w:rPr>
          <w:rFonts w:ascii="Calibri" w:hAnsi="Calibri" w:cs="Calibri"/>
          <w:sz w:val="22"/>
          <w:szCs w:val="22"/>
          <w:lang w:val="en-IE"/>
        </w:rPr>
        <w:t>September</w:t>
      </w:r>
      <w:r w:rsidR="00F3553F" w:rsidRPr="0081763F">
        <w:rPr>
          <w:rFonts w:ascii="Calibri" w:hAnsi="Calibri" w:cs="Calibri"/>
          <w:sz w:val="22"/>
          <w:szCs w:val="22"/>
          <w:lang w:val="en-IE"/>
        </w:rPr>
        <w:t xml:space="preserve"> 30, 2023, the Group had taken delivery of </w:t>
      </w:r>
      <w:r w:rsidR="00552F10" w:rsidRPr="0081763F">
        <w:rPr>
          <w:rFonts w:ascii="Calibri" w:hAnsi="Calibri" w:cs="Calibri"/>
          <w:sz w:val="22"/>
          <w:szCs w:val="22"/>
          <w:lang w:val="en-IE"/>
        </w:rPr>
        <w:t>12</w:t>
      </w:r>
      <w:r w:rsidR="00E94A24">
        <w:rPr>
          <w:rFonts w:ascii="Calibri" w:hAnsi="Calibri" w:cs="Calibri"/>
          <w:sz w:val="22"/>
          <w:szCs w:val="22"/>
          <w:lang w:val="en-IE"/>
        </w:rPr>
        <w:t>4</w:t>
      </w:r>
      <w:r w:rsidR="00F3553F" w:rsidRPr="0081763F">
        <w:rPr>
          <w:rFonts w:ascii="Calibri" w:hAnsi="Calibri" w:cs="Calibri"/>
          <w:sz w:val="22"/>
          <w:szCs w:val="22"/>
          <w:lang w:val="en-IE"/>
        </w:rPr>
        <w:t xml:space="preserve"> of these aircraft. The remaining aircraft are due to be delivered before the end of FY25. In May 2023, the Group ordered 300 (150 firm and 150 options) new Boeing 737-MAX-10 aircraft for delivery between 2027 to 2033</w:t>
      </w:r>
      <w:r w:rsidR="006131F7">
        <w:rPr>
          <w:rFonts w:ascii="Calibri" w:hAnsi="Calibri" w:cs="Calibri"/>
          <w:sz w:val="22"/>
          <w:szCs w:val="22"/>
          <w:lang w:val="en-IE"/>
        </w:rPr>
        <w:t xml:space="preserve">. This transaction </w:t>
      </w:r>
      <w:r w:rsidR="00370D1D" w:rsidRPr="0081763F">
        <w:rPr>
          <w:rFonts w:ascii="Calibri" w:hAnsi="Calibri" w:cs="Calibri"/>
          <w:sz w:val="22"/>
          <w:szCs w:val="22"/>
          <w:lang w:val="en-IE"/>
        </w:rPr>
        <w:t xml:space="preserve">was approved at the </w:t>
      </w:r>
      <w:r w:rsidR="006131F7">
        <w:rPr>
          <w:rFonts w:ascii="Calibri" w:hAnsi="Calibri" w:cs="Calibri"/>
          <w:sz w:val="22"/>
          <w:szCs w:val="22"/>
          <w:lang w:val="en-IE"/>
        </w:rPr>
        <w:t xml:space="preserve">Company’s </w:t>
      </w:r>
      <w:r w:rsidR="00370D1D" w:rsidRPr="0081763F">
        <w:rPr>
          <w:rFonts w:ascii="Calibri" w:hAnsi="Calibri" w:cs="Calibri"/>
          <w:sz w:val="22"/>
          <w:szCs w:val="22"/>
          <w:lang w:val="en-IE"/>
        </w:rPr>
        <w:t>AGM on September 14, 2023</w:t>
      </w:r>
      <w:r w:rsidR="006F7432" w:rsidRPr="0081763F">
        <w:rPr>
          <w:rFonts w:ascii="Calibri" w:hAnsi="Calibri" w:cs="Calibri"/>
          <w:sz w:val="22"/>
          <w:szCs w:val="22"/>
          <w:lang w:val="en-IE"/>
        </w:rPr>
        <w:t>.</w:t>
      </w:r>
    </w:p>
    <w:p w14:paraId="3E3DED70" w14:textId="77777777" w:rsidR="00512285" w:rsidRDefault="00512285" w:rsidP="00512285">
      <w:pPr>
        <w:pStyle w:val="Outline3L1"/>
        <w:numPr>
          <w:ilvl w:val="0"/>
          <w:numId w:val="0"/>
        </w:numPr>
        <w:tabs>
          <w:tab w:val="num" w:pos="0"/>
        </w:tabs>
        <w:spacing w:after="0"/>
        <w:ind w:right="-143"/>
        <w:jc w:val="both"/>
        <w:rPr>
          <w:rFonts w:ascii="Calibri" w:hAnsi="Calibri" w:cs="Calibri"/>
          <w:sz w:val="22"/>
          <w:szCs w:val="22"/>
          <w:lang w:val="en-IE"/>
        </w:rPr>
      </w:pPr>
    </w:p>
    <w:p w14:paraId="68CAB229" w14:textId="77777777" w:rsidR="00097571" w:rsidRPr="00512285" w:rsidRDefault="00097571" w:rsidP="00512285">
      <w:pPr>
        <w:pStyle w:val="Outline3L1"/>
        <w:numPr>
          <w:ilvl w:val="0"/>
          <w:numId w:val="7"/>
        </w:numPr>
        <w:tabs>
          <w:tab w:val="num" w:pos="0"/>
        </w:tabs>
        <w:spacing w:after="0"/>
        <w:ind w:right="-143"/>
        <w:jc w:val="both"/>
        <w:rPr>
          <w:rFonts w:ascii="Calibri" w:hAnsi="Calibri" w:cs="Calibri"/>
          <w:b/>
          <w:sz w:val="22"/>
          <w:szCs w:val="22"/>
        </w:rPr>
      </w:pPr>
      <w:r w:rsidRPr="00512285">
        <w:rPr>
          <w:rFonts w:ascii="Calibri" w:hAnsi="Calibri" w:cs="Calibri"/>
          <w:b/>
          <w:sz w:val="22"/>
          <w:szCs w:val="22"/>
        </w:rPr>
        <w:t xml:space="preserve">Analysis of operating </w:t>
      </w:r>
      <w:r w:rsidR="00D64888" w:rsidRPr="00512285">
        <w:rPr>
          <w:rFonts w:ascii="Calibri" w:hAnsi="Calibri" w:cs="Calibri"/>
          <w:b/>
          <w:sz w:val="22"/>
          <w:szCs w:val="22"/>
        </w:rPr>
        <w:t xml:space="preserve">revenues and </w:t>
      </w:r>
      <w:r w:rsidRPr="00512285">
        <w:rPr>
          <w:rFonts w:ascii="Calibri" w:hAnsi="Calibri" w:cs="Calibri"/>
          <w:b/>
          <w:sz w:val="22"/>
          <w:szCs w:val="22"/>
        </w:rPr>
        <w:t>segment</w:t>
      </w:r>
      <w:r w:rsidR="00D64888" w:rsidRPr="00512285">
        <w:rPr>
          <w:rFonts w:ascii="Calibri" w:hAnsi="Calibri" w:cs="Calibri"/>
          <w:b/>
          <w:sz w:val="22"/>
          <w:szCs w:val="22"/>
        </w:rPr>
        <w:t>al analysis</w:t>
      </w:r>
    </w:p>
    <w:p w14:paraId="4321ABE1" w14:textId="77777777" w:rsidR="00984744" w:rsidRPr="0081763F" w:rsidRDefault="00984744" w:rsidP="009C5CA5">
      <w:pPr>
        <w:pStyle w:val="Outline3L1"/>
        <w:numPr>
          <w:ilvl w:val="0"/>
          <w:numId w:val="0"/>
        </w:numPr>
        <w:tabs>
          <w:tab w:val="num" w:pos="0"/>
        </w:tabs>
        <w:spacing w:after="0"/>
        <w:ind w:right="-143"/>
        <w:jc w:val="both"/>
        <w:rPr>
          <w:rFonts w:ascii="Calibri" w:hAnsi="Calibri" w:cs="Calibri"/>
          <w:sz w:val="22"/>
          <w:szCs w:val="22"/>
        </w:rPr>
      </w:pPr>
    </w:p>
    <w:p w14:paraId="7DCBC089" w14:textId="77777777" w:rsidR="00D00A73" w:rsidRPr="0081763F" w:rsidRDefault="00F3553F" w:rsidP="00D00A73">
      <w:pPr>
        <w:ind w:right="-143"/>
        <w:jc w:val="both"/>
        <w:rPr>
          <w:rFonts w:ascii="Calibri" w:hAnsi="Calibri" w:cs="Calibri"/>
          <w:sz w:val="22"/>
          <w:szCs w:val="22"/>
          <w:lang w:val="en-US"/>
        </w:rPr>
      </w:pPr>
      <w:r w:rsidRPr="0081763F">
        <w:rPr>
          <w:rFonts w:ascii="Calibri" w:hAnsi="Calibri" w:cs="Calibri"/>
          <w:sz w:val="22"/>
          <w:szCs w:val="22"/>
          <w:lang w:val="en-US"/>
        </w:rPr>
        <w:t>The Group determines and presents operating segments based on the information that internally is provided to the Group CEO, who is the Company’s Chief Operating Decision Maker (CODM).</w:t>
      </w:r>
    </w:p>
    <w:p w14:paraId="0CA633E5" w14:textId="77777777" w:rsidR="00D00A73" w:rsidRDefault="00D00A73" w:rsidP="00D00A73">
      <w:pPr>
        <w:ind w:right="-143"/>
        <w:jc w:val="both"/>
        <w:rPr>
          <w:rFonts w:ascii="Calibri" w:hAnsi="Calibri" w:cs="Calibri"/>
          <w:sz w:val="22"/>
          <w:szCs w:val="22"/>
          <w:highlight w:val="green"/>
          <w:lang w:val="en-US"/>
        </w:rPr>
      </w:pPr>
    </w:p>
    <w:p w14:paraId="5F218FDD" w14:textId="77777777" w:rsidR="00F3553F" w:rsidRPr="0081763F" w:rsidRDefault="00F3553F" w:rsidP="00D00A73">
      <w:pPr>
        <w:ind w:right="-143"/>
        <w:jc w:val="both"/>
        <w:rPr>
          <w:rFonts w:ascii="Calibri" w:hAnsi="Calibri" w:cs="Calibri"/>
          <w:sz w:val="22"/>
          <w:szCs w:val="22"/>
          <w:lang w:val="en-US"/>
        </w:rPr>
      </w:pPr>
      <w:r w:rsidRPr="0081763F">
        <w:rPr>
          <w:rFonts w:ascii="Calibri" w:hAnsi="Calibri" w:cs="Calibri"/>
          <w:sz w:val="22"/>
          <w:szCs w:val="22"/>
          <w:lang w:val="en-US"/>
        </w:rPr>
        <w:t xml:space="preserve">The Group comprises five separate airlines, Buzz, Lauda Europe (Lauda), Malta Air, Ryanair </w:t>
      </w:r>
      <w:proofErr w:type="gramStart"/>
      <w:r w:rsidRPr="0081763F">
        <w:rPr>
          <w:rFonts w:ascii="Calibri" w:hAnsi="Calibri" w:cs="Calibri"/>
          <w:sz w:val="22"/>
          <w:szCs w:val="22"/>
          <w:lang w:val="en-US"/>
        </w:rPr>
        <w:t>DAC</w:t>
      </w:r>
      <w:proofErr w:type="gramEnd"/>
      <w:r w:rsidRPr="0081763F">
        <w:rPr>
          <w:rFonts w:ascii="Calibri" w:hAnsi="Calibri" w:cs="Calibri"/>
          <w:sz w:val="22"/>
          <w:szCs w:val="22"/>
          <w:lang w:val="en-US"/>
        </w:rPr>
        <w:t xml:space="preserve"> and Ryanair UK (which is currently consolidated within Ryanair DAC). Ryanair DAC is reported as a separate segment as it exceeds the applicable quantitative thresholds for reporting purposes. Buzz, </w:t>
      </w:r>
      <w:proofErr w:type="gramStart"/>
      <w:r w:rsidRPr="0081763F">
        <w:rPr>
          <w:rFonts w:ascii="Calibri" w:hAnsi="Calibri" w:cs="Calibri"/>
          <w:sz w:val="22"/>
          <w:szCs w:val="22"/>
          <w:lang w:val="en-US"/>
        </w:rPr>
        <w:t>Malta</w:t>
      </w:r>
      <w:proofErr w:type="gramEnd"/>
      <w:r w:rsidRPr="0081763F">
        <w:rPr>
          <w:rFonts w:ascii="Calibri" w:hAnsi="Calibri" w:cs="Calibri"/>
          <w:sz w:val="22"/>
          <w:szCs w:val="22"/>
          <w:lang w:val="en-US"/>
        </w:rPr>
        <w:t xml:space="preserve"> and Lauda do not individually exceed the </w:t>
      </w:r>
      <w:r w:rsidRPr="0081763F">
        <w:rPr>
          <w:rFonts w:ascii="Calibri" w:hAnsi="Calibri" w:cs="Calibri"/>
          <w:sz w:val="22"/>
          <w:szCs w:val="22"/>
          <w:lang w:val="en-US"/>
        </w:rPr>
        <w:lastRenderedPageBreak/>
        <w:t>quantitative thresholds and accordingly are presented on an aggregate basis as they exhibit similar economic characteristics and their services, activities and operations are sufficiently similar in nature. The results of these operations are included as ‘Other Airlines.’</w:t>
      </w:r>
    </w:p>
    <w:p w14:paraId="2598E98D" w14:textId="77777777" w:rsidR="00F3553F" w:rsidRPr="0081763F" w:rsidRDefault="00F3553F" w:rsidP="00F3553F">
      <w:pPr>
        <w:ind w:right="-143"/>
        <w:jc w:val="both"/>
        <w:rPr>
          <w:rFonts w:ascii="Calibri" w:hAnsi="Calibri" w:cs="Calibri"/>
          <w:sz w:val="22"/>
          <w:szCs w:val="22"/>
          <w:lang w:val="en-US"/>
        </w:rPr>
      </w:pPr>
    </w:p>
    <w:p w14:paraId="76449F02" w14:textId="77777777" w:rsidR="00136DF6" w:rsidRDefault="00F3553F" w:rsidP="00F3553F">
      <w:pPr>
        <w:ind w:right="-143"/>
        <w:jc w:val="both"/>
        <w:rPr>
          <w:rFonts w:ascii="Calibri" w:hAnsi="Calibri" w:cs="Calibri"/>
          <w:b/>
          <w:bCs/>
          <w:color w:val="000000"/>
          <w:sz w:val="22"/>
          <w:szCs w:val="22"/>
        </w:rPr>
      </w:pPr>
      <w:r w:rsidRPr="0081763F">
        <w:rPr>
          <w:rFonts w:ascii="Calibri" w:hAnsi="Calibri" w:cs="Calibri"/>
          <w:sz w:val="22"/>
          <w:szCs w:val="22"/>
          <w:lang w:val="en-US"/>
        </w:rPr>
        <w:t>The CODM assesses the performance of the business based on the profit after tax of each airline for the reporting period. Resource allocation decisions for all airlines are based on airline performance for the relevant period, with the objective in making these resource allocation decisions being to optimi</w:t>
      </w:r>
      <w:r w:rsidR="000B5D76">
        <w:rPr>
          <w:rFonts w:ascii="Calibri" w:hAnsi="Calibri" w:cs="Calibri"/>
          <w:sz w:val="22"/>
          <w:szCs w:val="22"/>
          <w:lang w:val="en-US"/>
        </w:rPr>
        <w:t>s</w:t>
      </w:r>
      <w:r w:rsidRPr="0081763F">
        <w:rPr>
          <w:rFonts w:ascii="Calibri" w:hAnsi="Calibri" w:cs="Calibri"/>
          <w:sz w:val="22"/>
          <w:szCs w:val="22"/>
          <w:lang w:val="en-US"/>
        </w:rPr>
        <w:t>e consolidated financial results. Reportable</w:t>
      </w:r>
      <w:r w:rsidR="006F7432" w:rsidRPr="0081763F">
        <w:rPr>
          <w:rFonts w:ascii="Calibri" w:hAnsi="Calibri" w:cs="Calibri"/>
          <w:sz w:val="22"/>
          <w:szCs w:val="22"/>
          <w:lang w:val="en-US"/>
        </w:rPr>
        <w:t xml:space="preserve"> </w:t>
      </w:r>
      <w:r w:rsidRPr="0081763F">
        <w:rPr>
          <w:rFonts w:ascii="Calibri" w:hAnsi="Calibri" w:cs="Calibri"/>
          <w:sz w:val="22"/>
          <w:szCs w:val="22"/>
          <w:lang w:val="en-US"/>
        </w:rPr>
        <w:t>segment information is presented as follows:</w:t>
      </w:r>
    </w:p>
    <w:p w14:paraId="4195194C" w14:textId="77777777" w:rsidR="00FC1F70" w:rsidRPr="00FC1F70" w:rsidRDefault="00FC1F70" w:rsidP="009E2D21">
      <w:pPr>
        <w:rPr>
          <w:lang w:val="en-US"/>
        </w:rPr>
      </w:pPr>
    </w:p>
    <w:tbl>
      <w:tblPr>
        <w:tblW w:w="10881" w:type="dxa"/>
        <w:tblLayout w:type="fixed"/>
        <w:tblLook w:val="0000" w:firstRow="0" w:lastRow="0" w:firstColumn="0" w:lastColumn="0" w:noHBand="0" w:noVBand="0"/>
      </w:tblPr>
      <w:tblGrid>
        <w:gridCol w:w="10881"/>
      </w:tblGrid>
      <w:tr w:rsidR="00136DF6" w:rsidRPr="00C22F7C" w14:paraId="7CF21566" w14:textId="77777777" w:rsidTr="00F06DDB">
        <w:trPr>
          <w:trHeight w:val="262"/>
        </w:trPr>
        <w:tc>
          <w:tcPr>
            <w:tcW w:w="10881" w:type="dxa"/>
          </w:tcPr>
          <w:tbl>
            <w:tblPr>
              <w:tblW w:w="10288" w:type="dxa"/>
              <w:tblLayout w:type="fixed"/>
              <w:tblLook w:val="04A0" w:firstRow="1" w:lastRow="0" w:firstColumn="1" w:lastColumn="0" w:noHBand="0" w:noVBand="1"/>
            </w:tblPr>
            <w:tblGrid>
              <w:gridCol w:w="4162"/>
              <w:gridCol w:w="1497"/>
              <w:gridCol w:w="1665"/>
              <w:gridCol w:w="1498"/>
              <w:gridCol w:w="1466"/>
            </w:tblGrid>
            <w:tr w:rsidR="00F87153" w:rsidRPr="001244BE" w14:paraId="381AC9CC" w14:textId="77777777" w:rsidTr="00F87153">
              <w:trPr>
                <w:trHeight w:val="319"/>
              </w:trPr>
              <w:tc>
                <w:tcPr>
                  <w:tcW w:w="4162" w:type="dxa"/>
                  <w:shd w:val="clear" w:color="auto" w:fill="FFFFFF"/>
                  <w:vAlign w:val="bottom"/>
                  <w:hideMark/>
                </w:tcPr>
                <w:p w14:paraId="0FF83EF8" w14:textId="77777777" w:rsidR="00F87153" w:rsidRPr="00D2086B" w:rsidRDefault="00F87153" w:rsidP="009E2D21">
                  <w:pPr>
                    <w:ind w:left="319" w:hanging="282"/>
                    <w:rPr>
                      <w:rFonts w:ascii="Calibri" w:hAnsi="Calibri" w:cs="Calibri"/>
                      <w:color w:val="000000"/>
                      <w:sz w:val="21"/>
                      <w:szCs w:val="21"/>
                      <w:lang w:eastAsia="en-IE"/>
                    </w:rPr>
                  </w:pPr>
                  <w:r>
                    <w:rPr>
                      <w:rFonts w:ascii="Calibri" w:hAnsi="Calibri" w:cs="Calibri"/>
                      <w:b/>
                      <w:bCs/>
                      <w:color w:val="000000"/>
                      <w:sz w:val="20"/>
                      <w:szCs w:val="20"/>
                      <w:lang w:eastAsia="en-IE"/>
                    </w:rPr>
                    <w:t>Half-Year Ended</w:t>
                  </w:r>
                  <w:r w:rsidRPr="00D2086B">
                    <w:rPr>
                      <w:rFonts w:ascii="Calibri" w:hAnsi="Calibri" w:cs="Calibri"/>
                      <w:color w:val="000000"/>
                      <w:sz w:val="21"/>
                      <w:szCs w:val="21"/>
                      <w:lang w:eastAsia="en-IE"/>
                    </w:rPr>
                    <w:t> </w:t>
                  </w:r>
                </w:p>
              </w:tc>
              <w:tc>
                <w:tcPr>
                  <w:tcW w:w="1497" w:type="dxa"/>
                  <w:shd w:val="clear" w:color="auto" w:fill="FFFF00"/>
                  <w:vAlign w:val="bottom"/>
                  <w:hideMark/>
                </w:tcPr>
                <w:p w14:paraId="41947913" w14:textId="77777777" w:rsidR="00F87153" w:rsidRPr="00837D76" w:rsidRDefault="00F87153" w:rsidP="009E2D21">
                  <w:pPr>
                    <w:ind w:left="-115"/>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 xml:space="preserve">Ryanair DAC </w:t>
                  </w:r>
                </w:p>
              </w:tc>
              <w:tc>
                <w:tcPr>
                  <w:tcW w:w="1665" w:type="dxa"/>
                  <w:shd w:val="clear" w:color="auto" w:fill="FFFF00"/>
                  <w:vAlign w:val="bottom"/>
                </w:tcPr>
                <w:p w14:paraId="77F5A497" w14:textId="77777777" w:rsidR="00F87153" w:rsidRPr="00837D76" w:rsidRDefault="00DE40D1" w:rsidP="009E2D21">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Other Airlines</w:t>
                  </w:r>
                </w:p>
              </w:tc>
              <w:tc>
                <w:tcPr>
                  <w:tcW w:w="1498" w:type="dxa"/>
                  <w:shd w:val="clear" w:color="auto" w:fill="FFFF00"/>
                  <w:vAlign w:val="bottom"/>
                </w:tcPr>
                <w:p w14:paraId="25B83B21" w14:textId="77777777" w:rsidR="00F87153" w:rsidRPr="00213A94" w:rsidRDefault="00F87153" w:rsidP="00FD77D1">
                  <w:pPr>
                    <w:ind w:left="-245" w:right="68"/>
                    <w:jc w:val="right"/>
                    <w:rPr>
                      <w:rFonts w:ascii="Calibri" w:hAnsi="Calibri" w:cs="Calibri"/>
                      <w:b/>
                      <w:bCs/>
                      <w:color w:val="000000"/>
                      <w:sz w:val="20"/>
                      <w:szCs w:val="20"/>
                      <w:lang w:eastAsia="en-IE"/>
                    </w:rPr>
                  </w:pPr>
                  <w:r>
                    <w:rPr>
                      <w:rFonts w:ascii="Calibri" w:hAnsi="Calibri" w:cs="Calibri"/>
                      <w:b/>
                      <w:bCs/>
                      <w:color w:val="000000"/>
                      <w:sz w:val="20"/>
                      <w:szCs w:val="20"/>
                      <w:lang w:eastAsia="en-IE"/>
                    </w:rPr>
                    <w:t>Elimination</w:t>
                  </w:r>
                </w:p>
              </w:tc>
              <w:tc>
                <w:tcPr>
                  <w:tcW w:w="1466" w:type="dxa"/>
                  <w:shd w:val="clear" w:color="auto" w:fill="FFFF00"/>
                  <w:vAlign w:val="bottom"/>
                  <w:hideMark/>
                </w:tcPr>
                <w:p w14:paraId="27C127A6" w14:textId="77777777" w:rsidR="00F87153" w:rsidRPr="00837D76" w:rsidRDefault="00F87153" w:rsidP="009E2D21">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Total</w:t>
                  </w:r>
                </w:p>
              </w:tc>
            </w:tr>
            <w:tr w:rsidR="00F87153" w:rsidRPr="001244BE" w14:paraId="0C44808F" w14:textId="77777777" w:rsidTr="00F87153">
              <w:trPr>
                <w:trHeight w:val="319"/>
              </w:trPr>
              <w:tc>
                <w:tcPr>
                  <w:tcW w:w="4162" w:type="dxa"/>
                  <w:vMerge w:val="restart"/>
                  <w:shd w:val="clear" w:color="auto" w:fill="FFFFFF"/>
                  <w:vAlign w:val="center"/>
                  <w:hideMark/>
                </w:tcPr>
                <w:p w14:paraId="76BC5D50" w14:textId="77777777" w:rsidR="00F87153" w:rsidRPr="001947EA" w:rsidRDefault="00F87153" w:rsidP="009E2D21">
                  <w:pPr>
                    <w:rPr>
                      <w:rFonts w:ascii="Calibri" w:hAnsi="Calibri" w:cs="Calibri"/>
                      <w:b/>
                      <w:bCs/>
                      <w:color w:val="000000"/>
                      <w:sz w:val="20"/>
                      <w:szCs w:val="20"/>
                      <w:lang w:eastAsia="en-IE"/>
                    </w:rPr>
                  </w:pPr>
                </w:p>
              </w:tc>
              <w:tc>
                <w:tcPr>
                  <w:tcW w:w="1497" w:type="dxa"/>
                  <w:shd w:val="clear" w:color="auto" w:fill="FFFF00"/>
                  <w:vAlign w:val="bottom"/>
                  <w:hideMark/>
                </w:tcPr>
                <w:p w14:paraId="3354CDD5" w14:textId="77777777" w:rsidR="00F87153" w:rsidRPr="00837D76" w:rsidRDefault="00F87153" w:rsidP="009E2D21">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837D76">
                    <w:rPr>
                      <w:rFonts w:ascii="Calibri" w:hAnsi="Calibri" w:cs="Calibri"/>
                      <w:b/>
                      <w:bCs/>
                      <w:color w:val="000000"/>
                      <w:sz w:val="20"/>
                      <w:szCs w:val="20"/>
                      <w:lang w:eastAsia="en-IE"/>
                    </w:rPr>
                    <w:t xml:space="preserve"> 30,</w:t>
                  </w:r>
                </w:p>
              </w:tc>
              <w:tc>
                <w:tcPr>
                  <w:tcW w:w="1665" w:type="dxa"/>
                  <w:shd w:val="clear" w:color="auto" w:fill="FFFF00"/>
                  <w:vAlign w:val="bottom"/>
                </w:tcPr>
                <w:p w14:paraId="57694350" w14:textId="77777777" w:rsidR="00F87153" w:rsidRPr="00837D76" w:rsidRDefault="00F87153" w:rsidP="009E2D21">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837D76">
                    <w:rPr>
                      <w:rFonts w:ascii="Calibri" w:hAnsi="Calibri" w:cs="Calibri"/>
                      <w:b/>
                      <w:bCs/>
                      <w:color w:val="000000"/>
                      <w:sz w:val="20"/>
                      <w:szCs w:val="20"/>
                      <w:lang w:eastAsia="en-IE"/>
                    </w:rPr>
                    <w:t xml:space="preserve"> 30,</w:t>
                  </w:r>
                </w:p>
              </w:tc>
              <w:tc>
                <w:tcPr>
                  <w:tcW w:w="1498" w:type="dxa"/>
                  <w:shd w:val="clear" w:color="auto" w:fill="FFFF00"/>
                  <w:vAlign w:val="bottom"/>
                </w:tcPr>
                <w:p w14:paraId="7C483338" w14:textId="77777777" w:rsidR="00F87153" w:rsidRPr="00837D76" w:rsidRDefault="00F87153" w:rsidP="00FD77D1">
                  <w:pPr>
                    <w:ind w:right="68"/>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837D76">
                    <w:rPr>
                      <w:rFonts w:ascii="Calibri" w:hAnsi="Calibri" w:cs="Calibri"/>
                      <w:b/>
                      <w:bCs/>
                      <w:color w:val="000000"/>
                      <w:sz w:val="20"/>
                      <w:szCs w:val="20"/>
                      <w:lang w:eastAsia="en-IE"/>
                    </w:rPr>
                    <w:t xml:space="preserve"> 30,</w:t>
                  </w:r>
                </w:p>
              </w:tc>
              <w:tc>
                <w:tcPr>
                  <w:tcW w:w="1466" w:type="dxa"/>
                  <w:shd w:val="clear" w:color="auto" w:fill="FFFF00"/>
                  <w:vAlign w:val="bottom"/>
                  <w:hideMark/>
                </w:tcPr>
                <w:p w14:paraId="78E1DF68" w14:textId="77777777" w:rsidR="00F87153" w:rsidRPr="00837D76" w:rsidRDefault="00F87153" w:rsidP="009E2D21">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837D76">
                    <w:rPr>
                      <w:rFonts w:ascii="Calibri" w:hAnsi="Calibri" w:cs="Calibri"/>
                      <w:b/>
                      <w:bCs/>
                      <w:color w:val="000000"/>
                      <w:sz w:val="20"/>
                      <w:szCs w:val="20"/>
                      <w:lang w:eastAsia="en-IE"/>
                    </w:rPr>
                    <w:t xml:space="preserve"> 30,</w:t>
                  </w:r>
                </w:p>
              </w:tc>
            </w:tr>
            <w:tr w:rsidR="00F87153" w:rsidRPr="001244BE" w14:paraId="71B84968" w14:textId="77777777" w:rsidTr="00F87153">
              <w:trPr>
                <w:trHeight w:val="319"/>
              </w:trPr>
              <w:tc>
                <w:tcPr>
                  <w:tcW w:w="4162" w:type="dxa"/>
                  <w:vMerge/>
                  <w:vAlign w:val="bottom"/>
                  <w:hideMark/>
                </w:tcPr>
                <w:p w14:paraId="3B04B774" w14:textId="77777777" w:rsidR="00F87153" w:rsidRPr="00D2086B" w:rsidRDefault="00F87153" w:rsidP="009E2D21">
                  <w:pPr>
                    <w:rPr>
                      <w:rFonts w:ascii="Calibri" w:hAnsi="Calibri" w:cs="Calibri"/>
                      <w:b/>
                      <w:bCs/>
                      <w:color w:val="000000"/>
                      <w:sz w:val="21"/>
                      <w:szCs w:val="21"/>
                      <w:lang w:eastAsia="en-IE"/>
                    </w:rPr>
                  </w:pPr>
                </w:p>
              </w:tc>
              <w:tc>
                <w:tcPr>
                  <w:tcW w:w="1497" w:type="dxa"/>
                  <w:shd w:val="clear" w:color="auto" w:fill="FFFF00"/>
                  <w:vAlign w:val="bottom"/>
                  <w:hideMark/>
                </w:tcPr>
                <w:p w14:paraId="3EFEBE40" w14:textId="77777777" w:rsidR="00F87153" w:rsidRPr="00837D76" w:rsidRDefault="00F87153" w:rsidP="009E2D21">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665" w:type="dxa"/>
                  <w:shd w:val="clear" w:color="auto" w:fill="FFFF00"/>
                  <w:vAlign w:val="bottom"/>
                </w:tcPr>
                <w:p w14:paraId="4DD5604F" w14:textId="77777777" w:rsidR="00F87153" w:rsidRPr="00837D76" w:rsidRDefault="00F87153" w:rsidP="009E2D21">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498" w:type="dxa"/>
                  <w:shd w:val="clear" w:color="auto" w:fill="FFFF00"/>
                  <w:vAlign w:val="bottom"/>
                </w:tcPr>
                <w:p w14:paraId="0DDCA659" w14:textId="77777777" w:rsidR="00F87153" w:rsidRPr="00837D76" w:rsidRDefault="00F87153" w:rsidP="00FD77D1">
                  <w:pPr>
                    <w:ind w:right="68"/>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466" w:type="dxa"/>
                  <w:shd w:val="clear" w:color="auto" w:fill="FFFF00"/>
                  <w:vAlign w:val="bottom"/>
                  <w:hideMark/>
                </w:tcPr>
                <w:p w14:paraId="64E64A2B" w14:textId="77777777" w:rsidR="00F87153" w:rsidRPr="00837D76" w:rsidRDefault="00F87153" w:rsidP="009E2D21">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r>
            <w:tr w:rsidR="00F87153" w:rsidRPr="001244BE" w14:paraId="4A76FD88" w14:textId="77777777" w:rsidTr="00F87153">
              <w:trPr>
                <w:trHeight w:val="319"/>
              </w:trPr>
              <w:tc>
                <w:tcPr>
                  <w:tcW w:w="4162" w:type="dxa"/>
                  <w:shd w:val="clear" w:color="auto" w:fill="FFFFFF"/>
                  <w:vAlign w:val="bottom"/>
                  <w:hideMark/>
                </w:tcPr>
                <w:p w14:paraId="45E5094D" w14:textId="77777777" w:rsidR="00F87153" w:rsidRPr="00D2086B" w:rsidRDefault="00F87153" w:rsidP="009E2D21">
                  <w:pPr>
                    <w:rPr>
                      <w:rFonts w:ascii="Calibri" w:hAnsi="Calibri" w:cs="Calibri"/>
                      <w:color w:val="000000"/>
                      <w:sz w:val="21"/>
                      <w:szCs w:val="21"/>
                      <w:lang w:eastAsia="en-IE"/>
                    </w:rPr>
                  </w:pPr>
                  <w:r w:rsidRPr="00D2086B">
                    <w:rPr>
                      <w:rFonts w:ascii="Calibri" w:hAnsi="Calibri" w:cs="Calibri"/>
                      <w:color w:val="000000"/>
                      <w:sz w:val="21"/>
                      <w:szCs w:val="21"/>
                      <w:lang w:eastAsia="en-IE"/>
                    </w:rPr>
                    <w:t> </w:t>
                  </w:r>
                </w:p>
              </w:tc>
              <w:tc>
                <w:tcPr>
                  <w:tcW w:w="1497" w:type="dxa"/>
                  <w:shd w:val="clear" w:color="auto" w:fill="FFFF00"/>
                  <w:noWrap/>
                  <w:vAlign w:val="bottom"/>
                  <w:hideMark/>
                </w:tcPr>
                <w:p w14:paraId="7EA2A5D0" w14:textId="77777777" w:rsidR="00F87153" w:rsidRPr="00837D76" w:rsidRDefault="00F87153" w:rsidP="009E2D21">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665" w:type="dxa"/>
                  <w:shd w:val="clear" w:color="auto" w:fill="FFFF00"/>
                  <w:vAlign w:val="bottom"/>
                </w:tcPr>
                <w:p w14:paraId="40C00A68" w14:textId="77777777" w:rsidR="00F87153" w:rsidRPr="00837D76" w:rsidRDefault="00F87153" w:rsidP="009E2D21">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498" w:type="dxa"/>
                  <w:shd w:val="clear" w:color="auto" w:fill="FFFF00"/>
                  <w:vAlign w:val="bottom"/>
                </w:tcPr>
                <w:p w14:paraId="225C1CB6" w14:textId="77777777" w:rsidR="00F87153" w:rsidRPr="00837D76" w:rsidRDefault="00F87153" w:rsidP="00FD77D1">
                  <w:pPr>
                    <w:ind w:right="68"/>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466" w:type="dxa"/>
                  <w:shd w:val="clear" w:color="auto" w:fill="FFFF00"/>
                  <w:noWrap/>
                  <w:vAlign w:val="bottom"/>
                  <w:hideMark/>
                </w:tcPr>
                <w:p w14:paraId="42C63F4B" w14:textId="77777777" w:rsidR="00F87153" w:rsidRPr="00837D76" w:rsidRDefault="00F87153" w:rsidP="009E2D21">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r>
            <w:tr w:rsidR="00C113F1" w:rsidRPr="001244BE" w14:paraId="0C5B8F28" w14:textId="77777777" w:rsidTr="00C113F1">
              <w:trPr>
                <w:trHeight w:val="319"/>
              </w:trPr>
              <w:tc>
                <w:tcPr>
                  <w:tcW w:w="4162" w:type="dxa"/>
                  <w:shd w:val="clear" w:color="auto" w:fill="FFFFFF"/>
                  <w:vAlign w:val="bottom"/>
                </w:tcPr>
                <w:p w14:paraId="51E929B7" w14:textId="77777777" w:rsidR="00C113F1" w:rsidRPr="00EC0F73" w:rsidRDefault="00C113F1" w:rsidP="00C113F1">
                  <w:pPr>
                    <w:rPr>
                      <w:rFonts w:ascii="Calibri" w:hAnsi="Calibri" w:cs="Calibri"/>
                      <w:color w:val="000000"/>
                      <w:sz w:val="20"/>
                      <w:szCs w:val="20"/>
                      <w:lang w:eastAsia="en-IE"/>
                    </w:rPr>
                  </w:pPr>
                  <w:r w:rsidRPr="00EC0F73">
                    <w:rPr>
                      <w:rFonts w:ascii="Calibri" w:hAnsi="Calibri" w:cs="Calibri"/>
                      <w:color w:val="000000"/>
                      <w:sz w:val="20"/>
                      <w:szCs w:val="20"/>
                      <w:lang w:eastAsia="en-IE"/>
                    </w:rPr>
                    <w:t>Scheduled revenue</w:t>
                  </w:r>
                </w:p>
              </w:tc>
              <w:tc>
                <w:tcPr>
                  <w:tcW w:w="1497" w:type="dxa"/>
                  <w:shd w:val="clear" w:color="auto" w:fill="FFFF00"/>
                  <w:noWrap/>
                  <w:vAlign w:val="center"/>
                </w:tcPr>
                <w:p w14:paraId="78F22D1D" w14:textId="77777777" w:rsidR="00C113F1" w:rsidRPr="00A10F85" w:rsidRDefault="00EC0F73" w:rsidP="005226B6">
                  <w:pPr>
                    <w:jc w:val="right"/>
                    <w:rPr>
                      <w:rFonts w:ascii="Calibri" w:hAnsi="Calibri" w:cs="Calibri"/>
                      <w:b/>
                      <w:bCs/>
                      <w:color w:val="000000"/>
                      <w:sz w:val="20"/>
                      <w:szCs w:val="20"/>
                      <w:lang w:eastAsia="en-IE"/>
                    </w:rPr>
                  </w:pPr>
                  <w:r w:rsidRPr="00A10F85">
                    <w:rPr>
                      <w:rFonts w:ascii="Calibri" w:hAnsi="Calibri" w:cs="Calibri"/>
                      <w:b/>
                      <w:bCs/>
                      <w:color w:val="000000"/>
                      <w:sz w:val="20"/>
                      <w:szCs w:val="20"/>
                      <w:lang w:eastAsia="en-IE"/>
                    </w:rPr>
                    <w:t>5,97</w:t>
                  </w:r>
                  <w:r w:rsidR="006A21D2">
                    <w:rPr>
                      <w:rFonts w:ascii="Calibri" w:hAnsi="Calibri" w:cs="Calibri"/>
                      <w:b/>
                      <w:bCs/>
                      <w:color w:val="000000"/>
                      <w:sz w:val="20"/>
                      <w:szCs w:val="20"/>
                      <w:lang w:eastAsia="en-IE"/>
                    </w:rPr>
                    <w:t>9.4</w:t>
                  </w:r>
                </w:p>
              </w:tc>
              <w:tc>
                <w:tcPr>
                  <w:tcW w:w="1665" w:type="dxa"/>
                  <w:shd w:val="clear" w:color="auto" w:fill="FFFF00"/>
                  <w:vAlign w:val="center"/>
                </w:tcPr>
                <w:p w14:paraId="7DB9B75B" w14:textId="77777777" w:rsidR="00C113F1" w:rsidRPr="00A10F85" w:rsidRDefault="00C113F1" w:rsidP="00C113F1">
                  <w:pPr>
                    <w:jc w:val="right"/>
                    <w:rPr>
                      <w:rFonts w:ascii="Calibri" w:hAnsi="Calibri" w:cs="Calibri"/>
                      <w:b/>
                      <w:bCs/>
                      <w:color w:val="000000"/>
                      <w:sz w:val="20"/>
                      <w:szCs w:val="20"/>
                      <w:lang w:eastAsia="en-IE"/>
                    </w:rPr>
                  </w:pPr>
                  <w:r w:rsidRPr="00A10F85">
                    <w:rPr>
                      <w:rFonts w:ascii="Calibri" w:hAnsi="Calibri" w:cs="Calibri"/>
                      <w:b/>
                      <w:bCs/>
                      <w:color w:val="000000"/>
                      <w:sz w:val="20"/>
                      <w:szCs w:val="20"/>
                      <w:lang w:eastAsia="en-IE"/>
                    </w:rPr>
                    <w:t>94.5</w:t>
                  </w:r>
                </w:p>
              </w:tc>
              <w:tc>
                <w:tcPr>
                  <w:tcW w:w="1498" w:type="dxa"/>
                  <w:shd w:val="clear" w:color="auto" w:fill="FFFF00"/>
                  <w:vAlign w:val="center"/>
                </w:tcPr>
                <w:p w14:paraId="58BC07C8" w14:textId="77777777" w:rsidR="00C113F1" w:rsidRPr="00A10F85" w:rsidRDefault="00C113F1" w:rsidP="00FD77D1">
                  <w:pPr>
                    <w:ind w:right="68"/>
                    <w:jc w:val="right"/>
                    <w:rPr>
                      <w:rFonts w:ascii="Calibri" w:hAnsi="Calibri" w:cs="Calibri"/>
                      <w:b/>
                      <w:bCs/>
                      <w:color w:val="000000"/>
                      <w:sz w:val="20"/>
                      <w:szCs w:val="20"/>
                      <w:lang w:eastAsia="en-IE"/>
                    </w:rPr>
                  </w:pPr>
                  <w:r w:rsidRPr="00A10F85">
                    <w:rPr>
                      <w:rFonts w:ascii="Calibri" w:hAnsi="Calibri" w:cs="Calibri"/>
                      <w:b/>
                      <w:bCs/>
                      <w:color w:val="000000"/>
                      <w:sz w:val="20"/>
                      <w:szCs w:val="20"/>
                      <w:lang w:eastAsia="en-IE"/>
                    </w:rPr>
                    <w:t>-</w:t>
                  </w:r>
                </w:p>
              </w:tc>
              <w:tc>
                <w:tcPr>
                  <w:tcW w:w="1466" w:type="dxa"/>
                  <w:shd w:val="clear" w:color="auto" w:fill="FFFF00"/>
                  <w:noWrap/>
                  <w:vAlign w:val="center"/>
                </w:tcPr>
                <w:p w14:paraId="408368E2" w14:textId="77777777" w:rsidR="00C113F1" w:rsidRPr="00A10F85" w:rsidRDefault="00C113F1" w:rsidP="00C113F1">
                  <w:pPr>
                    <w:jc w:val="right"/>
                    <w:rPr>
                      <w:rFonts w:ascii="Calibri" w:hAnsi="Calibri" w:cs="Calibri"/>
                      <w:b/>
                      <w:bCs/>
                      <w:color w:val="000000"/>
                      <w:sz w:val="20"/>
                      <w:szCs w:val="20"/>
                      <w:lang w:eastAsia="en-IE"/>
                    </w:rPr>
                  </w:pPr>
                  <w:r w:rsidRPr="00A10F85">
                    <w:rPr>
                      <w:rFonts w:ascii="Calibri" w:hAnsi="Calibri" w:cs="Calibri"/>
                      <w:b/>
                      <w:bCs/>
                      <w:color w:val="000000"/>
                      <w:sz w:val="20"/>
                      <w:szCs w:val="20"/>
                    </w:rPr>
                    <w:t>6,07</w:t>
                  </w:r>
                  <w:r w:rsidR="006A21D2">
                    <w:rPr>
                      <w:rFonts w:ascii="Calibri" w:hAnsi="Calibri" w:cs="Calibri"/>
                      <w:b/>
                      <w:bCs/>
                      <w:color w:val="000000"/>
                      <w:sz w:val="20"/>
                      <w:szCs w:val="20"/>
                    </w:rPr>
                    <w:t>3.9</w:t>
                  </w:r>
                </w:p>
              </w:tc>
            </w:tr>
            <w:tr w:rsidR="00C113F1" w:rsidRPr="001244BE" w14:paraId="566575E0" w14:textId="77777777" w:rsidTr="00C113F1">
              <w:trPr>
                <w:trHeight w:val="319"/>
              </w:trPr>
              <w:tc>
                <w:tcPr>
                  <w:tcW w:w="4162" w:type="dxa"/>
                  <w:shd w:val="clear" w:color="auto" w:fill="FFFFFF"/>
                  <w:vAlign w:val="bottom"/>
                </w:tcPr>
                <w:p w14:paraId="2F8F97F9" w14:textId="77777777" w:rsidR="00C113F1" w:rsidRPr="00EC0F73" w:rsidRDefault="00C113F1" w:rsidP="00C113F1">
                  <w:pPr>
                    <w:rPr>
                      <w:rFonts w:ascii="Calibri" w:hAnsi="Calibri" w:cs="Calibri"/>
                      <w:color w:val="000000"/>
                      <w:sz w:val="20"/>
                      <w:szCs w:val="20"/>
                      <w:lang w:eastAsia="en-IE"/>
                    </w:rPr>
                  </w:pPr>
                  <w:r w:rsidRPr="00EC0F73">
                    <w:rPr>
                      <w:rFonts w:ascii="Calibri" w:hAnsi="Calibri" w:cs="Calibri"/>
                      <w:color w:val="000000"/>
                      <w:sz w:val="20"/>
                      <w:szCs w:val="20"/>
                      <w:lang w:eastAsia="en-IE"/>
                    </w:rPr>
                    <w:t>Ancillary revenue</w:t>
                  </w:r>
                </w:p>
              </w:tc>
              <w:tc>
                <w:tcPr>
                  <w:tcW w:w="1497" w:type="dxa"/>
                  <w:shd w:val="clear" w:color="auto" w:fill="FFFF00"/>
                  <w:noWrap/>
                  <w:vAlign w:val="center"/>
                </w:tcPr>
                <w:p w14:paraId="32C5E5E7" w14:textId="77777777" w:rsidR="00C113F1" w:rsidRPr="00A10F85" w:rsidRDefault="00C113F1" w:rsidP="005226B6">
                  <w:pPr>
                    <w:jc w:val="right"/>
                    <w:rPr>
                      <w:rFonts w:ascii="Calibri" w:hAnsi="Calibri" w:cs="Calibri"/>
                      <w:b/>
                      <w:bCs/>
                      <w:color w:val="000000"/>
                      <w:sz w:val="20"/>
                      <w:szCs w:val="20"/>
                      <w:lang w:eastAsia="en-IE"/>
                    </w:rPr>
                  </w:pPr>
                  <w:r w:rsidRPr="00A10F85">
                    <w:rPr>
                      <w:rFonts w:ascii="Calibri" w:hAnsi="Calibri" w:cs="Calibri"/>
                      <w:b/>
                      <w:bCs/>
                      <w:color w:val="000000"/>
                      <w:sz w:val="20"/>
                      <w:szCs w:val="20"/>
                      <w:lang w:eastAsia="en-IE"/>
                    </w:rPr>
                    <w:t>2,501.3</w:t>
                  </w:r>
                </w:p>
              </w:tc>
              <w:tc>
                <w:tcPr>
                  <w:tcW w:w="1665" w:type="dxa"/>
                  <w:shd w:val="clear" w:color="auto" w:fill="FFFF00"/>
                  <w:vAlign w:val="center"/>
                </w:tcPr>
                <w:p w14:paraId="6D119C77" w14:textId="77777777" w:rsidR="00C113F1" w:rsidRPr="00A10F85" w:rsidRDefault="00C113F1" w:rsidP="00C113F1">
                  <w:pPr>
                    <w:jc w:val="right"/>
                    <w:rPr>
                      <w:rFonts w:ascii="Calibri" w:hAnsi="Calibri" w:cs="Calibri"/>
                      <w:b/>
                      <w:bCs/>
                      <w:color w:val="000000"/>
                      <w:sz w:val="20"/>
                      <w:szCs w:val="20"/>
                      <w:lang w:eastAsia="en-IE"/>
                    </w:rPr>
                  </w:pPr>
                  <w:r w:rsidRPr="00A10F85">
                    <w:rPr>
                      <w:rFonts w:ascii="Calibri" w:hAnsi="Calibri" w:cs="Calibri"/>
                      <w:b/>
                      <w:bCs/>
                      <w:color w:val="000000"/>
                      <w:sz w:val="20"/>
                      <w:szCs w:val="20"/>
                      <w:lang w:eastAsia="en-IE"/>
                    </w:rPr>
                    <w:t>-</w:t>
                  </w:r>
                </w:p>
              </w:tc>
              <w:tc>
                <w:tcPr>
                  <w:tcW w:w="1498" w:type="dxa"/>
                  <w:shd w:val="clear" w:color="auto" w:fill="FFFF00"/>
                  <w:vAlign w:val="center"/>
                </w:tcPr>
                <w:p w14:paraId="57AC815B" w14:textId="77777777" w:rsidR="00C113F1" w:rsidRPr="00A10F85" w:rsidRDefault="00C113F1" w:rsidP="00FD77D1">
                  <w:pPr>
                    <w:ind w:right="68"/>
                    <w:jc w:val="right"/>
                    <w:rPr>
                      <w:rFonts w:ascii="Calibri" w:hAnsi="Calibri" w:cs="Calibri"/>
                      <w:b/>
                      <w:bCs/>
                      <w:color w:val="000000"/>
                      <w:sz w:val="20"/>
                      <w:szCs w:val="20"/>
                      <w:lang w:eastAsia="en-IE"/>
                    </w:rPr>
                  </w:pPr>
                  <w:r w:rsidRPr="00A10F85">
                    <w:rPr>
                      <w:rFonts w:ascii="Calibri" w:hAnsi="Calibri" w:cs="Calibri"/>
                      <w:b/>
                      <w:bCs/>
                      <w:color w:val="000000"/>
                      <w:sz w:val="20"/>
                      <w:szCs w:val="20"/>
                      <w:lang w:eastAsia="en-IE"/>
                    </w:rPr>
                    <w:t>-</w:t>
                  </w:r>
                </w:p>
              </w:tc>
              <w:tc>
                <w:tcPr>
                  <w:tcW w:w="1466" w:type="dxa"/>
                  <w:shd w:val="clear" w:color="auto" w:fill="FFFF00"/>
                  <w:noWrap/>
                  <w:vAlign w:val="center"/>
                </w:tcPr>
                <w:p w14:paraId="0FEB7147" w14:textId="77777777" w:rsidR="00C113F1" w:rsidRPr="00A10F85" w:rsidRDefault="00C113F1" w:rsidP="00C113F1">
                  <w:pPr>
                    <w:jc w:val="right"/>
                    <w:rPr>
                      <w:rFonts w:ascii="Calibri" w:hAnsi="Calibri" w:cs="Calibri"/>
                      <w:b/>
                      <w:bCs/>
                      <w:color w:val="000000"/>
                      <w:sz w:val="20"/>
                      <w:szCs w:val="20"/>
                      <w:lang w:eastAsia="en-IE"/>
                    </w:rPr>
                  </w:pPr>
                  <w:r w:rsidRPr="00A10F85">
                    <w:rPr>
                      <w:rFonts w:ascii="Calibri" w:hAnsi="Calibri" w:cs="Calibri"/>
                      <w:b/>
                      <w:bCs/>
                      <w:color w:val="000000"/>
                      <w:sz w:val="20"/>
                      <w:szCs w:val="20"/>
                    </w:rPr>
                    <w:t>2,501.3</w:t>
                  </w:r>
                </w:p>
              </w:tc>
            </w:tr>
            <w:tr w:rsidR="00C113F1" w:rsidRPr="001244BE" w14:paraId="0D174749" w14:textId="77777777" w:rsidTr="00C113F1">
              <w:trPr>
                <w:trHeight w:val="319"/>
              </w:trPr>
              <w:tc>
                <w:tcPr>
                  <w:tcW w:w="4162" w:type="dxa"/>
                  <w:shd w:val="clear" w:color="auto" w:fill="FFFFFF"/>
                  <w:vAlign w:val="bottom"/>
                  <w:hideMark/>
                </w:tcPr>
                <w:p w14:paraId="0D67FE5A" w14:textId="77777777" w:rsidR="00C113F1" w:rsidRPr="00EC0F73" w:rsidRDefault="00C113F1" w:rsidP="00C113F1">
                  <w:pPr>
                    <w:rPr>
                      <w:rFonts w:ascii="Calibri" w:hAnsi="Calibri" w:cs="Calibri"/>
                      <w:color w:val="000000"/>
                      <w:sz w:val="20"/>
                      <w:szCs w:val="20"/>
                      <w:lang w:eastAsia="en-IE"/>
                    </w:rPr>
                  </w:pPr>
                  <w:r w:rsidRPr="00EC0F73">
                    <w:rPr>
                      <w:rFonts w:ascii="Calibri" w:hAnsi="Calibri" w:cs="Calibri"/>
                      <w:color w:val="000000"/>
                      <w:sz w:val="20"/>
                      <w:szCs w:val="20"/>
                      <w:lang w:eastAsia="en-IE"/>
                    </w:rPr>
                    <w:t>Inter-segment revenue</w:t>
                  </w:r>
                </w:p>
              </w:tc>
              <w:tc>
                <w:tcPr>
                  <w:tcW w:w="1497" w:type="dxa"/>
                  <w:tcBorders>
                    <w:left w:val="nil"/>
                    <w:bottom w:val="single" w:sz="4" w:space="0" w:color="auto"/>
                    <w:right w:val="nil"/>
                  </w:tcBorders>
                  <w:shd w:val="clear" w:color="000000" w:fill="FFFF00"/>
                  <w:noWrap/>
                  <w:vAlign w:val="center"/>
                </w:tcPr>
                <w:p w14:paraId="69956C5A" w14:textId="77777777" w:rsidR="00C113F1" w:rsidRPr="00A10F85" w:rsidRDefault="00C113F1" w:rsidP="005226B6">
                  <w:pPr>
                    <w:jc w:val="right"/>
                    <w:rPr>
                      <w:rFonts w:ascii="Calibri" w:hAnsi="Calibri" w:cs="Calibri"/>
                      <w:b/>
                      <w:bCs/>
                      <w:color w:val="000000"/>
                      <w:sz w:val="20"/>
                      <w:szCs w:val="20"/>
                      <w:lang w:eastAsia="en-IE"/>
                    </w:rPr>
                  </w:pPr>
                  <w:r w:rsidRPr="00A10F85">
                    <w:rPr>
                      <w:rFonts w:ascii="Calibri" w:hAnsi="Calibri" w:cs="Calibri"/>
                      <w:b/>
                      <w:bCs/>
                      <w:color w:val="000000"/>
                      <w:sz w:val="20"/>
                      <w:szCs w:val="20"/>
                      <w:lang w:eastAsia="en-IE"/>
                    </w:rPr>
                    <w:t>374.9</w:t>
                  </w:r>
                </w:p>
              </w:tc>
              <w:tc>
                <w:tcPr>
                  <w:tcW w:w="1665" w:type="dxa"/>
                  <w:tcBorders>
                    <w:left w:val="nil"/>
                    <w:bottom w:val="single" w:sz="4" w:space="0" w:color="auto"/>
                    <w:right w:val="nil"/>
                  </w:tcBorders>
                  <w:shd w:val="clear" w:color="000000" w:fill="FFFF00"/>
                  <w:vAlign w:val="center"/>
                </w:tcPr>
                <w:p w14:paraId="246AB89A" w14:textId="77777777" w:rsidR="00C113F1" w:rsidRPr="00A10F85" w:rsidRDefault="00C113F1" w:rsidP="00C113F1">
                  <w:pPr>
                    <w:jc w:val="right"/>
                    <w:rPr>
                      <w:rFonts w:ascii="Calibri" w:hAnsi="Calibri" w:cs="Calibri"/>
                      <w:b/>
                      <w:bCs/>
                      <w:color w:val="000000"/>
                      <w:sz w:val="20"/>
                      <w:szCs w:val="20"/>
                    </w:rPr>
                  </w:pPr>
                  <w:r w:rsidRPr="00A10F85">
                    <w:rPr>
                      <w:rFonts w:ascii="Calibri" w:hAnsi="Calibri" w:cs="Calibri"/>
                      <w:b/>
                      <w:bCs/>
                      <w:color w:val="000000"/>
                      <w:sz w:val="20"/>
                      <w:szCs w:val="20"/>
                    </w:rPr>
                    <w:t>695.7</w:t>
                  </w:r>
                </w:p>
              </w:tc>
              <w:tc>
                <w:tcPr>
                  <w:tcW w:w="1498" w:type="dxa"/>
                  <w:tcBorders>
                    <w:left w:val="nil"/>
                    <w:bottom w:val="single" w:sz="4" w:space="0" w:color="auto"/>
                    <w:right w:val="nil"/>
                  </w:tcBorders>
                  <w:shd w:val="clear" w:color="000000" w:fill="FFFF00"/>
                  <w:vAlign w:val="center"/>
                </w:tcPr>
                <w:p w14:paraId="2D38A1BF" w14:textId="77777777" w:rsidR="00C113F1" w:rsidRPr="00A10F85" w:rsidRDefault="00C113F1" w:rsidP="00FD77D1">
                  <w:pPr>
                    <w:ind w:right="68"/>
                    <w:jc w:val="right"/>
                    <w:rPr>
                      <w:rFonts w:ascii="Calibri" w:hAnsi="Calibri" w:cs="Calibri"/>
                      <w:b/>
                      <w:bCs/>
                      <w:color w:val="000000"/>
                      <w:sz w:val="20"/>
                      <w:szCs w:val="20"/>
                    </w:rPr>
                  </w:pPr>
                  <w:r w:rsidRPr="00A10F85">
                    <w:rPr>
                      <w:rFonts w:ascii="Calibri" w:hAnsi="Calibri" w:cs="Calibri"/>
                      <w:b/>
                      <w:bCs/>
                      <w:color w:val="000000"/>
                      <w:sz w:val="20"/>
                      <w:szCs w:val="20"/>
                    </w:rPr>
                    <w:t>(1,070.6)</w:t>
                  </w:r>
                </w:p>
              </w:tc>
              <w:tc>
                <w:tcPr>
                  <w:tcW w:w="1466" w:type="dxa"/>
                  <w:tcBorders>
                    <w:left w:val="nil"/>
                    <w:bottom w:val="single" w:sz="4" w:space="0" w:color="auto"/>
                    <w:right w:val="nil"/>
                  </w:tcBorders>
                  <w:shd w:val="clear" w:color="000000" w:fill="FFFF00"/>
                  <w:noWrap/>
                  <w:vAlign w:val="center"/>
                </w:tcPr>
                <w:p w14:paraId="70A1DFE5" w14:textId="77777777" w:rsidR="00C113F1" w:rsidRPr="00A10F85" w:rsidRDefault="00C113F1" w:rsidP="00C113F1">
                  <w:pPr>
                    <w:jc w:val="right"/>
                    <w:rPr>
                      <w:rFonts w:ascii="Calibri" w:hAnsi="Calibri" w:cs="Calibri"/>
                      <w:b/>
                      <w:bCs/>
                      <w:color w:val="000000"/>
                      <w:sz w:val="20"/>
                      <w:szCs w:val="20"/>
                    </w:rPr>
                  </w:pPr>
                  <w:r w:rsidRPr="00A10F85">
                    <w:rPr>
                      <w:rFonts w:ascii="Calibri" w:hAnsi="Calibri" w:cs="Calibri"/>
                      <w:b/>
                      <w:bCs/>
                      <w:color w:val="000000"/>
                      <w:sz w:val="20"/>
                      <w:szCs w:val="20"/>
                    </w:rPr>
                    <w:t>-</w:t>
                  </w:r>
                </w:p>
              </w:tc>
            </w:tr>
            <w:tr w:rsidR="00F87153" w:rsidRPr="001244BE" w14:paraId="18F5FB15" w14:textId="77777777" w:rsidTr="00C113F1">
              <w:trPr>
                <w:trHeight w:val="319"/>
              </w:trPr>
              <w:tc>
                <w:tcPr>
                  <w:tcW w:w="4162" w:type="dxa"/>
                  <w:shd w:val="clear" w:color="auto" w:fill="FFFFFF"/>
                  <w:vAlign w:val="bottom"/>
                  <w:hideMark/>
                </w:tcPr>
                <w:p w14:paraId="51166EFF" w14:textId="77777777" w:rsidR="00F87153" w:rsidRPr="00EC0F73" w:rsidRDefault="00F87153" w:rsidP="009E2D21">
                  <w:pPr>
                    <w:rPr>
                      <w:rFonts w:ascii="Calibri" w:hAnsi="Calibri" w:cs="Calibri"/>
                      <w:color w:val="000000"/>
                      <w:sz w:val="20"/>
                      <w:szCs w:val="20"/>
                      <w:lang w:eastAsia="en-IE"/>
                    </w:rPr>
                  </w:pPr>
                  <w:r w:rsidRPr="00EC0F73">
                    <w:rPr>
                      <w:rFonts w:ascii="Calibri" w:hAnsi="Calibri" w:cs="Calibri"/>
                      <w:b/>
                      <w:bCs/>
                      <w:color w:val="000000"/>
                      <w:sz w:val="20"/>
                      <w:szCs w:val="20"/>
                      <w:lang w:eastAsia="en-IE"/>
                    </w:rPr>
                    <w:t xml:space="preserve">Segment revenue                    </w:t>
                  </w:r>
                </w:p>
              </w:tc>
              <w:tc>
                <w:tcPr>
                  <w:tcW w:w="1497" w:type="dxa"/>
                  <w:tcBorders>
                    <w:top w:val="single" w:sz="4" w:space="0" w:color="auto"/>
                    <w:bottom w:val="single" w:sz="12" w:space="0" w:color="auto"/>
                  </w:tcBorders>
                  <w:shd w:val="clear" w:color="auto" w:fill="FFFF00"/>
                  <w:noWrap/>
                  <w:vAlign w:val="center"/>
                </w:tcPr>
                <w:p w14:paraId="64ACFE4F" w14:textId="77777777" w:rsidR="00F87153" w:rsidRPr="00A10F85" w:rsidRDefault="00EC0F73" w:rsidP="005226B6">
                  <w:pPr>
                    <w:jc w:val="right"/>
                    <w:rPr>
                      <w:rFonts w:ascii="Calibri" w:hAnsi="Calibri" w:cs="Calibri"/>
                      <w:b/>
                      <w:bCs/>
                      <w:color w:val="000000"/>
                      <w:sz w:val="20"/>
                      <w:szCs w:val="20"/>
                      <w:lang w:eastAsia="en-IE"/>
                    </w:rPr>
                  </w:pPr>
                  <w:r w:rsidRPr="00A10F85">
                    <w:rPr>
                      <w:rFonts w:ascii="Calibri" w:hAnsi="Calibri" w:cs="Calibri"/>
                      <w:b/>
                      <w:bCs/>
                      <w:color w:val="000000"/>
                      <w:sz w:val="20"/>
                      <w:szCs w:val="20"/>
                      <w:lang w:eastAsia="en-IE"/>
                    </w:rPr>
                    <w:t>8,85</w:t>
                  </w:r>
                  <w:r w:rsidR="006A21D2">
                    <w:rPr>
                      <w:rFonts w:ascii="Calibri" w:hAnsi="Calibri" w:cs="Calibri"/>
                      <w:b/>
                      <w:bCs/>
                      <w:color w:val="000000"/>
                      <w:sz w:val="20"/>
                      <w:szCs w:val="20"/>
                      <w:lang w:eastAsia="en-IE"/>
                    </w:rPr>
                    <w:t>5.6</w:t>
                  </w:r>
                </w:p>
              </w:tc>
              <w:tc>
                <w:tcPr>
                  <w:tcW w:w="1665" w:type="dxa"/>
                  <w:tcBorders>
                    <w:top w:val="single" w:sz="4" w:space="0" w:color="auto"/>
                    <w:bottom w:val="single" w:sz="12" w:space="0" w:color="auto"/>
                  </w:tcBorders>
                  <w:shd w:val="clear" w:color="auto" w:fill="FFFF00"/>
                  <w:vAlign w:val="center"/>
                </w:tcPr>
                <w:p w14:paraId="5BA4F616" w14:textId="77777777" w:rsidR="00F87153" w:rsidRPr="00A10F85" w:rsidRDefault="00C113F1" w:rsidP="00C113F1">
                  <w:pPr>
                    <w:jc w:val="right"/>
                    <w:rPr>
                      <w:rFonts w:ascii="Calibri" w:eastAsia="Calibri" w:hAnsi="Calibri" w:cs="Calibri"/>
                      <w:b/>
                      <w:bCs/>
                      <w:sz w:val="20"/>
                      <w:szCs w:val="20"/>
                      <w:lang w:eastAsia="en-IE"/>
                    </w:rPr>
                  </w:pPr>
                  <w:r w:rsidRPr="00A10F85">
                    <w:rPr>
                      <w:rFonts w:ascii="Calibri" w:eastAsia="Calibri" w:hAnsi="Calibri" w:cs="Calibri"/>
                      <w:b/>
                      <w:bCs/>
                      <w:sz w:val="20"/>
                      <w:szCs w:val="20"/>
                      <w:lang w:eastAsia="en-IE"/>
                    </w:rPr>
                    <w:t>790.2</w:t>
                  </w:r>
                </w:p>
              </w:tc>
              <w:tc>
                <w:tcPr>
                  <w:tcW w:w="1498" w:type="dxa"/>
                  <w:tcBorders>
                    <w:top w:val="single" w:sz="4" w:space="0" w:color="auto"/>
                    <w:bottom w:val="single" w:sz="12" w:space="0" w:color="auto"/>
                  </w:tcBorders>
                  <w:shd w:val="clear" w:color="auto" w:fill="FFFF00"/>
                  <w:vAlign w:val="center"/>
                </w:tcPr>
                <w:p w14:paraId="62819E94" w14:textId="77777777" w:rsidR="00F87153" w:rsidRPr="00A10F85" w:rsidRDefault="00C113F1" w:rsidP="00FD77D1">
                  <w:pPr>
                    <w:ind w:right="68"/>
                    <w:jc w:val="right"/>
                    <w:rPr>
                      <w:rFonts w:ascii="Calibri" w:hAnsi="Calibri" w:cs="Calibri"/>
                      <w:b/>
                      <w:bCs/>
                      <w:color w:val="000000"/>
                      <w:sz w:val="20"/>
                      <w:szCs w:val="20"/>
                      <w:lang w:eastAsia="en-IE"/>
                    </w:rPr>
                  </w:pPr>
                  <w:r w:rsidRPr="00A10F85">
                    <w:rPr>
                      <w:rFonts w:ascii="Calibri" w:hAnsi="Calibri" w:cs="Calibri"/>
                      <w:b/>
                      <w:bCs/>
                      <w:color w:val="000000"/>
                      <w:sz w:val="20"/>
                      <w:szCs w:val="20"/>
                      <w:lang w:eastAsia="en-IE"/>
                    </w:rPr>
                    <w:t>(1,070.6)</w:t>
                  </w:r>
                </w:p>
              </w:tc>
              <w:tc>
                <w:tcPr>
                  <w:tcW w:w="1466" w:type="dxa"/>
                  <w:tcBorders>
                    <w:top w:val="single" w:sz="4" w:space="0" w:color="auto"/>
                    <w:bottom w:val="single" w:sz="12" w:space="0" w:color="auto"/>
                  </w:tcBorders>
                  <w:shd w:val="clear" w:color="auto" w:fill="FFFF00"/>
                  <w:noWrap/>
                  <w:vAlign w:val="center"/>
                </w:tcPr>
                <w:p w14:paraId="21AD85E2" w14:textId="77777777" w:rsidR="00F87153" w:rsidRPr="00A10F85" w:rsidRDefault="00C113F1" w:rsidP="00C113F1">
                  <w:pPr>
                    <w:jc w:val="right"/>
                    <w:rPr>
                      <w:rFonts w:ascii="Calibri" w:hAnsi="Calibri" w:cs="Calibri"/>
                      <w:b/>
                      <w:bCs/>
                      <w:color w:val="000000"/>
                      <w:sz w:val="20"/>
                      <w:szCs w:val="20"/>
                      <w:lang w:eastAsia="en-IE"/>
                    </w:rPr>
                  </w:pPr>
                  <w:r w:rsidRPr="00A10F85">
                    <w:rPr>
                      <w:rFonts w:ascii="Calibri" w:hAnsi="Calibri" w:cs="Calibri"/>
                      <w:b/>
                      <w:bCs/>
                      <w:color w:val="000000"/>
                      <w:sz w:val="20"/>
                      <w:szCs w:val="20"/>
                    </w:rPr>
                    <w:t>8,57</w:t>
                  </w:r>
                  <w:r w:rsidR="006A21D2">
                    <w:rPr>
                      <w:rFonts w:ascii="Calibri" w:hAnsi="Calibri" w:cs="Calibri"/>
                      <w:b/>
                      <w:bCs/>
                      <w:color w:val="000000"/>
                      <w:sz w:val="20"/>
                      <w:szCs w:val="20"/>
                    </w:rPr>
                    <w:t>5.2</w:t>
                  </w:r>
                </w:p>
              </w:tc>
            </w:tr>
            <w:tr w:rsidR="00F87153" w:rsidRPr="001244BE" w14:paraId="4253DB35" w14:textId="77777777" w:rsidTr="00E60B9C">
              <w:trPr>
                <w:trHeight w:val="57"/>
              </w:trPr>
              <w:tc>
                <w:tcPr>
                  <w:tcW w:w="4162" w:type="dxa"/>
                  <w:shd w:val="clear" w:color="auto" w:fill="FFFFFF"/>
                  <w:vAlign w:val="bottom"/>
                </w:tcPr>
                <w:p w14:paraId="2FAE0F26" w14:textId="77777777" w:rsidR="00F87153" w:rsidRPr="00EC0F73" w:rsidRDefault="00F87153" w:rsidP="009E2D21">
                  <w:pPr>
                    <w:rPr>
                      <w:rFonts w:ascii="Calibri" w:hAnsi="Calibri" w:cs="Calibri"/>
                      <w:b/>
                      <w:bCs/>
                      <w:color w:val="000000"/>
                      <w:sz w:val="20"/>
                      <w:szCs w:val="20"/>
                      <w:lang w:eastAsia="en-IE"/>
                    </w:rPr>
                  </w:pPr>
                </w:p>
              </w:tc>
              <w:tc>
                <w:tcPr>
                  <w:tcW w:w="1497" w:type="dxa"/>
                  <w:tcBorders>
                    <w:top w:val="single" w:sz="12" w:space="0" w:color="auto"/>
                    <w:left w:val="nil"/>
                    <w:right w:val="nil"/>
                  </w:tcBorders>
                  <w:shd w:val="clear" w:color="000000" w:fill="FFFF00"/>
                  <w:noWrap/>
                  <w:vAlign w:val="center"/>
                </w:tcPr>
                <w:p w14:paraId="4387F953" w14:textId="77777777" w:rsidR="00F87153" w:rsidRPr="00A10F85" w:rsidRDefault="00F87153" w:rsidP="005226B6">
                  <w:pPr>
                    <w:jc w:val="right"/>
                    <w:rPr>
                      <w:rFonts w:ascii="Calibri" w:hAnsi="Calibri" w:cs="Calibri"/>
                      <w:b/>
                      <w:bCs/>
                      <w:color w:val="000000"/>
                      <w:sz w:val="20"/>
                      <w:szCs w:val="20"/>
                      <w:lang w:eastAsia="en-IE"/>
                    </w:rPr>
                  </w:pPr>
                </w:p>
              </w:tc>
              <w:tc>
                <w:tcPr>
                  <w:tcW w:w="1665" w:type="dxa"/>
                  <w:tcBorders>
                    <w:top w:val="single" w:sz="12" w:space="0" w:color="auto"/>
                    <w:left w:val="nil"/>
                    <w:right w:val="nil"/>
                  </w:tcBorders>
                  <w:shd w:val="clear" w:color="000000" w:fill="FFFF00"/>
                  <w:vAlign w:val="center"/>
                </w:tcPr>
                <w:p w14:paraId="5274BACB" w14:textId="77777777" w:rsidR="00F87153" w:rsidRPr="00A10F85" w:rsidRDefault="00F87153" w:rsidP="00C113F1">
                  <w:pPr>
                    <w:jc w:val="right"/>
                    <w:rPr>
                      <w:rFonts w:ascii="Calibri" w:hAnsi="Calibri" w:cs="Calibri"/>
                      <w:b/>
                      <w:bCs/>
                      <w:color w:val="000000"/>
                      <w:sz w:val="20"/>
                      <w:szCs w:val="20"/>
                    </w:rPr>
                  </w:pPr>
                </w:p>
              </w:tc>
              <w:tc>
                <w:tcPr>
                  <w:tcW w:w="1498" w:type="dxa"/>
                  <w:tcBorders>
                    <w:top w:val="single" w:sz="12" w:space="0" w:color="auto"/>
                    <w:left w:val="nil"/>
                    <w:right w:val="nil"/>
                  </w:tcBorders>
                  <w:shd w:val="clear" w:color="000000" w:fill="FFFF00"/>
                  <w:vAlign w:val="center"/>
                </w:tcPr>
                <w:p w14:paraId="632EEF30" w14:textId="77777777" w:rsidR="00F87153" w:rsidRPr="00A10F85" w:rsidRDefault="00F87153" w:rsidP="00FD77D1">
                  <w:pPr>
                    <w:ind w:right="68"/>
                    <w:jc w:val="right"/>
                    <w:rPr>
                      <w:rFonts w:ascii="Calibri" w:hAnsi="Calibri" w:cs="Calibri"/>
                      <w:b/>
                      <w:bCs/>
                      <w:sz w:val="20"/>
                      <w:szCs w:val="20"/>
                    </w:rPr>
                  </w:pPr>
                </w:p>
              </w:tc>
              <w:tc>
                <w:tcPr>
                  <w:tcW w:w="1466" w:type="dxa"/>
                  <w:tcBorders>
                    <w:top w:val="single" w:sz="12" w:space="0" w:color="auto"/>
                    <w:left w:val="nil"/>
                    <w:right w:val="nil"/>
                  </w:tcBorders>
                  <w:shd w:val="clear" w:color="000000" w:fill="FFFF00"/>
                  <w:noWrap/>
                  <w:vAlign w:val="center"/>
                </w:tcPr>
                <w:p w14:paraId="1A9ADE6E" w14:textId="77777777" w:rsidR="00F87153" w:rsidRPr="00A10F85" w:rsidRDefault="00F87153" w:rsidP="00C113F1">
                  <w:pPr>
                    <w:jc w:val="right"/>
                    <w:rPr>
                      <w:rFonts w:ascii="Calibri" w:hAnsi="Calibri" w:cs="Calibri"/>
                      <w:b/>
                      <w:bCs/>
                      <w:color w:val="000000"/>
                      <w:sz w:val="20"/>
                      <w:szCs w:val="20"/>
                    </w:rPr>
                  </w:pPr>
                </w:p>
              </w:tc>
            </w:tr>
            <w:tr w:rsidR="00F87153" w:rsidRPr="001244BE" w14:paraId="6BDBAC13" w14:textId="77777777" w:rsidTr="00C113F1">
              <w:trPr>
                <w:trHeight w:val="319"/>
              </w:trPr>
              <w:tc>
                <w:tcPr>
                  <w:tcW w:w="4162" w:type="dxa"/>
                  <w:shd w:val="clear" w:color="auto" w:fill="FFFFFF"/>
                  <w:vAlign w:val="bottom"/>
                  <w:hideMark/>
                </w:tcPr>
                <w:p w14:paraId="260D5167" w14:textId="77777777" w:rsidR="00F87153" w:rsidRPr="00EC0F73" w:rsidRDefault="00F87153" w:rsidP="00E60B9C">
                  <w:pPr>
                    <w:rPr>
                      <w:rFonts w:ascii="Calibri" w:hAnsi="Calibri" w:cs="Calibri"/>
                      <w:b/>
                      <w:bCs/>
                      <w:color w:val="000000"/>
                      <w:sz w:val="20"/>
                      <w:szCs w:val="20"/>
                      <w:lang w:eastAsia="en-IE"/>
                    </w:rPr>
                  </w:pPr>
                  <w:r w:rsidRPr="00EC0F73">
                    <w:rPr>
                      <w:rFonts w:ascii="Calibri" w:hAnsi="Calibri" w:cs="Calibri"/>
                      <w:b/>
                      <w:bCs/>
                      <w:color w:val="000000"/>
                      <w:sz w:val="20"/>
                      <w:szCs w:val="20"/>
                      <w:lang w:eastAsia="en-IE"/>
                    </w:rPr>
                    <w:t>Reportable segment profit after income tax</w:t>
                  </w:r>
                </w:p>
              </w:tc>
              <w:tc>
                <w:tcPr>
                  <w:tcW w:w="1497" w:type="dxa"/>
                  <w:tcBorders>
                    <w:top w:val="nil"/>
                    <w:left w:val="nil"/>
                    <w:bottom w:val="single" w:sz="12" w:space="0" w:color="auto"/>
                    <w:right w:val="nil"/>
                  </w:tcBorders>
                  <w:shd w:val="clear" w:color="000000" w:fill="FFFF00"/>
                  <w:noWrap/>
                  <w:vAlign w:val="center"/>
                </w:tcPr>
                <w:p w14:paraId="67F8AB64" w14:textId="77777777" w:rsidR="00F87153" w:rsidRPr="001756EF" w:rsidRDefault="001756EF" w:rsidP="005226B6">
                  <w:pPr>
                    <w:jc w:val="right"/>
                    <w:rPr>
                      <w:rFonts w:ascii="Calibri" w:hAnsi="Calibri" w:cs="Calibri"/>
                      <w:b/>
                      <w:bCs/>
                      <w:color w:val="000000"/>
                      <w:sz w:val="20"/>
                      <w:szCs w:val="20"/>
                      <w:lang w:eastAsia="en-IE"/>
                    </w:rPr>
                  </w:pPr>
                  <w:r w:rsidRPr="001756EF">
                    <w:rPr>
                      <w:rFonts w:ascii="Calibri" w:hAnsi="Calibri" w:cs="Calibri"/>
                      <w:b/>
                      <w:bCs/>
                      <w:color w:val="000000"/>
                      <w:sz w:val="20"/>
                      <w:szCs w:val="20"/>
                      <w:lang w:eastAsia="en-IE"/>
                    </w:rPr>
                    <w:t>2,109.9</w:t>
                  </w:r>
                </w:p>
              </w:tc>
              <w:tc>
                <w:tcPr>
                  <w:tcW w:w="1665" w:type="dxa"/>
                  <w:tcBorders>
                    <w:top w:val="nil"/>
                    <w:left w:val="nil"/>
                    <w:bottom w:val="single" w:sz="12" w:space="0" w:color="auto"/>
                    <w:right w:val="nil"/>
                  </w:tcBorders>
                  <w:shd w:val="clear" w:color="000000" w:fill="FFFF00"/>
                  <w:vAlign w:val="center"/>
                </w:tcPr>
                <w:p w14:paraId="49D40666" w14:textId="77777777" w:rsidR="00F87153" w:rsidRPr="001756EF" w:rsidRDefault="001756EF" w:rsidP="00C113F1">
                  <w:pPr>
                    <w:jc w:val="right"/>
                    <w:rPr>
                      <w:rFonts w:ascii="Calibri" w:hAnsi="Calibri" w:cs="Calibri"/>
                      <w:b/>
                      <w:bCs/>
                      <w:color w:val="000000"/>
                      <w:sz w:val="20"/>
                      <w:szCs w:val="20"/>
                    </w:rPr>
                  </w:pPr>
                  <w:r w:rsidRPr="001756EF">
                    <w:rPr>
                      <w:rFonts w:ascii="Calibri" w:hAnsi="Calibri" w:cs="Calibri"/>
                      <w:b/>
                      <w:bCs/>
                      <w:color w:val="000000"/>
                      <w:sz w:val="20"/>
                      <w:szCs w:val="20"/>
                    </w:rPr>
                    <w:t>68.2</w:t>
                  </w:r>
                </w:p>
              </w:tc>
              <w:tc>
                <w:tcPr>
                  <w:tcW w:w="1498" w:type="dxa"/>
                  <w:tcBorders>
                    <w:top w:val="nil"/>
                    <w:left w:val="nil"/>
                    <w:bottom w:val="single" w:sz="12" w:space="0" w:color="auto"/>
                    <w:right w:val="nil"/>
                  </w:tcBorders>
                  <w:shd w:val="clear" w:color="000000" w:fill="FFFF00"/>
                  <w:vAlign w:val="center"/>
                </w:tcPr>
                <w:p w14:paraId="6606668C" w14:textId="77777777" w:rsidR="00F87153" w:rsidRPr="00A10F85" w:rsidRDefault="000F535C" w:rsidP="00FD77D1">
                  <w:pPr>
                    <w:ind w:right="68"/>
                    <w:jc w:val="right"/>
                    <w:rPr>
                      <w:rFonts w:ascii="Calibri" w:hAnsi="Calibri" w:cs="Calibri"/>
                      <w:b/>
                      <w:bCs/>
                      <w:sz w:val="20"/>
                      <w:szCs w:val="20"/>
                    </w:rPr>
                  </w:pPr>
                  <w:r w:rsidRPr="00A10F85">
                    <w:rPr>
                      <w:rFonts w:ascii="Calibri" w:hAnsi="Calibri" w:cs="Calibri"/>
                      <w:b/>
                      <w:bCs/>
                      <w:sz w:val="20"/>
                      <w:szCs w:val="20"/>
                    </w:rPr>
                    <w:t>-</w:t>
                  </w:r>
                </w:p>
              </w:tc>
              <w:tc>
                <w:tcPr>
                  <w:tcW w:w="1466" w:type="dxa"/>
                  <w:tcBorders>
                    <w:top w:val="nil"/>
                    <w:left w:val="nil"/>
                    <w:bottom w:val="single" w:sz="12" w:space="0" w:color="auto"/>
                    <w:right w:val="nil"/>
                  </w:tcBorders>
                  <w:shd w:val="clear" w:color="000000" w:fill="FFFF00"/>
                  <w:noWrap/>
                  <w:vAlign w:val="center"/>
                </w:tcPr>
                <w:p w14:paraId="1E98ED7E" w14:textId="77777777" w:rsidR="00F87153" w:rsidRPr="00A10F85" w:rsidRDefault="00C113F1" w:rsidP="00C113F1">
                  <w:pPr>
                    <w:jc w:val="right"/>
                    <w:rPr>
                      <w:rFonts w:ascii="Calibri" w:hAnsi="Calibri" w:cs="Calibri"/>
                      <w:b/>
                      <w:bCs/>
                      <w:color w:val="000000"/>
                      <w:sz w:val="20"/>
                      <w:szCs w:val="20"/>
                    </w:rPr>
                  </w:pPr>
                  <w:r w:rsidRPr="00A10F85">
                    <w:rPr>
                      <w:rFonts w:ascii="Calibri" w:hAnsi="Calibri" w:cs="Calibri"/>
                      <w:b/>
                      <w:bCs/>
                      <w:color w:val="000000"/>
                      <w:sz w:val="20"/>
                      <w:szCs w:val="20"/>
                    </w:rPr>
                    <w:t>2,1</w:t>
                  </w:r>
                  <w:r w:rsidR="006A21D2">
                    <w:rPr>
                      <w:rFonts w:ascii="Calibri" w:hAnsi="Calibri" w:cs="Calibri"/>
                      <w:b/>
                      <w:bCs/>
                      <w:color w:val="000000"/>
                      <w:sz w:val="20"/>
                      <w:szCs w:val="20"/>
                    </w:rPr>
                    <w:t>78</w:t>
                  </w:r>
                  <w:r w:rsidRPr="00A10F85">
                    <w:rPr>
                      <w:rFonts w:ascii="Calibri" w:hAnsi="Calibri" w:cs="Calibri"/>
                      <w:b/>
                      <w:bCs/>
                      <w:color w:val="000000"/>
                      <w:sz w:val="20"/>
                      <w:szCs w:val="20"/>
                    </w:rPr>
                    <w:t>.</w:t>
                  </w:r>
                  <w:r w:rsidR="006A21D2">
                    <w:rPr>
                      <w:rFonts w:ascii="Calibri" w:hAnsi="Calibri" w:cs="Calibri"/>
                      <w:b/>
                      <w:bCs/>
                      <w:color w:val="000000"/>
                      <w:sz w:val="20"/>
                      <w:szCs w:val="20"/>
                    </w:rPr>
                    <w:t>1</w:t>
                  </w:r>
                </w:p>
              </w:tc>
            </w:tr>
            <w:tr w:rsidR="00837FDD" w:rsidRPr="001244BE" w14:paraId="4E621F62" w14:textId="77777777" w:rsidTr="00837FDD">
              <w:trPr>
                <w:trHeight w:val="319"/>
              </w:trPr>
              <w:tc>
                <w:tcPr>
                  <w:tcW w:w="4162" w:type="dxa"/>
                  <w:shd w:val="clear" w:color="auto" w:fill="FFFFFF"/>
                  <w:vAlign w:val="bottom"/>
                </w:tcPr>
                <w:p w14:paraId="656542AC" w14:textId="77777777" w:rsidR="00837FDD" w:rsidRPr="00EC0F73" w:rsidRDefault="00837FDD" w:rsidP="00E60B9C">
                  <w:pPr>
                    <w:rPr>
                      <w:rFonts w:ascii="Calibri" w:hAnsi="Calibri" w:cs="Calibri"/>
                      <w:b/>
                      <w:bCs/>
                      <w:color w:val="000000"/>
                      <w:sz w:val="20"/>
                      <w:szCs w:val="20"/>
                      <w:lang w:eastAsia="en-IE"/>
                    </w:rPr>
                  </w:pPr>
                </w:p>
              </w:tc>
              <w:tc>
                <w:tcPr>
                  <w:tcW w:w="1497" w:type="dxa"/>
                  <w:tcBorders>
                    <w:top w:val="nil"/>
                    <w:left w:val="nil"/>
                    <w:right w:val="nil"/>
                  </w:tcBorders>
                  <w:shd w:val="clear" w:color="000000" w:fill="FFFF00"/>
                  <w:noWrap/>
                  <w:vAlign w:val="center"/>
                </w:tcPr>
                <w:p w14:paraId="78BB9E5E" w14:textId="77777777" w:rsidR="00837FDD" w:rsidRPr="001756EF" w:rsidRDefault="00837FDD" w:rsidP="005226B6">
                  <w:pPr>
                    <w:jc w:val="right"/>
                    <w:rPr>
                      <w:rFonts w:ascii="Calibri" w:hAnsi="Calibri" w:cs="Calibri"/>
                      <w:b/>
                      <w:bCs/>
                      <w:color w:val="000000"/>
                      <w:sz w:val="20"/>
                      <w:szCs w:val="20"/>
                      <w:lang w:eastAsia="en-IE"/>
                    </w:rPr>
                  </w:pPr>
                </w:p>
              </w:tc>
              <w:tc>
                <w:tcPr>
                  <w:tcW w:w="1665" w:type="dxa"/>
                  <w:tcBorders>
                    <w:top w:val="nil"/>
                    <w:left w:val="nil"/>
                    <w:right w:val="nil"/>
                  </w:tcBorders>
                  <w:shd w:val="clear" w:color="000000" w:fill="FFFF00"/>
                  <w:vAlign w:val="center"/>
                </w:tcPr>
                <w:p w14:paraId="50B76CD7" w14:textId="77777777" w:rsidR="00837FDD" w:rsidRPr="001756EF" w:rsidRDefault="00837FDD" w:rsidP="00C113F1">
                  <w:pPr>
                    <w:jc w:val="right"/>
                    <w:rPr>
                      <w:rFonts w:ascii="Calibri" w:hAnsi="Calibri" w:cs="Calibri"/>
                      <w:b/>
                      <w:bCs/>
                      <w:color w:val="000000"/>
                      <w:sz w:val="20"/>
                      <w:szCs w:val="20"/>
                    </w:rPr>
                  </w:pPr>
                </w:p>
              </w:tc>
              <w:tc>
                <w:tcPr>
                  <w:tcW w:w="1498" w:type="dxa"/>
                  <w:tcBorders>
                    <w:top w:val="nil"/>
                    <w:left w:val="nil"/>
                    <w:right w:val="nil"/>
                  </w:tcBorders>
                  <w:shd w:val="clear" w:color="000000" w:fill="FFFF00"/>
                  <w:vAlign w:val="center"/>
                </w:tcPr>
                <w:p w14:paraId="27D75524" w14:textId="77777777" w:rsidR="00837FDD" w:rsidRPr="00A10F85" w:rsidRDefault="00837FDD" w:rsidP="00FD77D1">
                  <w:pPr>
                    <w:ind w:right="68"/>
                    <w:jc w:val="right"/>
                    <w:rPr>
                      <w:rFonts w:ascii="Calibri" w:hAnsi="Calibri" w:cs="Calibri"/>
                      <w:b/>
                      <w:bCs/>
                      <w:sz w:val="20"/>
                      <w:szCs w:val="20"/>
                    </w:rPr>
                  </w:pPr>
                </w:p>
              </w:tc>
              <w:tc>
                <w:tcPr>
                  <w:tcW w:w="1466" w:type="dxa"/>
                  <w:tcBorders>
                    <w:top w:val="nil"/>
                    <w:left w:val="nil"/>
                    <w:right w:val="nil"/>
                  </w:tcBorders>
                  <w:shd w:val="clear" w:color="000000" w:fill="FFFF00"/>
                  <w:noWrap/>
                  <w:vAlign w:val="center"/>
                </w:tcPr>
                <w:p w14:paraId="0AEA022D" w14:textId="77777777" w:rsidR="00837FDD" w:rsidRPr="00A10F85" w:rsidRDefault="00837FDD" w:rsidP="00C113F1">
                  <w:pPr>
                    <w:jc w:val="right"/>
                    <w:rPr>
                      <w:rFonts w:ascii="Calibri" w:hAnsi="Calibri" w:cs="Calibri"/>
                      <w:b/>
                      <w:bCs/>
                      <w:color w:val="000000"/>
                      <w:sz w:val="20"/>
                      <w:szCs w:val="20"/>
                    </w:rPr>
                  </w:pPr>
                </w:p>
              </w:tc>
            </w:tr>
            <w:tr w:rsidR="00F87153" w:rsidRPr="001244BE" w14:paraId="30320628" w14:textId="77777777" w:rsidTr="00C113F1">
              <w:trPr>
                <w:trHeight w:val="319"/>
              </w:trPr>
              <w:tc>
                <w:tcPr>
                  <w:tcW w:w="4162" w:type="dxa"/>
                  <w:shd w:val="clear" w:color="auto" w:fill="FFFFFF"/>
                  <w:vAlign w:val="bottom"/>
                  <w:hideMark/>
                </w:tcPr>
                <w:p w14:paraId="255AE4CB" w14:textId="77777777" w:rsidR="00F87153" w:rsidRPr="00EC0F73" w:rsidRDefault="00F87153" w:rsidP="009E2D21">
                  <w:pPr>
                    <w:rPr>
                      <w:rFonts w:ascii="Calibri" w:hAnsi="Calibri" w:cs="Calibri"/>
                      <w:b/>
                      <w:bCs/>
                      <w:color w:val="000000"/>
                      <w:sz w:val="20"/>
                      <w:szCs w:val="20"/>
                      <w:lang w:eastAsia="en-IE"/>
                    </w:rPr>
                  </w:pPr>
                  <w:r w:rsidRPr="00EC0F73">
                    <w:rPr>
                      <w:rFonts w:ascii="Calibri" w:hAnsi="Calibri" w:cs="Calibri"/>
                      <w:b/>
                      <w:bCs/>
                      <w:color w:val="000000"/>
                      <w:sz w:val="20"/>
                      <w:szCs w:val="20"/>
                      <w:lang w:eastAsia="en-IE"/>
                    </w:rPr>
                    <w:t xml:space="preserve">Other segment information: </w:t>
                  </w:r>
                </w:p>
              </w:tc>
              <w:tc>
                <w:tcPr>
                  <w:tcW w:w="1497" w:type="dxa"/>
                  <w:shd w:val="clear" w:color="auto" w:fill="FFFF00"/>
                  <w:noWrap/>
                  <w:vAlign w:val="center"/>
                </w:tcPr>
                <w:p w14:paraId="2B0812B1" w14:textId="77777777" w:rsidR="00F87153" w:rsidRPr="00A10F85" w:rsidRDefault="00F87153" w:rsidP="005226B6">
                  <w:pPr>
                    <w:jc w:val="right"/>
                    <w:rPr>
                      <w:rFonts w:ascii="Calibri" w:hAnsi="Calibri" w:cs="Calibri"/>
                      <w:b/>
                      <w:bCs/>
                      <w:color w:val="000000"/>
                      <w:sz w:val="20"/>
                      <w:szCs w:val="20"/>
                      <w:lang w:eastAsia="en-IE"/>
                    </w:rPr>
                  </w:pPr>
                </w:p>
              </w:tc>
              <w:tc>
                <w:tcPr>
                  <w:tcW w:w="1665" w:type="dxa"/>
                  <w:shd w:val="clear" w:color="auto" w:fill="FFFF00"/>
                  <w:vAlign w:val="center"/>
                </w:tcPr>
                <w:p w14:paraId="6FC1ED0F" w14:textId="77777777" w:rsidR="00F87153" w:rsidRPr="00A10F85" w:rsidRDefault="00F87153" w:rsidP="00C113F1">
                  <w:pPr>
                    <w:jc w:val="right"/>
                    <w:rPr>
                      <w:rFonts w:ascii="Calibri" w:eastAsia="Calibri" w:hAnsi="Calibri" w:cs="Calibri"/>
                      <w:b/>
                      <w:bCs/>
                      <w:sz w:val="20"/>
                      <w:szCs w:val="20"/>
                      <w:lang w:eastAsia="en-IE"/>
                    </w:rPr>
                  </w:pPr>
                </w:p>
              </w:tc>
              <w:tc>
                <w:tcPr>
                  <w:tcW w:w="1498" w:type="dxa"/>
                  <w:shd w:val="clear" w:color="auto" w:fill="FFFF00"/>
                  <w:vAlign w:val="center"/>
                </w:tcPr>
                <w:p w14:paraId="7DB053B4" w14:textId="77777777" w:rsidR="00F87153" w:rsidRPr="00A10F85" w:rsidRDefault="00F87153" w:rsidP="00FD77D1">
                  <w:pPr>
                    <w:ind w:right="68"/>
                    <w:jc w:val="right"/>
                    <w:rPr>
                      <w:rFonts w:ascii="Calibri" w:eastAsia="Calibri" w:hAnsi="Calibri" w:cs="Calibri"/>
                      <w:b/>
                      <w:bCs/>
                      <w:sz w:val="20"/>
                      <w:szCs w:val="20"/>
                      <w:lang w:eastAsia="en-IE"/>
                    </w:rPr>
                  </w:pPr>
                </w:p>
              </w:tc>
              <w:tc>
                <w:tcPr>
                  <w:tcW w:w="1466" w:type="dxa"/>
                  <w:shd w:val="clear" w:color="auto" w:fill="FFFF00"/>
                  <w:noWrap/>
                  <w:vAlign w:val="center"/>
                </w:tcPr>
                <w:p w14:paraId="708818F3" w14:textId="77777777" w:rsidR="00F87153" w:rsidRPr="00A10F85" w:rsidRDefault="00F87153" w:rsidP="00C113F1">
                  <w:pPr>
                    <w:jc w:val="right"/>
                    <w:rPr>
                      <w:rFonts w:ascii="Calibri" w:eastAsia="Calibri" w:hAnsi="Calibri" w:cs="Calibri"/>
                      <w:b/>
                      <w:bCs/>
                      <w:sz w:val="20"/>
                      <w:szCs w:val="20"/>
                      <w:lang w:eastAsia="en-IE"/>
                    </w:rPr>
                  </w:pPr>
                </w:p>
              </w:tc>
            </w:tr>
            <w:tr w:rsidR="00EC0F73" w:rsidRPr="001244BE" w14:paraId="04AC48D3" w14:textId="77777777" w:rsidTr="00C113F1">
              <w:trPr>
                <w:trHeight w:val="319"/>
              </w:trPr>
              <w:tc>
                <w:tcPr>
                  <w:tcW w:w="4162" w:type="dxa"/>
                  <w:shd w:val="clear" w:color="auto" w:fill="FFFFFF"/>
                  <w:vAlign w:val="bottom"/>
                  <w:hideMark/>
                </w:tcPr>
                <w:p w14:paraId="0A230B52" w14:textId="77777777" w:rsidR="00EC0F73" w:rsidRPr="00EC0F73" w:rsidRDefault="00EC0F73" w:rsidP="00EC0F73">
                  <w:pPr>
                    <w:rPr>
                      <w:rFonts w:ascii="Calibri" w:hAnsi="Calibri" w:cs="Calibri"/>
                      <w:color w:val="000000"/>
                      <w:sz w:val="20"/>
                      <w:szCs w:val="20"/>
                      <w:lang w:eastAsia="en-IE"/>
                    </w:rPr>
                  </w:pPr>
                  <w:r w:rsidRPr="00EC0F73">
                    <w:rPr>
                      <w:rFonts w:ascii="Calibri" w:hAnsi="Calibri" w:cs="Calibri"/>
                      <w:color w:val="000000"/>
                      <w:sz w:val="20"/>
                      <w:szCs w:val="20"/>
                      <w:lang w:eastAsia="en-IE"/>
                    </w:rPr>
                    <w:t>Depreciation</w:t>
                  </w:r>
                </w:p>
              </w:tc>
              <w:tc>
                <w:tcPr>
                  <w:tcW w:w="1497" w:type="dxa"/>
                  <w:tcBorders>
                    <w:top w:val="nil"/>
                    <w:left w:val="nil"/>
                    <w:right w:val="nil"/>
                  </w:tcBorders>
                  <w:shd w:val="clear" w:color="000000" w:fill="FFFF00"/>
                  <w:noWrap/>
                  <w:vAlign w:val="center"/>
                </w:tcPr>
                <w:p w14:paraId="7D75F3A5" w14:textId="77777777" w:rsidR="00EC0F73" w:rsidRPr="00A10F85" w:rsidRDefault="00E21D7A" w:rsidP="005226B6">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w:t>
                  </w:r>
                  <w:r w:rsidR="00EC0F73" w:rsidRPr="00A10F85">
                    <w:rPr>
                      <w:rFonts w:ascii="Calibri" w:hAnsi="Calibri" w:cs="Calibri"/>
                      <w:b/>
                      <w:bCs/>
                      <w:color w:val="000000"/>
                      <w:sz w:val="20"/>
                      <w:szCs w:val="20"/>
                      <w:lang w:eastAsia="en-IE"/>
                    </w:rPr>
                    <w:t>5</w:t>
                  </w:r>
                  <w:r w:rsidR="006A21D2">
                    <w:rPr>
                      <w:rFonts w:ascii="Calibri" w:hAnsi="Calibri" w:cs="Calibri"/>
                      <w:b/>
                      <w:bCs/>
                      <w:color w:val="000000"/>
                      <w:sz w:val="20"/>
                      <w:szCs w:val="20"/>
                      <w:lang w:eastAsia="en-IE"/>
                    </w:rPr>
                    <w:t>37</w:t>
                  </w:r>
                  <w:r w:rsidR="00EC0F73" w:rsidRPr="00A10F85">
                    <w:rPr>
                      <w:rFonts w:ascii="Calibri" w:hAnsi="Calibri" w:cs="Calibri"/>
                      <w:b/>
                      <w:bCs/>
                      <w:color w:val="000000"/>
                      <w:sz w:val="20"/>
                      <w:szCs w:val="20"/>
                      <w:lang w:eastAsia="en-IE"/>
                    </w:rPr>
                    <w:t>.9</w:t>
                  </w:r>
                  <w:r>
                    <w:rPr>
                      <w:rFonts w:ascii="Calibri" w:hAnsi="Calibri" w:cs="Calibri"/>
                      <w:b/>
                      <w:bCs/>
                      <w:color w:val="000000"/>
                      <w:sz w:val="20"/>
                      <w:szCs w:val="20"/>
                      <w:lang w:eastAsia="en-IE"/>
                    </w:rPr>
                    <w:t>)</w:t>
                  </w:r>
                </w:p>
              </w:tc>
              <w:tc>
                <w:tcPr>
                  <w:tcW w:w="1665" w:type="dxa"/>
                  <w:tcBorders>
                    <w:top w:val="nil"/>
                    <w:left w:val="nil"/>
                    <w:right w:val="nil"/>
                  </w:tcBorders>
                  <w:shd w:val="clear" w:color="000000" w:fill="FFFF00"/>
                  <w:vAlign w:val="center"/>
                </w:tcPr>
                <w:p w14:paraId="3110FD40" w14:textId="77777777" w:rsidR="00EC0F73" w:rsidRPr="00A10F85" w:rsidRDefault="00E21D7A" w:rsidP="00EC0F73">
                  <w:pPr>
                    <w:jc w:val="right"/>
                    <w:rPr>
                      <w:rFonts w:ascii="Calibri" w:hAnsi="Calibri" w:cs="Calibri"/>
                      <w:b/>
                      <w:bCs/>
                      <w:color w:val="000000"/>
                      <w:sz w:val="20"/>
                      <w:szCs w:val="20"/>
                    </w:rPr>
                  </w:pPr>
                  <w:r>
                    <w:rPr>
                      <w:rFonts w:ascii="Calibri" w:hAnsi="Calibri" w:cs="Calibri"/>
                      <w:b/>
                      <w:bCs/>
                      <w:color w:val="000000"/>
                      <w:sz w:val="20"/>
                      <w:szCs w:val="20"/>
                    </w:rPr>
                    <w:t>(</w:t>
                  </w:r>
                  <w:r w:rsidR="00EC0F73" w:rsidRPr="00A10F85">
                    <w:rPr>
                      <w:rFonts w:ascii="Calibri" w:hAnsi="Calibri" w:cs="Calibri"/>
                      <w:b/>
                      <w:bCs/>
                      <w:color w:val="000000"/>
                      <w:sz w:val="20"/>
                      <w:szCs w:val="20"/>
                    </w:rPr>
                    <w:t>20.9</w:t>
                  </w:r>
                  <w:r>
                    <w:rPr>
                      <w:rFonts w:ascii="Calibri" w:hAnsi="Calibri" w:cs="Calibri"/>
                      <w:b/>
                      <w:bCs/>
                      <w:color w:val="000000"/>
                      <w:sz w:val="20"/>
                      <w:szCs w:val="20"/>
                    </w:rPr>
                    <w:t>)</w:t>
                  </w:r>
                </w:p>
              </w:tc>
              <w:tc>
                <w:tcPr>
                  <w:tcW w:w="1498" w:type="dxa"/>
                  <w:tcBorders>
                    <w:top w:val="nil"/>
                    <w:left w:val="nil"/>
                    <w:right w:val="nil"/>
                  </w:tcBorders>
                  <w:shd w:val="clear" w:color="000000" w:fill="FFFF00"/>
                  <w:vAlign w:val="center"/>
                </w:tcPr>
                <w:p w14:paraId="73D040E9" w14:textId="77777777" w:rsidR="00EC0F73" w:rsidRPr="00A10F85" w:rsidRDefault="00EC0F73" w:rsidP="00FD77D1">
                  <w:pPr>
                    <w:ind w:right="68"/>
                    <w:jc w:val="right"/>
                    <w:rPr>
                      <w:rFonts w:ascii="Calibri" w:hAnsi="Calibri" w:cs="Calibri"/>
                      <w:b/>
                      <w:bCs/>
                      <w:color w:val="000000"/>
                      <w:sz w:val="20"/>
                      <w:szCs w:val="20"/>
                    </w:rPr>
                  </w:pPr>
                  <w:r w:rsidRPr="00A10F85">
                    <w:rPr>
                      <w:rFonts w:ascii="Calibri" w:hAnsi="Calibri" w:cs="Calibri"/>
                      <w:b/>
                      <w:bCs/>
                      <w:color w:val="000000"/>
                      <w:sz w:val="20"/>
                      <w:szCs w:val="20"/>
                    </w:rPr>
                    <w:t>-</w:t>
                  </w:r>
                </w:p>
              </w:tc>
              <w:tc>
                <w:tcPr>
                  <w:tcW w:w="1466" w:type="dxa"/>
                  <w:tcBorders>
                    <w:top w:val="nil"/>
                    <w:left w:val="nil"/>
                    <w:right w:val="nil"/>
                  </w:tcBorders>
                  <w:shd w:val="clear" w:color="000000" w:fill="FFFF00"/>
                  <w:noWrap/>
                  <w:vAlign w:val="center"/>
                </w:tcPr>
                <w:p w14:paraId="1757217C" w14:textId="77777777" w:rsidR="00EC0F73" w:rsidRPr="00A10F85" w:rsidRDefault="00E21D7A" w:rsidP="00EC0F73">
                  <w:pPr>
                    <w:jc w:val="right"/>
                    <w:rPr>
                      <w:rFonts w:ascii="Calibri" w:hAnsi="Calibri" w:cs="Calibri"/>
                      <w:b/>
                      <w:bCs/>
                      <w:color w:val="000000"/>
                      <w:sz w:val="20"/>
                      <w:szCs w:val="20"/>
                    </w:rPr>
                  </w:pPr>
                  <w:r>
                    <w:rPr>
                      <w:rFonts w:ascii="Calibri" w:hAnsi="Calibri" w:cs="Calibri"/>
                      <w:b/>
                      <w:bCs/>
                      <w:color w:val="000000"/>
                      <w:sz w:val="20"/>
                      <w:szCs w:val="20"/>
                    </w:rPr>
                    <w:t>(</w:t>
                  </w:r>
                  <w:r w:rsidR="00EC0F73" w:rsidRPr="00A10F85">
                    <w:rPr>
                      <w:rFonts w:ascii="Calibri" w:hAnsi="Calibri" w:cs="Calibri"/>
                      <w:b/>
                      <w:bCs/>
                      <w:color w:val="000000"/>
                      <w:sz w:val="20"/>
                      <w:szCs w:val="20"/>
                    </w:rPr>
                    <w:t>5</w:t>
                  </w:r>
                  <w:r w:rsidR="006A21D2">
                    <w:rPr>
                      <w:rFonts w:ascii="Calibri" w:hAnsi="Calibri" w:cs="Calibri"/>
                      <w:b/>
                      <w:bCs/>
                      <w:color w:val="000000"/>
                      <w:sz w:val="20"/>
                      <w:szCs w:val="20"/>
                    </w:rPr>
                    <w:t>58</w:t>
                  </w:r>
                  <w:r w:rsidR="00EC0F73" w:rsidRPr="00A10F85">
                    <w:rPr>
                      <w:rFonts w:ascii="Calibri" w:hAnsi="Calibri" w:cs="Calibri"/>
                      <w:b/>
                      <w:bCs/>
                      <w:color w:val="000000"/>
                      <w:sz w:val="20"/>
                      <w:szCs w:val="20"/>
                    </w:rPr>
                    <w:t>.8</w:t>
                  </w:r>
                  <w:r>
                    <w:rPr>
                      <w:rFonts w:ascii="Calibri" w:hAnsi="Calibri" w:cs="Calibri"/>
                      <w:b/>
                      <w:bCs/>
                      <w:color w:val="000000"/>
                      <w:sz w:val="20"/>
                      <w:szCs w:val="20"/>
                    </w:rPr>
                    <w:t>)</w:t>
                  </w:r>
                </w:p>
              </w:tc>
            </w:tr>
            <w:tr w:rsidR="00EC0F73" w:rsidRPr="001244BE" w14:paraId="2751B921" w14:textId="77777777" w:rsidTr="00C113F1">
              <w:trPr>
                <w:trHeight w:val="319"/>
              </w:trPr>
              <w:tc>
                <w:tcPr>
                  <w:tcW w:w="4162" w:type="dxa"/>
                  <w:shd w:val="clear" w:color="auto" w:fill="FFFFFF"/>
                  <w:vAlign w:val="bottom"/>
                </w:tcPr>
                <w:p w14:paraId="607271A9" w14:textId="77777777" w:rsidR="00EC0F73" w:rsidRPr="00EC0F73" w:rsidRDefault="00EC0F73" w:rsidP="00EC0F73">
                  <w:pPr>
                    <w:rPr>
                      <w:rFonts w:ascii="Calibri" w:hAnsi="Calibri" w:cs="Calibri"/>
                      <w:color w:val="000000"/>
                      <w:sz w:val="20"/>
                      <w:szCs w:val="20"/>
                      <w:lang w:eastAsia="en-IE"/>
                    </w:rPr>
                  </w:pPr>
                  <w:r w:rsidRPr="00EC0F73">
                    <w:rPr>
                      <w:rFonts w:ascii="Calibri" w:hAnsi="Calibri" w:cs="Calibri"/>
                      <w:color w:val="000000"/>
                      <w:sz w:val="20"/>
                      <w:szCs w:val="20"/>
                      <w:lang w:eastAsia="en-IE"/>
                    </w:rPr>
                    <w:t>Net finance income</w:t>
                  </w:r>
                  <w:r>
                    <w:rPr>
                      <w:rFonts w:ascii="Calibri" w:hAnsi="Calibri" w:cs="Calibri"/>
                      <w:color w:val="000000"/>
                      <w:sz w:val="20"/>
                      <w:szCs w:val="20"/>
                      <w:lang w:eastAsia="en-IE"/>
                    </w:rPr>
                    <w:t>/(expense)</w:t>
                  </w:r>
                </w:p>
              </w:tc>
              <w:tc>
                <w:tcPr>
                  <w:tcW w:w="1497" w:type="dxa"/>
                  <w:tcBorders>
                    <w:top w:val="nil"/>
                    <w:left w:val="nil"/>
                    <w:right w:val="nil"/>
                  </w:tcBorders>
                  <w:shd w:val="clear" w:color="000000" w:fill="FFFF00"/>
                  <w:noWrap/>
                  <w:vAlign w:val="center"/>
                </w:tcPr>
                <w:p w14:paraId="217F4447" w14:textId="77777777" w:rsidR="00EC0F73" w:rsidRPr="00A10F85" w:rsidRDefault="006A21D2" w:rsidP="005226B6">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36.2</w:t>
                  </w:r>
                </w:p>
              </w:tc>
              <w:tc>
                <w:tcPr>
                  <w:tcW w:w="1665" w:type="dxa"/>
                  <w:tcBorders>
                    <w:top w:val="nil"/>
                    <w:left w:val="nil"/>
                    <w:right w:val="nil"/>
                  </w:tcBorders>
                  <w:shd w:val="clear" w:color="000000" w:fill="FFFF00"/>
                  <w:vAlign w:val="center"/>
                </w:tcPr>
                <w:p w14:paraId="2A6B1024" w14:textId="77777777" w:rsidR="00EC0F73" w:rsidRPr="00A10F85" w:rsidRDefault="00EC0F73" w:rsidP="00EC0F73">
                  <w:pPr>
                    <w:jc w:val="right"/>
                    <w:rPr>
                      <w:rFonts w:ascii="Calibri" w:hAnsi="Calibri" w:cs="Calibri"/>
                      <w:b/>
                      <w:bCs/>
                      <w:sz w:val="20"/>
                      <w:szCs w:val="20"/>
                    </w:rPr>
                  </w:pPr>
                  <w:r w:rsidRPr="00A10F85">
                    <w:rPr>
                      <w:rFonts w:ascii="Calibri" w:hAnsi="Calibri" w:cs="Calibri"/>
                      <w:b/>
                      <w:bCs/>
                      <w:sz w:val="20"/>
                      <w:szCs w:val="20"/>
                    </w:rPr>
                    <w:t>(4.4)</w:t>
                  </w:r>
                </w:p>
              </w:tc>
              <w:tc>
                <w:tcPr>
                  <w:tcW w:w="1498" w:type="dxa"/>
                  <w:tcBorders>
                    <w:top w:val="nil"/>
                    <w:left w:val="nil"/>
                    <w:right w:val="nil"/>
                  </w:tcBorders>
                  <w:shd w:val="clear" w:color="000000" w:fill="FFFF00"/>
                  <w:vAlign w:val="center"/>
                </w:tcPr>
                <w:p w14:paraId="6856FF54" w14:textId="77777777" w:rsidR="00EC0F73" w:rsidRPr="00A10F85" w:rsidRDefault="00EC0F73" w:rsidP="00FD77D1">
                  <w:pPr>
                    <w:ind w:right="68"/>
                    <w:jc w:val="right"/>
                    <w:rPr>
                      <w:rFonts w:ascii="Calibri" w:eastAsia="Calibri" w:hAnsi="Calibri" w:cs="Calibri"/>
                      <w:b/>
                      <w:bCs/>
                      <w:sz w:val="20"/>
                      <w:szCs w:val="20"/>
                      <w:lang w:eastAsia="en-IE"/>
                    </w:rPr>
                  </w:pPr>
                  <w:r w:rsidRPr="00A10F85">
                    <w:rPr>
                      <w:rFonts w:ascii="Calibri" w:eastAsia="Calibri" w:hAnsi="Calibri" w:cs="Calibri"/>
                      <w:b/>
                      <w:bCs/>
                      <w:sz w:val="20"/>
                      <w:szCs w:val="20"/>
                      <w:lang w:eastAsia="en-IE"/>
                    </w:rPr>
                    <w:t>-</w:t>
                  </w:r>
                </w:p>
              </w:tc>
              <w:tc>
                <w:tcPr>
                  <w:tcW w:w="1466" w:type="dxa"/>
                  <w:tcBorders>
                    <w:top w:val="nil"/>
                    <w:left w:val="nil"/>
                    <w:right w:val="nil"/>
                  </w:tcBorders>
                  <w:shd w:val="clear" w:color="000000" w:fill="FFFF00"/>
                  <w:noWrap/>
                  <w:vAlign w:val="center"/>
                </w:tcPr>
                <w:p w14:paraId="6C8E39F1" w14:textId="77777777" w:rsidR="00EC0F73" w:rsidRPr="00A10F85" w:rsidRDefault="006A21D2" w:rsidP="00EC0F73">
                  <w:pPr>
                    <w:jc w:val="right"/>
                    <w:rPr>
                      <w:rFonts w:ascii="Calibri" w:eastAsia="Calibri" w:hAnsi="Calibri" w:cs="Calibri"/>
                      <w:b/>
                      <w:bCs/>
                      <w:sz w:val="20"/>
                      <w:szCs w:val="20"/>
                      <w:lang w:eastAsia="en-IE"/>
                    </w:rPr>
                  </w:pPr>
                  <w:r>
                    <w:rPr>
                      <w:rFonts w:ascii="Calibri" w:eastAsia="Calibri" w:hAnsi="Calibri" w:cs="Calibri"/>
                      <w:b/>
                      <w:bCs/>
                      <w:sz w:val="20"/>
                      <w:szCs w:val="20"/>
                      <w:lang w:eastAsia="en-IE"/>
                    </w:rPr>
                    <w:t>31.8</w:t>
                  </w:r>
                </w:p>
              </w:tc>
            </w:tr>
            <w:tr w:rsidR="008A1F20" w:rsidRPr="001244BE" w14:paraId="22FFFB2D" w14:textId="77777777" w:rsidTr="00F47A96">
              <w:trPr>
                <w:trHeight w:val="319"/>
              </w:trPr>
              <w:tc>
                <w:tcPr>
                  <w:tcW w:w="4162" w:type="dxa"/>
                  <w:shd w:val="clear" w:color="auto" w:fill="FFFFFF"/>
                  <w:vAlign w:val="bottom"/>
                  <w:hideMark/>
                </w:tcPr>
                <w:p w14:paraId="0537F418" w14:textId="77777777" w:rsidR="008A1F20" w:rsidRPr="00EC0F73" w:rsidRDefault="008A1F20" w:rsidP="008A1F20">
                  <w:pPr>
                    <w:rPr>
                      <w:rFonts w:ascii="Calibri" w:hAnsi="Calibri" w:cs="Calibri"/>
                      <w:color w:val="000000"/>
                      <w:sz w:val="20"/>
                      <w:szCs w:val="20"/>
                      <w:lang w:eastAsia="en-IE"/>
                    </w:rPr>
                  </w:pPr>
                  <w:r w:rsidRPr="00EC0F73">
                    <w:rPr>
                      <w:rFonts w:ascii="Calibri" w:hAnsi="Calibri" w:cs="Calibri"/>
                      <w:color w:val="000000"/>
                      <w:sz w:val="20"/>
                      <w:szCs w:val="20"/>
                      <w:lang w:eastAsia="en-IE"/>
                    </w:rPr>
                    <w:t>Capital expenditure</w:t>
                  </w:r>
                </w:p>
              </w:tc>
              <w:tc>
                <w:tcPr>
                  <w:tcW w:w="1497" w:type="dxa"/>
                  <w:tcBorders>
                    <w:left w:val="nil"/>
                    <w:right w:val="nil"/>
                  </w:tcBorders>
                  <w:shd w:val="clear" w:color="000000" w:fill="FFFF00"/>
                  <w:noWrap/>
                  <w:vAlign w:val="bottom"/>
                </w:tcPr>
                <w:p w14:paraId="4E9BECAC" w14:textId="77777777" w:rsidR="008A1F20" w:rsidRPr="00A10F85" w:rsidRDefault="008A1F20" w:rsidP="008A1F20">
                  <w:pPr>
                    <w:jc w:val="right"/>
                    <w:rPr>
                      <w:rFonts w:ascii="Calibri" w:hAnsi="Calibri" w:cs="Calibri"/>
                      <w:b/>
                      <w:bCs/>
                      <w:color w:val="000000"/>
                      <w:sz w:val="20"/>
                      <w:szCs w:val="20"/>
                      <w:highlight w:val="green"/>
                      <w:lang w:eastAsia="en-IE"/>
                    </w:rPr>
                  </w:pPr>
                  <w:r w:rsidRPr="008A1F20">
                    <w:rPr>
                      <w:rFonts w:ascii="Calibri" w:hAnsi="Calibri" w:cs="Calibri"/>
                      <w:b/>
                      <w:color w:val="000000"/>
                      <w:sz w:val="20"/>
                      <w:szCs w:val="20"/>
                      <w:lang w:eastAsia="en-IE"/>
                    </w:rPr>
                    <w:t>(949.9)</w:t>
                  </w:r>
                </w:p>
              </w:tc>
              <w:tc>
                <w:tcPr>
                  <w:tcW w:w="1665" w:type="dxa"/>
                  <w:tcBorders>
                    <w:left w:val="nil"/>
                    <w:right w:val="nil"/>
                  </w:tcBorders>
                  <w:shd w:val="clear" w:color="000000" w:fill="FFFF00"/>
                  <w:vAlign w:val="bottom"/>
                </w:tcPr>
                <w:p w14:paraId="4ED365EA" w14:textId="77777777" w:rsidR="008A1F20" w:rsidRPr="00A10F85" w:rsidRDefault="008A1F20" w:rsidP="008A1F20">
                  <w:pPr>
                    <w:jc w:val="right"/>
                    <w:rPr>
                      <w:rFonts w:ascii="Calibri" w:hAnsi="Calibri" w:cs="Calibri"/>
                      <w:b/>
                      <w:bCs/>
                      <w:sz w:val="20"/>
                      <w:szCs w:val="20"/>
                      <w:highlight w:val="green"/>
                    </w:rPr>
                  </w:pPr>
                  <w:r w:rsidRPr="008A1F20">
                    <w:rPr>
                      <w:rFonts w:ascii="Calibri" w:hAnsi="Calibri" w:cs="Calibri"/>
                      <w:b/>
                      <w:sz w:val="20"/>
                      <w:szCs w:val="20"/>
                    </w:rPr>
                    <w:t>(29.2)</w:t>
                  </w:r>
                </w:p>
              </w:tc>
              <w:tc>
                <w:tcPr>
                  <w:tcW w:w="1498" w:type="dxa"/>
                  <w:tcBorders>
                    <w:left w:val="nil"/>
                    <w:right w:val="nil"/>
                  </w:tcBorders>
                  <w:shd w:val="clear" w:color="000000" w:fill="FFFF00"/>
                  <w:vAlign w:val="bottom"/>
                </w:tcPr>
                <w:p w14:paraId="1EF99D46" w14:textId="77777777" w:rsidR="008A1F20" w:rsidRPr="00A10F85" w:rsidRDefault="008A1F20" w:rsidP="00FD77D1">
                  <w:pPr>
                    <w:ind w:right="68"/>
                    <w:jc w:val="right"/>
                    <w:rPr>
                      <w:rFonts w:ascii="Calibri" w:eastAsia="Calibri" w:hAnsi="Calibri" w:cs="Calibri"/>
                      <w:b/>
                      <w:bCs/>
                      <w:sz w:val="20"/>
                      <w:szCs w:val="20"/>
                      <w:highlight w:val="yellow"/>
                      <w:lang w:eastAsia="en-IE"/>
                    </w:rPr>
                  </w:pPr>
                  <w:r w:rsidRPr="008A1F20">
                    <w:rPr>
                      <w:rFonts w:ascii="Calibri" w:eastAsia="Calibri" w:hAnsi="Calibri" w:cs="Calibri"/>
                      <w:b/>
                      <w:sz w:val="20"/>
                      <w:szCs w:val="20"/>
                      <w:lang w:eastAsia="en-IE"/>
                    </w:rPr>
                    <w:t>-</w:t>
                  </w:r>
                </w:p>
              </w:tc>
              <w:tc>
                <w:tcPr>
                  <w:tcW w:w="1466" w:type="dxa"/>
                  <w:tcBorders>
                    <w:left w:val="nil"/>
                    <w:right w:val="nil"/>
                  </w:tcBorders>
                  <w:shd w:val="clear" w:color="000000" w:fill="FFFF00"/>
                  <w:noWrap/>
                  <w:vAlign w:val="bottom"/>
                </w:tcPr>
                <w:p w14:paraId="6913430B" w14:textId="77777777" w:rsidR="008A1F20" w:rsidRPr="00A10F85" w:rsidRDefault="008A1F20" w:rsidP="008A1F20">
                  <w:pPr>
                    <w:jc w:val="right"/>
                    <w:rPr>
                      <w:rFonts w:ascii="Calibri" w:eastAsia="Calibri" w:hAnsi="Calibri" w:cs="Calibri"/>
                      <w:b/>
                      <w:bCs/>
                      <w:sz w:val="20"/>
                      <w:szCs w:val="20"/>
                      <w:highlight w:val="green"/>
                      <w:lang w:eastAsia="en-IE"/>
                    </w:rPr>
                  </w:pPr>
                  <w:r w:rsidRPr="008A1F20">
                    <w:rPr>
                      <w:rFonts w:ascii="Calibri" w:eastAsia="Calibri" w:hAnsi="Calibri" w:cs="Calibri"/>
                      <w:b/>
                      <w:sz w:val="20"/>
                      <w:szCs w:val="20"/>
                      <w:lang w:eastAsia="en-IE"/>
                    </w:rPr>
                    <w:t>(979.1)</w:t>
                  </w:r>
                </w:p>
              </w:tc>
            </w:tr>
            <w:tr w:rsidR="00EC0F73" w:rsidRPr="001244BE" w14:paraId="48DAEE0E" w14:textId="77777777" w:rsidTr="00C113F1">
              <w:trPr>
                <w:trHeight w:val="319"/>
              </w:trPr>
              <w:tc>
                <w:tcPr>
                  <w:tcW w:w="4162" w:type="dxa"/>
                  <w:shd w:val="clear" w:color="auto" w:fill="FFFFFF"/>
                  <w:vAlign w:val="bottom"/>
                </w:tcPr>
                <w:p w14:paraId="5153C2B1" w14:textId="77777777" w:rsidR="00EC0F73" w:rsidRPr="00EC0F73" w:rsidRDefault="00EC0F73" w:rsidP="00EC0F73">
                  <w:pPr>
                    <w:rPr>
                      <w:rFonts w:ascii="Calibri" w:hAnsi="Calibri" w:cs="Calibri"/>
                      <w:color w:val="000000"/>
                      <w:sz w:val="20"/>
                      <w:szCs w:val="20"/>
                      <w:lang w:eastAsia="en-IE"/>
                    </w:rPr>
                  </w:pPr>
                </w:p>
              </w:tc>
              <w:tc>
                <w:tcPr>
                  <w:tcW w:w="1497" w:type="dxa"/>
                  <w:tcBorders>
                    <w:left w:val="nil"/>
                    <w:right w:val="nil"/>
                  </w:tcBorders>
                  <w:shd w:val="clear" w:color="000000" w:fill="FFFF00"/>
                  <w:noWrap/>
                  <w:vAlign w:val="center"/>
                </w:tcPr>
                <w:p w14:paraId="1560D5DF" w14:textId="77777777" w:rsidR="00EC0F73" w:rsidRPr="00A10F85" w:rsidRDefault="00EC0F73" w:rsidP="005226B6">
                  <w:pPr>
                    <w:jc w:val="right"/>
                    <w:rPr>
                      <w:rFonts w:ascii="Calibri" w:hAnsi="Calibri" w:cs="Calibri"/>
                      <w:b/>
                      <w:bCs/>
                      <w:color w:val="000000"/>
                      <w:sz w:val="20"/>
                      <w:szCs w:val="20"/>
                      <w:lang w:eastAsia="en-IE"/>
                    </w:rPr>
                  </w:pPr>
                </w:p>
              </w:tc>
              <w:tc>
                <w:tcPr>
                  <w:tcW w:w="1665" w:type="dxa"/>
                  <w:tcBorders>
                    <w:left w:val="nil"/>
                    <w:right w:val="nil"/>
                  </w:tcBorders>
                  <w:shd w:val="clear" w:color="000000" w:fill="FFFF00"/>
                  <w:vAlign w:val="center"/>
                </w:tcPr>
                <w:p w14:paraId="3EF9901F" w14:textId="77777777" w:rsidR="00EC0F73" w:rsidRPr="00A10F85" w:rsidRDefault="00EC0F73" w:rsidP="00EC0F73">
                  <w:pPr>
                    <w:jc w:val="right"/>
                    <w:rPr>
                      <w:rFonts w:ascii="Calibri" w:hAnsi="Calibri" w:cs="Calibri"/>
                      <w:b/>
                      <w:bCs/>
                      <w:sz w:val="20"/>
                      <w:szCs w:val="20"/>
                      <w:highlight w:val="yellow"/>
                    </w:rPr>
                  </w:pPr>
                </w:p>
              </w:tc>
              <w:tc>
                <w:tcPr>
                  <w:tcW w:w="1498" w:type="dxa"/>
                  <w:tcBorders>
                    <w:left w:val="nil"/>
                    <w:right w:val="nil"/>
                  </w:tcBorders>
                  <w:shd w:val="clear" w:color="000000" w:fill="FFFF00"/>
                  <w:vAlign w:val="center"/>
                </w:tcPr>
                <w:p w14:paraId="071AD360" w14:textId="77777777" w:rsidR="00EC0F73" w:rsidRPr="00A10F85" w:rsidRDefault="00EC0F73" w:rsidP="00FD77D1">
                  <w:pPr>
                    <w:ind w:right="68"/>
                    <w:jc w:val="right"/>
                    <w:rPr>
                      <w:rFonts w:ascii="Calibri" w:eastAsia="Calibri" w:hAnsi="Calibri" w:cs="Calibri"/>
                      <w:b/>
                      <w:bCs/>
                      <w:sz w:val="20"/>
                      <w:szCs w:val="20"/>
                      <w:lang w:eastAsia="en-IE"/>
                    </w:rPr>
                  </w:pPr>
                </w:p>
              </w:tc>
              <w:tc>
                <w:tcPr>
                  <w:tcW w:w="1466" w:type="dxa"/>
                  <w:tcBorders>
                    <w:left w:val="nil"/>
                    <w:right w:val="nil"/>
                  </w:tcBorders>
                  <w:shd w:val="clear" w:color="000000" w:fill="FFFF00"/>
                  <w:noWrap/>
                  <w:vAlign w:val="center"/>
                </w:tcPr>
                <w:p w14:paraId="2B2BC2BF" w14:textId="77777777" w:rsidR="00EC0F73" w:rsidRPr="00A10F85" w:rsidRDefault="00EC0F73" w:rsidP="00EC0F73">
                  <w:pPr>
                    <w:jc w:val="right"/>
                    <w:rPr>
                      <w:rFonts w:ascii="Calibri" w:eastAsia="Calibri" w:hAnsi="Calibri" w:cs="Calibri"/>
                      <w:b/>
                      <w:bCs/>
                      <w:sz w:val="20"/>
                      <w:szCs w:val="20"/>
                      <w:highlight w:val="green"/>
                      <w:lang w:eastAsia="en-IE"/>
                    </w:rPr>
                  </w:pPr>
                </w:p>
              </w:tc>
            </w:tr>
            <w:tr w:rsidR="00682230" w:rsidRPr="001244BE" w14:paraId="175E1E41" w14:textId="77777777" w:rsidTr="00C113F1">
              <w:trPr>
                <w:trHeight w:val="319"/>
              </w:trPr>
              <w:tc>
                <w:tcPr>
                  <w:tcW w:w="4162" w:type="dxa"/>
                  <w:shd w:val="clear" w:color="auto" w:fill="FFFFFF"/>
                  <w:vAlign w:val="bottom"/>
                  <w:hideMark/>
                </w:tcPr>
                <w:p w14:paraId="11EB72AB" w14:textId="77777777" w:rsidR="00682230" w:rsidRPr="00EC0F73" w:rsidRDefault="00682230" w:rsidP="00682230">
                  <w:pPr>
                    <w:rPr>
                      <w:rFonts w:ascii="Calibri" w:hAnsi="Calibri" w:cs="Calibri"/>
                      <w:color w:val="000000"/>
                      <w:sz w:val="20"/>
                      <w:szCs w:val="20"/>
                      <w:lang w:eastAsia="en-IE"/>
                    </w:rPr>
                  </w:pPr>
                  <w:r w:rsidRPr="00EC0F73">
                    <w:rPr>
                      <w:rFonts w:ascii="Calibri" w:hAnsi="Calibri" w:cs="Calibri"/>
                      <w:color w:val="000000"/>
                      <w:sz w:val="20"/>
                      <w:szCs w:val="20"/>
                      <w:lang w:eastAsia="en-IE"/>
                    </w:rPr>
                    <w:t>Segment assets</w:t>
                  </w:r>
                </w:p>
              </w:tc>
              <w:tc>
                <w:tcPr>
                  <w:tcW w:w="1497" w:type="dxa"/>
                  <w:tcBorders>
                    <w:top w:val="nil"/>
                    <w:left w:val="nil"/>
                    <w:bottom w:val="nil"/>
                    <w:right w:val="nil"/>
                  </w:tcBorders>
                  <w:shd w:val="clear" w:color="000000" w:fill="FFFF00"/>
                  <w:noWrap/>
                  <w:vAlign w:val="center"/>
                </w:tcPr>
                <w:p w14:paraId="109ACCF6" w14:textId="77777777" w:rsidR="00682230" w:rsidRPr="00854ED6" w:rsidRDefault="00682230" w:rsidP="00682230">
                  <w:pPr>
                    <w:ind w:left="-245"/>
                    <w:jc w:val="right"/>
                    <w:rPr>
                      <w:rFonts w:ascii="Calibri" w:hAnsi="Calibri" w:cs="Calibri"/>
                      <w:b/>
                      <w:bCs/>
                      <w:color w:val="000000"/>
                      <w:sz w:val="20"/>
                      <w:szCs w:val="20"/>
                      <w:highlight w:val="green"/>
                      <w:lang w:eastAsia="en-IE"/>
                    </w:rPr>
                  </w:pPr>
                  <w:r w:rsidRPr="00682230">
                    <w:rPr>
                      <w:rFonts w:ascii="Calibri" w:hAnsi="Calibri" w:cs="Calibri"/>
                      <w:b/>
                      <w:bCs/>
                      <w:color w:val="000000"/>
                      <w:sz w:val="20"/>
                      <w:szCs w:val="20"/>
                      <w:lang w:eastAsia="en-IE"/>
                    </w:rPr>
                    <w:t>15,728.7</w:t>
                  </w:r>
                </w:p>
              </w:tc>
              <w:tc>
                <w:tcPr>
                  <w:tcW w:w="1665" w:type="dxa"/>
                  <w:tcBorders>
                    <w:top w:val="nil"/>
                    <w:left w:val="nil"/>
                    <w:bottom w:val="nil"/>
                    <w:right w:val="nil"/>
                  </w:tcBorders>
                  <w:shd w:val="clear" w:color="000000" w:fill="FFFF00"/>
                  <w:vAlign w:val="center"/>
                </w:tcPr>
                <w:p w14:paraId="1DB5ADBF" w14:textId="77777777" w:rsidR="00682230" w:rsidRPr="00682230" w:rsidRDefault="00682230" w:rsidP="00682230">
                  <w:pPr>
                    <w:jc w:val="right"/>
                    <w:rPr>
                      <w:rFonts w:ascii="Calibri" w:hAnsi="Calibri" w:cs="Calibri"/>
                      <w:b/>
                      <w:bCs/>
                      <w:color w:val="000000"/>
                      <w:sz w:val="20"/>
                      <w:szCs w:val="20"/>
                    </w:rPr>
                  </w:pPr>
                  <w:r w:rsidRPr="00682230">
                    <w:rPr>
                      <w:rFonts w:ascii="Calibri" w:hAnsi="Calibri" w:cs="Calibri"/>
                      <w:b/>
                      <w:bCs/>
                      <w:color w:val="000000"/>
                      <w:sz w:val="20"/>
                      <w:szCs w:val="20"/>
                    </w:rPr>
                    <w:t>639.6</w:t>
                  </w:r>
                </w:p>
              </w:tc>
              <w:tc>
                <w:tcPr>
                  <w:tcW w:w="1498" w:type="dxa"/>
                  <w:tcBorders>
                    <w:top w:val="nil"/>
                    <w:left w:val="nil"/>
                    <w:bottom w:val="nil"/>
                    <w:right w:val="nil"/>
                  </w:tcBorders>
                  <w:shd w:val="clear" w:color="000000" w:fill="FFFF00"/>
                  <w:vAlign w:val="center"/>
                </w:tcPr>
                <w:p w14:paraId="5DD72A96" w14:textId="77777777" w:rsidR="00682230" w:rsidRPr="00682230" w:rsidRDefault="00682230" w:rsidP="00682230">
                  <w:pPr>
                    <w:ind w:right="68"/>
                    <w:jc w:val="right"/>
                    <w:rPr>
                      <w:rFonts w:ascii="Calibri" w:eastAsia="Calibri" w:hAnsi="Calibri" w:cs="Calibri"/>
                      <w:b/>
                      <w:bCs/>
                      <w:sz w:val="20"/>
                      <w:szCs w:val="20"/>
                      <w:lang w:eastAsia="en-IE"/>
                    </w:rPr>
                  </w:pPr>
                  <w:r w:rsidRPr="00682230">
                    <w:rPr>
                      <w:rFonts w:ascii="Calibri" w:eastAsia="Calibri" w:hAnsi="Calibri" w:cs="Calibri"/>
                      <w:b/>
                      <w:bCs/>
                      <w:sz w:val="20"/>
                      <w:szCs w:val="20"/>
                      <w:lang w:eastAsia="en-IE"/>
                    </w:rPr>
                    <w:t>-</w:t>
                  </w:r>
                </w:p>
              </w:tc>
              <w:tc>
                <w:tcPr>
                  <w:tcW w:w="1466" w:type="dxa"/>
                  <w:tcBorders>
                    <w:top w:val="nil"/>
                    <w:left w:val="nil"/>
                    <w:bottom w:val="nil"/>
                    <w:right w:val="nil"/>
                  </w:tcBorders>
                  <w:shd w:val="clear" w:color="000000" w:fill="FFFF00"/>
                  <w:noWrap/>
                  <w:vAlign w:val="center"/>
                </w:tcPr>
                <w:p w14:paraId="2289B128" w14:textId="77777777" w:rsidR="00682230" w:rsidRPr="00682230" w:rsidRDefault="00682230" w:rsidP="00682230">
                  <w:pPr>
                    <w:jc w:val="right"/>
                    <w:rPr>
                      <w:rFonts w:ascii="Calibri" w:eastAsia="Calibri" w:hAnsi="Calibri" w:cs="Calibri"/>
                      <w:b/>
                      <w:bCs/>
                      <w:sz w:val="20"/>
                      <w:szCs w:val="20"/>
                      <w:lang w:eastAsia="en-IE"/>
                    </w:rPr>
                  </w:pPr>
                  <w:r w:rsidRPr="00682230">
                    <w:rPr>
                      <w:rFonts w:ascii="Calibri" w:eastAsia="Calibri" w:hAnsi="Calibri" w:cs="Calibri"/>
                      <w:b/>
                      <w:bCs/>
                      <w:sz w:val="20"/>
                      <w:szCs w:val="20"/>
                      <w:lang w:eastAsia="en-IE"/>
                    </w:rPr>
                    <w:t>16,368.3</w:t>
                  </w:r>
                </w:p>
              </w:tc>
            </w:tr>
            <w:tr w:rsidR="00682230" w:rsidRPr="001244BE" w14:paraId="65C15C10" w14:textId="77777777" w:rsidTr="00C113F1">
              <w:trPr>
                <w:trHeight w:val="319"/>
              </w:trPr>
              <w:tc>
                <w:tcPr>
                  <w:tcW w:w="4162" w:type="dxa"/>
                  <w:shd w:val="clear" w:color="auto" w:fill="FFFFFF"/>
                  <w:vAlign w:val="bottom"/>
                  <w:hideMark/>
                </w:tcPr>
                <w:p w14:paraId="10BB6B79" w14:textId="77777777" w:rsidR="00682230" w:rsidRPr="00EC0F73" w:rsidRDefault="00682230" w:rsidP="00682230">
                  <w:pPr>
                    <w:rPr>
                      <w:rFonts w:ascii="Calibri" w:hAnsi="Calibri" w:cs="Calibri"/>
                      <w:color w:val="000000"/>
                      <w:sz w:val="20"/>
                      <w:szCs w:val="20"/>
                      <w:lang w:eastAsia="en-IE"/>
                    </w:rPr>
                  </w:pPr>
                  <w:r w:rsidRPr="00EC0F73">
                    <w:rPr>
                      <w:rFonts w:ascii="Calibri" w:hAnsi="Calibri" w:cs="Calibri"/>
                      <w:color w:val="000000"/>
                      <w:sz w:val="20"/>
                      <w:szCs w:val="20"/>
                      <w:lang w:eastAsia="en-IE"/>
                    </w:rPr>
                    <w:t>Segment liabilities</w:t>
                  </w:r>
                </w:p>
              </w:tc>
              <w:tc>
                <w:tcPr>
                  <w:tcW w:w="1497" w:type="dxa"/>
                  <w:tcBorders>
                    <w:top w:val="nil"/>
                    <w:left w:val="nil"/>
                    <w:bottom w:val="nil"/>
                    <w:right w:val="nil"/>
                  </w:tcBorders>
                  <w:shd w:val="clear" w:color="000000" w:fill="FFFF00"/>
                  <w:noWrap/>
                  <w:vAlign w:val="center"/>
                </w:tcPr>
                <w:p w14:paraId="0116BBDB" w14:textId="77777777" w:rsidR="00682230" w:rsidRPr="00854ED6" w:rsidRDefault="00682230" w:rsidP="00682230">
                  <w:pPr>
                    <w:jc w:val="right"/>
                    <w:rPr>
                      <w:rFonts w:ascii="Calibri" w:hAnsi="Calibri" w:cs="Calibri"/>
                      <w:b/>
                      <w:bCs/>
                      <w:color w:val="000000"/>
                      <w:sz w:val="20"/>
                      <w:szCs w:val="20"/>
                      <w:highlight w:val="green"/>
                      <w:lang w:eastAsia="en-IE"/>
                    </w:rPr>
                  </w:pPr>
                  <w:r w:rsidRPr="00682230">
                    <w:rPr>
                      <w:rFonts w:ascii="Calibri" w:hAnsi="Calibri" w:cs="Calibri"/>
                      <w:b/>
                      <w:bCs/>
                      <w:color w:val="000000"/>
                      <w:sz w:val="20"/>
                      <w:szCs w:val="20"/>
                      <w:lang w:eastAsia="en-IE"/>
                    </w:rPr>
                    <w:t>(7,001.9)</w:t>
                  </w:r>
                </w:p>
              </w:tc>
              <w:tc>
                <w:tcPr>
                  <w:tcW w:w="1665" w:type="dxa"/>
                  <w:tcBorders>
                    <w:top w:val="nil"/>
                    <w:left w:val="nil"/>
                    <w:bottom w:val="nil"/>
                    <w:right w:val="nil"/>
                  </w:tcBorders>
                  <w:shd w:val="clear" w:color="000000" w:fill="FFFF00"/>
                  <w:vAlign w:val="center"/>
                </w:tcPr>
                <w:p w14:paraId="60316B31" w14:textId="77777777" w:rsidR="00682230" w:rsidRPr="00682230" w:rsidRDefault="00682230" w:rsidP="00682230">
                  <w:pPr>
                    <w:jc w:val="right"/>
                    <w:rPr>
                      <w:rFonts w:ascii="Calibri" w:hAnsi="Calibri" w:cs="Calibri"/>
                      <w:b/>
                      <w:bCs/>
                      <w:color w:val="000000"/>
                      <w:sz w:val="20"/>
                      <w:szCs w:val="20"/>
                    </w:rPr>
                  </w:pPr>
                  <w:r w:rsidRPr="00682230">
                    <w:rPr>
                      <w:rFonts w:ascii="Calibri" w:hAnsi="Calibri" w:cs="Calibri"/>
                      <w:b/>
                      <w:color w:val="000000"/>
                      <w:sz w:val="20"/>
                      <w:szCs w:val="20"/>
                    </w:rPr>
                    <w:t>(937.7)</w:t>
                  </w:r>
                </w:p>
              </w:tc>
              <w:tc>
                <w:tcPr>
                  <w:tcW w:w="1498" w:type="dxa"/>
                  <w:tcBorders>
                    <w:top w:val="nil"/>
                    <w:left w:val="nil"/>
                    <w:bottom w:val="nil"/>
                    <w:right w:val="nil"/>
                  </w:tcBorders>
                  <w:shd w:val="clear" w:color="000000" w:fill="FFFF00"/>
                  <w:vAlign w:val="center"/>
                </w:tcPr>
                <w:p w14:paraId="62EA1E34" w14:textId="77777777" w:rsidR="00682230" w:rsidRPr="00682230" w:rsidRDefault="00682230" w:rsidP="00682230">
                  <w:pPr>
                    <w:ind w:right="68"/>
                    <w:jc w:val="right"/>
                    <w:rPr>
                      <w:rFonts w:ascii="Calibri" w:eastAsia="Calibri" w:hAnsi="Calibri" w:cs="Calibri"/>
                      <w:b/>
                      <w:bCs/>
                      <w:sz w:val="20"/>
                      <w:szCs w:val="20"/>
                      <w:lang w:eastAsia="en-IE"/>
                    </w:rPr>
                  </w:pPr>
                  <w:r w:rsidRPr="00682230">
                    <w:rPr>
                      <w:rFonts w:ascii="Calibri" w:eastAsia="Calibri" w:hAnsi="Calibri" w:cs="Calibri"/>
                      <w:b/>
                      <w:bCs/>
                      <w:sz w:val="20"/>
                      <w:szCs w:val="20"/>
                      <w:lang w:eastAsia="en-IE"/>
                    </w:rPr>
                    <w:t>-</w:t>
                  </w:r>
                </w:p>
              </w:tc>
              <w:tc>
                <w:tcPr>
                  <w:tcW w:w="1466" w:type="dxa"/>
                  <w:tcBorders>
                    <w:top w:val="nil"/>
                    <w:left w:val="nil"/>
                    <w:bottom w:val="nil"/>
                    <w:right w:val="nil"/>
                  </w:tcBorders>
                  <w:shd w:val="clear" w:color="000000" w:fill="FFFF00"/>
                  <w:noWrap/>
                  <w:vAlign w:val="center"/>
                </w:tcPr>
                <w:p w14:paraId="4A95894E" w14:textId="77777777" w:rsidR="00682230" w:rsidRPr="00682230" w:rsidRDefault="00682230" w:rsidP="00682230">
                  <w:pPr>
                    <w:jc w:val="right"/>
                    <w:rPr>
                      <w:rFonts w:ascii="Calibri" w:eastAsia="Calibri" w:hAnsi="Calibri" w:cs="Calibri"/>
                      <w:b/>
                      <w:bCs/>
                      <w:sz w:val="20"/>
                      <w:szCs w:val="20"/>
                      <w:lang w:eastAsia="en-IE"/>
                    </w:rPr>
                  </w:pPr>
                  <w:r w:rsidRPr="00682230">
                    <w:rPr>
                      <w:rFonts w:ascii="Calibri" w:eastAsia="Calibri" w:hAnsi="Calibri" w:cs="Calibri"/>
                      <w:b/>
                      <w:bCs/>
                      <w:sz w:val="20"/>
                      <w:szCs w:val="20"/>
                      <w:lang w:eastAsia="en-IE"/>
                    </w:rPr>
                    <w:t>(7,939.6)</w:t>
                  </w:r>
                </w:p>
              </w:tc>
            </w:tr>
          </w:tbl>
          <w:p w14:paraId="45F5ACC7" w14:textId="77777777" w:rsidR="00136DF6" w:rsidRPr="00C22F7C" w:rsidRDefault="00136DF6" w:rsidP="009E2D21">
            <w:pPr>
              <w:rPr>
                <w:rFonts w:ascii="Calibri" w:hAnsi="Calibri" w:cs="Calibri"/>
                <w:color w:val="000000"/>
                <w:sz w:val="22"/>
                <w:szCs w:val="22"/>
              </w:rPr>
            </w:pPr>
          </w:p>
        </w:tc>
      </w:tr>
    </w:tbl>
    <w:p w14:paraId="6E2BD25A" w14:textId="77777777" w:rsidR="00CF496A" w:rsidRDefault="00CF496A" w:rsidP="009E2D21">
      <w:pPr>
        <w:widowControl w:val="0"/>
        <w:ind w:right="-428"/>
        <w:jc w:val="both"/>
        <w:rPr>
          <w:rFonts w:ascii="Calibri" w:hAnsi="Calibri" w:cs="Calibri"/>
          <w:i/>
          <w:sz w:val="18"/>
          <w:szCs w:val="18"/>
        </w:rPr>
      </w:pPr>
    </w:p>
    <w:tbl>
      <w:tblPr>
        <w:tblW w:w="10357" w:type="dxa"/>
        <w:tblInd w:w="108" w:type="dxa"/>
        <w:tblLayout w:type="fixed"/>
        <w:tblLook w:val="04A0" w:firstRow="1" w:lastRow="0" w:firstColumn="1" w:lastColumn="0" w:noHBand="0" w:noVBand="1"/>
      </w:tblPr>
      <w:tblGrid>
        <w:gridCol w:w="4190"/>
        <w:gridCol w:w="1507"/>
        <w:gridCol w:w="1676"/>
        <w:gridCol w:w="1508"/>
        <w:gridCol w:w="1476"/>
      </w:tblGrid>
      <w:tr w:rsidR="00F87153" w:rsidRPr="0081763F" w14:paraId="1081EECB" w14:textId="77777777" w:rsidTr="00F87153">
        <w:trPr>
          <w:trHeight w:val="299"/>
        </w:trPr>
        <w:tc>
          <w:tcPr>
            <w:tcW w:w="4190" w:type="dxa"/>
            <w:shd w:val="clear" w:color="auto" w:fill="FFFFFF"/>
            <w:vAlign w:val="bottom"/>
          </w:tcPr>
          <w:p w14:paraId="2231C0E8" w14:textId="77777777" w:rsidR="00F87153" w:rsidRPr="0081763F" w:rsidRDefault="00F87153" w:rsidP="00F3553F">
            <w:pPr>
              <w:rPr>
                <w:rFonts w:ascii="Calibri" w:hAnsi="Calibri" w:cs="Calibri"/>
                <w:color w:val="000000"/>
                <w:sz w:val="20"/>
                <w:szCs w:val="20"/>
                <w:lang w:eastAsia="en-IE"/>
              </w:rPr>
            </w:pPr>
            <w:r w:rsidRPr="0081763F">
              <w:rPr>
                <w:rFonts w:ascii="Calibri" w:hAnsi="Calibri" w:cs="Calibri"/>
                <w:b/>
                <w:bCs/>
                <w:color w:val="000000"/>
                <w:sz w:val="20"/>
                <w:szCs w:val="20"/>
                <w:lang w:eastAsia="en-IE"/>
              </w:rPr>
              <w:t>Half-Year Ended</w:t>
            </w:r>
          </w:p>
        </w:tc>
        <w:tc>
          <w:tcPr>
            <w:tcW w:w="1507" w:type="dxa"/>
            <w:tcBorders>
              <w:top w:val="nil"/>
              <w:left w:val="nil"/>
              <w:right w:val="nil"/>
            </w:tcBorders>
            <w:shd w:val="clear" w:color="auto" w:fill="auto"/>
            <w:noWrap/>
            <w:vAlign w:val="bottom"/>
          </w:tcPr>
          <w:p w14:paraId="69C241A5" w14:textId="77777777" w:rsidR="00F87153" w:rsidRPr="0081763F" w:rsidRDefault="00F87153" w:rsidP="00FD77D1">
            <w:pPr>
              <w:ind w:right="66"/>
              <w:jc w:val="right"/>
              <w:rPr>
                <w:rFonts w:ascii="Calibri" w:hAnsi="Calibri" w:cs="Calibri"/>
                <w:b/>
                <w:color w:val="000000"/>
                <w:sz w:val="20"/>
                <w:szCs w:val="20"/>
                <w:lang w:eastAsia="en-IE"/>
              </w:rPr>
            </w:pPr>
            <w:r w:rsidRPr="0081763F">
              <w:rPr>
                <w:rFonts w:ascii="Calibri" w:hAnsi="Calibri" w:cs="Calibri"/>
                <w:b/>
                <w:bCs/>
                <w:color w:val="000000"/>
                <w:sz w:val="20"/>
                <w:szCs w:val="20"/>
                <w:lang w:eastAsia="en-IE"/>
              </w:rPr>
              <w:t xml:space="preserve">Ryanair DAC </w:t>
            </w:r>
          </w:p>
        </w:tc>
        <w:tc>
          <w:tcPr>
            <w:tcW w:w="1676" w:type="dxa"/>
            <w:tcBorders>
              <w:top w:val="nil"/>
              <w:left w:val="nil"/>
              <w:right w:val="nil"/>
            </w:tcBorders>
            <w:shd w:val="clear" w:color="auto" w:fill="auto"/>
            <w:vAlign w:val="bottom"/>
          </w:tcPr>
          <w:p w14:paraId="5C5D4E13" w14:textId="77777777" w:rsidR="00F87153" w:rsidRPr="0081763F" w:rsidRDefault="00DE40D1" w:rsidP="00FD77D1">
            <w:pPr>
              <w:ind w:right="30"/>
              <w:jc w:val="right"/>
              <w:rPr>
                <w:rFonts w:ascii="Calibri" w:hAnsi="Calibri" w:cs="Calibri"/>
                <w:b/>
                <w:color w:val="000000"/>
                <w:sz w:val="20"/>
                <w:szCs w:val="20"/>
              </w:rPr>
            </w:pPr>
            <w:r w:rsidRPr="0081763F">
              <w:rPr>
                <w:rFonts w:ascii="Calibri" w:hAnsi="Calibri" w:cs="Calibri"/>
                <w:b/>
                <w:bCs/>
                <w:color w:val="000000"/>
                <w:sz w:val="20"/>
                <w:szCs w:val="20"/>
                <w:lang w:eastAsia="en-IE"/>
              </w:rPr>
              <w:t>Other Airlines</w:t>
            </w:r>
          </w:p>
        </w:tc>
        <w:tc>
          <w:tcPr>
            <w:tcW w:w="1508" w:type="dxa"/>
            <w:tcBorders>
              <w:top w:val="nil"/>
              <w:left w:val="nil"/>
              <w:right w:val="nil"/>
            </w:tcBorders>
            <w:shd w:val="clear" w:color="auto" w:fill="auto"/>
            <w:vAlign w:val="bottom"/>
          </w:tcPr>
          <w:p w14:paraId="028927C4" w14:textId="77777777" w:rsidR="00F87153" w:rsidRPr="0081763F" w:rsidRDefault="00F87153" w:rsidP="00FD77D1">
            <w:pPr>
              <w:ind w:right="128"/>
              <w:jc w:val="right"/>
              <w:rPr>
                <w:rFonts w:ascii="Calibri" w:eastAsia="Calibri" w:hAnsi="Calibri" w:cs="Calibri"/>
                <w:b/>
                <w:sz w:val="20"/>
                <w:szCs w:val="20"/>
                <w:lang w:eastAsia="en-IE"/>
              </w:rPr>
            </w:pPr>
            <w:r w:rsidRPr="0081763F">
              <w:rPr>
                <w:rFonts w:ascii="Calibri" w:hAnsi="Calibri" w:cs="Calibri"/>
                <w:b/>
                <w:bCs/>
                <w:color w:val="000000"/>
                <w:sz w:val="20"/>
                <w:szCs w:val="20"/>
                <w:lang w:eastAsia="en-IE"/>
              </w:rPr>
              <w:t>Elimination</w:t>
            </w:r>
          </w:p>
        </w:tc>
        <w:tc>
          <w:tcPr>
            <w:tcW w:w="1476" w:type="dxa"/>
            <w:tcBorders>
              <w:top w:val="nil"/>
              <w:left w:val="nil"/>
              <w:right w:val="nil"/>
            </w:tcBorders>
            <w:shd w:val="clear" w:color="auto" w:fill="auto"/>
            <w:noWrap/>
            <w:vAlign w:val="bottom"/>
          </w:tcPr>
          <w:p w14:paraId="62C73D27" w14:textId="77777777" w:rsidR="00F87153" w:rsidRPr="0081763F" w:rsidRDefault="00F87153" w:rsidP="00FD77D1">
            <w:pPr>
              <w:ind w:right="39"/>
              <w:jc w:val="right"/>
              <w:rPr>
                <w:rFonts w:ascii="Calibri" w:eastAsia="Calibri" w:hAnsi="Calibri" w:cs="Calibri"/>
                <w:b/>
                <w:sz w:val="20"/>
                <w:szCs w:val="20"/>
                <w:lang w:eastAsia="en-IE"/>
              </w:rPr>
            </w:pPr>
            <w:r w:rsidRPr="0081763F">
              <w:rPr>
                <w:rFonts w:ascii="Calibri" w:hAnsi="Calibri" w:cs="Calibri"/>
                <w:b/>
                <w:bCs/>
                <w:color w:val="000000"/>
                <w:sz w:val="20"/>
                <w:szCs w:val="20"/>
                <w:lang w:eastAsia="en-IE"/>
              </w:rPr>
              <w:t>Total</w:t>
            </w:r>
          </w:p>
        </w:tc>
      </w:tr>
      <w:tr w:rsidR="00F87153" w:rsidRPr="0081763F" w14:paraId="6A85707E" w14:textId="77777777" w:rsidTr="00F87153">
        <w:trPr>
          <w:trHeight w:val="299"/>
        </w:trPr>
        <w:tc>
          <w:tcPr>
            <w:tcW w:w="4190" w:type="dxa"/>
            <w:vMerge w:val="restart"/>
            <w:shd w:val="clear" w:color="auto" w:fill="FFFFFF"/>
            <w:vAlign w:val="center"/>
          </w:tcPr>
          <w:p w14:paraId="63B2A242" w14:textId="77777777" w:rsidR="00F87153" w:rsidRPr="0081763F" w:rsidRDefault="00F87153" w:rsidP="00F3553F">
            <w:pPr>
              <w:rPr>
                <w:rFonts w:ascii="Calibri" w:hAnsi="Calibri" w:cs="Calibri"/>
                <w:color w:val="000000"/>
                <w:sz w:val="20"/>
                <w:szCs w:val="20"/>
                <w:lang w:eastAsia="en-IE"/>
              </w:rPr>
            </w:pPr>
          </w:p>
        </w:tc>
        <w:tc>
          <w:tcPr>
            <w:tcW w:w="1507" w:type="dxa"/>
            <w:tcBorders>
              <w:top w:val="nil"/>
              <w:left w:val="nil"/>
              <w:right w:val="nil"/>
            </w:tcBorders>
            <w:shd w:val="clear" w:color="auto" w:fill="auto"/>
            <w:noWrap/>
            <w:vAlign w:val="bottom"/>
          </w:tcPr>
          <w:p w14:paraId="5707A6E0" w14:textId="77777777" w:rsidR="00F87153" w:rsidRPr="0081763F" w:rsidRDefault="00F87153" w:rsidP="00FD77D1">
            <w:pPr>
              <w:ind w:right="66"/>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Sep 30,</w:t>
            </w:r>
          </w:p>
        </w:tc>
        <w:tc>
          <w:tcPr>
            <w:tcW w:w="1676" w:type="dxa"/>
            <w:tcBorders>
              <w:top w:val="nil"/>
              <w:left w:val="nil"/>
              <w:right w:val="nil"/>
            </w:tcBorders>
            <w:shd w:val="clear" w:color="auto" w:fill="auto"/>
            <w:vAlign w:val="bottom"/>
          </w:tcPr>
          <w:p w14:paraId="5B99C49A" w14:textId="77777777" w:rsidR="00F87153" w:rsidRPr="0081763F" w:rsidRDefault="00F87153" w:rsidP="00FD77D1">
            <w:pPr>
              <w:ind w:right="30"/>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Sep 30,</w:t>
            </w:r>
          </w:p>
        </w:tc>
        <w:tc>
          <w:tcPr>
            <w:tcW w:w="1508" w:type="dxa"/>
            <w:tcBorders>
              <w:top w:val="nil"/>
              <w:left w:val="nil"/>
              <w:right w:val="nil"/>
            </w:tcBorders>
            <w:shd w:val="clear" w:color="auto" w:fill="auto"/>
            <w:vAlign w:val="bottom"/>
          </w:tcPr>
          <w:p w14:paraId="351830FF" w14:textId="77777777" w:rsidR="00F87153" w:rsidRPr="0081763F" w:rsidRDefault="00F87153" w:rsidP="00FD77D1">
            <w:pPr>
              <w:ind w:right="128"/>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Sep 30,</w:t>
            </w:r>
          </w:p>
        </w:tc>
        <w:tc>
          <w:tcPr>
            <w:tcW w:w="1476" w:type="dxa"/>
            <w:tcBorders>
              <w:top w:val="nil"/>
              <w:left w:val="nil"/>
              <w:right w:val="nil"/>
            </w:tcBorders>
            <w:shd w:val="clear" w:color="auto" w:fill="auto"/>
            <w:noWrap/>
            <w:vAlign w:val="bottom"/>
          </w:tcPr>
          <w:p w14:paraId="7C1C736F" w14:textId="77777777" w:rsidR="00F87153" w:rsidRPr="0081763F" w:rsidRDefault="00F87153" w:rsidP="00FD77D1">
            <w:pPr>
              <w:ind w:right="39"/>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Sep 30,</w:t>
            </w:r>
          </w:p>
        </w:tc>
      </w:tr>
      <w:tr w:rsidR="00F87153" w:rsidRPr="0081763F" w14:paraId="1644D4CC" w14:textId="77777777" w:rsidTr="00F87153">
        <w:trPr>
          <w:trHeight w:val="299"/>
        </w:trPr>
        <w:tc>
          <w:tcPr>
            <w:tcW w:w="4190" w:type="dxa"/>
            <w:vMerge/>
            <w:shd w:val="clear" w:color="auto" w:fill="FFFFFF"/>
            <w:vAlign w:val="bottom"/>
          </w:tcPr>
          <w:p w14:paraId="1C3985B1" w14:textId="77777777" w:rsidR="00F87153" w:rsidRPr="0081763F" w:rsidRDefault="00F87153" w:rsidP="00F3553F">
            <w:pPr>
              <w:rPr>
                <w:rFonts w:ascii="Calibri" w:hAnsi="Calibri" w:cs="Calibri"/>
                <w:color w:val="000000"/>
                <w:sz w:val="20"/>
                <w:szCs w:val="20"/>
                <w:lang w:eastAsia="en-IE"/>
              </w:rPr>
            </w:pPr>
          </w:p>
        </w:tc>
        <w:tc>
          <w:tcPr>
            <w:tcW w:w="1507" w:type="dxa"/>
            <w:tcBorders>
              <w:top w:val="nil"/>
              <w:left w:val="nil"/>
              <w:right w:val="nil"/>
            </w:tcBorders>
            <w:shd w:val="clear" w:color="auto" w:fill="auto"/>
            <w:noWrap/>
            <w:vAlign w:val="bottom"/>
          </w:tcPr>
          <w:p w14:paraId="65CA8AB3" w14:textId="77777777" w:rsidR="00F87153" w:rsidRPr="0081763F" w:rsidRDefault="00F87153" w:rsidP="00FD77D1">
            <w:pPr>
              <w:ind w:right="66"/>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2022</w:t>
            </w:r>
          </w:p>
        </w:tc>
        <w:tc>
          <w:tcPr>
            <w:tcW w:w="1676" w:type="dxa"/>
            <w:tcBorders>
              <w:top w:val="nil"/>
              <w:left w:val="nil"/>
              <w:right w:val="nil"/>
            </w:tcBorders>
            <w:shd w:val="clear" w:color="auto" w:fill="auto"/>
            <w:vAlign w:val="bottom"/>
          </w:tcPr>
          <w:p w14:paraId="2637E619" w14:textId="77777777" w:rsidR="00F87153" w:rsidRPr="0081763F" w:rsidRDefault="00F87153" w:rsidP="00FD77D1">
            <w:pPr>
              <w:ind w:right="30"/>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2022</w:t>
            </w:r>
          </w:p>
        </w:tc>
        <w:tc>
          <w:tcPr>
            <w:tcW w:w="1508" w:type="dxa"/>
            <w:tcBorders>
              <w:top w:val="nil"/>
              <w:left w:val="nil"/>
              <w:right w:val="nil"/>
            </w:tcBorders>
            <w:shd w:val="clear" w:color="auto" w:fill="auto"/>
            <w:vAlign w:val="bottom"/>
          </w:tcPr>
          <w:p w14:paraId="4983043B" w14:textId="77777777" w:rsidR="00F87153" w:rsidRPr="0081763F" w:rsidRDefault="00F87153" w:rsidP="00FD77D1">
            <w:pPr>
              <w:ind w:right="128"/>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2022</w:t>
            </w:r>
          </w:p>
        </w:tc>
        <w:tc>
          <w:tcPr>
            <w:tcW w:w="1476" w:type="dxa"/>
            <w:tcBorders>
              <w:top w:val="nil"/>
              <w:left w:val="nil"/>
              <w:right w:val="nil"/>
            </w:tcBorders>
            <w:shd w:val="clear" w:color="auto" w:fill="auto"/>
            <w:noWrap/>
            <w:vAlign w:val="bottom"/>
          </w:tcPr>
          <w:p w14:paraId="42461949" w14:textId="77777777" w:rsidR="00F87153" w:rsidRPr="0081763F" w:rsidRDefault="00F87153" w:rsidP="00FD77D1">
            <w:pPr>
              <w:ind w:right="39"/>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2022</w:t>
            </w:r>
          </w:p>
        </w:tc>
      </w:tr>
      <w:tr w:rsidR="00F87153" w:rsidRPr="0081763F" w14:paraId="5E65C273" w14:textId="77777777" w:rsidTr="00F87153">
        <w:trPr>
          <w:trHeight w:val="299"/>
        </w:trPr>
        <w:tc>
          <w:tcPr>
            <w:tcW w:w="4190" w:type="dxa"/>
            <w:shd w:val="clear" w:color="auto" w:fill="FFFFFF"/>
            <w:vAlign w:val="bottom"/>
          </w:tcPr>
          <w:p w14:paraId="69A45054" w14:textId="77777777" w:rsidR="00F87153" w:rsidRPr="0081763F" w:rsidRDefault="00F87153" w:rsidP="00F3553F">
            <w:pPr>
              <w:rPr>
                <w:rFonts w:ascii="Calibri" w:hAnsi="Calibri" w:cs="Calibri"/>
                <w:color w:val="000000"/>
                <w:sz w:val="20"/>
                <w:szCs w:val="20"/>
                <w:lang w:eastAsia="en-IE"/>
              </w:rPr>
            </w:pPr>
          </w:p>
        </w:tc>
        <w:tc>
          <w:tcPr>
            <w:tcW w:w="1507" w:type="dxa"/>
            <w:tcBorders>
              <w:top w:val="nil"/>
              <w:left w:val="nil"/>
              <w:right w:val="nil"/>
            </w:tcBorders>
            <w:shd w:val="clear" w:color="auto" w:fill="auto"/>
            <w:noWrap/>
            <w:vAlign w:val="bottom"/>
          </w:tcPr>
          <w:p w14:paraId="5FAA8586" w14:textId="77777777" w:rsidR="00F87153" w:rsidRPr="0081763F" w:rsidRDefault="00F87153" w:rsidP="00FD77D1">
            <w:pPr>
              <w:ind w:right="66"/>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€M</w:t>
            </w:r>
          </w:p>
        </w:tc>
        <w:tc>
          <w:tcPr>
            <w:tcW w:w="1676" w:type="dxa"/>
            <w:tcBorders>
              <w:top w:val="nil"/>
              <w:left w:val="nil"/>
              <w:right w:val="nil"/>
            </w:tcBorders>
            <w:shd w:val="clear" w:color="auto" w:fill="auto"/>
            <w:vAlign w:val="bottom"/>
          </w:tcPr>
          <w:p w14:paraId="2BD14BCF" w14:textId="77777777" w:rsidR="00F87153" w:rsidRPr="0081763F" w:rsidRDefault="00F87153" w:rsidP="00FD77D1">
            <w:pPr>
              <w:ind w:right="30"/>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€M</w:t>
            </w:r>
          </w:p>
        </w:tc>
        <w:tc>
          <w:tcPr>
            <w:tcW w:w="1508" w:type="dxa"/>
            <w:tcBorders>
              <w:top w:val="nil"/>
              <w:left w:val="nil"/>
              <w:right w:val="nil"/>
            </w:tcBorders>
            <w:shd w:val="clear" w:color="auto" w:fill="auto"/>
            <w:vAlign w:val="bottom"/>
          </w:tcPr>
          <w:p w14:paraId="17560DC8" w14:textId="77777777" w:rsidR="00F87153" w:rsidRPr="0081763F" w:rsidRDefault="00F87153" w:rsidP="00FD77D1">
            <w:pPr>
              <w:ind w:right="128"/>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€M</w:t>
            </w:r>
          </w:p>
        </w:tc>
        <w:tc>
          <w:tcPr>
            <w:tcW w:w="1476" w:type="dxa"/>
            <w:tcBorders>
              <w:top w:val="nil"/>
              <w:left w:val="nil"/>
              <w:right w:val="nil"/>
            </w:tcBorders>
            <w:shd w:val="clear" w:color="auto" w:fill="auto"/>
            <w:noWrap/>
            <w:vAlign w:val="bottom"/>
          </w:tcPr>
          <w:p w14:paraId="5B5B735E" w14:textId="77777777" w:rsidR="00F87153" w:rsidRPr="0081763F" w:rsidRDefault="00F87153" w:rsidP="00FD77D1">
            <w:pPr>
              <w:ind w:right="39"/>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€M</w:t>
            </w:r>
          </w:p>
        </w:tc>
      </w:tr>
      <w:tr w:rsidR="00F87153" w:rsidRPr="0081763F" w14:paraId="09E96BA4" w14:textId="77777777" w:rsidTr="00F87153">
        <w:trPr>
          <w:trHeight w:val="299"/>
        </w:trPr>
        <w:tc>
          <w:tcPr>
            <w:tcW w:w="4190" w:type="dxa"/>
            <w:shd w:val="clear" w:color="auto" w:fill="FFFFFF"/>
            <w:vAlign w:val="bottom"/>
          </w:tcPr>
          <w:p w14:paraId="00E1A5CD" w14:textId="77777777" w:rsidR="00F87153" w:rsidRPr="0081763F" w:rsidRDefault="00F87153" w:rsidP="00F3553F">
            <w:pPr>
              <w:jc w:val="both"/>
              <w:rPr>
                <w:rFonts w:ascii="Calibri" w:hAnsi="Calibri" w:cs="Calibri"/>
                <w:color w:val="000000"/>
                <w:sz w:val="20"/>
                <w:szCs w:val="20"/>
                <w:lang w:eastAsia="en-IE"/>
              </w:rPr>
            </w:pPr>
            <w:r w:rsidRPr="0081763F">
              <w:rPr>
                <w:rFonts w:ascii="Calibri" w:hAnsi="Calibri" w:cs="Calibri"/>
                <w:color w:val="000000"/>
                <w:sz w:val="20"/>
                <w:szCs w:val="20"/>
                <w:lang w:eastAsia="en-IE"/>
              </w:rPr>
              <w:t>Scheduled revenue</w:t>
            </w:r>
          </w:p>
        </w:tc>
        <w:tc>
          <w:tcPr>
            <w:tcW w:w="1507" w:type="dxa"/>
            <w:tcBorders>
              <w:top w:val="nil"/>
              <w:left w:val="nil"/>
              <w:right w:val="nil"/>
            </w:tcBorders>
            <w:shd w:val="clear" w:color="auto" w:fill="auto"/>
            <w:noWrap/>
            <w:vAlign w:val="bottom"/>
          </w:tcPr>
          <w:p w14:paraId="6BA24BCA" w14:textId="77777777" w:rsidR="00F87153" w:rsidRPr="0081763F" w:rsidRDefault="00F87153" w:rsidP="00FD77D1">
            <w:pPr>
              <w:ind w:right="66"/>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4,346.6</w:t>
            </w:r>
          </w:p>
        </w:tc>
        <w:tc>
          <w:tcPr>
            <w:tcW w:w="1676" w:type="dxa"/>
            <w:tcBorders>
              <w:top w:val="nil"/>
              <w:left w:val="nil"/>
              <w:right w:val="nil"/>
            </w:tcBorders>
            <w:shd w:val="clear" w:color="auto" w:fill="auto"/>
            <w:vAlign w:val="bottom"/>
          </w:tcPr>
          <w:p w14:paraId="4C426591" w14:textId="77777777" w:rsidR="00F87153" w:rsidRPr="0081763F" w:rsidRDefault="00F87153" w:rsidP="00FD77D1">
            <w:pPr>
              <w:ind w:right="30"/>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78.2</w:t>
            </w:r>
          </w:p>
        </w:tc>
        <w:tc>
          <w:tcPr>
            <w:tcW w:w="1508" w:type="dxa"/>
            <w:tcBorders>
              <w:top w:val="nil"/>
              <w:left w:val="nil"/>
              <w:right w:val="nil"/>
            </w:tcBorders>
            <w:shd w:val="clear" w:color="auto" w:fill="auto"/>
            <w:vAlign w:val="bottom"/>
          </w:tcPr>
          <w:p w14:paraId="2A3F4152" w14:textId="77777777" w:rsidR="00F87153" w:rsidRPr="0081763F" w:rsidRDefault="00F87153" w:rsidP="00FD77D1">
            <w:pPr>
              <w:ind w:right="128"/>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w:t>
            </w:r>
          </w:p>
        </w:tc>
        <w:tc>
          <w:tcPr>
            <w:tcW w:w="1476" w:type="dxa"/>
            <w:tcBorders>
              <w:top w:val="nil"/>
              <w:left w:val="nil"/>
              <w:right w:val="nil"/>
            </w:tcBorders>
            <w:shd w:val="clear" w:color="auto" w:fill="auto"/>
            <w:noWrap/>
            <w:vAlign w:val="bottom"/>
          </w:tcPr>
          <w:p w14:paraId="57B9B1DE" w14:textId="77777777" w:rsidR="00F87153" w:rsidRPr="0081763F" w:rsidRDefault="00F87153" w:rsidP="00FD77D1">
            <w:pPr>
              <w:ind w:right="39"/>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4,424.8</w:t>
            </w:r>
          </w:p>
        </w:tc>
      </w:tr>
      <w:tr w:rsidR="00F87153" w:rsidRPr="0081763F" w14:paraId="119B6B8C" w14:textId="77777777" w:rsidTr="00F87153">
        <w:trPr>
          <w:trHeight w:val="299"/>
        </w:trPr>
        <w:tc>
          <w:tcPr>
            <w:tcW w:w="4190" w:type="dxa"/>
            <w:shd w:val="clear" w:color="auto" w:fill="FFFFFF"/>
            <w:vAlign w:val="bottom"/>
          </w:tcPr>
          <w:p w14:paraId="5AD32BD2" w14:textId="77777777" w:rsidR="00F87153" w:rsidRPr="0081763F" w:rsidRDefault="00F87153" w:rsidP="00F3553F">
            <w:pPr>
              <w:jc w:val="both"/>
              <w:rPr>
                <w:rFonts w:ascii="Calibri" w:hAnsi="Calibri" w:cs="Calibri"/>
                <w:color w:val="000000"/>
                <w:sz w:val="20"/>
                <w:szCs w:val="20"/>
                <w:lang w:eastAsia="en-IE"/>
              </w:rPr>
            </w:pPr>
            <w:r w:rsidRPr="0081763F">
              <w:rPr>
                <w:rFonts w:ascii="Calibri" w:hAnsi="Calibri" w:cs="Calibri"/>
                <w:color w:val="000000"/>
                <w:sz w:val="20"/>
                <w:szCs w:val="20"/>
                <w:lang w:eastAsia="en-IE"/>
              </w:rPr>
              <w:t>Ancillary revenue</w:t>
            </w:r>
          </w:p>
        </w:tc>
        <w:tc>
          <w:tcPr>
            <w:tcW w:w="1507" w:type="dxa"/>
            <w:tcBorders>
              <w:top w:val="nil"/>
              <w:left w:val="nil"/>
              <w:right w:val="nil"/>
            </w:tcBorders>
            <w:shd w:val="clear" w:color="auto" w:fill="auto"/>
            <w:noWrap/>
            <w:vAlign w:val="bottom"/>
          </w:tcPr>
          <w:p w14:paraId="72450ECC" w14:textId="77777777" w:rsidR="00F87153" w:rsidRPr="0081763F" w:rsidRDefault="00F87153" w:rsidP="00FD77D1">
            <w:pPr>
              <w:ind w:right="66"/>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2,191.3</w:t>
            </w:r>
          </w:p>
        </w:tc>
        <w:tc>
          <w:tcPr>
            <w:tcW w:w="1676" w:type="dxa"/>
            <w:tcBorders>
              <w:top w:val="nil"/>
              <w:left w:val="nil"/>
              <w:right w:val="nil"/>
            </w:tcBorders>
            <w:shd w:val="clear" w:color="auto" w:fill="auto"/>
            <w:vAlign w:val="bottom"/>
          </w:tcPr>
          <w:p w14:paraId="5E559D72" w14:textId="77777777" w:rsidR="00F87153" w:rsidRPr="0081763F" w:rsidRDefault="00F87153" w:rsidP="00FD77D1">
            <w:pPr>
              <w:ind w:right="30"/>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w:t>
            </w:r>
          </w:p>
        </w:tc>
        <w:tc>
          <w:tcPr>
            <w:tcW w:w="1508" w:type="dxa"/>
            <w:tcBorders>
              <w:top w:val="nil"/>
              <w:left w:val="nil"/>
              <w:right w:val="nil"/>
            </w:tcBorders>
            <w:shd w:val="clear" w:color="auto" w:fill="auto"/>
            <w:vAlign w:val="bottom"/>
          </w:tcPr>
          <w:p w14:paraId="158609A4" w14:textId="77777777" w:rsidR="00F87153" w:rsidRPr="0081763F" w:rsidRDefault="00F87153" w:rsidP="00FD77D1">
            <w:pPr>
              <w:ind w:right="128"/>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w:t>
            </w:r>
          </w:p>
        </w:tc>
        <w:tc>
          <w:tcPr>
            <w:tcW w:w="1476" w:type="dxa"/>
            <w:tcBorders>
              <w:top w:val="nil"/>
              <w:left w:val="nil"/>
              <w:right w:val="nil"/>
            </w:tcBorders>
            <w:shd w:val="clear" w:color="auto" w:fill="auto"/>
            <w:noWrap/>
            <w:vAlign w:val="bottom"/>
          </w:tcPr>
          <w:p w14:paraId="522C8948" w14:textId="77777777" w:rsidR="00F87153" w:rsidRPr="0081763F" w:rsidRDefault="00F87153" w:rsidP="00FD77D1">
            <w:pPr>
              <w:ind w:right="39"/>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2,191.3</w:t>
            </w:r>
          </w:p>
        </w:tc>
      </w:tr>
      <w:tr w:rsidR="00F87153" w:rsidRPr="0081763F" w14:paraId="428BFE66" w14:textId="77777777" w:rsidTr="00F87153">
        <w:trPr>
          <w:trHeight w:val="299"/>
        </w:trPr>
        <w:tc>
          <w:tcPr>
            <w:tcW w:w="4190" w:type="dxa"/>
            <w:shd w:val="clear" w:color="auto" w:fill="FFFFFF"/>
            <w:vAlign w:val="bottom"/>
          </w:tcPr>
          <w:p w14:paraId="12798BEA" w14:textId="77777777" w:rsidR="00F87153" w:rsidRPr="0081763F" w:rsidRDefault="00F87153" w:rsidP="00F3553F">
            <w:pPr>
              <w:rPr>
                <w:rFonts w:ascii="Calibri" w:hAnsi="Calibri" w:cs="Calibri"/>
                <w:color w:val="000000"/>
                <w:sz w:val="20"/>
                <w:szCs w:val="20"/>
                <w:lang w:eastAsia="en-IE"/>
              </w:rPr>
            </w:pPr>
            <w:r w:rsidRPr="0081763F">
              <w:rPr>
                <w:rFonts w:ascii="Calibri" w:hAnsi="Calibri" w:cs="Calibri"/>
                <w:color w:val="000000"/>
                <w:sz w:val="20"/>
                <w:szCs w:val="20"/>
                <w:lang w:eastAsia="en-IE"/>
              </w:rPr>
              <w:t>Inter-segment revenue</w:t>
            </w:r>
          </w:p>
        </w:tc>
        <w:tc>
          <w:tcPr>
            <w:tcW w:w="1507" w:type="dxa"/>
            <w:tcBorders>
              <w:top w:val="nil"/>
              <w:left w:val="nil"/>
              <w:bottom w:val="single" w:sz="4" w:space="0" w:color="auto"/>
              <w:right w:val="nil"/>
            </w:tcBorders>
            <w:shd w:val="clear" w:color="auto" w:fill="auto"/>
            <w:noWrap/>
            <w:vAlign w:val="bottom"/>
          </w:tcPr>
          <w:p w14:paraId="5BF9505F" w14:textId="77777777" w:rsidR="00F87153" w:rsidRPr="0081763F" w:rsidRDefault="00F87153" w:rsidP="00FD77D1">
            <w:pPr>
              <w:ind w:right="66"/>
              <w:jc w:val="right"/>
              <w:rPr>
                <w:rFonts w:ascii="Calibri" w:hAnsi="Calibri" w:cs="Calibri"/>
                <w:color w:val="000000"/>
                <w:sz w:val="20"/>
                <w:szCs w:val="20"/>
              </w:rPr>
            </w:pPr>
            <w:r w:rsidRPr="0081763F">
              <w:rPr>
                <w:rFonts w:ascii="Calibri" w:hAnsi="Calibri" w:cs="Calibri"/>
                <w:color w:val="000000"/>
                <w:sz w:val="20"/>
                <w:szCs w:val="20"/>
                <w:lang w:eastAsia="en-IE"/>
              </w:rPr>
              <w:t>381.6</w:t>
            </w:r>
          </w:p>
        </w:tc>
        <w:tc>
          <w:tcPr>
            <w:tcW w:w="1676" w:type="dxa"/>
            <w:tcBorders>
              <w:top w:val="nil"/>
              <w:left w:val="nil"/>
              <w:bottom w:val="single" w:sz="4" w:space="0" w:color="auto"/>
              <w:right w:val="nil"/>
            </w:tcBorders>
            <w:shd w:val="clear" w:color="auto" w:fill="auto"/>
            <w:vAlign w:val="bottom"/>
          </w:tcPr>
          <w:p w14:paraId="068D277A" w14:textId="77777777" w:rsidR="00F87153" w:rsidRPr="0081763F" w:rsidRDefault="00F87153" w:rsidP="00FD77D1">
            <w:pPr>
              <w:ind w:right="30"/>
              <w:jc w:val="right"/>
              <w:rPr>
                <w:rFonts w:ascii="Calibri" w:hAnsi="Calibri" w:cs="Calibri"/>
                <w:color w:val="000000"/>
                <w:sz w:val="20"/>
                <w:szCs w:val="20"/>
              </w:rPr>
            </w:pPr>
            <w:r w:rsidRPr="0081763F">
              <w:rPr>
                <w:rFonts w:ascii="Calibri" w:hAnsi="Calibri" w:cs="Calibri"/>
                <w:color w:val="000000"/>
                <w:sz w:val="20"/>
                <w:szCs w:val="20"/>
              </w:rPr>
              <w:t>649.3</w:t>
            </w:r>
          </w:p>
        </w:tc>
        <w:tc>
          <w:tcPr>
            <w:tcW w:w="1508" w:type="dxa"/>
            <w:tcBorders>
              <w:top w:val="nil"/>
              <w:left w:val="nil"/>
              <w:bottom w:val="single" w:sz="4" w:space="0" w:color="auto"/>
              <w:right w:val="nil"/>
            </w:tcBorders>
            <w:shd w:val="clear" w:color="auto" w:fill="auto"/>
            <w:vAlign w:val="bottom"/>
          </w:tcPr>
          <w:p w14:paraId="70303A6D" w14:textId="77777777" w:rsidR="00F87153" w:rsidRPr="0081763F" w:rsidRDefault="00F87153" w:rsidP="00FD77D1">
            <w:pPr>
              <w:ind w:right="128"/>
              <w:jc w:val="right"/>
              <w:rPr>
                <w:rFonts w:ascii="Calibri" w:hAnsi="Calibri" w:cs="Calibri"/>
                <w:color w:val="000000"/>
                <w:sz w:val="20"/>
                <w:szCs w:val="20"/>
                <w:lang w:eastAsia="en-IE"/>
              </w:rPr>
            </w:pPr>
            <w:r w:rsidRPr="0081763F">
              <w:rPr>
                <w:rFonts w:ascii="Calibri" w:hAnsi="Calibri" w:cs="Calibri"/>
                <w:color w:val="000000"/>
                <w:sz w:val="20"/>
                <w:szCs w:val="20"/>
              </w:rPr>
              <w:t>(1,030.9)</w:t>
            </w:r>
          </w:p>
        </w:tc>
        <w:tc>
          <w:tcPr>
            <w:tcW w:w="1476" w:type="dxa"/>
            <w:tcBorders>
              <w:top w:val="nil"/>
              <w:left w:val="nil"/>
              <w:bottom w:val="single" w:sz="4" w:space="0" w:color="auto"/>
              <w:right w:val="nil"/>
            </w:tcBorders>
            <w:shd w:val="clear" w:color="auto" w:fill="auto"/>
            <w:noWrap/>
            <w:vAlign w:val="bottom"/>
          </w:tcPr>
          <w:p w14:paraId="053E4FE7" w14:textId="77777777" w:rsidR="00F87153" w:rsidRPr="0081763F" w:rsidRDefault="00F87153" w:rsidP="00FD77D1">
            <w:pPr>
              <w:ind w:right="39"/>
              <w:jc w:val="right"/>
              <w:rPr>
                <w:rFonts w:ascii="Calibri" w:hAnsi="Calibri" w:cs="Calibri"/>
                <w:color w:val="000000"/>
                <w:sz w:val="20"/>
                <w:szCs w:val="20"/>
                <w:lang w:eastAsia="en-IE"/>
              </w:rPr>
            </w:pPr>
            <w:r w:rsidRPr="0081763F">
              <w:rPr>
                <w:rFonts w:ascii="Calibri" w:hAnsi="Calibri" w:cs="Calibri"/>
                <w:color w:val="000000"/>
                <w:sz w:val="20"/>
                <w:szCs w:val="20"/>
              </w:rPr>
              <w:t>-</w:t>
            </w:r>
          </w:p>
        </w:tc>
      </w:tr>
      <w:tr w:rsidR="00F87153" w:rsidRPr="0081763F" w14:paraId="3D0E79E7" w14:textId="77777777" w:rsidTr="00F87153">
        <w:trPr>
          <w:trHeight w:val="299"/>
        </w:trPr>
        <w:tc>
          <w:tcPr>
            <w:tcW w:w="4190" w:type="dxa"/>
            <w:shd w:val="clear" w:color="auto" w:fill="FFFFFF"/>
            <w:vAlign w:val="bottom"/>
          </w:tcPr>
          <w:p w14:paraId="0FAB72B6" w14:textId="77777777" w:rsidR="00F87153" w:rsidRPr="0081763F" w:rsidRDefault="00F87153" w:rsidP="00F3553F">
            <w:pPr>
              <w:rPr>
                <w:rFonts w:ascii="Calibri" w:hAnsi="Calibri" w:cs="Calibri"/>
                <w:color w:val="000000"/>
                <w:sz w:val="20"/>
                <w:szCs w:val="20"/>
                <w:lang w:eastAsia="en-IE"/>
              </w:rPr>
            </w:pPr>
            <w:r w:rsidRPr="0081763F">
              <w:rPr>
                <w:rFonts w:ascii="Calibri" w:hAnsi="Calibri" w:cs="Calibri"/>
                <w:b/>
                <w:bCs/>
                <w:color w:val="000000"/>
                <w:sz w:val="20"/>
                <w:szCs w:val="20"/>
                <w:lang w:eastAsia="en-IE"/>
              </w:rPr>
              <w:t xml:space="preserve">Segment revenue                    </w:t>
            </w:r>
          </w:p>
        </w:tc>
        <w:tc>
          <w:tcPr>
            <w:tcW w:w="1507" w:type="dxa"/>
            <w:tcBorders>
              <w:top w:val="single" w:sz="4" w:space="0" w:color="auto"/>
              <w:left w:val="nil"/>
              <w:bottom w:val="single" w:sz="12" w:space="0" w:color="auto"/>
              <w:right w:val="nil"/>
            </w:tcBorders>
            <w:shd w:val="clear" w:color="auto" w:fill="auto"/>
            <w:noWrap/>
            <w:vAlign w:val="bottom"/>
          </w:tcPr>
          <w:p w14:paraId="3F5C79EC" w14:textId="77777777" w:rsidR="00F87153" w:rsidRPr="0081763F" w:rsidRDefault="00F87153" w:rsidP="00FD77D1">
            <w:pPr>
              <w:ind w:right="66"/>
              <w:jc w:val="right"/>
              <w:rPr>
                <w:rFonts w:ascii="Calibri" w:hAnsi="Calibri" w:cs="Calibri"/>
                <w:color w:val="000000"/>
                <w:sz w:val="20"/>
                <w:szCs w:val="20"/>
              </w:rPr>
            </w:pPr>
            <w:r w:rsidRPr="0081763F">
              <w:rPr>
                <w:rFonts w:ascii="Calibri" w:hAnsi="Calibri" w:cs="Calibri"/>
                <w:color w:val="000000"/>
                <w:sz w:val="20"/>
                <w:szCs w:val="20"/>
                <w:lang w:eastAsia="en-IE"/>
              </w:rPr>
              <w:t>6,919.5</w:t>
            </w:r>
          </w:p>
        </w:tc>
        <w:tc>
          <w:tcPr>
            <w:tcW w:w="1676" w:type="dxa"/>
            <w:tcBorders>
              <w:top w:val="single" w:sz="4" w:space="0" w:color="auto"/>
              <w:left w:val="nil"/>
              <w:bottom w:val="single" w:sz="12" w:space="0" w:color="auto"/>
              <w:right w:val="nil"/>
            </w:tcBorders>
            <w:shd w:val="clear" w:color="auto" w:fill="auto"/>
            <w:vAlign w:val="bottom"/>
          </w:tcPr>
          <w:p w14:paraId="59BE295A" w14:textId="77777777" w:rsidR="00F87153" w:rsidRPr="0081763F" w:rsidRDefault="00F87153" w:rsidP="00FD77D1">
            <w:pPr>
              <w:ind w:right="30"/>
              <w:jc w:val="right"/>
              <w:rPr>
                <w:rFonts w:ascii="Calibri" w:hAnsi="Calibri" w:cs="Calibri"/>
                <w:color w:val="000000"/>
                <w:sz w:val="20"/>
                <w:szCs w:val="20"/>
              </w:rPr>
            </w:pPr>
            <w:r w:rsidRPr="0081763F">
              <w:rPr>
                <w:rFonts w:ascii="Calibri" w:eastAsia="Calibri" w:hAnsi="Calibri" w:cs="Calibri"/>
                <w:sz w:val="20"/>
                <w:szCs w:val="20"/>
                <w:lang w:eastAsia="en-IE"/>
              </w:rPr>
              <w:t>727.5</w:t>
            </w:r>
          </w:p>
        </w:tc>
        <w:tc>
          <w:tcPr>
            <w:tcW w:w="1508" w:type="dxa"/>
            <w:tcBorders>
              <w:top w:val="single" w:sz="4" w:space="0" w:color="auto"/>
              <w:left w:val="nil"/>
              <w:bottom w:val="single" w:sz="12" w:space="0" w:color="auto"/>
              <w:right w:val="nil"/>
            </w:tcBorders>
            <w:shd w:val="clear" w:color="auto" w:fill="auto"/>
            <w:vAlign w:val="bottom"/>
          </w:tcPr>
          <w:p w14:paraId="6F453AA2" w14:textId="77777777" w:rsidR="00F87153" w:rsidRPr="0081763F" w:rsidRDefault="00F87153" w:rsidP="00FD77D1">
            <w:pPr>
              <w:ind w:right="128"/>
              <w:jc w:val="right"/>
              <w:rPr>
                <w:rFonts w:ascii="Calibri" w:hAnsi="Calibri" w:cs="Calibri"/>
                <w:color w:val="000000"/>
                <w:sz w:val="20"/>
                <w:szCs w:val="20"/>
              </w:rPr>
            </w:pPr>
            <w:r w:rsidRPr="0081763F">
              <w:rPr>
                <w:rFonts w:ascii="Calibri" w:hAnsi="Calibri" w:cs="Calibri"/>
                <w:color w:val="000000"/>
                <w:sz w:val="20"/>
                <w:szCs w:val="20"/>
                <w:lang w:eastAsia="en-IE"/>
              </w:rPr>
              <w:t>(1,030.9)</w:t>
            </w:r>
          </w:p>
        </w:tc>
        <w:tc>
          <w:tcPr>
            <w:tcW w:w="1476" w:type="dxa"/>
            <w:tcBorders>
              <w:top w:val="single" w:sz="4" w:space="0" w:color="auto"/>
              <w:left w:val="nil"/>
              <w:bottom w:val="single" w:sz="12" w:space="0" w:color="auto"/>
              <w:right w:val="nil"/>
            </w:tcBorders>
            <w:shd w:val="clear" w:color="auto" w:fill="auto"/>
            <w:noWrap/>
            <w:vAlign w:val="bottom"/>
          </w:tcPr>
          <w:p w14:paraId="4DE749FE" w14:textId="77777777" w:rsidR="00F87153" w:rsidRPr="0081763F" w:rsidRDefault="00F87153" w:rsidP="00FD77D1">
            <w:pPr>
              <w:ind w:right="39"/>
              <w:jc w:val="right"/>
              <w:rPr>
                <w:rFonts w:ascii="Calibri" w:hAnsi="Calibri" w:cs="Calibri"/>
                <w:color w:val="000000"/>
                <w:sz w:val="20"/>
                <w:szCs w:val="20"/>
              </w:rPr>
            </w:pPr>
            <w:r w:rsidRPr="0081763F">
              <w:rPr>
                <w:rFonts w:ascii="Calibri" w:hAnsi="Calibri" w:cs="Calibri"/>
                <w:color w:val="000000"/>
                <w:sz w:val="20"/>
                <w:szCs w:val="20"/>
                <w:lang w:eastAsia="en-IE"/>
              </w:rPr>
              <w:t>6,616.1</w:t>
            </w:r>
          </w:p>
        </w:tc>
      </w:tr>
      <w:tr w:rsidR="00F87153" w:rsidRPr="0081763F" w14:paraId="5FD34269" w14:textId="77777777" w:rsidTr="00E60B9C">
        <w:trPr>
          <w:trHeight w:val="57"/>
        </w:trPr>
        <w:tc>
          <w:tcPr>
            <w:tcW w:w="4190" w:type="dxa"/>
            <w:shd w:val="clear" w:color="auto" w:fill="FFFFFF"/>
            <w:vAlign w:val="bottom"/>
          </w:tcPr>
          <w:p w14:paraId="6F676A95" w14:textId="77777777" w:rsidR="00F87153" w:rsidRPr="0081763F" w:rsidRDefault="00F87153" w:rsidP="00F3553F">
            <w:pPr>
              <w:rPr>
                <w:rFonts w:ascii="Calibri" w:hAnsi="Calibri" w:cs="Calibri"/>
                <w:b/>
                <w:bCs/>
                <w:color w:val="000000"/>
                <w:sz w:val="20"/>
                <w:szCs w:val="20"/>
                <w:lang w:eastAsia="en-IE"/>
              </w:rPr>
            </w:pPr>
          </w:p>
        </w:tc>
        <w:tc>
          <w:tcPr>
            <w:tcW w:w="1507" w:type="dxa"/>
            <w:tcBorders>
              <w:top w:val="single" w:sz="12" w:space="0" w:color="auto"/>
              <w:left w:val="nil"/>
              <w:right w:val="nil"/>
            </w:tcBorders>
            <w:shd w:val="clear" w:color="auto" w:fill="auto"/>
            <w:noWrap/>
            <w:vAlign w:val="bottom"/>
          </w:tcPr>
          <w:p w14:paraId="6D70C3E5" w14:textId="77777777" w:rsidR="00F87153" w:rsidRPr="0081763F" w:rsidRDefault="00F87153" w:rsidP="00FD77D1">
            <w:pPr>
              <w:ind w:right="66"/>
              <w:jc w:val="right"/>
              <w:rPr>
                <w:rFonts w:ascii="Calibri" w:hAnsi="Calibri" w:cs="Calibri"/>
                <w:color w:val="000000"/>
                <w:sz w:val="20"/>
                <w:szCs w:val="20"/>
              </w:rPr>
            </w:pPr>
          </w:p>
        </w:tc>
        <w:tc>
          <w:tcPr>
            <w:tcW w:w="1676" w:type="dxa"/>
            <w:tcBorders>
              <w:top w:val="single" w:sz="12" w:space="0" w:color="auto"/>
              <w:left w:val="nil"/>
              <w:right w:val="nil"/>
            </w:tcBorders>
            <w:shd w:val="clear" w:color="auto" w:fill="auto"/>
            <w:vAlign w:val="bottom"/>
          </w:tcPr>
          <w:p w14:paraId="1A182C71" w14:textId="77777777" w:rsidR="00F87153" w:rsidRPr="0081763F" w:rsidRDefault="00F87153" w:rsidP="00FD77D1">
            <w:pPr>
              <w:ind w:right="30"/>
              <w:jc w:val="right"/>
              <w:rPr>
                <w:rFonts w:ascii="Calibri" w:hAnsi="Calibri" w:cs="Calibri"/>
                <w:color w:val="000000"/>
                <w:sz w:val="20"/>
                <w:szCs w:val="20"/>
              </w:rPr>
            </w:pPr>
          </w:p>
        </w:tc>
        <w:tc>
          <w:tcPr>
            <w:tcW w:w="1508" w:type="dxa"/>
            <w:tcBorders>
              <w:top w:val="single" w:sz="12" w:space="0" w:color="auto"/>
              <w:left w:val="nil"/>
              <w:right w:val="nil"/>
            </w:tcBorders>
            <w:shd w:val="clear" w:color="auto" w:fill="auto"/>
            <w:vAlign w:val="bottom"/>
          </w:tcPr>
          <w:p w14:paraId="2C6DB575" w14:textId="77777777" w:rsidR="00F87153" w:rsidRPr="0081763F" w:rsidRDefault="00F87153" w:rsidP="00FD77D1">
            <w:pPr>
              <w:ind w:right="128"/>
              <w:jc w:val="right"/>
              <w:rPr>
                <w:rFonts w:ascii="Calibri" w:hAnsi="Calibri" w:cs="Calibri"/>
                <w:sz w:val="20"/>
                <w:szCs w:val="20"/>
              </w:rPr>
            </w:pPr>
          </w:p>
        </w:tc>
        <w:tc>
          <w:tcPr>
            <w:tcW w:w="1476" w:type="dxa"/>
            <w:tcBorders>
              <w:top w:val="single" w:sz="12" w:space="0" w:color="auto"/>
              <w:left w:val="nil"/>
              <w:right w:val="nil"/>
            </w:tcBorders>
            <w:shd w:val="clear" w:color="auto" w:fill="auto"/>
            <w:noWrap/>
            <w:vAlign w:val="bottom"/>
          </w:tcPr>
          <w:p w14:paraId="07D70B25" w14:textId="77777777" w:rsidR="00F87153" w:rsidRPr="0081763F" w:rsidRDefault="00F87153" w:rsidP="00FD77D1">
            <w:pPr>
              <w:ind w:right="39"/>
              <w:jc w:val="right"/>
              <w:rPr>
                <w:rFonts w:ascii="Calibri" w:hAnsi="Calibri" w:cs="Calibri"/>
                <w:color w:val="000000"/>
                <w:sz w:val="20"/>
                <w:szCs w:val="20"/>
              </w:rPr>
            </w:pPr>
          </w:p>
        </w:tc>
      </w:tr>
      <w:tr w:rsidR="00F87153" w:rsidRPr="0081763F" w14:paraId="71B70D76" w14:textId="77777777" w:rsidTr="00F87153">
        <w:trPr>
          <w:trHeight w:val="299"/>
        </w:trPr>
        <w:tc>
          <w:tcPr>
            <w:tcW w:w="4190" w:type="dxa"/>
            <w:shd w:val="clear" w:color="auto" w:fill="FFFFFF"/>
            <w:vAlign w:val="bottom"/>
          </w:tcPr>
          <w:p w14:paraId="46A7AA49" w14:textId="77777777" w:rsidR="00F87153" w:rsidRPr="0081763F" w:rsidRDefault="00F87153" w:rsidP="00F3553F">
            <w:pPr>
              <w:rPr>
                <w:rFonts w:ascii="Calibri" w:hAnsi="Calibri" w:cs="Calibri"/>
                <w:color w:val="000000"/>
                <w:sz w:val="20"/>
                <w:szCs w:val="20"/>
                <w:lang w:eastAsia="en-IE"/>
              </w:rPr>
            </w:pPr>
            <w:r w:rsidRPr="0081763F">
              <w:rPr>
                <w:rFonts w:ascii="Calibri" w:hAnsi="Calibri" w:cs="Calibri"/>
                <w:b/>
                <w:bCs/>
                <w:color w:val="000000"/>
                <w:sz w:val="20"/>
                <w:szCs w:val="20"/>
                <w:lang w:eastAsia="en-IE"/>
              </w:rPr>
              <w:t>Reportable segment profit after income tax</w:t>
            </w:r>
            <w:r w:rsidR="00E94A24">
              <w:rPr>
                <w:rFonts w:ascii="Calibri" w:hAnsi="Calibri" w:cs="Calibri"/>
                <w:b/>
                <w:bCs/>
                <w:color w:val="000000"/>
                <w:sz w:val="20"/>
                <w:szCs w:val="20"/>
                <w:lang w:eastAsia="en-IE"/>
              </w:rPr>
              <w:t xml:space="preserve"> (i)</w:t>
            </w:r>
          </w:p>
        </w:tc>
        <w:tc>
          <w:tcPr>
            <w:tcW w:w="1507" w:type="dxa"/>
            <w:tcBorders>
              <w:top w:val="nil"/>
              <w:left w:val="nil"/>
              <w:bottom w:val="single" w:sz="12" w:space="0" w:color="auto"/>
              <w:right w:val="nil"/>
            </w:tcBorders>
            <w:shd w:val="clear" w:color="auto" w:fill="auto"/>
            <w:noWrap/>
            <w:vAlign w:val="bottom"/>
          </w:tcPr>
          <w:p w14:paraId="293C7AD4" w14:textId="77777777" w:rsidR="00F87153" w:rsidRPr="0081763F" w:rsidRDefault="00F87153" w:rsidP="00FD77D1">
            <w:pPr>
              <w:ind w:right="66"/>
              <w:jc w:val="right"/>
              <w:rPr>
                <w:rFonts w:ascii="Calibri" w:eastAsia="Calibri" w:hAnsi="Calibri" w:cs="Calibri"/>
                <w:sz w:val="20"/>
                <w:szCs w:val="20"/>
                <w:lang w:eastAsia="en-IE"/>
              </w:rPr>
            </w:pPr>
            <w:r w:rsidRPr="0081763F">
              <w:rPr>
                <w:rFonts w:ascii="Calibri" w:hAnsi="Calibri" w:cs="Calibri"/>
                <w:color w:val="000000"/>
                <w:sz w:val="20"/>
                <w:szCs w:val="20"/>
                <w:lang w:eastAsia="en-IE"/>
              </w:rPr>
              <w:t>1,343.5</w:t>
            </w:r>
          </w:p>
        </w:tc>
        <w:tc>
          <w:tcPr>
            <w:tcW w:w="1676" w:type="dxa"/>
            <w:tcBorders>
              <w:top w:val="nil"/>
              <w:left w:val="nil"/>
              <w:bottom w:val="single" w:sz="12" w:space="0" w:color="auto"/>
              <w:right w:val="nil"/>
            </w:tcBorders>
            <w:shd w:val="clear" w:color="auto" w:fill="auto"/>
            <w:vAlign w:val="bottom"/>
          </w:tcPr>
          <w:p w14:paraId="1040D55C" w14:textId="77777777" w:rsidR="00F87153" w:rsidRPr="0081763F" w:rsidRDefault="00F87153" w:rsidP="00FD77D1">
            <w:pPr>
              <w:ind w:right="30"/>
              <w:jc w:val="right"/>
              <w:rPr>
                <w:rFonts w:ascii="Calibri" w:eastAsia="Calibri" w:hAnsi="Calibri" w:cs="Calibri"/>
                <w:sz w:val="20"/>
                <w:szCs w:val="20"/>
                <w:lang w:eastAsia="en-IE"/>
              </w:rPr>
            </w:pPr>
            <w:r w:rsidRPr="0081763F">
              <w:rPr>
                <w:rFonts w:ascii="Calibri" w:hAnsi="Calibri" w:cs="Calibri"/>
                <w:color w:val="000000"/>
                <w:sz w:val="20"/>
                <w:szCs w:val="20"/>
              </w:rPr>
              <w:t>27.3</w:t>
            </w:r>
          </w:p>
        </w:tc>
        <w:tc>
          <w:tcPr>
            <w:tcW w:w="1508" w:type="dxa"/>
            <w:tcBorders>
              <w:top w:val="nil"/>
              <w:left w:val="nil"/>
              <w:bottom w:val="single" w:sz="12" w:space="0" w:color="auto"/>
              <w:right w:val="nil"/>
            </w:tcBorders>
            <w:shd w:val="clear" w:color="auto" w:fill="auto"/>
            <w:vAlign w:val="bottom"/>
          </w:tcPr>
          <w:p w14:paraId="2245E2B2" w14:textId="77777777" w:rsidR="00F87153" w:rsidRPr="0081763F" w:rsidRDefault="00F87153" w:rsidP="00FD77D1">
            <w:pPr>
              <w:ind w:right="128"/>
              <w:jc w:val="right"/>
              <w:rPr>
                <w:rFonts w:ascii="Calibri" w:eastAsia="Calibri" w:hAnsi="Calibri" w:cs="Calibri"/>
                <w:sz w:val="20"/>
                <w:szCs w:val="20"/>
                <w:lang w:eastAsia="en-IE"/>
              </w:rPr>
            </w:pPr>
            <w:r w:rsidRPr="0081763F">
              <w:rPr>
                <w:rFonts w:ascii="Calibri" w:hAnsi="Calibri" w:cs="Calibri"/>
                <w:sz w:val="20"/>
                <w:szCs w:val="20"/>
              </w:rPr>
              <w:t>-</w:t>
            </w:r>
          </w:p>
        </w:tc>
        <w:tc>
          <w:tcPr>
            <w:tcW w:w="1476" w:type="dxa"/>
            <w:tcBorders>
              <w:top w:val="nil"/>
              <w:left w:val="nil"/>
              <w:bottom w:val="single" w:sz="12" w:space="0" w:color="auto"/>
              <w:right w:val="nil"/>
            </w:tcBorders>
            <w:shd w:val="clear" w:color="auto" w:fill="auto"/>
            <w:noWrap/>
            <w:vAlign w:val="bottom"/>
          </w:tcPr>
          <w:p w14:paraId="6E1689F2" w14:textId="77777777" w:rsidR="00F87153" w:rsidRPr="0081763F" w:rsidRDefault="00F87153" w:rsidP="00FD77D1">
            <w:pPr>
              <w:ind w:right="39"/>
              <w:jc w:val="right"/>
              <w:rPr>
                <w:rFonts w:ascii="Calibri" w:eastAsia="Calibri" w:hAnsi="Calibri" w:cs="Calibri"/>
                <w:sz w:val="20"/>
                <w:szCs w:val="20"/>
                <w:lang w:eastAsia="en-IE"/>
              </w:rPr>
            </w:pPr>
            <w:r w:rsidRPr="0081763F">
              <w:rPr>
                <w:rFonts w:ascii="Calibri" w:hAnsi="Calibri" w:cs="Calibri"/>
                <w:color w:val="000000"/>
                <w:sz w:val="20"/>
                <w:szCs w:val="20"/>
              </w:rPr>
              <w:t>1,370.8</w:t>
            </w:r>
          </w:p>
        </w:tc>
      </w:tr>
      <w:tr w:rsidR="00837FDD" w:rsidRPr="0081763F" w14:paraId="546BEF69" w14:textId="77777777" w:rsidTr="00837FDD">
        <w:trPr>
          <w:trHeight w:val="299"/>
        </w:trPr>
        <w:tc>
          <w:tcPr>
            <w:tcW w:w="4190" w:type="dxa"/>
            <w:shd w:val="clear" w:color="auto" w:fill="FFFFFF"/>
            <w:vAlign w:val="bottom"/>
          </w:tcPr>
          <w:p w14:paraId="168C4E26" w14:textId="77777777" w:rsidR="00837FDD" w:rsidRPr="0081763F" w:rsidRDefault="00837FDD" w:rsidP="00F3553F">
            <w:pPr>
              <w:rPr>
                <w:rFonts w:ascii="Calibri" w:hAnsi="Calibri" w:cs="Calibri"/>
                <w:b/>
                <w:bCs/>
                <w:color w:val="000000"/>
                <w:sz w:val="20"/>
                <w:szCs w:val="20"/>
                <w:lang w:eastAsia="en-IE"/>
              </w:rPr>
            </w:pPr>
          </w:p>
        </w:tc>
        <w:tc>
          <w:tcPr>
            <w:tcW w:w="1507" w:type="dxa"/>
            <w:tcBorders>
              <w:top w:val="nil"/>
              <w:left w:val="nil"/>
              <w:right w:val="nil"/>
            </w:tcBorders>
            <w:shd w:val="clear" w:color="auto" w:fill="auto"/>
            <w:noWrap/>
            <w:vAlign w:val="bottom"/>
          </w:tcPr>
          <w:p w14:paraId="1F9EB909" w14:textId="77777777" w:rsidR="00837FDD" w:rsidRPr="0081763F" w:rsidRDefault="00837FDD" w:rsidP="00FD77D1">
            <w:pPr>
              <w:ind w:right="66"/>
              <w:jc w:val="right"/>
              <w:rPr>
                <w:rFonts w:ascii="Calibri" w:hAnsi="Calibri" w:cs="Calibri"/>
                <w:color w:val="000000"/>
                <w:sz w:val="20"/>
                <w:szCs w:val="20"/>
                <w:lang w:eastAsia="en-IE"/>
              </w:rPr>
            </w:pPr>
          </w:p>
        </w:tc>
        <w:tc>
          <w:tcPr>
            <w:tcW w:w="1676" w:type="dxa"/>
            <w:tcBorders>
              <w:top w:val="nil"/>
              <w:left w:val="nil"/>
              <w:right w:val="nil"/>
            </w:tcBorders>
            <w:shd w:val="clear" w:color="auto" w:fill="auto"/>
            <w:vAlign w:val="bottom"/>
          </w:tcPr>
          <w:p w14:paraId="272D4EB6" w14:textId="77777777" w:rsidR="00837FDD" w:rsidRPr="0081763F" w:rsidRDefault="00837FDD" w:rsidP="00FD77D1">
            <w:pPr>
              <w:ind w:right="30"/>
              <w:jc w:val="right"/>
              <w:rPr>
                <w:rFonts w:ascii="Calibri" w:hAnsi="Calibri" w:cs="Calibri"/>
                <w:color w:val="000000"/>
                <w:sz w:val="20"/>
                <w:szCs w:val="20"/>
              </w:rPr>
            </w:pPr>
          </w:p>
        </w:tc>
        <w:tc>
          <w:tcPr>
            <w:tcW w:w="1508" w:type="dxa"/>
            <w:tcBorders>
              <w:top w:val="nil"/>
              <w:left w:val="nil"/>
              <w:right w:val="nil"/>
            </w:tcBorders>
            <w:shd w:val="clear" w:color="auto" w:fill="auto"/>
            <w:vAlign w:val="bottom"/>
          </w:tcPr>
          <w:p w14:paraId="103157B0" w14:textId="77777777" w:rsidR="00837FDD" w:rsidRPr="0081763F" w:rsidRDefault="00837FDD" w:rsidP="00FD77D1">
            <w:pPr>
              <w:ind w:right="128"/>
              <w:jc w:val="right"/>
              <w:rPr>
                <w:rFonts w:ascii="Calibri" w:hAnsi="Calibri" w:cs="Calibri"/>
                <w:sz w:val="20"/>
                <w:szCs w:val="20"/>
              </w:rPr>
            </w:pPr>
          </w:p>
        </w:tc>
        <w:tc>
          <w:tcPr>
            <w:tcW w:w="1476" w:type="dxa"/>
            <w:tcBorders>
              <w:top w:val="nil"/>
              <w:left w:val="nil"/>
              <w:right w:val="nil"/>
            </w:tcBorders>
            <w:shd w:val="clear" w:color="auto" w:fill="auto"/>
            <w:noWrap/>
            <w:vAlign w:val="bottom"/>
          </w:tcPr>
          <w:p w14:paraId="4FFDBDEC" w14:textId="77777777" w:rsidR="00837FDD" w:rsidRPr="0081763F" w:rsidRDefault="00837FDD" w:rsidP="00FD77D1">
            <w:pPr>
              <w:ind w:right="39"/>
              <w:jc w:val="right"/>
              <w:rPr>
                <w:rFonts w:ascii="Calibri" w:hAnsi="Calibri" w:cs="Calibri"/>
                <w:color w:val="000000"/>
                <w:sz w:val="20"/>
                <w:szCs w:val="20"/>
              </w:rPr>
            </w:pPr>
          </w:p>
        </w:tc>
      </w:tr>
      <w:tr w:rsidR="00F87153" w:rsidRPr="0081763F" w14:paraId="6FCBD8F6" w14:textId="77777777" w:rsidTr="00F87153">
        <w:trPr>
          <w:trHeight w:val="299"/>
        </w:trPr>
        <w:tc>
          <w:tcPr>
            <w:tcW w:w="4190" w:type="dxa"/>
            <w:shd w:val="clear" w:color="auto" w:fill="FFFFFF"/>
            <w:vAlign w:val="bottom"/>
          </w:tcPr>
          <w:p w14:paraId="4BCC5F78" w14:textId="77777777" w:rsidR="00F87153" w:rsidRPr="0081763F" w:rsidRDefault="00F87153" w:rsidP="00F3553F">
            <w:pPr>
              <w:rPr>
                <w:rFonts w:ascii="Calibri" w:hAnsi="Calibri" w:cs="Calibri"/>
                <w:color w:val="000000"/>
                <w:sz w:val="20"/>
                <w:szCs w:val="20"/>
                <w:lang w:eastAsia="en-IE"/>
              </w:rPr>
            </w:pPr>
            <w:r w:rsidRPr="0081763F">
              <w:rPr>
                <w:rFonts w:ascii="Calibri" w:hAnsi="Calibri" w:cs="Calibri"/>
                <w:b/>
                <w:bCs/>
                <w:color w:val="000000"/>
                <w:sz w:val="20"/>
                <w:szCs w:val="20"/>
                <w:lang w:eastAsia="en-IE"/>
              </w:rPr>
              <w:t xml:space="preserve">Other segment information: </w:t>
            </w:r>
          </w:p>
        </w:tc>
        <w:tc>
          <w:tcPr>
            <w:tcW w:w="1507" w:type="dxa"/>
            <w:tcBorders>
              <w:top w:val="nil"/>
              <w:left w:val="nil"/>
              <w:right w:val="nil"/>
            </w:tcBorders>
            <w:shd w:val="clear" w:color="auto" w:fill="auto"/>
            <w:noWrap/>
            <w:vAlign w:val="bottom"/>
          </w:tcPr>
          <w:p w14:paraId="7A774DA4" w14:textId="77777777" w:rsidR="00F87153" w:rsidRPr="0081763F" w:rsidRDefault="00F87153" w:rsidP="00FD77D1">
            <w:pPr>
              <w:ind w:right="66"/>
              <w:jc w:val="right"/>
              <w:rPr>
                <w:rFonts w:ascii="Calibri" w:hAnsi="Calibri" w:cs="Calibri"/>
                <w:color w:val="000000"/>
                <w:sz w:val="20"/>
                <w:szCs w:val="20"/>
              </w:rPr>
            </w:pPr>
          </w:p>
        </w:tc>
        <w:tc>
          <w:tcPr>
            <w:tcW w:w="1676" w:type="dxa"/>
            <w:tcBorders>
              <w:top w:val="nil"/>
              <w:left w:val="nil"/>
              <w:right w:val="nil"/>
            </w:tcBorders>
            <w:shd w:val="clear" w:color="auto" w:fill="auto"/>
            <w:vAlign w:val="bottom"/>
          </w:tcPr>
          <w:p w14:paraId="4DEA7E9E" w14:textId="77777777" w:rsidR="00F87153" w:rsidRPr="0081763F" w:rsidRDefault="00F87153" w:rsidP="00FD77D1">
            <w:pPr>
              <w:ind w:right="30"/>
              <w:jc w:val="right"/>
              <w:rPr>
                <w:rFonts w:ascii="Calibri" w:hAnsi="Calibri" w:cs="Calibri"/>
                <w:color w:val="000000"/>
                <w:sz w:val="20"/>
                <w:szCs w:val="20"/>
              </w:rPr>
            </w:pPr>
          </w:p>
        </w:tc>
        <w:tc>
          <w:tcPr>
            <w:tcW w:w="1508" w:type="dxa"/>
            <w:tcBorders>
              <w:top w:val="nil"/>
              <w:left w:val="nil"/>
              <w:right w:val="nil"/>
            </w:tcBorders>
            <w:shd w:val="clear" w:color="auto" w:fill="auto"/>
            <w:vAlign w:val="bottom"/>
          </w:tcPr>
          <w:p w14:paraId="38085EEC" w14:textId="77777777" w:rsidR="00F87153" w:rsidRPr="0081763F" w:rsidRDefault="00F87153" w:rsidP="00FD77D1">
            <w:pPr>
              <w:ind w:right="128"/>
              <w:jc w:val="right"/>
              <w:rPr>
                <w:rFonts w:ascii="Calibri" w:hAnsi="Calibri" w:cs="Calibri"/>
                <w:color w:val="000000"/>
                <w:sz w:val="20"/>
                <w:szCs w:val="20"/>
              </w:rPr>
            </w:pPr>
          </w:p>
        </w:tc>
        <w:tc>
          <w:tcPr>
            <w:tcW w:w="1476" w:type="dxa"/>
            <w:tcBorders>
              <w:top w:val="nil"/>
              <w:left w:val="nil"/>
              <w:right w:val="nil"/>
            </w:tcBorders>
            <w:shd w:val="clear" w:color="auto" w:fill="auto"/>
            <w:noWrap/>
            <w:vAlign w:val="bottom"/>
          </w:tcPr>
          <w:p w14:paraId="342E5050" w14:textId="77777777" w:rsidR="00F87153" w:rsidRPr="0081763F" w:rsidRDefault="00F87153" w:rsidP="00FD77D1">
            <w:pPr>
              <w:ind w:right="39"/>
              <w:jc w:val="right"/>
              <w:rPr>
                <w:rFonts w:ascii="Calibri" w:hAnsi="Calibri" w:cs="Calibri"/>
                <w:color w:val="000000"/>
                <w:sz w:val="20"/>
                <w:szCs w:val="20"/>
              </w:rPr>
            </w:pPr>
          </w:p>
        </w:tc>
      </w:tr>
      <w:tr w:rsidR="00F87153" w:rsidRPr="0081763F" w14:paraId="6293F847" w14:textId="77777777" w:rsidTr="00F87153">
        <w:trPr>
          <w:trHeight w:val="299"/>
        </w:trPr>
        <w:tc>
          <w:tcPr>
            <w:tcW w:w="4190" w:type="dxa"/>
            <w:shd w:val="clear" w:color="auto" w:fill="FFFFFF"/>
            <w:vAlign w:val="bottom"/>
          </w:tcPr>
          <w:p w14:paraId="7A4F55A4" w14:textId="77777777" w:rsidR="00F87153" w:rsidRPr="0081763F" w:rsidRDefault="00F87153" w:rsidP="00F3553F">
            <w:pPr>
              <w:rPr>
                <w:rFonts w:ascii="Calibri" w:hAnsi="Calibri" w:cs="Calibri"/>
                <w:color w:val="000000"/>
                <w:sz w:val="20"/>
                <w:szCs w:val="20"/>
                <w:lang w:eastAsia="en-IE"/>
              </w:rPr>
            </w:pPr>
            <w:r w:rsidRPr="0081763F">
              <w:rPr>
                <w:rFonts w:ascii="Calibri" w:hAnsi="Calibri" w:cs="Calibri"/>
                <w:color w:val="000000"/>
                <w:sz w:val="20"/>
                <w:szCs w:val="20"/>
                <w:lang w:eastAsia="en-IE"/>
              </w:rPr>
              <w:t>Depreciation</w:t>
            </w:r>
          </w:p>
        </w:tc>
        <w:tc>
          <w:tcPr>
            <w:tcW w:w="1507" w:type="dxa"/>
            <w:tcBorders>
              <w:top w:val="nil"/>
              <w:left w:val="nil"/>
              <w:right w:val="nil"/>
            </w:tcBorders>
            <w:shd w:val="clear" w:color="auto" w:fill="auto"/>
            <w:noWrap/>
            <w:vAlign w:val="bottom"/>
          </w:tcPr>
          <w:p w14:paraId="50957395" w14:textId="77777777" w:rsidR="00F87153" w:rsidRPr="0081763F" w:rsidRDefault="00E21D7A" w:rsidP="00FD77D1">
            <w:pPr>
              <w:ind w:right="66"/>
              <w:jc w:val="right"/>
              <w:rPr>
                <w:rFonts w:ascii="Calibri" w:hAnsi="Calibri" w:cs="Calibri"/>
                <w:color w:val="000000"/>
                <w:sz w:val="20"/>
                <w:szCs w:val="20"/>
              </w:rPr>
            </w:pPr>
            <w:r>
              <w:rPr>
                <w:rFonts w:ascii="Calibri" w:hAnsi="Calibri" w:cs="Calibri"/>
                <w:color w:val="000000"/>
                <w:sz w:val="20"/>
                <w:szCs w:val="20"/>
                <w:lang w:eastAsia="en-IE"/>
              </w:rPr>
              <w:t>(</w:t>
            </w:r>
            <w:r w:rsidR="00F87153" w:rsidRPr="0081763F">
              <w:rPr>
                <w:rFonts w:ascii="Calibri" w:hAnsi="Calibri" w:cs="Calibri"/>
                <w:color w:val="000000"/>
                <w:sz w:val="20"/>
                <w:szCs w:val="20"/>
                <w:lang w:eastAsia="en-IE"/>
              </w:rPr>
              <w:t>427.4</w:t>
            </w:r>
            <w:r>
              <w:rPr>
                <w:rFonts w:ascii="Calibri" w:hAnsi="Calibri" w:cs="Calibri"/>
                <w:color w:val="000000"/>
                <w:sz w:val="20"/>
                <w:szCs w:val="20"/>
                <w:lang w:eastAsia="en-IE"/>
              </w:rPr>
              <w:t>)</w:t>
            </w:r>
          </w:p>
        </w:tc>
        <w:tc>
          <w:tcPr>
            <w:tcW w:w="1676" w:type="dxa"/>
            <w:tcBorders>
              <w:top w:val="nil"/>
              <w:left w:val="nil"/>
              <w:right w:val="nil"/>
            </w:tcBorders>
            <w:shd w:val="clear" w:color="auto" w:fill="auto"/>
            <w:vAlign w:val="bottom"/>
          </w:tcPr>
          <w:p w14:paraId="107FF07A" w14:textId="77777777" w:rsidR="00F87153" w:rsidRPr="0081763F" w:rsidRDefault="00E21D7A" w:rsidP="00FD77D1">
            <w:pPr>
              <w:ind w:right="30"/>
              <w:jc w:val="right"/>
              <w:rPr>
                <w:rFonts w:ascii="Calibri" w:hAnsi="Calibri" w:cs="Calibri"/>
                <w:color w:val="000000"/>
                <w:sz w:val="20"/>
                <w:szCs w:val="20"/>
              </w:rPr>
            </w:pPr>
            <w:r>
              <w:rPr>
                <w:rFonts w:ascii="Calibri" w:hAnsi="Calibri" w:cs="Calibri"/>
                <w:color w:val="000000"/>
                <w:sz w:val="20"/>
                <w:szCs w:val="20"/>
              </w:rPr>
              <w:t>(</w:t>
            </w:r>
            <w:r w:rsidR="00F87153" w:rsidRPr="0081763F">
              <w:rPr>
                <w:rFonts w:ascii="Calibri" w:hAnsi="Calibri" w:cs="Calibri"/>
                <w:color w:val="000000"/>
                <w:sz w:val="20"/>
                <w:szCs w:val="20"/>
              </w:rPr>
              <w:t>25.7</w:t>
            </w:r>
            <w:r>
              <w:rPr>
                <w:rFonts w:ascii="Calibri" w:hAnsi="Calibri" w:cs="Calibri"/>
                <w:color w:val="000000"/>
                <w:sz w:val="20"/>
                <w:szCs w:val="20"/>
              </w:rPr>
              <w:t>)</w:t>
            </w:r>
          </w:p>
        </w:tc>
        <w:tc>
          <w:tcPr>
            <w:tcW w:w="1508" w:type="dxa"/>
            <w:tcBorders>
              <w:top w:val="nil"/>
              <w:left w:val="nil"/>
              <w:right w:val="nil"/>
            </w:tcBorders>
            <w:shd w:val="clear" w:color="auto" w:fill="auto"/>
            <w:vAlign w:val="bottom"/>
          </w:tcPr>
          <w:p w14:paraId="17392787" w14:textId="77777777" w:rsidR="00F87153" w:rsidRPr="0081763F" w:rsidRDefault="00F87153" w:rsidP="00FD77D1">
            <w:pPr>
              <w:ind w:right="128"/>
              <w:jc w:val="right"/>
              <w:rPr>
                <w:rFonts w:ascii="Calibri" w:hAnsi="Calibri" w:cs="Calibri"/>
                <w:color w:val="000000"/>
                <w:sz w:val="20"/>
                <w:szCs w:val="20"/>
              </w:rPr>
            </w:pPr>
            <w:r w:rsidRPr="0081763F">
              <w:rPr>
                <w:rFonts w:ascii="Calibri" w:hAnsi="Calibri" w:cs="Calibri"/>
                <w:color w:val="000000"/>
                <w:sz w:val="20"/>
                <w:szCs w:val="20"/>
              </w:rPr>
              <w:t>-</w:t>
            </w:r>
          </w:p>
        </w:tc>
        <w:tc>
          <w:tcPr>
            <w:tcW w:w="1476" w:type="dxa"/>
            <w:tcBorders>
              <w:top w:val="nil"/>
              <w:left w:val="nil"/>
              <w:right w:val="nil"/>
            </w:tcBorders>
            <w:shd w:val="clear" w:color="auto" w:fill="auto"/>
            <w:noWrap/>
            <w:vAlign w:val="bottom"/>
          </w:tcPr>
          <w:p w14:paraId="06AE2A28" w14:textId="77777777" w:rsidR="00F87153" w:rsidRPr="0081763F" w:rsidRDefault="00E21D7A" w:rsidP="00FD77D1">
            <w:pPr>
              <w:ind w:right="39"/>
              <w:jc w:val="right"/>
              <w:rPr>
                <w:rFonts w:ascii="Calibri" w:hAnsi="Calibri" w:cs="Calibri"/>
                <w:color w:val="000000"/>
                <w:sz w:val="20"/>
                <w:szCs w:val="20"/>
              </w:rPr>
            </w:pPr>
            <w:r>
              <w:rPr>
                <w:rFonts w:ascii="Calibri" w:hAnsi="Calibri" w:cs="Calibri"/>
                <w:color w:val="000000"/>
                <w:sz w:val="20"/>
                <w:szCs w:val="20"/>
              </w:rPr>
              <w:t>(</w:t>
            </w:r>
            <w:r w:rsidR="00F87153" w:rsidRPr="0081763F">
              <w:rPr>
                <w:rFonts w:ascii="Calibri" w:hAnsi="Calibri" w:cs="Calibri"/>
                <w:color w:val="000000"/>
                <w:sz w:val="20"/>
                <w:szCs w:val="20"/>
              </w:rPr>
              <w:t>453.1</w:t>
            </w:r>
            <w:r>
              <w:rPr>
                <w:rFonts w:ascii="Calibri" w:hAnsi="Calibri" w:cs="Calibri"/>
                <w:color w:val="000000"/>
                <w:sz w:val="20"/>
                <w:szCs w:val="20"/>
              </w:rPr>
              <w:t>)</w:t>
            </w:r>
          </w:p>
        </w:tc>
      </w:tr>
      <w:tr w:rsidR="00F87153" w:rsidRPr="0081763F" w14:paraId="4730453F" w14:textId="77777777" w:rsidTr="00F87153">
        <w:trPr>
          <w:trHeight w:val="299"/>
        </w:trPr>
        <w:tc>
          <w:tcPr>
            <w:tcW w:w="4190" w:type="dxa"/>
            <w:shd w:val="clear" w:color="auto" w:fill="FFFFFF"/>
            <w:vAlign w:val="bottom"/>
          </w:tcPr>
          <w:p w14:paraId="61A89B06" w14:textId="77777777" w:rsidR="00F87153" w:rsidRPr="0081763F" w:rsidRDefault="00F87153" w:rsidP="00F3553F">
            <w:pPr>
              <w:rPr>
                <w:rFonts w:ascii="Calibri" w:hAnsi="Calibri" w:cs="Calibri"/>
                <w:color w:val="000000"/>
                <w:sz w:val="20"/>
                <w:szCs w:val="20"/>
                <w:lang w:eastAsia="en-IE"/>
              </w:rPr>
            </w:pPr>
            <w:r w:rsidRPr="0081763F">
              <w:rPr>
                <w:rFonts w:ascii="Calibri" w:hAnsi="Calibri" w:cs="Calibri"/>
                <w:color w:val="000000"/>
                <w:sz w:val="20"/>
                <w:szCs w:val="20"/>
                <w:lang w:eastAsia="en-IE"/>
              </w:rPr>
              <w:t>Net finance expense</w:t>
            </w:r>
          </w:p>
        </w:tc>
        <w:tc>
          <w:tcPr>
            <w:tcW w:w="1507" w:type="dxa"/>
            <w:tcBorders>
              <w:top w:val="nil"/>
              <w:left w:val="nil"/>
              <w:right w:val="nil"/>
            </w:tcBorders>
            <w:shd w:val="clear" w:color="auto" w:fill="auto"/>
            <w:noWrap/>
            <w:vAlign w:val="bottom"/>
          </w:tcPr>
          <w:p w14:paraId="1C503037" w14:textId="77777777" w:rsidR="00F87153" w:rsidRPr="0081763F" w:rsidRDefault="00E21D7A" w:rsidP="00FD77D1">
            <w:pPr>
              <w:ind w:right="66"/>
              <w:jc w:val="right"/>
              <w:rPr>
                <w:rFonts w:ascii="Calibri" w:hAnsi="Calibri" w:cs="Calibri"/>
                <w:color w:val="000000"/>
                <w:sz w:val="20"/>
                <w:szCs w:val="20"/>
                <w:lang w:eastAsia="en-IE"/>
              </w:rPr>
            </w:pPr>
            <w:r>
              <w:rPr>
                <w:rFonts w:ascii="Calibri" w:hAnsi="Calibri" w:cs="Calibri"/>
                <w:color w:val="000000"/>
                <w:sz w:val="20"/>
                <w:szCs w:val="20"/>
                <w:lang w:eastAsia="en-IE"/>
              </w:rPr>
              <w:t>(</w:t>
            </w:r>
            <w:r w:rsidR="00F87153" w:rsidRPr="0081763F">
              <w:rPr>
                <w:rFonts w:ascii="Calibri" w:hAnsi="Calibri" w:cs="Calibri"/>
                <w:color w:val="000000"/>
                <w:sz w:val="20"/>
                <w:szCs w:val="20"/>
                <w:lang w:eastAsia="en-IE"/>
              </w:rPr>
              <w:t>34.2</w:t>
            </w:r>
            <w:r>
              <w:rPr>
                <w:rFonts w:ascii="Calibri" w:hAnsi="Calibri" w:cs="Calibri"/>
                <w:color w:val="000000"/>
                <w:sz w:val="20"/>
                <w:szCs w:val="20"/>
                <w:lang w:eastAsia="en-IE"/>
              </w:rPr>
              <w:t>)</w:t>
            </w:r>
          </w:p>
        </w:tc>
        <w:tc>
          <w:tcPr>
            <w:tcW w:w="1676" w:type="dxa"/>
            <w:tcBorders>
              <w:top w:val="nil"/>
              <w:left w:val="nil"/>
              <w:right w:val="nil"/>
            </w:tcBorders>
            <w:shd w:val="clear" w:color="auto" w:fill="auto"/>
            <w:vAlign w:val="bottom"/>
          </w:tcPr>
          <w:p w14:paraId="4B566B32" w14:textId="77777777" w:rsidR="00F87153" w:rsidRPr="0081763F" w:rsidRDefault="00E21D7A" w:rsidP="00FD77D1">
            <w:pPr>
              <w:ind w:right="30"/>
              <w:jc w:val="right"/>
              <w:rPr>
                <w:rFonts w:ascii="Calibri" w:hAnsi="Calibri" w:cs="Calibri"/>
                <w:color w:val="000000"/>
                <w:sz w:val="20"/>
                <w:szCs w:val="20"/>
              </w:rPr>
            </w:pPr>
            <w:r>
              <w:rPr>
                <w:rFonts w:ascii="Calibri" w:hAnsi="Calibri" w:cs="Calibri"/>
                <w:sz w:val="20"/>
                <w:szCs w:val="20"/>
              </w:rPr>
              <w:t>(</w:t>
            </w:r>
            <w:r w:rsidR="00F87153" w:rsidRPr="0081763F">
              <w:rPr>
                <w:rFonts w:ascii="Calibri" w:hAnsi="Calibri" w:cs="Calibri"/>
                <w:sz w:val="20"/>
                <w:szCs w:val="20"/>
              </w:rPr>
              <w:t>2.0</w:t>
            </w:r>
            <w:r>
              <w:rPr>
                <w:rFonts w:ascii="Calibri" w:hAnsi="Calibri" w:cs="Calibri"/>
                <w:sz w:val="20"/>
                <w:szCs w:val="20"/>
              </w:rPr>
              <w:t>)</w:t>
            </w:r>
          </w:p>
        </w:tc>
        <w:tc>
          <w:tcPr>
            <w:tcW w:w="1508" w:type="dxa"/>
            <w:tcBorders>
              <w:top w:val="nil"/>
              <w:left w:val="nil"/>
              <w:right w:val="nil"/>
            </w:tcBorders>
            <w:shd w:val="clear" w:color="auto" w:fill="auto"/>
            <w:vAlign w:val="bottom"/>
          </w:tcPr>
          <w:p w14:paraId="4D5B465D" w14:textId="77777777" w:rsidR="00F87153" w:rsidRPr="0081763F" w:rsidRDefault="00F87153" w:rsidP="00FD77D1">
            <w:pPr>
              <w:ind w:right="128"/>
              <w:jc w:val="right"/>
              <w:rPr>
                <w:rFonts w:ascii="Calibri" w:hAnsi="Calibri" w:cs="Calibri"/>
                <w:color w:val="000000"/>
                <w:sz w:val="20"/>
                <w:szCs w:val="20"/>
              </w:rPr>
            </w:pPr>
            <w:r w:rsidRPr="0081763F">
              <w:rPr>
                <w:rFonts w:ascii="Calibri" w:eastAsia="Calibri" w:hAnsi="Calibri" w:cs="Calibri"/>
                <w:sz w:val="20"/>
                <w:szCs w:val="20"/>
                <w:lang w:eastAsia="en-IE"/>
              </w:rPr>
              <w:t>-</w:t>
            </w:r>
          </w:p>
        </w:tc>
        <w:tc>
          <w:tcPr>
            <w:tcW w:w="1476" w:type="dxa"/>
            <w:tcBorders>
              <w:top w:val="nil"/>
              <w:left w:val="nil"/>
              <w:right w:val="nil"/>
            </w:tcBorders>
            <w:shd w:val="clear" w:color="auto" w:fill="auto"/>
            <w:noWrap/>
            <w:vAlign w:val="bottom"/>
          </w:tcPr>
          <w:p w14:paraId="41A73886" w14:textId="77777777" w:rsidR="00F87153" w:rsidRPr="0081763F" w:rsidRDefault="00E21D7A" w:rsidP="00FD77D1">
            <w:pPr>
              <w:ind w:right="39"/>
              <w:jc w:val="right"/>
              <w:rPr>
                <w:rFonts w:ascii="Calibri" w:hAnsi="Calibri" w:cs="Calibri"/>
                <w:color w:val="000000"/>
                <w:sz w:val="20"/>
                <w:szCs w:val="20"/>
              </w:rPr>
            </w:pPr>
            <w:r>
              <w:rPr>
                <w:rFonts w:ascii="Calibri" w:eastAsia="Calibri" w:hAnsi="Calibri" w:cs="Calibri"/>
                <w:sz w:val="20"/>
                <w:szCs w:val="20"/>
                <w:lang w:eastAsia="en-IE"/>
              </w:rPr>
              <w:t>(</w:t>
            </w:r>
            <w:r w:rsidR="00F87153" w:rsidRPr="0081763F">
              <w:rPr>
                <w:rFonts w:ascii="Calibri" w:eastAsia="Calibri" w:hAnsi="Calibri" w:cs="Calibri"/>
                <w:sz w:val="20"/>
                <w:szCs w:val="20"/>
                <w:lang w:eastAsia="en-IE"/>
              </w:rPr>
              <w:t>36.2</w:t>
            </w:r>
            <w:r>
              <w:rPr>
                <w:rFonts w:ascii="Calibri" w:eastAsia="Calibri" w:hAnsi="Calibri" w:cs="Calibri"/>
                <w:sz w:val="20"/>
                <w:szCs w:val="20"/>
                <w:lang w:eastAsia="en-IE"/>
              </w:rPr>
              <w:t>)</w:t>
            </w:r>
          </w:p>
        </w:tc>
      </w:tr>
      <w:tr w:rsidR="00F87153" w:rsidRPr="0081763F" w14:paraId="4B8E389C" w14:textId="77777777" w:rsidTr="00F87153">
        <w:trPr>
          <w:trHeight w:val="299"/>
        </w:trPr>
        <w:tc>
          <w:tcPr>
            <w:tcW w:w="4190" w:type="dxa"/>
            <w:shd w:val="clear" w:color="auto" w:fill="FFFFFF"/>
            <w:vAlign w:val="bottom"/>
          </w:tcPr>
          <w:p w14:paraId="21DD5030" w14:textId="77777777" w:rsidR="00F87153" w:rsidRPr="0081763F" w:rsidRDefault="00F87153" w:rsidP="00F3553F">
            <w:pPr>
              <w:rPr>
                <w:rFonts w:ascii="Calibri" w:hAnsi="Calibri" w:cs="Calibri"/>
                <w:color w:val="000000"/>
                <w:sz w:val="20"/>
                <w:szCs w:val="20"/>
                <w:lang w:eastAsia="en-IE"/>
              </w:rPr>
            </w:pPr>
            <w:r w:rsidRPr="0081763F">
              <w:rPr>
                <w:rFonts w:ascii="Calibri" w:hAnsi="Calibri" w:cs="Calibri"/>
                <w:color w:val="000000"/>
                <w:sz w:val="20"/>
                <w:szCs w:val="20"/>
                <w:lang w:eastAsia="en-IE"/>
              </w:rPr>
              <w:t>Capital expenditure</w:t>
            </w:r>
          </w:p>
        </w:tc>
        <w:tc>
          <w:tcPr>
            <w:tcW w:w="1507" w:type="dxa"/>
            <w:tcBorders>
              <w:left w:val="nil"/>
              <w:right w:val="nil"/>
            </w:tcBorders>
            <w:shd w:val="clear" w:color="auto" w:fill="auto"/>
            <w:noWrap/>
            <w:vAlign w:val="bottom"/>
          </w:tcPr>
          <w:p w14:paraId="425A1429" w14:textId="77777777" w:rsidR="00F87153" w:rsidRPr="0081763F" w:rsidRDefault="00E21D7A" w:rsidP="00FD77D1">
            <w:pPr>
              <w:ind w:right="66"/>
              <w:jc w:val="right"/>
              <w:rPr>
                <w:rFonts w:ascii="Calibri" w:hAnsi="Calibri" w:cs="Calibri"/>
                <w:color w:val="000000"/>
                <w:sz w:val="20"/>
                <w:szCs w:val="20"/>
                <w:lang w:eastAsia="en-IE"/>
              </w:rPr>
            </w:pPr>
            <w:r>
              <w:rPr>
                <w:rFonts w:ascii="Calibri" w:hAnsi="Calibri" w:cs="Calibri"/>
                <w:color w:val="000000"/>
                <w:sz w:val="20"/>
                <w:szCs w:val="20"/>
                <w:lang w:eastAsia="en-IE"/>
              </w:rPr>
              <w:t>(</w:t>
            </w:r>
            <w:r w:rsidR="00F87153" w:rsidRPr="0081763F">
              <w:rPr>
                <w:rFonts w:ascii="Calibri" w:hAnsi="Calibri" w:cs="Calibri"/>
                <w:color w:val="000000"/>
                <w:sz w:val="20"/>
                <w:szCs w:val="20"/>
                <w:lang w:eastAsia="en-IE"/>
              </w:rPr>
              <w:t>679.2</w:t>
            </w:r>
            <w:r>
              <w:rPr>
                <w:rFonts w:ascii="Calibri" w:hAnsi="Calibri" w:cs="Calibri"/>
                <w:color w:val="000000"/>
                <w:sz w:val="20"/>
                <w:szCs w:val="20"/>
                <w:lang w:eastAsia="en-IE"/>
              </w:rPr>
              <w:t>)</w:t>
            </w:r>
          </w:p>
        </w:tc>
        <w:tc>
          <w:tcPr>
            <w:tcW w:w="1676" w:type="dxa"/>
            <w:tcBorders>
              <w:left w:val="nil"/>
              <w:right w:val="nil"/>
            </w:tcBorders>
            <w:shd w:val="clear" w:color="auto" w:fill="auto"/>
            <w:vAlign w:val="bottom"/>
          </w:tcPr>
          <w:p w14:paraId="14C430C1" w14:textId="77777777" w:rsidR="00F87153" w:rsidRPr="0081763F" w:rsidRDefault="00E21D7A" w:rsidP="00FD77D1">
            <w:pPr>
              <w:ind w:right="30"/>
              <w:jc w:val="right"/>
              <w:rPr>
                <w:rFonts w:ascii="Calibri" w:hAnsi="Calibri" w:cs="Calibri"/>
                <w:color w:val="000000"/>
                <w:sz w:val="20"/>
                <w:szCs w:val="20"/>
              </w:rPr>
            </w:pPr>
            <w:r>
              <w:rPr>
                <w:rFonts w:ascii="Calibri" w:hAnsi="Calibri" w:cs="Calibri"/>
                <w:sz w:val="20"/>
                <w:szCs w:val="20"/>
              </w:rPr>
              <w:t>(</w:t>
            </w:r>
            <w:r w:rsidR="00F87153" w:rsidRPr="0081763F">
              <w:rPr>
                <w:rFonts w:ascii="Calibri" w:hAnsi="Calibri" w:cs="Calibri"/>
                <w:sz w:val="20"/>
                <w:szCs w:val="20"/>
              </w:rPr>
              <w:t>118.0</w:t>
            </w:r>
            <w:r>
              <w:rPr>
                <w:rFonts w:ascii="Calibri" w:hAnsi="Calibri" w:cs="Calibri"/>
                <w:sz w:val="20"/>
                <w:szCs w:val="20"/>
              </w:rPr>
              <w:t>)</w:t>
            </w:r>
          </w:p>
        </w:tc>
        <w:tc>
          <w:tcPr>
            <w:tcW w:w="1508" w:type="dxa"/>
            <w:tcBorders>
              <w:left w:val="nil"/>
              <w:right w:val="nil"/>
            </w:tcBorders>
            <w:shd w:val="clear" w:color="auto" w:fill="auto"/>
            <w:vAlign w:val="bottom"/>
          </w:tcPr>
          <w:p w14:paraId="458F1702" w14:textId="77777777" w:rsidR="00F87153" w:rsidRPr="0081763F" w:rsidRDefault="00F87153" w:rsidP="00FD77D1">
            <w:pPr>
              <w:ind w:right="128"/>
              <w:jc w:val="right"/>
              <w:rPr>
                <w:rFonts w:ascii="Calibri" w:hAnsi="Calibri" w:cs="Calibri"/>
                <w:color w:val="000000"/>
                <w:sz w:val="20"/>
                <w:szCs w:val="20"/>
              </w:rPr>
            </w:pPr>
            <w:r w:rsidRPr="0081763F">
              <w:rPr>
                <w:rFonts w:ascii="Calibri" w:eastAsia="Calibri" w:hAnsi="Calibri" w:cs="Calibri"/>
                <w:sz w:val="20"/>
                <w:szCs w:val="20"/>
                <w:lang w:eastAsia="en-IE"/>
              </w:rPr>
              <w:t>-</w:t>
            </w:r>
          </w:p>
        </w:tc>
        <w:tc>
          <w:tcPr>
            <w:tcW w:w="1476" w:type="dxa"/>
            <w:tcBorders>
              <w:left w:val="nil"/>
              <w:right w:val="nil"/>
            </w:tcBorders>
            <w:shd w:val="clear" w:color="auto" w:fill="auto"/>
            <w:noWrap/>
            <w:vAlign w:val="bottom"/>
          </w:tcPr>
          <w:p w14:paraId="1D7278BA" w14:textId="77777777" w:rsidR="00F87153" w:rsidRPr="0081763F" w:rsidRDefault="00E21D7A" w:rsidP="00FD77D1">
            <w:pPr>
              <w:ind w:right="39"/>
              <w:jc w:val="right"/>
              <w:rPr>
                <w:rFonts w:ascii="Calibri" w:hAnsi="Calibri" w:cs="Calibri"/>
                <w:color w:val="000000"/>
                <w:sz w:val="20"/>
                <w:szCs w:val="20"/>
              </w:rPr>
            </w:pPr>
            <w:r>
              <w:rPr>
                <w:rFonts w:ascii="Calibri" w:eastAsia="Calibri" w:hAnsi="Calibri" w:cs="Calibri"/>
                <w:sz w:val="20"/>
                <w:szCs w:val="20"/>
                <w:lang w:eastAsia="en-IE"/>
              </w:rPr>
              <w:t>(</w:t>
            </w:r>
            <w:r w:rsidR="00F87153" w:rsidRPr="0081763F">
              <w:rPr>
                <w:rFonts w:ascii="Calibri" w:eastAsia="Calibri" w:hAnsi="Calibri" w:cs="Calibri"/>
                <w:sz w:val="20"/>
                <w:szCs w:val="20"/>
                <w:lang w:eastAsia="en-IE"/>
              </w:rPr>
              <w:t>797.2</w:t>
            </w:r>
            <w:r>
              <w:rPr>
                <w:rFonts w:ascii="Calibri" w:eastAsia="Calibri" w:hAnsi="Calibri" w:cs="Calibri"/>
                <w:sz w:val="20"/>
                <w:szCs w:val="20"/>
                <w:lang w:eastAsia="en-IE"/>
              </w:rPr>
              <w:t>)</w:t>
            </w:r>
          </w:p>
        </w:tc>
      </w:tr>
      <w:tr w:rsidR="00F87153" w:rsidRPr="0081763F" w14:paraId="70DD4243" w14:textId="77777777" w:rsidTr="00F87153">
        <w:trPr>
          <w:trHeight w:val="299"/>
        </w:trPr>
        <w:tc>
          <w:tcPr>
            <w:tcW w:w="4190" w:type="dxa"/>
            <w:shd w:val="clear" w:color="auto" w:fill="FFFFFF"/>
            <w:vAlign w:val="bottom"/>
          </w:tcPr>
          <w:p w14:paraId="2A1E85A0" w14:textId="77777777" w:rsidR="00F87153" w:rsidRPr="0081763F" w:rsidRDefault="00F87153" w:rsidP="00F3553F">
            <w:pPr>
              <w:rPr>
                <w:rFonts w:ascii="Calibri" w:hAnsi="Calibri" w:cs="Calibri"/>
                <w:color w:val="000000"/>
                <w:sz w:val="20"/>
                <w:szCs w:val="20"/>
                <w:lang w:eastAsia="en-IE"/>
              </w:rPr>
            </w:pPr>
          </w:p>
        </w:tc>
        <w:tc>
          <w:tcPr>
            <w:tcW w:w="1507" w:type="dxa"/>
            <w:tcBorders>
              <w:left w:val="nil"/>
              <w:right w:val="nil"/>
            </w:tcBorders>
            <w:shd w:val="clear" w:color="auto" w:fill="auto"/>
            <w:noWrap/>
            <w:vAlign w:val="bottom"/>
          </w:tcPr>
          <w:p w14:paraId="6FF91381" w14:textId="77777777" w:rsidR="00F87153" w:rsidRPr="0081763F" w:rsidRDefault="00F87153" w:rsidP="00FD77D1">
            <w:pPr>
              <w:ind w:right="66"/>
              <w:jc w:val="right"/>
              <w:rPr>
                <w:rFonts w:ascii="Calibri" w:hAnsi="Calibri" w:cs="Calibri"/>
                <w:color w:val="000000"/>
                <w:sz w:val="20"/>
                <w:szCs w:val="20"/>
                <w:lang w:eastAsia="en-IE"/>
              </w:rPr>
            </w:pPr>
          </w:p>
        </w:tc>
        <w:tc>
          <w:tcPr>
            <w:tcW w:w="1676" w:type="dxa"/>
            <w:tcBorders>
              <w:left w:val="nil"/>
              <w:right w:val="nil"/>
            </w:tcBorders>
            <w:shd w:val="clear" w:color="auto" w:fill="auto"/>
            <w:vAlign w:val="bottom"/>
          </w:tcPr>
          <w:p w14:paraId="416E2789" w14:textId="77777777" w:rsidR="00F87153" w:rsidRPr="0081763F" w:rsidRDefault="00F87153" w:rsidP="00FD77D1">
            <w:pPr>
              <w:ind w:right="30"/>
              <w:jc w:val="right"/>
              <w:rPr>
                <w:rFonts w:ascii="Calibri" w:hAnsi="Calibri" w:cs="Calibri"/>
                <w:color w:val="000000"/>
                <w:sz w:val="20"/>
                <w:szCs w:val="20"/>
                <w:lang w:eastAsia="en-IE"/>
              </w:rPr>
            </w:pPr>
          </w:p>
        </w:tc>
        <w:tc>
          <w:tcPr>
            <w:tcW w:w="1508" w:type="dxa"/>
            <w:tcBorders>
              <w:left w:val="nil"/>
              <w:right w:val="nil"/>
            </w:tcBorders>
            <w:shd w:val="clear" w:color="auto" w:fill="auto"/>
            <w:vAlign w:val="bottom"/>
          </w:tcPr>
          <w:p w14:paraId="39EF8D5C" w14:textId="77777777" w:rsidR="00F87153" w:rsidRPr="0081763F" w:rsidRDefault="00F87153" w:rsidP="00FD77D1">
            <w:pPr>
              <w:ind w:left="-245" w:right="128"/>
              <w:jc w:val="right"/>
              <w:rPr>
                <w:rFonts w:ascii="Calibri" w:hAnsi="Calibri" w:cs="Calibri"/>
                <w:color w:val="000000"/>
                <w:sz w:val="20"/>
                <w:szCs w:val="20"/>
                <w:lang w:eastAsia="en-IE"/>
              </w:rPr>
            </w:pPr>
          </w:p>
        </w:tc>
        <w:tc>
          <w:tcPr>
            <w:tcW w:w="1476" w:type="dxa"/>
            <w:tcBorders>
              <w:left w:val="nil"/>
              <w:right w:val="nil"/>
            </w:tcBorders>
            <w:shd w:val="clear" w:color="auto" w:fill="auto"/>
            <w:noWrap/>
            <w:vAlign w:val="bottom"/>
          </w:tcPr>
          <w:p w14:paraId="360ECD0D" w14:textId="77777777" w:rsidR="00F87153" w:rsidRPr="0081763F" w:rsidRDefault="00F87153" w:rsidP="00FD77D1">
            <w:pPr>
              <w:ind w:right="39"/>
              <w:jc w:val="right"/>
              <w:rPr>
                <w:rFonts w:ascii="Calibri" w:hAnsi="Calibri" w:cs="Calibri"/>
                <w:color w:val="000000"/>
                <w:sz w:val="20"/>
                <w:szCs w:val="20"/>
                <w:lang w:eastAsia="en-IE"/>
              </w:rPr>
            </w:pPr>
          </w:p>
        </w:tc>
      </w:tr>
      <w:tr w:rsidR="00F87153" w:rsidRPr="0081763F" w14:paraId="46C68B45" w14:textId="77777777" w:rsidTr="00F87153">
        <w:trPr>
          <w:trHeight w:val="299"/>
        </w:trPr>
        <w:tc>
          <w:tcPr>
            <w:tcW w:w="4190" w:type="dxa"/>
            <w:shd w:val="clear" w:color="auto" w:fill="FFFFFF"/>
            <w:vAlign w:val="bottom"/>
          </w:tcPr>
          <w:p w14:paraId="7343FCAC" w14:textId="77777777" w:rsidR="00F87153" w:rsidRPr="0081763F" w:rsidRDefault="00F87153" w:rsidP="00F3553F">
            <w:pPr>
              <w:rPr>
                <w:rFonts w:ascii="Calibri" w:hAnsi="Calibri" w:cs="Calibri"/>
                <w:color w:val="000000"/>
                <w:sz w:val="20"/>
                <w:szCs w:val="20"/>
                <w:lang w:eastAsia="en-IE"/>
              </w:rPr>
            </w:pPr>
            <w:r w:rsidRPr="0081763F">
              <w:rPr>
                <w:rFonts w:ascii="Calibri" w:hAnsi="Calibri" w:cs="Calibri"/>
                <w:color w:val="000000"/>
                <w:sz w:val="20"/>
                <w:szCs w:val="20"/>
                <w:lang w:eastAsia="en-IE"/>
              </w:rPr>
              <w:t>Segment assets</w:t>
            </w:r>
          </w:p>
        </w:tc>
        <w:tc>
          <w:tcPr>
            <w:tcW w:w="1507" w:type="dxa"/>
            <w:tcBorders>
              <w:top w:val="nil"/>
              <w:left w:val="nil"/>
              <w:right w:val="nil"/>
            </w:tcBorders>
            <w:shd w:val="clear" w:color="auto" w:fill="auto"/>
            <w:noWrap/>
            <w:vAlign w:val="bottom"/>
          </w:tcPr>
          <w:p w14:paraId="124147E6" w14:textId="77777777" w:rsidR="00F87153" w:rsidRPr="0081763F" w:rsidRDefault="00F87153" w:rsidP="00FD77D1">
            <w:pPr>
              <w:ind w:right="66"/>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 xml:space="preserve">          16,063.1</w:t>
            </w:r>
          </w:p>
        </w:tc>
        <w:tc>
          <w:tcPr>
            <w:tcW w:w="1676" w:type="dxa"/>
            <w:tcBorders>
              <w:top w:val="nil"/>
              <w:left w:val="nil"/>
              <w:right w:val="nil"/>
            </w:tcBorders>
            <w:shd w:val="clear" w:color="auto" w:fill="auto"/>
            <w:vAlign w:val="bottom"/>
          </w:tcPr>
          <w:p w14:paraId="6D700E4E" w14:textId="77777777" w:rsidR="00F87153" w:rsidRPr="0081763F" w:rsidRDefault="00F87153" w:rsidP="00FD77D1">
            <w:pPr>
              <w:ind w:right="30"/>
              <w:jc w:val="right"/>
              <w:rPr>
                <w:rFonts w:ascii="Calibri" w:hAnsi="Calibri" w:cs="Calibri"/>
                <w:color w:val="000000"/>
                <w:sz w:val="20"/>
                <w:szCs w:val="20"/>
                <w:lang w:eastAsia="en-IE"/>
              </w:rPr>
            </w:pPr>
            <w:r w:rsidRPr="0081763F">
              <w:rPr>
                <w:rFonts w:ascii="Calibri" w:hAnsi="Calibri" w:cs="Calibri"/>
                <w:color w:val="000000"/>
                <w:sz w:val="20"/>
                <w:szCs w:val="20"/>
              </w:rPr>
              <w:t>534.2</w:t>
            </w:r>
          </w:p>
        </w:tc>
        <w:tc>
          <w:tcPr>
            <w:tcW w:w="1508" w:type="dxa"/>
            <w:tcBorders>
              <w:top w:val="nil"/>
              <w:left w:val="nil"/>
              <w:right w:val="nil"/>
            </w:tcBorders>
            <w:shd w:val="clear" w:color="auto" w:fill="auto"/>
            <w:vAlign w:val="bottom"/>
          </w:tcPr>
          <w:p w14:paraId="7EE1B8AC" w14:textId="77777777" w:rsidR="00F87153" w:rsidRPr="0081763F" w:rsidRDefault="00F87153" w:rsidP="00FD77D1">
            <w:pPr>
              <w:ind w:left="-245" w:right="128"/>
              <w:jc w:val="right"/>
              <w:rPr>
                <w:rFonts w:ascii="Calibri" w:hAnsi="Calibri" w:cs="Calibri"/>
                <w:color w:val="000000"/>
                <w:sz w:val="20"/>
                <w:szCs w:val="20"/>
                <w:lang w:eastAsia="en-IE"/>
              </w:rPr>
            </w:pPr>
            <w:r w:rsidRPr="0081763F">
              <w:rPr>
                <w:rFonts w:ascii="Calibri" w:eastAsia="Calibri" w:hAnsi="Calibri" w:cs="Calibri"/>
                <w:sz w:val="20"/>
                <w:szCs w:val="20"/>
                <w:lang w:eastAsia="en-IE"/>
              </w:rPr>
              <w:t>-</w:t>
            </w:r>
          </w:p>
        </w:tc>
        <w:tc>
          <w:tcPr>
            <w:tcW w:w="1476" w:type="dxa"/>
            <w:tcBorders>
              <w:top w:val="nil"/>
              <w:left w:val="nil"/>
              <w:right w:val="nil"/>
            </w:tcBorders>
            <w:shd w:val="clear" w:color="auto" w:fill="auto"/>
            <w:noWrap/>
            <w:vAlign w:val="bottom"/>
          </w:tcPr>
          <w:p w14:paraId="3476A5E1" w14:textId="77777777" w:rsidR="00F87153" w:rsidRPr="0081763F" w:rsidRDefault="00F87153" w:rsidP="00FD77D1">
            <w:pPr>
              <w:ind w:right="39"/>
              <w:jc w:val="right"/>
              <w:rPr>
                <w:rFonts w:ascii="Calibri" w:hAnsi="Calibri" w:cs="Calibri"/>
                <w:color w:val="000000"/>
                <w:sz w:val="20"/>
                <w:szCs w:val="20"/>
                <w:lang w:eastAsia="en-IE"/>
              </w:rPr>
            </w:pPr>
            <w:r w:rsidRPr="0081763F">
              <w:rPr>
                <w:rFonts w:ascii="Calibri" w:eastAsia="Calibri" w:hAnsi="Calibri" w:cs="Calibri"/>
                <w:sz w:val="20"/>
                <w:szCs w:val="20"/>
                <w:lang w:eastAsia="en-IE"/>
              </w:rPr>
              <w:t>16,597.3</w:t>
            </w:r>
          </w:p>
        </w:tc>
      </w:tr>
      <w:tr w:rsidR="00F87153" w:rsidRPr="0081763F" w14:paraId="6B991A9D" w14:textId="77777777" w:rsidTr="00F87153">
        <w:trPr>
          <w:trHeight w:val="299"/>
        </w:trPr>
        <w:tc>
          <w:tcPr>
            <w:tcW w:w="4190" w:type="dxa"/>
            <w:shd w:val="clear" w:color="auto" w:fill="FFFFFF"/>
            <w:vAlign w:val="bottom"/>
          </w:tcPr>
          <w:p w14:paraId="49D9AA6F" w14:textId="77777777" w:rsidR="00F87153" w:rsidRPr="0081763F" w:rsidRDefault="00F87153" w:rsidP="00F3553F">
            <w:pPr>
              <w:rPr>
                <w:rFonts w:ascii="Calibri" w:hAnsi="Calibri" w:cs="Calibri"/>
                <w:color w:val="000000"/>
                <w:sz w:val="20"/>
                <w:szCs w:val="20"/>
                <w:lang w:eastAsia="en-IE"/>
              </w:rPr>
            </w:pPr>
            <w:r w:rsidRPr="0081763F">
              <w:rPr>
                <w:rFonts w:ascii="Calibri" w:hAnsi="Calibri" w:cs="Calibri"/>
                <w:color w:val="000000"/>
                <w:sz w:val="20"/>
                <w:szCs w:val="20"/>
                <w:lang w:eastAsia="en-IE"/>
              </w:rPr>
              <w:t>Segment liabilities</w:t>
            </w:r>
          </w:p>
        </w:tc>
        <w:tc>
          <w:tcPr>
            <w:tcW w:w="1507" w:type="dxa"/>
            <w:tcBorders>
              <w:top w:val="nil"/>
              <w:left w:val="nil"/>
              <w:right w:val="nil"/>
            </w:tcBorders>
            <w:shd w:val="clear" w:color="auto" w:fill="auto"/>
            <w:noWrap/>
            <w:vAlign w:val="bottom"/>
          </w:tcPr>
          <w:p w14:paraId="3E6C5265" w14:textId="77777777" w:rsidR="00F87153" w:rsidRPr="0081763F" w:rsidRDefault="00F87153" w:rsidP="00FD77D1">
            <w:pPr>
              <w:ind w:right="66"/>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 xml:space="preserve">         </w:t>
            </w:r>
            <w:r w:rsidR="00E21D7A">
              <w:rPr>
                <w:rFonts w:ascii="Calibri" w:hAnsi="Calibri" w:cs="Calibri"/>
                <w:color w:val="000000"/>
                <w:sz w:val="20"/>
                <w:szCs w:val="20"/>
                <w:lang w:eastAsia="en-IE"/>
              </w:rPr>
              <w:t>(</w:t>
            </w:r>
            <w:r w:rsidRPr="0081763F">
              <w:rPr>
                <w:rFonts w:ascii="Calibri" w:hAnsi="Calibri" w:cs="Calibri"/>
                <w:color w:val="000000"/>
                <w:sz w:val="20"/>
                <w:szCs w:val="20"/>
                <w:lang w:eastAsia="en-IE"/>
              </w:rPr>
              <w:t>9,003.6</w:t>
            </w:r>
            <w:r w:rsidR="00E21D7A">
              <w:rPr>
                <w:rFonts w:ascii="Calibri" w:hAnsi="Calibri" w:cs="Calibri"/>
                <w:color w:val="000000"/>
                <w:sz w:val="20"/>
                <w:szCs w:val="20"/>
                <w:lang w:eastAsia="en-IE"/>
              </w:rPr>
              <w:t>)</w:t>
            </w:r>
          </w:p>
        </w:tc>
        <w:tc>
          <w:tcPr>
            <w:tcW w:w="1676" w:type="dxa"/>
            <w:tcBorders>
              <w:top w:val="nil"/>
              <w:left w:val="nil"/>
              <w:right w:val="nil"/>
            </w:tcBorders>
            <w:shd w:val="clear" w:color="auto" w:fill="auto"/>
            <w:vAlign w:val="bottom"/>
          </w:tcPr>
          <w:p w14:paraId="5CA1C003" w14:textId="77777777" w:rsidR="00F87153" w:rsidRPr="0081763F" w:rsidRDefault="00E21D7A" w:rsidP="00FD77D1">
            <w:pPr>
              <w:ind w:right="30"/>
              <w:jc w:val="right"/>
              <w:rPr>
                <w:rFonts w:ascii="Calibri" w:hAnsi="Calibri" w:cs="Calibri"/>
                <w:color w:val="000000"/>
                <w:sz w:val="20"/>
                <w:szCs w:val="20"/>
              </w:rPr>
            </w:pPr>
            <w:r>
              <w:rPr>
                <w:rFonts w:ascii="Calibri" w:hAnsi="Calibri" w:cs="Calibri"/>
                <w:color w:val="000000"/>
                <w:sz w:val="20"/>
                <w:szCs w:val="20"/>
              </w:rPr>
              <w:t>(</w:t>
            </w:r>
            <w:r w:rsidR="00F87153" w:rsidRPr="0081763F">
              <w:rPr>
                <w:rFonts w:ascii="Calibri" w:hAnsi="Calibri" w:cs="Calibri"/>
                <w:color w:val="000000"/>
                <w:sz w:val="20"/>
                <w:szCs w:val="20"/>
              </w:rPr>
              <w:t>927.6</w:t>
            </w:r>
            <w:r>
              <w:rPr>
                <w:rFonts w:ascii="Calibri" w:hAnsi="Calibri" w:cs="Calibri"/>
                <w:color w:val="000000"/>
                <w:sz w:val="20"/>
                <w:szCs w:val="20"/>
              </w:rPr>
              <w:t>)</w:t>
            </w:r>
          </w:p>
        </w:tc>
        <w:tc>
          <w:tcPr>
            <w:tcW w:w="1508" w:type="dxa"/>
            <w:tcBorders>
              <w:top w:val="nil"/>
              <w:left w:val="nil"/>
              <w:right w:val="nil"/>
            </w:tcBorders>
            <w:shd w:val="clear" w:color="auto" w:fill="auto"/>
            <w:vAlign w:val="bottom"/>
          </w:tcPr>
          <w:p w14:paraId="44500C54" w14:textId="77777777" w:rsidR="00F87153" w:rsidRPr="0081763F" w:rsidRDefault="00F87153" w:rsidP="00FD77D1">
            <w:pPr>
              <w:ind w:right="128"/>
              <w:jc w:val="right"/>
              <w:rPr>
                <w:rFonts w:ascii="Calibri" w:hAnsi="Calibri" w:cs="Calibri"/>
                <w:color w:val="000000"/>
                <w:sz w:val="20"/>
                <w:szCs w:val="20"/>
                <w:lang w:eastAsia="en-IE"/>
              </w:rPr>
            </w:pPr>
            <w:r w:rsidRPr="0081763F">
              <w:rPr>
                <w:rFonts w:ascii="Calibri" w:eastAsia="Calibri" w:hAnsi="Calibri" w:cs="Calibri"/>
                <w:sz w:val="20"/>
                <w:szCs w:val="20"/>
                <w:lang w:eastAsia="en-IE"/>
              </w:rPr>
              <w:t>-</w:t>
            </w:r>
          </w:p>
        </w:tc>
        <w:tc>
          <w:tcPr>
            <w:tcW w:w="1476" w:type="dxa"/>
            <w:tcBorders>
              <w:top w:val="nil"/>
              <w:left w:val="nil"/>
              <w:right w:val="nil"/>
            </w:tcBorders>
            <w:shd w:val="clear" w:color="auto" w:fill="auto"/>
            <w:noWrap/>
            <w:vAlign w:val="bottom"/>
          </w:tcPr>
          <w:p w14:paraId="4DF5D92B" w14:textId="77777777" w:rsidR="00F87153" w:rsidRPr="0081763F" w:rsidRDefault="00E21D7A" w:rsidP="00FD77D1">
            <w:pPr>
              <w:ind w:right="39"/>
              <w:jc w:val="right"/>
              <w:rPr>
                <w:rFonts w:ascii="Calibri" w:hAnsi="Calibri" w:cs="Calibri"/>
                <w:color w:val="000000"/>
                <w:sz w:val="20"/>
                <w:szCs w:val="20"/>
                <w:lang w:eastAsia="en-IE"/>
              </w:rPr>
            </w:pPr>
            <w:r>
              <w:rPr>
                <w:rFonts w:ascii="Calibri" w:eastAsia="Calibri" w:hAnsi="Calibri" w:cs="Calibri"/>
                <w:sz w:val="20"/>
                <w:szCs w:val="20"/>
                <w:lang w:eastAsia="en-IE"/>
              </w:rPr>
              <w:t>(</w:t>
            </w:r>
            <w:r w:rsidR="00F87153" w:rsidRPr="0081763F">
              <w:rPr>
                <w:rFonts w:ascii="Calibri" w:eastAsia="Calibri" w:hAnsi="Calibri" w:cs="Calibri"/>
                <w:sz w:val="20"/>
                <w:szCs w:val="20"/>
                <w:lang w:eastAsia="en-IE"/>
              </w:rPr>
              <w:t>9,931.2</w:t>
            </w:r>
            <w:r>
              <w:rPr>
                <w:rFonts w:ascii="Calibri" w:eastAsia="Calibri" w:hAnsi="Calibri" w:cs="Calibri"/>
                <w:sz w:val="20"/>
                <w:szCs w:val="20"/>
                <w:lang w:eastAsia="en-IE"/>
              </w:rPr>
              <w:t>)</w:t>
            </w:r>
          </w:p>
        </w:tc>
      </w:tr>
      <w:tr w:rsidR="00F87153" w:rsidRPr="0081763F" w14:paraId="006ED7EE" w14:textId="77777777" w:rsidTr="00F87153">
        <w:trPr>
          <w:trHeight w:val="299"/>
        </w:trPr>
        <w:tc>
          <w:tcPr>
            <w:tcW w:w="4190" w:type="dxa"/>
            <w:shd w:val="clear" w:color="auto" w:fill="FFFFFF"/>
            <w:vAlign w:val="bottom"/>
          </w:tcPr>
          <w:p w14:paraId="6B9EEAA0" w14:textId="77777777" w:rsidR="00F87153" w:rsidRPr="0081763F" w:rsidRDefault="00F87153" w:rsidP="009E2D21">
            <w:pPr>
              <w:rPr>
                <w:rFonts w:ascii="Calibri" w:hAnsi="Calibri" w:cs="Calibri"/>
                <w:color w:val="000000"/>
                <w:sz w:val="20"/>
                <w:szCs w:val="20"/>
                <w:lang w:eastAsia="en-IE"/>
              </w:rPr>
            </w:pPr>
          </w:p>
        </w:tc>
        <w:tc>
          <w:tcPr>
            <w:tcW w:w="1507" w:type="dxa"/>
            <w:tcBorders>
              <w:top w:val="nil"/>
              <w:left w:val="nil"/>
              <w:right w:val="nil"/>
            </w:tcBorders>
            <w:shd w:val="clear" w:color="auto" w:fill="auto"/>
            <w:noWrap/>
            <w:vAlign w:val="bottom"/>
          </w:tcPr>
          <w:p w14:paraId="4A9BE40D" w14:textId="77777777" w:rsidR="00F87153" w:rsidRPr="0081763F" w:rsidRDefault="00F87153" w:rsidP="009E2D21">
            <w:pPr>
              <w:jc w:val="right"/>
              <w:rPr>
                <w:rFonts w:ascii="Calibri" w:hAnsi="Calibri" w:cs="Calibri"/>
                <w:color w:val="000000"/>
                <w:sz w:val="20"/>
                <w:szCs w:val="20"/>
                <w:lang w:eastAsia="en-IE"/>
              </w:rPr>
            </w:pPr>
          </w:p>
        </w:tc>
        <w:tc>
          <w:tcPr>
            <w:tcW w:w="1676" w:type="dxa"/>
            <w:tcBorders>
              <w:top w:val="nil"/>
              <w:left w:val="nil"/>
              <w:right w:val="nil"/>
            </w:tcBorders>
            <w:shd w:val="clear" w:color="auto" w:fill="auto"/>
            <w:vAlign w:val="bottom"/>
          </w:tcPr>
          <w:p w14:paraId="59889E2A" w14:textId="77777777" w:rsidR="00F87153" w:rsidRPr="0081763F" w:rsidRDefault="00F87153" w:rsidP="009E2D21">
            <w:pPr>
              <w:jc w:val="right"/>
              <w:rPr>
                <w:rFonts w:ascii="Calibri" w:hAnsi="Calibri" w:cs="Calibri"/>
                <w:color w:val="000000"/>
                <w:sz w:val="20"/>
                <w:szCs w:val="20"/>
              </w:rPr>
            </w:pPr>
          </w:p>
        </w:tc>
        <w:tc>
          <w:tcPr>
            <w:tcW w:w="1508" w:type="dxa"/>
            <w:tcBorders>
              <w:top w:val="nil"/>
              <w:left w:val="nil"/>
              <w:right w:val="nil"/>
            </w:tcBorders>
            <w:shd w:val="clear" w:color="auto" w:fill="auto"/>
            <w:vAlign w:val="bottom"/>
          </w:tcPr>
          <w:p w14:paraId="69288A1F" w14:textId="77777777" w:rsidR="00F87153" w:rsidRPr="0081763F" w:rsidRDefault="00F87153" w:rsidP="009E2D21">
            <w:pPr>
              <w:ind w:right="-50"/>
              <w:jc w:val="right"/>
              <w:rPr>
                <w:rFonts w:ascii="Calibri" w:hAnsi="Calibri" w:cs="Calibri"/>
                <w:color w:val="000000"/>
                <w:sz w:val="20"/>
                <w:szCs w:val="20"/>
                <w:lang w:eastAsia="en-IE"/>
              </w:rPr>
            </w:pPr>
          </w:p>
        </w:tc>
        <w:tc>
          <w:tcPr>
            <w:tcW w:w="1476" w:type="dxa"/>
            <w:tcBorders>
              <w:top w:val="nil"/>
              <w:left w:val="nil"/>
              <w:right w:val="nil"/>
            </w:tcBorders>
            <w:shd w:val="clear" w:color="auto" w:fill="auto"/>
            <w:noWrap/>
            <w:vAlign w:val="bottom"/>
          </w:tcPr>
          <w:p w14:paraId="5347B16F" w14:textId="77777777" w:rsidR="00F87153" w:rsidRPr="0081763F" w:rsidRDefault="00F87153" w:rsidP="009E2D21">
            <w:pPr>
              <w:jc w:val="right"/>
              <w:rPr>
                <w:rFonts w:ascii="Calibri" w:hAnsi="Calibri" w:cs="Calibri"/>
                <w:color w:val="000000"/>
                <w:sz w:val="20"/>
                <w:szCs w:val="20"/>
                <w:lang w:eastAsia="en-IE"/>
              </w:rPr>
            </w:pPr>
          </w:p>
        </w:tc>
      </w:tr>
    </w:tbl>
    <w:p w14:paraId="375E6874" w14:textId="77777777" w:rsidR="00BC0714" w:rsidRPr="00BC0714" w:rsidRDefault="00BC0714" w:rsidP="00BC0714">
      <w:pPr>
        <w:pStyle w:val="Outline3L3"/>
        <w:widowControl w:val="0"/>
        <w:numPr>
          <w:ilvl w:val="0"/>
          <w:numId w:val="0"/>
        </w:numPr>
        <w:spacing w:after="0"/>
        <w:ind w:right="-143"/>
        <w:jc w:val="both"/>
        <w:rPr>
          <w:rFonts w:ascii="Calibri" w:hAnsi="Calibri" w:cs="Calibri"/>
          <w:i/>
          <w:sz w:val="18"/>
          <w:szCs w:val="18"/>
        </w:rPr>
      </w:pPr>
      <w:r w:rsidRPr="00BC0714">
        <w:rPr>
          <w:rFonts w:ascii="Calibri" w:hAnsi="Calibri" w:cs="Calibri"/>
          <w:i/>
          <w:sz w:val="18"/>
          <w:szCs w:val="18"/>
        </w:rPr>
        <w:t>(i</w:t>
      </w:r>
      <w:r>
        <w:rPr>
          <w:rFonts w:ascii="Calibri" w:hAnsi="Calibri" w:cs="Calibri"/>
          <w:i/>
          <w:sz w:val="18"/>
          <w:szCs w:val="18"/>
        </w:rPr>
        <w:t xml:space="preserve">) </w:t>
      </w:r>
      <w:r w:rsidR="00F3553F" w:rsidRPr="00BC0714">
        <w:rPr>
          <w:rFonts w:ascii="Calibri" w:hAnsi="Calibri" w:cs="Calibri"/>
          <w:i/>
          <w:sz w:val="18"/>
          <w:szCs w:val="18"/>
        </w:rPr>
        <w:t>Adjusted profit after tax in the half-year to September 30, 2022, excludes a net exceptional loss after tax of €107M, attributable to the fair value measurement of jet fuel call options.</w:t>
      </w:r>
    </w:p>
    <w:p w14:paraId="3BD9FD50" w14:textId="77777777" w:rsidR="00BC0714" w:rsidRDefault="00BC0714" w:rsidP="00BC0714">
      <w:pPr>
        <w:rPr>
          <w:lang w:val="en-US"/>
        </w:rPr>
      </w:pPr>
    </w:p>
    <w:p w14:paraId="34D7BCD5" w14:textId="77777777" w:rsidR="00BC0714" w:rsidRPr="00BC0714" w:rsidRDefault="00BC0714" w:rsidP="00BC0714">
      <w:pPr>
        <w:rPr>
          <w:lang w:val="en-US"/>
        </w:rPr>
      </w:pPr>
    </w:p>
    <w:tbl>
      <w:tblPr>
        <w:tblW w:w="10881" w:type="dxa"/>
        <w:tblLayout w:type="fixed"/>
        <w:tblLook w:val="0000" w:firstRow="0" w:lastRow="0" w:firstColumn="0" w:lastColumn="0" w:noHBand="0" w:noVBand="0"/>
      </w:tblPr>
      <w:tblGrid>
        <w:gridCol w:w="10881"/>
      </w:tblGrid>
      <w:tr w:rsidR="007D493D" w:rsidRPr="00C22F7C" w14:paraId="4434D7F2" w14:textId="77777777" w:rsidTr="003E4F4E">
        <w:trPr>
          <w:trHeight w:val="262"/>
        </w:trPr>
        <w:tc>
          <w:tcPr>
            <w:tcW w:w="10881" w:type="dxa"/>
          </w:tcPr>
          <w:tbl>
            <w:tblPr>
              <w:tblW w:w="10263" w:type="dxa"/>
              <w:tblLayout w:type="fixed"/>
              <w:tblLook w:val="04A0" w:firstRow="1" w:lastRow="0" w:firstColumn="1" w:lastColumn="0" w:noHBand="0" w:noVBand="1"/>
            </w:tblPr>
            <w:tblGrid>
              <w:gridCol w:w="4147"/>
              <w:gridCol w:w="1491"/>
              <w:gridCol w:w="1659"/>
              <w:gridCol w:w="1473"/>
              <w:gridCol w:w="1493"/>
            </w:tblGrid>
            <w:tr w:rsidR="007D493D" w:rsidRPr="001244BE" w14:paraId="3180AF79" w14:textId="77777777" w:rsidTr="00BC0714">
              <w:trPr>
                <w:trHeight w:val="306"/>
              </w:trPr>
              <w:tc>
                <w:tcPr>
                  <w:tcW w:w="4147" w:type="dxa"/>
                  <w:shd w:val="clear" w:color="auto" w:fill="FFFFFF"/>
                  <w:vAlign w:val="center"/>
                  <w:hideMark/>
                </w:tcPr>
                <w:p w14:paraId="5373F7E4" w14:textId="77777777" w:rsidR="007D493D" w:rsidRPr="00D2086B" w:rsidRDefault="00D00A73" w:rsidP="003E4F4E">
                  <w:pPr>
                    <w:ind w:left="319" w:hanging="282"/>
                    <w:rPr>
                      <w:rFonts w:ascii="Calibri" w:hAnsi="Calibri" w:cs="Calibri"/>
                      <w:color w:val="000000"/>
                      <w:sz w:val="21"/>
                      <w:szCs w:val="21"/>
                      <w:lang w:eastAsia="en-IE"/>
                    </w:rPr>
                  </w:pPr>
                  <w:r>
                    <w:br w:type="page"/>
                  </w:r>
                  <w:r w:rsidR="007D493D">
                    <w:rPr>
                      <w:rFonts w:ascii="Calibri" w:hAnsi="Calibri" w:cs="Calibri"/>
                      <w:b/>
                      <w:bCs/>
                      <w:color w:val="000000"/>
                      <w:sz w:val="20"/>
                      <w:szCs w:val="20"/>
                      <w:lang w:eastAsia="en-IE"/>
                    </w:rPr>
                    <w:t>Quarter Ended</w:t>
                  </w:r>
                </w:p>
              </w:tc>
              <w:tc>
                <w:tcPr>
                  <w:tcW w:w="1491" w:type="dxa"/>
                  <w:shd w:val="clear" w:color="auto" w:fill="FFFF00"/>
                  <w:vAlign w:val="bottom"/>
                  <w:hideMark/>
                </w:tcPr>
                <w:p w14:paraId="22F9CEBB" w14:textId="77777777" w:rsidR="007D493D" w:rsidRPr="00837D76" w:rsidRDefault="007D493D" w:rsidP="003E4F4E">
                  <w:pPr>
                    <w:ind w:left="-115"/>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 xml:space="preserve">Ryanair DAC </w:t>
                  </w:r>
                </w:p>
              </w:tc>
              <w:tc>
                <w:tcPr>
                  <w:tcW w:w="1659" w:type="dxa"/>
                  <w:shd w:val="clear" w:color="auto" w:fill="FFFF00"/>
                  <w:vAlign w:val="bottom"/>
                </w:tcPr>
                <w:p w14:paraId="647C9ACC" w14:textId="77777777" w:rsidR="007D493D" w:rsidRPr="00837D76" w:rsidRDefault="005C423E" w:rsidP="00FD77D1">
                  <w:pPr>
                    <w:ind w:right="-45"/>
                    <w:jc w:val="right"/>
                    <w:rPr>
                      <w:rFonts w:ascii="Calibri" w:hAnsi="Calibri" w:cs="Calibri"/>
                      <w:b/>
                      <w:bCs/>
                      <w:color w:val="000000"/>
                      <w:sz w:val="20"/>
                      <w:szCs w:val="20"/>
                      <w:lang w:eastAsia="en-IE"/>
                    </w:rPr>
                  </w:pPr>
                  <w:r>
                    <w:rPr>
                      <w:rFonts w:ascii="Calibri" w:hAnsi="Calibri" w:cs="Calibri"/>
                      <w:b/>
                      <w:bCs/>
                      <w:color w:val="000000"/>
                      <w:sz w:val="20"/>
                      <w:szCs w:val="20"/>
                      <w:lang w:eastAsia="en-IE"/>
                    </w:rPr>
                    <w:t>Other Airlines</w:t>
                  </w:r>
                </w:p>
              </w:tc>
              <w:tc>
                <w:tcPr>
                  <w:tcW w:w="1473" w:type="dxa"/>
                  <w:shd w:val="clear" w:color="auto" w:fill="FFFF00"/>
                  <w:vAlign w:val="bottom"/>
                </w:tcPr>
                <w:p w14:paraId="1B4B6D29" w14:textId="77777777" w:rsidR="007D493D" w:rsidRPr="00213A94" w:rsidRDefault="007D493D" w:rsidP="003E4F4E">
                  <w:pPr>
                    <w:ind w:left="-245"/>
                    <w:jc w:val="right"/>
                    <w:rPr>
                      <w:rFonts w:ascii="Calibri" w:hAnsi="Calibri" w:cs="Calibri"/>
                      <w:b/>
                      <w:bCs/>
                      <w:color w:val="000000"/>
                      <w:sz w:val="20"/>
                      <w:szCs w:val="20"/>
                      <w:lang w:eastAsia="en-IE"/>
                    </w:rPr>
                  </w:pPr>
                  <w:r>
                    <w:rPr>
                      <w:rFonts w:ascii="Calibri" w:hAnsi="Calibri" w:cs="Calibri"/>
                      <w:b/>
                      <w:bCs/>
                      <w:color w:val="000000"/>
                      <w:sz w:val="20"/>
                      <w:szCs w:val="20"/>
                      <w:lang w:eastAsia="en-IE"/>
                    </w:rPr>
                    <w:t>Elimination</w:t>
                  </w:r>
                </w:p>
              </w:tc>
              <w:tc>
                <w:tcPr>
                  <w:tcW w:w="1493" w:type="dxa"/>
                  <w:shd w:val="clear" w:color="auto" w:fill="FFFF00"/>
                  <w:vAlign w:val="bottom"/>
                  <w:hideMark/>
                </w:tcPr>
                <w:p w14:paraId="37A78AB2" w14:textId="77777777" w:rsidR="007D493D" w:rsidRPr="00837D76" w:rsidRDefault="007D493D" w:rsidP="003E4F4E">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Total</w:t>
                  </w:r>
                </w:p>
              </w:tc>
            </w:tr>
            <w:tr w:rsidR="007D493D" w:rsidRPr="001244BE" w14:paraId="062464F9" w14:textId="77777777" w:rsidTr="00BC0714">
              <w:trPr>
                <w:trHeight w:val="306"/>
              </w:trPr>
              <w:tc>
                <w:tcPr>
                  <w:tcW w:w="4147" w:type="dxa"/>
                  <w:vMerge w:val="restart"/>
                  <w:shd w:val="clear" w:color="auto" w:fill="FFFFFF"/>
                  <w:vAlign w:val="center"/>
                </w:tcPr>
                <w:p w14:paraId="30D88282" w14:textId="77777777" w:rsidR="007D493D" w:rsidRPr="001947EA" w:rsidRDefault="007D493D" w:rsidP="003E4F4E">
                  <w:pPr>
                    <w:rPr>
                      <w:rFonts w:ascii="Calibri" w:hAnsi="Calibri" w:cs="Calibri"/>
                      <w:b/>
                      <w:bCs/>
                      <w:color w:val="000000"/>
                      <w:sz w:val="20"/>
                      <w:szCs w:val="20"/>
                      <w:lang w:eastAsia="en-IE"/>
                    </w:rPr>
                  </w:pPr>
                </w:p>
              </w:tc>
              <w:tc>
                <w:tcPr>
                  <w:tcW w:w="1491" w:type="dxa"/>
                  <w:shd w:val="clear" w:color="auto" w:fill="FFFF00"/>
                  <w:vAlign w:val="bottom"/>
                  <w:hideMark/>
                </w:tcPr>
                <w:p w14:paraId="7D138EFD" w14:textId="77777777" w:rsidR="007D493D" w:rsidRPr="00837D76" w:rsidRDefault="007D493D" w:rsidP="003E4F4E">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837D76">
                    <w:rPr>
                      <w:rFonts w:ascii="Calibri" w:hAnsi="Calibri" w:cs="Calibri"/>
                      <w:b/>
                      <w:bCs/>
                      <w:color w:val="000000"/>
                      <w:sz w:val="20"/>
                      <w:szCs w:val="20"/>
                      <w:lang w:eastAsia="en-IE"/>
                    </w:rPr>
                    <w:t xml:space="preserve"> 30,</w:t>
                  </w:r>
                </w:p>
              </w:tc>
              <w:tc>
                <w:tcPr>
                  <w:tcW w:w="1659" w:type="dxa"/>
                  <w:shd w:val="clear" w:color="auto" w:fill="FFFF00"/>
                  <w:vAlign w:val="bottom"/>
                </w:tcPr>
                <w:p w14:paraId="726170F9" w14:textId="77777777" w:rsidR="007D493D" w:rsidRPr="00837D76" w:rsidRDefault="007D493D" w:rsidP="00FD77D1">
                  <w:pPr>
                    <w:ind w:right="-45"/>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837D76">
                    <w:rPr>
                      <w:rFonts w:ascii="Calibri" w:hAnsi="Calibri" w:cs="Calibri"/>
                      <w:b/>
                      <w:bCs/>
                      <w:color w:val="000000"/>
                      <w:sz w:val="20"/>
                      <w:szCs w:val="20"/>
                      <w:lang w:eastAsia="en-IE"/>
                    </w:rPr>
                    <w:t xml:space="preserve"> 30,</w:t>
                  </w:r>
                </w:p>
              </w:tc>
              <w:tc>
                <w:tcPr>
                  <w:tcW w:w="1473" w:type="dxa"/>
                  <w:shd w:val="clear" w:color="auto" w:fill="FFFF00"/>
                  <w:vAlign w:val="bottom"/>
                </w:tcPr>
                <w:p w14:paraId="1F380468" w14:textId="77777777" w:rsidR="007D493D" w:rsidRPr="00837D76" w:rsidRDefault="007D493D" w:rsidP="003E4F4E">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837D76">
                    <w:rPr>
                      <w:rFonts w:ascii="Calibri" w:hAnsi="Calibri" w:cs="Calibri"/>
                      <w:b/>
                      <w:bCs/>
                      <w:color w:val="000000"/>
                      <w:sz w:val="20"/>
                      <w:szCs w:val="20"/>
                      <w:lang w:eastAsia="en-IE"/>
                    </w:rPr>
                    <w:t xml:space="preserve"> 30,</w:t>
                  </w:r>
                </w:p>
              </w:tc>
              <w:tc>
                <w:tcPr>
                  <w:tcW w:w="1493" w:type="dxa"/>
                  <w:shd w:val="clear" w:color="auto" w:fill="FFFF00"/>
                  <w:vAlign w:val="bottom"/>
                  <w:hideMark/>
                </w:tcPr>
                <w:p w14:paraId="430DDEAD" w14:textId="77777777" w:rsidR="007D493D" w:rsidRPr="00837D76" w:rsidRDefault="007D493D" w:rsidP="003E4F4E">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837D76">
                    <w:rPr>
                      <w:rFonts w:ascii="Calibri" w:hAnsi="Calibri" w:cs="Calibri"/>
                      <w:b/>
                      <w:bCs/>
                      <w:color w:val="000000"/>
                      <w:sz w:val="20"/>
                      <w:szCs w:val="20"/>
                      <w:lang w:eastAsia="en-IE"/>
                    </w:rPr>
                    <w:t xml:space="preserve"> 30,</w:t>
                  </w:r>
                </w:p>
              </w:tc>
            </w:tr>
            <w:tr w:rsidR="007D493D" w:rsidRPr="001244BE" w14:paraId="0FC75587" w14:textId="77777777" w:rsidTr="00BC0714">
              <w:trPr>
                <w:trHeight w:val="306"/>
              </w:trPr>
              <w:tc>
                <w:tcPr>
                  <w:tcW w:w="4147" w:type="dxa"/>
                  <w:vMerge/>
                  <w:vAlign w:val="bottom"/>
                  <w:hideMark/>
                </w:tcPr>
                <w:p w14:paraId="3D425AEE" w14:textId="77777777" w:rsidR="007D493D" w:rsidRPr="00D2086B" w:rsidRDefault="007D493D" w:rsidP="003E4F4E">
                  <w:pPr>
                    <w:rPr>
                      <w:rFonts w:ascii="Calibri" w:hAnsi="Calibri" w:cs="Calibri"/>
                      <w:b/>
                      <w:bCs/>
                      <w:color w:val="000000"/>
                      <w:sz w:val="21"/>
                      <w:szCs w:val="21"/>
                      <w:lang w:eastAsia="en-IE"/>
                    </w:rPr>
                  </w:pPr>
                </w:p>
              </w:tc>
              <w:tc>
                <w:tcPr>
                  <w:tcW w:w="1491" w:type="dxa"/>
                  <w:shd w:val="clear" w:color="auto" w:fill="FFFF00"/>
                  <w:vAlign w:val="bottom"/>
                  <w:hideMark/>
                </w:tcPr>
                <w:p w14:paraId="35A73853" w14:textId="77777777" w:rsidR="007D493D" w:rsidRPr="00837D76" w:rsidRDefault="007D493D" w:rsidP="003E4F4E">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659" w:type="dxa"/>
                  <w:shd w:val="clear" w:color="auto" w:fill="FFFF00"/>
                  <w:vAlign w:val="bottom"/>
                </w:tcPr>
                <w:p w14:paraId="6B289626" w14:textId="77777777" w:rsidR="007D493D" w:rsidRPr="00837D76" w:rsidRDefault="007D493D" w:rsidP="00FD77D1">
                  <w:pPr>
                    <w:ind w:right="-45"/>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473" w:type="dxa"/>
                  <w:shd w:val="clear" w:color="auto" w:fill="FFFF00"/>
                  <w:vAlign w:val="bottom"/>
                </w:tcPr>
                <w:p w14:paraId="0F153362" w14:textId="77777777" w:rsidR="007D493D" w:rsidRPr="00837D76" w:rsidRDefault="007D493D" w:rsidP="003E4F4E">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493" w:type="dxa"/>
                  <w:shd w:val="clear" w:color="auto" w:fill="FFFF00"/>
                  <w:vAlign w:val="bottom"/>
                  <w:hideMark/>
                </w:tcPr>
                <w:p w14:paraId="3B60E894" w14:textId="77777777" w:rsidR="007D493D" w:rsidRPr="00837D76" w:rsidRDefault="007D493D" w:rsidP="003E4F4E">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r>
            <w:tr w:rsidR="007D493D" w:rsidRPr="001244BE" w14:paraId="01E60A97" w14:textId="77777777" w:rsidTr="00BC0714">
              <w:trPr>
                <w:trHeight w:val="306"/>
              </w:trPr>
              <w:tc>
                <w:tcPr>
                  <w:tcW w:w="4147" w:type="dxa"/>
                  <w:shd w:val="clear" w:color="auto" w:fill="FFFFFF"/>
                  <w:vAlign w:val="bottom"/>
                  <w:hideMark/>
                </w:tcPr>
                <w:p w14:paraId="6D28D4C3" w14:textId="77777777" w:rsidR="007D493D" w:rsidRPr="00D2086B" w:rsidRDefault="007D493D" w:rsidP="003E4F4E">
                  <w:pPr>
                    <w:rPr>
                      <w:rFonts w:ascii="Calibri" w:hAnsi="Calibri" w:cs="Calibri"/>
                      <w:color w:val="000000"/>
                      <w:sz w:val="21"/>
                      <w:szCs w:val="21"/>
                      <w:lang w:eastAsia="en-IE"/>
                    </w:rPr>
                  </w:pPr>
                  <w:r w:rsidRPr="00D2086B">
                    <w:rPr>
                      <w:rFonts w:ascii="Calibri" w:hAnsi="Calibri" w:cs="Calibri"/>
                      <w:color w:val="000000"/>
                      <w:sz w:val="21"/>
                      <w:szCs w:val="21"/>
                      <w:lang w:eastAsia="en-IE"/>
                    </w:rPr>
                    <w:t> </w:t>
                  </w:r>
                </w:p>
              </w:tc>
              <w:tc>
                <w:tcPr>
                  <w:tcW w:w="1491" w:type="dxa"/>
                  <w:shd w:val="clear" w:color="auto" w:fill="FFFF00"/>
                  <w:noWrap/>
                  <w:vAlign w:val="bottom"/>
                  <w:hideMark/>
                </w:tcPr>
                <w:p w14:paraId="527729EF" w14:textId="77777777" w:rsidR="007D493D" w:rsidRPr="00837D76" w:rsidRDefault="007D493D" w:rsidP="003E4F4E">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659" w:type="dxa"/>
                  <w:shd w:val="clear" w:color="auto" w:fill="FFFF00"/>
                  <w:vAlign w:val="bottom"/>
                </w:tcPr>
                <w:p w14:paraId="4090A1A5" w14:textId="77777777" w:rsidR="007D493D" w:rsidRPr="00837D76" w:rsidRDefault="007D493D" w:rsidP="00FD77D1">
                  <w:pPr>
                    <w:ind w:right="-45"/>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473" w:type="dxa"/>
                  <w:shd w:val="clear" w:color="auto" w:fill="FFFF00"/>
                  <w:vAlign w:val="bottom"/>
                </w:tcPr>
                <w:p w14:paraId="07961F65" w14:textId="77777777" w:rsidR="007D493D" w:rsidRPr="00837D76" w:rsidRDefault="007D493D" w:rsidP="003E4F4E">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493" w:type="dxa"/>
                  <w:shd w:val="clear" w:color="auto" w:fill="FFFF00"/>
                  <w:noWrap/>
                  <w:vAlign w:val="bottom"/>
                  <w:hideMark/>
                </w:tcPr>
                <w:p w14:paraId="253F211D" w14:textId="77777777" w:rsidR="007D493D" w:rsidRPr="00837D76" w:rsidRDefault="007D493D" w:rsidP="003E4F4E">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r>
            <w:tr w:rsidR="007D493D" w:rsidRPr="001244BE" w14:paraId="53F8E4FF" w14:textId="77777777" w:rsidTr="00062384">
              <w:trPr>
                <w:trHeight w:val="306"/>
              </w:trPr>
              <w:tc>
                <w:tcPr>
                  <w:tcW w:w="4147" w:type="dxa"/>
                  <w:shd w:val="clear" w:color="auto" w:fill="FFFFFF"/>
                  <w:vAlign w:val="bottom"/>
                </w:tcPr>
                <w:p w14:paraId="7130E70B" w14:textId="77777777" w:rsidR="007D493D" w:rsidRPr="00837D76" w:rsidRDefault="007D493D" w:rsidP="003E4F4E">
                  <w:pPr>
                    <w:rPr>
                      <w:rFonts w:ascii="Calibri" w:hAnsi="Calibri" w:cs="Calibri"/>
                      <w:color w:val="000000"/>
                      <w:sz w:val="20"/>
                      <w:szCs w:val="20"/>
                      <w:lang w:eastAsia="en-IE"/>
                    </w:rPr>
                  </w:pPr>
                  <w:r w:rsidRPr="00C822E4">
                    <w:rPr>
                      <w:rFonts w:ascii="Calibri" w:hAnsi="Calibri" w:cs="Calibri"/>
                      <w:color w:val="000000"/>
                      <w:sz w:val="20"/>
                      <w:szCs w:val="20"/>
                      <w:lang w:eastAsia="en-IE"/>
                    </w:rPr>
                    <w:t>Scheduled revenue</w:t>
                  </w:r>
                </w:p>
              </w:tc>
              <w:tc>
                <w:tcPr>
                  <w:tcW w:w="1491" w:type="dxa"/>
                  <w:shd w:val="clear" w:color="auto" w:fill="FFFF00"/>
                  <w:noWrap/>
                  <w:vAlign w:val="bottom"/>
                </w:tcPr>
                <w:p w14:paraId="7C1C86EF" w14:textId="77777777" w:rsidR="007D493D" w:rsidRPr="00837D76" w:rsidRDefault="00D633B8" w:rsidP="00062384">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3,53</w:t>
                  </w:r>
                  <w:r w:rsidR="00EC35D7">
                    <w:rPr>
                      <w:rFonts w:ascii="Calibri" w:hAnsi="Calibri" w:cs="Calibri"/>
                      <w:b/>
                      <w:bCs/>
                      <w:color w:val="000000"/>
                      <w:sz w:val="20"/>
                      <w:szCs w:val="20"/>
                      <w:lang w:eastAsia="en-IE"/>
                    </w:rPr>
                    <w:t>5.5</w:t>
                  </w:r>
                </w:p>
              </w:tc>
              <w:tc>
                <w:tcPr>
                  <w:tcW w:w="1659" w:type="dxa"/>
                  <w:shd w:val="clear" w:color="auto" w:fill="FFFF00"/>
                  <w:vAlign w:val="bottom"/>
                </w:tcPr>
                <w:p w14:paraId="6D716BFE" w14:textId="77777777" w:rsidR="007D493D" w:rsidRPr="00837D76" w:rsidRDefault="00D633B8" w:rsidP="00062384">
                  <w:pPr>
                    <w:ind w:right="-45"/>
                    <w:jc w:val="right"/>
                    <w:rPr>
                      <w:rFonts w:ascii="Calibri" w:hAnsi="Calibri" w:cs="Calibri"/>
                      <w:b/>
                      <w:bCs/>
                      <w:color w:val="000000"/>
                      <w:sz w:val="20"/>
                      <w:szCs w:val="20"/>
                      <w:lang w:eastAsia="en-IE"/>
                    </w:rPr>
                  </w:pPr>
                  <w:r>
                    <w:rPr>
                      <w:rFonts w:ascii="Calibri" w:hAnsi="Calibri" w:cs="Calibri"/>
                      <w:b/>
                      <w:bCs/>
                      <w:color w:val="000000"/>
                      <w:sz w:val="20"/>
                      <w:szCs w:val="20"/>
                      <w:lang w:eastAsia="en-IE"/>
                    </w:rPr>
                    <w:t>64.7</w:t>
                  </w:r>
                </w:p>
              </w:tc>
              <w:tc>
                <w:tcPr>
                  <w:tcW w:w="1473" w:type="dxa"/>
                  <w:shd w:val="clear" w:color="auto" w:fill="FFFF00"/>
                  <w:vAlign w:val="bottom"/>
                </w:tcPr>
                <w:p w14:paraId="3348E224" w14:textId="77777777" w:rsidR="007D493D" w:rsidRPr="00837D76" w:rsidRDefault="00D633B8" w:rsidP="00062384">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w:t>
                  </w:r>
                </w:p>
              </w:tc>
              <w:tc>
                <w:tcPr>
                  <w:tcW w:w="1493" w:type="dxa"/>
                  <w:shd w:val="clear" w:color="auto" w:fill="FFFF00"/>
                  <w:noWrap/>
                  <w:vAlign w:val="bottom"/>
                </w:tcPr>
                <w:p w14:paraId="0E184417" w14:textId="77777777" w:rsidR="007D493D" w:rsidRPr="00837D76" w:rsidRDefault="00502DBE" w:rsidP="00062384">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3,</w:t>
                  </w:r>
                  <w:r w:rsidR="00495EC8">
                    <w:rPr>
                      <w:rFonts w:ascii="Calibri" w:hAnsi="Calibri" w:cs="Calibri"/>
                      <w:b/>
                      <w:bCs/>
                      <w:color w:val="000000"/>
                      <w:sz w:val="20"/>
                      <w:szCs w:val="20"/>
                      <w:lang w:eastAsia="en-IE"/>
                    </w:rPr>
                    <w:t>600.2</w:t>
                  </w:r>
                </w:p>
              </w:tc>
            </w:tr>
            <w:tr w:rsidR="007D493D" w:rsidRPr="001244BE" w14:paraId="1ADA3510" w14:textId="77777777" w:rsidTr="00D80B90">
              <w:trPr>
                <w:trHeight w:val="306"/>
              </w:trPr>
              <w:tc>
                <w:tcPr>
                  <w:tcW w:w="4147" w:type="dxa"/>
                  <w:shd w:val="clear" w:color="auto" w:fill="FFFFFF"/>
                  <w:vAlign w:val="bottom"/>
                </w:tcPr>
                <w:p w14:paraId="0E75DEC9" w14:textId="77777777" w:rsidR="007D493D" w:rsidRPr="00837D76" w:rsidRDefault="007D493D" w:rsidP="003E4F4E">
                  <w:pPr>
                    <w:rPr>
                      <w:rFonts w:ascii="Calibri" w:hAnsi="Calibri" w:cs="Calibri"/>
                      <w:color w:val="000000"/>
                      <w:sz w:val="20"/>
                      <w:szCs w:val="20"/>
                      <w:lang w:eastAsia="en-IE"/>
                    </w:rPr>
                  </w:pPr>
                  <w:r w:rsidRPr="00C822E4">
                    <w:rPr>
                      <w:rFonts w:ascii="Calibri" w:hAnsi="Calibri" w:cs="Calibri"/>
                      <w:color w:val="000000"/>
                      <w:sz w:val="20"/>
                      <w:szCs w:val="20"/>
                      <w:lang w:eastAsia="en-IE"/>
                    </w:rPr>
                    <w:t>Ancillary revenue</w:t>
                  </w:r>
                </w:p>
              </w:tc>
              <w:tc>
                <w:tcPr>
                  <w:tcW w:w="1491" w:type="dxa"/>
                  <w:shd w:val="clear" w:color="auto" w:fill="FFFF00"/>
                  <w:noWrap/>
                  <w:vAlign w:val="bottom"/>
                </w:tcPr>
                <w:p w14:paraId="5AF077D2" w14:textId="77777777" w:rsidR="007D493D" w:rsidRPr="00480316" w:rsidRDefault="00D633B8" w:rsidP="00062384">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1,325.7</w:t>
                  </w:r>
                </w:p>
              </w:tc>
              <w:tc>
                <w:tcPr>
                  <w:tcW w:w="1659" w:type="dxa"/>
                  <w:shd w:val="clear" w:color="auto" w:fill="FFFF00"/>
                  <w:vAlign w:val="bottom"/>
                </w:tcPr>
                <w:p w14:paraId="563192F9" w14:textId="77777777" w:rsidR="007D493D" w:rsidRDefault="00D633B8" w:rsidP="00062384">
                  <w:pPr>
                    <w:ind w:right="-45"/>
                    <w:jc w:val="right"/>
                    <w:rPr>
                      <w:rFonts w:ascii="Calibri" w:hAnsi="Calibri" w:cs="Calibri"/>
                      <w:b/>
                      <w:bCs/>
                      <w:color w:val="000000"/>
                      <w:sz w:val="20"/>
                      <w:szCs w:val="20"/>
                      <w:lang w:eastAsia="en-IE"/>
                    </w:rPr>
                  </w:pPr>
                  <w:r>
                    <w:rPr>
                      <w:rFonts w:ascii="Calibri" w:hAnsi="Calibri" w:cs="Calibri"/>
                      <w:b/>
                      <w:bCs/>
                      <w:color w:val="000000"/>
                      <w:sz w:val="20"/>
                      <w:szCs w:val="20"/>
                      <w:lang w:eastAsia="en-IE"/>
                    </w:rPr>
                    <w:t>-</w:t>
                  </w:r>
                </w:p>
              </w:tc>
              <w:tc>
                <w:tcPr>
                  <w:tcW w:w="1473" w:type="dxa"/>
                  <w:shd w:val="clear" w:color="auto" w:fill="FFFF00"/>
                  <w:vAlign w:val="bottom"/>
                </w:tcPr>
                <w:p w14:paraId="46E03293" w14:textId="77777777" w:rsidR="007D493D" w:rsidRDefault="00D633B8" w:rsidP="00062384">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w:t>
                  </w:r>
                </w:p>
              </w:tc>
              <w:tc>
                <w:tcPr>
                  <w:tcW w:w="1493" w:type="dxa"/>
                  <w:shd w:val="clear" w:color="auto" w:fill="FFFF00"/>
                  <w:noWrap/>
                  <w:vAlign w:val="bottom"/>
                </w:tcPr>
                <w:p w14:paraId="2200FC42" w14:textId="77777777" w:rsidR="007D493D" w:rsidRPr="00480316" w:rsidRDefault="00502DBE" w:rsidP="00062384">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1,325.7</w:t>
                  </w:r>
                </w:p>
              </w:tc>
            </w:tr>
            <w:tr w:rsidR="007D493D" w:rsidRPr="001244BE" w14:paraId="5F44E2B0" w14:textId="77777777" w:rsidTr="00D80B90">
              <w:trPr>
                <w:trHeight w:val="306"/>
              </w:trPr>
              <w:tc>
                <w:tcPr>
                  <w:tcW w:w="4147" w:type="dxa"/>
                  <w:shd w:val="clear" w:color="auto" w:fill="FFFFFF"/>
                  <w:vAlign w:val="bottom"/>
                  <w:hideMark/>
                </w:tcPr>
                <w:p w14:paraId="40326C6C" w14:textId="77777777" w:rsidR="007D493D" w:rsidRPr="00213A94" w:rsidRDefault="007D493D" w:rsidP="003E4F4E">
                  <w:pPr>
                    <w:rPr>
                      <w:rFonts w:ascii="Calibri" w:hAnsi="Calibri" w:cs="Calibri"/>
                      <w:color w:val="000000"/>
                      <w:sz w:val="20"/>
                      <w:szCs w:val="20"/>
                      <w:lang w:eastAsia="en-IE"/>
                    </w:rPr>
                  </w:pPr>
                  <w:r w:rsidRPr="00837D76">
                    <w:rPr>
                      <w:rFonts w:ascii="Calibri" w:hAnsi="Calibri" w:cs="Calibri"/>
                      <w:color w:val="000000"/>
                      <w:sz w:val="20"/>
                      <w:szCs w:val="20"/>
                      <w:lang w:eastAsia="en-IE"/>
                    </w:rPr>
                    <w:t>Inter-segment revenue</w:t>
                  </w:r>
                </w:p>
              </w:tc>
              <w:tc>
                <w:tcPr>
                  <w:tcW w:w="1491" w:type="dxa"/>
                  <w:tcBorders>
                    <w:bottom w:val="single" w:sz="4" w:space="0" w:color="auto"/>
                  </w:tcBorders>
                  <w:shd w:val="clear" w:color="000000" w:fill="FFFF00"/>
                  <w:noWrap/>
                  <w:vAlign w:val="bottom"/>
                </w:tcPr>
                <w:p w14:paraId="69763B41" w14:textId="77777777" w:rsidR="007D493D" w:rsidRPr="00D80B90" w:rsidRDefault="00D633B8" w:rsidP="00062384">
                  <w:pPr>
                    <w:jc w:val="right"/>
                    <w:rPr>
                      <w:rFonts w:ascii="Calibri" w:hAnsi="Calibri" w:cs="Calibri"/>
                      <w:b/>
                      <w:bCs/>
                      <w:color w:val="000000"/>
                      <w:sz w:val="20"/>
                      <w:szCs w:val="20"/>
                      <w:lang w:eastAsia="en-IE"/>
                    </w:rPr>
                  </w:pPr>
                  <w:r w:rsidRPr="00D80B90">
                    <w:rPr>
                      <w:rFonts w:ascii="Calibri" w:hAnsi="Calibri" w:cs="Calibri"/>
                      <w:b/>
                      <w:bCs/>
                      <w:color w:val="000000"/>
                      <w:sz w:val="20"/>
                      <w:szCs w:val="20"/>
                      <w:lang w:eastAsia="en-IE"/>
                    </w:rPr>
                    <w:t>190.9</w:t>
                  </w:r>
                </w:p>
              </w:tc>
              <w:tc>
                <w:tcPr>
                  <w:tcW w:w="1659" w:type="dxa"/>
                  <w:tcBorders>
                    <w:bottom w:val="single" w:sz="4" w:space="0" w:color="auto"/>
                  </w:tcBorders>
                  <w:shd w:val="clear" w:color="000000" w:fill="FFFF00"/>
                  <w:vAlign w:val="bottom"/>
                </w:tcPr>
                <w:p w14:paraId="77CC2C83" w14:textId="77777777" w:rsidR="007D493D" w:rsidRPr="00D80B90" w:rsidRDefault="00D633B8" w:rsidP="00062384">
                  <w:pPr>
                    <w:ind w:right="-45"/>
                    <w:jc w:val="right"/>
                    <w:rPr>
                      <w:rFonts w:ascii="Calibri" w:hAnsi="Calibri" w:cs="Calibri"/>
                      <w:b/>
                      <w:bCs/>
                      <w:color w:val="000000"/>
                      <w:sz w:val="20"/>
                      <w:szCs w:val="20"/>
                      <w:lang w:eastAsia="en-IE"/>
                    </w:rPr>
                  </w:pPr>
                  <w:r w:rsidRPr="00D80B90">
                    <w:rPr>
                      <w:rFonts w:ascii="Calibri" w:hAnsi="Calibri" w:cs="Calibri"/>
                      <w:b/>
                      <w:bCs/>
                      <w:color w:val="000000"/>
                      <w:sz w:val="20"/>
                      <w:szCs w:val="20"/>
                      <w:lang w:eastAsia="en-IE"/>
                    </w:rPr>
                    <w:t>352.9</w:t>
                  </w:r>
                </w:p>
              </w:tc>
              <w:tc>
                <w:tcPr>
                  <w:tcW w:w="1473" w:type="dxa"/>
                  <w:tcBorders>
                    <w:bottom w:val="single" w:sz="4" w:space="0" w:color="auto"/>
                  </w:tcBorders>
                  <w:shd w:val="clear" w:color="000000" w:fill="FFFF00"/>
                  <w:vAlign w:val="bottom"/>
                </w:tcPr>
                <w:p w14:paraId="6ED4A01D" w14:textId="77777777" w:rsidR="007D493D" w:rsidRPr="00D80B90" w:rsidRDefault="00D633B8" w:rsidP="00062384">
                  <w:pPr>
                    <w:jc w:val="right"/>
                    <w:rPr>
                      <w:rFonts w:ascii="Calibri" w:hAnsi="Calibri" w:cs="Calibri"/>
                      <w:b/>
                      <w:bCs/>
                      <w:color w:val="000000"/>
                      <w:sz w:val="20"/>
                      <w:szCs w:val="20"/>
                      <w:lang w:eastAsia="en-IE"/>
                    </w:rPr>
                  </w:pPr>
                  <w:r w:rsidRPr="00D80B90">
                    <w:rPr>
                      <w:rFonts w:ascii="Calibri" w:hAnsi="Calibri" w:cs="Calibri"/>
                      <w:b/>
                      <w:bCs/>
                      <w:color w:val="000000"/>
                      <w:sz w:val="20"/>
                      <w:szCs w:val="20"/>
                      <w:lang w:eastAsia="en-IE"/>
                    </w:rPr>
                    <w:t>(543.8)</w:t>
                  </w:r>
                </w:p>
              </w:tc>
              <w:tc>
                <w:tcPr>
                  <w:tcW w:w="1493" w:type="dxa"/>
                  <w:tcBorders>
                    <w:bottom w:val="single" w:sz="4" w:space="0" w:color="auto"/>
                  </w:tcBorders>
                  <w:shd w:val="clear" w:color="000000" w:fill="FFFF00"/>
                  <w:noWrap/>
                  <w:vAlign w:val="bottom"/>
                </w:tcPr>
                <w:p w14:paraId="6E0F628E" w14:textId="77777777" w:rsidR="007D493D" w:rsidRPr="00D80B90" w:rsidRDefault="00502DBE" w:rsidP="00062384">
                  <w:pPr>
                    <w:jc w:val="right"/>
                    <w:rPr>
                      <w:rFonts w:ascii="Calibri" w:hAnsi="Calibri" w:cs="Calibri"/>
                      <w:b/>
                      <w:bCs/>
                      <w:color w:val="000000"/>
                      <w:sz w:val="20"/>
                      <w:szCs w:val="20"/>
                      <w:lang w:eastAsia="en-IE"/>
                    </w:rPr>
                  </w:pPr>
                  <w:r w:rsidRPr="00D80B90">
                    <w:rPr>
                      <w:rFonts w:ascii="Calibri" w:hAnsi="Calibri" w:cs="Calibri"/>
                      <w:b/>
                      <w:bCs/>
                      <w:color w:val="000000"/>
                      <w:sz w:val="20"/>
                      <w:szCs w:val="20"/>
                      <w:lang w:eastAsia="en-IE"/>
                    </w:rPr>
                    <w:t>-</w:t>
                  </w:r>
                </w:p>
              </w:tc>
            </w:tr>
            <w:tr w:rsidR="007D493D" w:rsidRPr="001244BE" w14:paraId="4AEB1A36" w14:textId="77777777" w:rsidTr="00D80B90">
              <w:trPr>
                <w:trHeight w:val="306"/>
              </w:trPr>
              <w:tc>
                <w:tcPr>
                  <w:tcW w:w="4147" w:type="dxa"/>
                  <w:shd w:val="clear" w:color="auto" w:fill="FFFFFF"/>
                  <w:vAlign w:val="bottom"/>
                  <w:hideMark/>
                </w:tcPr>
                <w:p w14:paraId="70B95293" w14:textId="77777777" w:rsidR="007D493D" w:rsidRPr="00837D76" w:rsidRDefault="007D493D" w:rsidP="003E4F4E">
                  <w:pPr>
                    <w:rPr>
                      <w:rFonts w:ascii="Calibri" w:hAnsi="Calibri" w:cs="Calibri"/>
                      <w:color w:val="000000"/>
                      <w:sz w:val="20"/>
                      <w:szCs w:val="20"/>
                      <w:lang w:eastAsia="en-IE"/>
                    </w:rPr>
                  </w:pPr>
                  <w:r w:rsidRPr="00837D76">
                    <w:rPr>
                      <w:rFonts w:ascii="Calibri" w:hAnsi="Calibri" w:cs="Calibri"/>
                      <w:b/>
                      <w:bCs/>
                      <w:color w:val="000000"/>
                      <w:sz w:val="20"/>
                      <w:szCs w:val="20"/>
                      <w:lang w:eastAsia="en-IE"/>
                    </w:rPr>
                    <w:t xml:space="preserve">Segment revenue                    </w:t>
                  </w:r>
                </w:p>
              </w:tc>
              <w:tc>
                <w:tcPr>
                  <w:tcW w:w="1491" w:type="dxa"/>
                  <w:tcBorders>
                    <w:top w:val="single" w:sz="4" w:space="0" w:color="auto"/>
                    <w:bottom w:val="single" w:sz="12" w:space="0" w:color="auto"/>
                  </w:tcBorders>
                  <w:shd w:val="clear" w:color="auto" w:fill="FFFF00"/>
                  <w:noWrap/>
                  <w:vAlign w:val="bottom"/>
                </w:tcPr>
                <w:p w14:paraId="10A1CD0A" w14:textId="77777777" w:rsidR="007D493D" w:rsidRPr="00D80B90" w:rsidRDefault="00D633B8" w:rsidP="00062384">
                  <w:pPr>
                    <w:jc w:val="right"/>
                    <w:rPr>
                      <w:rFonts w:ascii="Calibri" w:hAnsi="Calibri" w:cs="Calibri"/>
                      <w:b/>
                      <w:bCs/>
                      <w:color w:val="000000"/>
                      <w:sz w:val="20"/>
                      <w:szCs w:val="20"/>
                      <w:lang w:eastAsia="en-IE"/>
                    </w:rPr>
                  </w:pPr>
                  <w:r w:rsidRPr="00D80B90">
                    <w:rPr>
                      <w:rFonts w:ascii="Calibri" w:hAnsi="Calibri" w:cs="Calibri"/>
                      <w:b/>
                      <w:bCs/>
                      <w:color w:val="000000"/>
                      <w:sz w:val="20"/>
                      <w:szCs w:val="20"/>
                      <w:lang w:eastAsia="en-IE"/>
                    </w:rPr>
                    <w:t>5,0</w:t>
                  </w:r>
                  <w:r w:rsidR="00EC35D7" w:rsidRPr="00D80B90">
                    <w:rPr>
                      <w:rFonts w:ascii="Calibri" w:hAnsi="Calibri" w:cs="Calibri"/>
                      <w:b/>
                      <w:bCs/>
                      <w:color w:val="000000"/>
                      <w:sz w:val="20"/>
                      <w:szCs w:val="20"/>
                      <w:lang w:eastAsia="en-IE"/>
                    </w:rPr>
                    <w:t>52</w:t>
                  </w:r>
                  <w:r w:rsidRPr="00D80B90">
                    <w:rPr>
                      <w:rFonts w:ascii="Calibri" w:hAnsi="Calibri" w:cs="Calibri"/>
                      <w:b/>
                      <w:bCs/>
                      <w:color w:val="000000"/>
                      <w:sz w:val="20"/>
                      <w:szCs w:val="20"/>
                      <w:lang w:eastAsia="en-IE"/>
                    </w:rPr>
                    <w:t>.</w:t>
                  </w:r>
                  <w:r w:rsidR="00EC35D7" w:rsidRPr="00D80B90">
                    <w:rPr>
                      <w:rFonts w:ascii="Calibri" w:hAnsi="Calibri" w:cs="Calibri"/>
                      <w:b/>
                      <w:bCs/>
                      <w:color w:val="000000"/>
                      <w:sz w:val="20"/>
                      <w:szCs w:val="20"/>
                      <w:lang w:eastAsia="en-IE"/>
                    </w:rPr>
                    <w:t>1</w:t>
                  </w:r>
                </w:p>
              </w:tc>
              <w:tc>
                <w:tcPr>
                  <w:tcW w:w="1659" w:type="dxa"/>
                  <w:tcBorders>
                    <w:top w:val="single" w:sz="4" w:space="0" w:color="auto"/>
                    <w:bottom w:val="single" w:sz="12" w:space="0" w:color="auto"/>
                  </w:tcBorders>
                  <w:shd w:val="clear" w:color="auto" w:fill="FFFF00"/>
                  <w:vAlign w:val="bottom"/>
                </w:tcPr>
                <w:p w14:paraId="2A43A105" w14:textId="77777777" w:rsidR="007D493D" w:rsidRPr="00D80B90" w:rsidRDefault="00D633B8" w:rsidP="00062384">
                  <w:pPr>
                    <w:ind w:right="-45"/>
                    <w:jc w:val="right"/>
                    <w:rPr>
                      <w:rFonts w:ascii="Calibri" w:hAnsi="Calibri" w:cs="Calibri"/>
                      <w:b/>
                      <w:bCs/>
                      <w:color w:val="000000"/>
                      <w:sz w:val="20"/>
                      <w:szCs w:val="20"/>
                      <w:lang w:eastAsia="en-IE"/>
                    </w:rPr>
                  </w:pPr>
                  <w:r w:rsidRPr="00D80B90">
                    <w:rPr>
                      <w:rFonts w:ascii="Calibri" w:hAnsi="Calibri" w:cs="Calibri"/>
                      <w:b/>
                      <w:bCs/>
                      <w:color w:val="000000"/>
                      <w:sz w:val="20"/>
                      <w:szCs w:val="20"/>
                      <w:lang w:eastAsia="en-IE"/>
                    </w:rPr>
                    <w:t>417.6</w:t>
                  </w:r>
                </w:p>
              </w:tc>
              <w:tc>
                <w:tcPr>
                  <w:tcW w:w="1473" w:type="dxa"/>
                  <w:tcBorders>
                    <w:top w:val="single" w:sz="4" w:space="0" w:color="auto"/>
                    <w:bottom w:val="single" w:sz="12" w:space="0" w:color="auto"/>
                  </w:tcBorders>
                  <w:shd w:val="clear" w:color="auto" w:fill="FFFF00"/>
                  <w:vAlign w:val="bottom"/>
                </w:tcPr>
                <w:p w14:paraId="7F8512FB" w14:textId="77777777" w:rsidR="007D493D" w:rsidRPr="00D80B90" w:rsidRDefault="00D633B8" w:rsidP="00062384">
                  <w:pPr>
                    <w:jc w:val="right"/>
                    <w:rPr>
                      <w:rFonts w:ascii="Calibri" w:hAnsi="Calibri" w:cs="Calibri"/>
                      <w:b/>
                      <w:bCs/>
                      <w:color w:val="000000"/>
                      <w:sz w:val="20"/>
                      <w:szCs w:val="20"/>
                      <w:lang w:eastAsia="en-IE"/>
                    </w:rPr>
                  </w:pPr>
                  <w:r w:rsidRPr="00D80B90">
                    <w:rPr>
                      <w:rFonts w:ascii="Calibri" w:hAnsi="Calibri" w:cs="Calibri"/>
                      <w:b/>
                      <w:bCs/>
                      <w:color w:val="000000"/>
                      <w:sz w:val="20"/>
                      <w:szCs w:val="20"/>
                      <w:lang w:eastAsia="en-IE"/>
                    </w:rPr>
                    <w:t>(543.8)</w:t>
                  </w:r>
                </w:p>
              </w:tc>
              <w:tc>
                <w:tcPr>
                  <w:tcW w:w="1493" w:type="dxa"/>
                  <w:tcBorders>
                    <w:top w:val="single" w:sz="4" w:space="0" w:color="auto"/>
                    <w:bottom w:val="single" w:sz="12" w:space="0" w:color="auto"/>
                  </w:tcBorders>
                  <w:shd w:val="clear" w:color="auto" w:fill="FFFF00"/>
                  <w:noWrap/>
                  <w:vAlign w:val="bottom"/>
                </w:tcPr>
                <w:p w14:paraId="2F36230B" w14:textId="77777777" w:rsidR="007D493D" w:rsidRPr="00D80B90" w:rsidRDefault="00502DBE" w:rsidP="00062384">
                  <w:pPr>
                    <w:jc w:val="right"/>
                    <w:rPr>
                      <w:rFonts w:ascii="Calibri" w:hAnsi="Calibri" w:cs="Calibri"/>
                      <w:b/>
                      <w:bCs/>
                      <w:color w:val="000000"/>
                      <w:sz w:val="20"/>
                      <w:szCs w:val="20"/>
                      <w:lang w:eastAsia="en-IE"/>
                    </w:rPr>
                  </w:pPr>
                  <w:r w:rsidRPr="00D80B90">
                    <w:rPr>
                      <w:rFonts w:ascii="Calibri" w:hAnsi="Calibri" w:cs="Calibri"/>
                      <w:b/>
                      <w:bCs/>
                      <w:color w:val="000000"/>
                      <w:sz w:val="20"/>
                      <w:szCs w:val="20"/>
                      <w:lang w:eastAsia="en-IE"/>
                    </w:rPr>
                    <w:t>4,92</w:t>
                  </w:r>
                  <w:r w:rsidR="00495EC8" w:rsidRPr="00D80B90">
                    <w:rPr>
                      <w:rFonts w:ascii="Calibri" w:hAnsi="Calibri" w:cs="Calibri"/>
                      <w:b/>
                      <w:bCs/>
                      <w:color w:val="000000"/>
                      <w:sz w:val="20"/>
                      <w:szCs w:val="20"/>
                      <w:lang w:eastAsia="en-IE"/>
                    </w:rPr>
                    <w:t>5.9</w:t>
                  </w:r>
                </w:p>
              </w:tc>
            </w:tr>
            <w:tr w:rsidR="007D493D" w:rsidRPr="001244BE" w14:paraId="75908823" w14:textId="77777777" w:rsidTr="00D80B90">
              <w:trPr>
                <w:trHeight w:val="57"/>
              </w:trPr>
              <w:tc>
                <w:tcPr>
                  <w:tcW w:w="4147" w:type="dxa"/>
                  <w:shd w:val="clear" w:color="auto" w:fill="FFFFFF"/>
                  <w:vAlign w:val="bottom"/>
                </w:tcPr>
                <w:p w14:paraId="385972D1" w14:textId="77777777" w:rsidR="007D493D" w:rsidRPr="00837D76" w:rsidRDefault="007D493D" w:rsidP="003E4F4E">
                  <w:pPr>
                    <w:rPr>
                      <w:rFonts w:ascii="Calibri" w:hAnsi="Calibri" w:cs="Calibri"/>
                      <w:b/>
                      <w:bCs/>
                      <w:color w:val="000000"/>
                      <w:sz w:val="20"/>
                      <w:szCs w:val="20"/>
                      <w:lang w:eastAsia="en-IE"/>
                    </w:rPr>
                  </w:pPr>
                </w:p>
              </w:tc>
              <w:tc>
                <w:tcPr>
                  <w:tcW w:w="1491" w:type="dxa"/>
                  <w:tcBorders>
                    <w:top w:val="single" w:sz="12" w:space="0" w:color="auto"/>
                  </w:tcBorders>
                  <w:shd w:val="clear" w:color="000000" w:fill="FFFF00"/>
                  <w:noWrap/>
                  <w:vAlign w:val="bottom"/>
                </w:tcPr>
                <w:p w14:paraId="5A9696AA" w14:textId="77777777" w:rsidR="007D493D" w:rsidRPr="00837D76" w:rsidRDefault="007D493D" w:rsidP="00062384">
                  <w:pPr>
                    <w:jc w:val="right"/>
                    <w:rPr>
                      <w:rFonts w:ascii="Calibri" w:hAnsi="Calibri" w:cs="Calibri"/>
                      <w:b/>
                      <w:color w:val="000000"/>
                      <w:sz w:val="20"/>
                      <w:szCs w:val="20"/>
                      <w:lang w:eastAsia="en-IE"/>
                    </w:rPr>
                  </w:pPr>
                </w:p>
              </w:tc>
              <w:tc>
                <w:tcPr>
                  <w:tcW w:w="1659" w:type="dxa"/>
                  <w:tcBorders>
                    <w:top w:val="single" w:sz="12" w:space="0" w:color="auto"/>
                  </w:tcBorders>
                  <w:shd w:val="clear" w:color="000000" w:fill="FFFF00"/>
                  <w:vAlign w:val="bottom"/>
                </w:tcPr>
                <w:p w14:paraId="5E1ED052" w14:textId="77777777" w:rsidR="007D493D" w:rsidRPr="00837D76" w:rsidRDefault="007D493D" w:rsidP="00062384">
                  <w:pPr>
                    <w:ind w:right="-45"/>
                    <w:jc w:val="right"/>
                    <w:rPr>
                      <w:rFonts w:ascii="Calibri" w:hAnsi="Calibri" w:cs="Calibri"/>
                      <w:b/>
                      <w:color w:val="000000"/>
                      <w:sz w:val="20"/>
                      <w:szCs w:val="20"/>
                    </w:rPr>
                  </w:pPr>
                </w:p>
              </w:tc>
              <w:tc>
                <w:tcPr>
                  <w:tcW w:w="1473" w:type="dxa"/>
                  <w:tcBorders>
                    <w:top w:val="single" w:sz="12" w:space="0" w:color="auto"/>
                  </w:tcBorders>
                  <w:shd w:val="clear" w:color="000000" w:fill="FFFF00"/>
                  <w:vAlign w:val="bottom"/>
                </w:tcPr>
                <w:p w14:paraId="5F2ACE73" w14:textId="77777777" w:rsidR="007D493D" w:rsidRPr="00837D76" w:rsidRDefault="007D493D" w:rsidP="00062384">
                  <w:pPr>
                    <w:jc w:val="right"/>
                    <w:rPr>
                      <w:rFonts w:ascii="Calibri" w:hAnsi="Calibri" w:cs="Calibri"/>
                      <w:sz w:val="20"/>
                      <w:szCs w:val="20"/>
                    </w:rPr>
                  </w:pPr>
                </w:p>
              </w:tc>
              <w:tc>
                <w:tcPr>
                  <w:tcW w:w="1493" w:type="dxa"/>
                  <w:tcBorders>
                    <w:top w:val="single" w:sz="12" w:space="0" w:color="auto"/>
                  </w:tcBorders>
                  <w:shd w:val="clear" w:color="000000" w:fill="FFFF00"/>
                  <w:noWrap/>
                  <w:vAlign w:val="bottom"/>
                </w:tcPr>
                <w:p w14:paraId="083F0ADD" w14:textId="77777777" w:rsidR="007D493D" w:rsidRPr="00837D76" w:rsidRDefault="007D493D" w:rsidP="00062384">
                  <w:pPr>
                    <w:jc w:val="right"/>
                    <w:rPr>
                      <w:rFonts w:ascii="Calibri" w:hAnsi="Calibri" w:cs="Calibri"/>
                      <w:b/>
                      <w:color w:val="000000"/>
                      <w:sz w:val="20"/>
                      <w:szCs w:val="20"/>
                    </w:rPr>
                  </w:pPr>
                </w:p>
              </w:tc>
            </w:tr>
            <w:tr w:rsidR="007D493D" w:rsidRPr="001244BE" w14:paraId="60999F0A" w14:textId="77777777" w:rsidTr="00D80B90">
              <w:trPr>
                <w:trHeight w:val="306"/>
              </w:trPr>
              <w:tc>
                <w:tcPr>
                  <w:tcW w:w="4147" w:type="dxa"/>
                  <w:shd w:val="clear" w:color="auto" w:fill="FFFFFF"/>
                  <w:vAlign w:val="bottom"/>
                  <w:hideMark/>
                </w:tcPr>
                <w:p w14:paraId="44C3AE56" w14:textId="77777777" w:rsidR="007D493D" w:rsidRPr="00837D76" w:rsidRDefault="007D493D" w:rsidP="00E60B9C">
                  <w:pPr>
                    <w:rPr>
                      <w:rFonts w:ascii="Calibri" w:hAnsi="Calibri" w:cs="Calibri"/>
                      <w:b/>
                      <w:bCs/>
                      <w:color w:val="000000"/>
                      <w:sz w:val="20"/>
                      <w:szCs w:val="20"/>
                      <w:lang w:eastAsia="en-IE"/>
                    </w:rPr>
                  </w:pPr>
                  <w:r>
                    <w:rPr>
                      <w:rFonts w:ascii="Calibri" w:hAnsi="Calibri" w:cs="Calibri"/>
                      <w:b/>
                      <w:bCs/>
                      <w:color w:val="000000"/>
                      <w:sz w:val="20"/>
                      <w:szCs w:val="20"/>
                      <w:lang w:eastAsia="en-IE"/>
                    </w:rPr>
                    <w:t xml:space="preserve">Reportable </w:t>
                  </w:r>
                  <w:r w:rsidRPr="00B52B95">
                    <w:rPr>
                      <w:rFonts w:ascii="Calibri" w:hAnsi="Calibri" w:cs="Calibri"/>
                      <w:b/>
                      <w:bCs/>
                      <w:color w:val="000000"/>
                      <w:sz w:val="20"/>
                      <w:szCs w:val="20"/>
                      <w:lang w:eastAsia="en-IE"/>
                    </w:rPr>
                    <w:t>segment profit after</w:t>
                  </w:r>
                  <w:r>
                    <w:rPr>
                      <w:rFonts w:ascii="Calibri" w:hAnsi="Calibri" w:cs="Calibri"/>
                      <w:b/>
                      <w:bCs/>
                      <w:color w:val="000000"/>
                      <w:sz w:val="20"/>
                      <w:szCs w:val="20"/>
                      <w:lang w:eastAsia="en-IE"/>
                    </w:rPr>
                    <w:t xml:space="preserve"> income tax</w:t>
                  </w:r>
                </w:p>
              </w:tc>
              <w:tc>
                <w:tcPr>
                  <w:tcW w:w="1491" w:type="dxa"/>
                  <w:tcBorders>
                    <w:bottom w:val="single" w:sz="12" w:space="0" w:color="auto"/>
                  </w:tcBorders>
                  <w:shd w:val="clear" w:color="000000" w:fill="FFFF00"/>
                  <w:noWrap/>
                  <w:vAlign w:val="bottom"/>
                </w:tcPr>
                <w:p w14:paraId="2203EA64" w14:textId="77777777" w:rsidR="007D493D" w:rsidRPr="001756EF" w:rsidRDefault="001756EF" w:rsidP="00062384">
                  <w:pPr>
                    <w:jc w:val="right"/>
                    <w:rPr>
                      <w:rFonts w:ascii="Calibri" w:hAnsi="Calibri" w:cs="Calibri"/>
                      <w:b/>
                      <w:color w:val="000000"/>
                      <w:sz w:val="20"/>
                      <w:szCs w:val="20"/>
                      <w:lang w:eastAsia="en-IE"/>
                    </w:rPr>
                  </w:pPr>
                  <w:r w:rsidRPr="001756EF">
                    <w:rPr>
                      <w:rFonts w:ascii="Calibri" w:hAnsi="Calibri" w:cs="Calibri"/>
                      <w:b/>
                      <w:color w:val="000000"/>
                      <w:sz w:val="20"/>
                      <w:szCs w:val="20"/>
                      <w:lang w:eastAsia="en-IE"/>
                    </w:rPr>
                    <w:t>1,476.6</w:t>
                  </w:r>
                </w:p>
              </w:tc>
              <w:tc>
                <w:tcPr>
                  <w:tcW w:w="1659" w:type="dxa"/>
                  <w:tcBorders>
                    <w:bottom w:val="single" w:sz="12" w:space="0" w:color="auto"/>
                  </w:tcBorders>
                  <w:shd w:val="clear" w:color="000000" w:fill="FFFF00"/>
                  <w:vAlign w:val="bottom"/>
                </w:tcPr>
                <w:p w14:paraId="0B43CD4E" w14:textId="77777777" w:rsidR="007D493D" w:rsidRPr="001756EF" w:rsidRDefault="001756EF" w:rsidP="00062384">
                  <w:pPr>
                    <w:ind w:right="-45"/>
                    <w:jc w:val="right"/>
                    <w:rPr>
                      <w:rFonts w:ascii="Calibri" w:hAnsi="Calibri" w:cs="Calibri"/>
                      <w:b/>
                      <w:color w:val="000000"/>
                      <w:sz w:val="20"/>
                      <w:szCs w:val="20"/>
                    </w:rPr>
                  </w:pPr>
                  <w:r w:rsidRPr="001756EF">
                    <w:rPr>
                      <w:rFonts w:ascii="Calibri" w:hAnsi="Calibri" w:cs="Calibri"/>
                      <w:b/>
                      <w:color w:val="000000"/>
                      <w:sz w:val="20"/>
                      <w:szCs w:val="20"/>
                    </w:rPr>
                    <w:t>38.6</w:t>
                  </w:r>
                </w:p>
              </w:tc>
              <w:tc>
                <w:tcPr>
                  <w:tcW w:w="1473" w:type="dxa"/>
                  <w:tcBorders>
                    <w:bottom w:val="single" w:sz="12" w:space="0" w:color="auto"/>
                  </w:tcBorders>
                  <w:shd w:val="clear" w:color="000000" w:fill="FFFF00"/>
                  <w:vAlign w:val="bottom"/>
                </w:tcPr>
                <w:p w14:paraId="4327EE0C" w14:textId="77777777" w:rsidR="007D493D" w:rsidRPr="00226D7D" w:rsidRDefault="00D633B8" w:rsidP="00062384">
                  <w:pPr>
                    <w:jc w:val="right"/>
                    <w:rPr>
                      <w:rFonts w:ascii="Calibri" w:hAnsi="Calibri" w:cs="Calibri"/>
                      <w:b/>
                      <w:bCs/>
                      <w:sz w:val="20"/>
                      <w:szCs w:val="20"/>
                    </w:rPr>
                  </w:pPr>
                  <w:r>
                    <w:rPr>
                      <w:rFonts w:ascii="Calibri" w:hAnsi="Calibri" w:cs="Calibri"/>
                      <w:b/>
                      <w:bCs/>
                      <w:sz w:val="20"/>
                      <w:szCs w:val="20"/>
                    </w:rPr>
                    <w:t>-</w:t>
                  </w:r>
                </w:p>
              </w:tc>
              <w:tc>
                <w:tcPr>
                  <w:tcW w:w="1493" w:type="dxa"/>
                  <w:tcBorders>
                    <w:bottom w:val="single" w:sz="12" w:space="0" w:color="auto"/>
                  </w:tcBorders>
                  <w:shd w:val="clear" w:color="000000" w:fill="FFFF00"/>
                  <w:noWrap/>
                  <w:vAlign w:val="bottom"/>
                </w:tcPr>
                <w:p w14:paraId="6DE40B7D" w14:textId="77777777" w:rsidR="007D493D" w:rsidRPr="00226D7D" w:rsidRDefault="00502DBE" w:rsidP="00062384">
                  <w:pPr>
                    <w:jc w:val="right"/>
                    <w:rPr>
                      <w:rFonts w:ascii="Calibri" w:hAnsi="Calibri" w:cs="Calibri"/>
                      <w:b/>
                      <w:color w:val="000000"/>
                      <w:sz w:val="20"/>
                      <w:szCs w:val="20"/>
                    </w:rPr>
                  </w:pPr>
                  <w:r>
                    <w:rPr>
                      <w:rFonts w:ascii="Calibri" w:hAnsi="Calibri" w:cs="Calibri"/>
                      <w:b/>
                      <w:color w:val="000000"/>
                      <w:sz w:val="20"/>
                      <w:szCs w:val="20"/>
                    </w:rPr>
                    <w:t>1,5</w:t>
                  </w:r>
                  <w:r w:rsidR="00EC35D7">
                    <w:rPr>
                      <w:rFonts w:ascii="Calibri" w:hAnsi="Calibri" w:cs="Calibri"/>
                      <w:b/>
                      <w:color w:val="000000"/>
                      <w:sz w:val="20"/>
                      <w:szCs w:val="20"/>
                    </w:rPr>
                    <w:t>15</w:t>
                  </w:r>
                  <w:r>
                    <w:rPr>
                      <w:rFonts w:ascii="Calibri" w:hAnsi="Calibri" w:cs="Calibri"/>
                      <w:b/>
                      <w:color w:val="000000"/>
                      <w:sz w:val="20"/>
                      <w:szCs w:val="20"/>
                    </w:rPr>
                    <w:t>.</w:t>
                  </w:r>
                  <w:r w:rsidR="00EC35D7">
                    <w:rPr>
                      <w:rFonts w:ascii="Calibri" w:hAnsi="Calibri" w:cs="Calibri"/>
                      <w:b/>
                      <w:color w:val="000000"/>
                      <w:sz w:val="20"/>
                      <w:szCs w:val="20"/>
                    </w:rPr>
                    <w:t>2</w:t>
                  </w:r>
                </w:p>
              </w:tc>
            </w:tr>
            <w:tr w:rsidR="00F42592" w:rsidRPr="001244BE" w14:paraId="313AF8B3" w14:textId="77777777" w:rsidTr="00D80B90">
              <w:trPr>
                <w:trHeight w:val="306"/>
              </w:trPr>
              <w:tc>
                <w:tcPr>
                  <w:tcW w:w="4147" w:type="dxa"/>
                  <w:shd w:val="clear" w:color="auto" w:fill="FFFFFF"/>
                  <w:vAlign w:val="bottom"/>
                </w:tcPr>
                <w:p w14:paraId="00771A61" w14:textId="77777777" w:rsidR="00F42592" w:rsidRPr="00837D76" w:rsidRDefault="00F42592" w:rsidP="003E4F4E">
                  <w:pPr>
                    <w:rPr>
                      <w:rFonts w:ascii="Calibri" w:hAnsi="Calibri" w:cs="Calibri"/>
                      <w:b/>
                      <w:bCs/>
                      <w:color w:val="000000"/>
                      <w:sz w:val="20"/>
                      <w:szCs w:val="20"/>
                      <w:lang w:eastAsia="en-IE"/>
                    </w:rPr>
                  </w:pPr>
                </w:p>
              </w:tc>
              <w:tc>
                <w:tcPr>
                  <w:tcW w:w="1491" w:type="dxa"/>
                  <w:tcBorders>
                    <w:top w:val="single" w:sz="12" w:space="0" w:color="auto"/>
                  </w:tcBorders>
                  <w:shd w:val="clear" w:color="auto" w:fill="FFFF00"/>
                  <w:noWrap/>
                  <w:vAlign w:val="bottom"/>
                </w:tcPr>
                <w:p w14:paraId="743BA33F" w14:textId="77777777" w:rsidR="00F42592" w:rsidRPr="00837D76" w:rsidRDefault="00F42592" w:rsidP="00062384">
                  <w:pPr>
                    <w:jc w:val="right"/>
                    <w:rPr>
                      <w:rFonts w:ascii="Calibri" w:hAnsi="Calibri" w:cs="Calibri"/>
                      <w:b/>
                      <w:bCs/>
                      <w:color w:val="000000"/>
                      <w:sz w:val="20"/>
                      <w:szCs w:val="20"/>
                      <w:lang w:eastAsia="en-IE"/>
                    </w:rPr>
                  </w:pPr>
                </w:p>
              </w:tc>
              <w:tc>
                <w:tcPr>
                  <w:tcW w:w="1659" w:type="dxa"/>
                  <w:tcBorders>
                    <w:top w:val="single" w:sz="12" w:space="0" w:color="auto"/>
                  </w:tcBorders>
                  <w:shd w:val="clear" w:color="auto" w:fill="FFFF00"/>
                  <w:vAlign w:val="bottom"/>
                </w:tcPr>
                <w:p w14:paraId="2EF2A7F1" w14:textId="77777777" w:rsidR="00F42592" w:rsidRPr="00837D76" w:rsidRDefault="00F42592" w:rsidP="00062384">
                  <w:pPr>
                    <w:ind w:right="-45"/>
                    <w:jc w:val="right"/>
                    <w:rPr>
                      <w:rFonts w:ascii="Calibri" w:eastAsia="Calibri" w:hAnsi="Calibri" w:cs="Calibri"/>
                      <w:b/>
                      <w:sz w:val="20"/>
                      <w:szCs w:val="20"/>
                      <w:lang w:eastAsia="en-IE"/>
                    </w:rPr>
                  </w:pPr>
                </w:p>
              </w:tc>
              <w:tc>
                <w:tcPr>
                  <w:tcW w:w="1473" w:type="dxa"/>
                  <w:tcBorders>
                    <w:top w:val="single" w:sz="12" w:space="0" w:color="auto"/>
                  </w:tcBorders>
                  <w:shd w:val="clear" w:color="auto" w:fill="FFFF00"/>
                  <w:vAlign w:val="bottom"/>
                </w:tcPr>
                <w:p w14:paraId="2E2197E7" w14:textId="77777777" w:rsidR="00F42592" w:rsidRPr="00837D76" w:rsidRDefault="00F42592" w:rsidP="00062384">
                  <w:pPr>
                    <w:jc w:val="right"/>
                    <w:rPr>
                      <w:rFonts w:ascii="Calibri" w:eastAsia="Calibri" w:hAnsi="Calibri" w:cs="Calibri"/>
                      <w:b/>
                      <w:sz w:val="20"/>
                      <w:szCs w:val="20"/>
                      <w:lang w:eastAsia="en-IE"/>
                    </w:rPr>
                  </w:pPr>
                </w:p>
              </w:tc>
              <w:tc>
                <w:tcPr>
                  <w:tcW w:w="1493" w:type="dxa"/>
                  <w:tcBorders>
                    <w:top w:val="single" w:sz="12" w:space="0" w:color="auto"/>
                  </w:tcBorders>
                  <w:shd w:val="clear" w:color="auto" w:fill="FFFF00"/>
                  <w:noWrap/>
                  <w:vAlign w:val="bottom"/>
                </w:tcPr>
                <w:p w14:paraId="59CD3A1B" w14:textId="77777777" w:rsidR="00F42592" w:rsidRPr="00837D76" w:rsidRDefault="00F42592" w:rsidP="00062384">
                  <w:pPr>
                    <w:jc w:val="right"/>
                    <w:rPr>
                      <w:rFonts w:ascii="Calibri" w:eastAsia="Calibri" w:hAnsi="Calibri" w:cs="Calibri"/>
                      <w:b/>
                      <w:sz w:val="20"/>
                      <w:szCs w:val="20"/>
                      <w:lang w:eastAsia="en-IE"/>
                    </w:rPr>
                  </w:pPr>
                </w:p>
              </w:tc>
            </w:tr>
            <w:tr w:rsidR="007D493D" w:rsidRPr="001244BE" w14:paraId="102F797E" w14:textId="77777777" w:rsidTr="00062384">
              <w:trPr>
                <w:trHeight w:val="306"/>
              </w:trPr>
              <w:tc>
                <w:tcPr>
                  <w:tcW w:w="4147" w:type="dxa"/>
                  <w:shd w:val="clear" w:color="auto" w:fill="FFFFFF"/>
                  <w:vAlign w:val="bottom"/>
                  <w:hideMark/>
                </w:tcPr>
                <w:p w14:paraId="3E63AB2B" w14:textId="77777777" w:rsidR="007D493D" w:rsidRPr="00837D76" w:rsidRDefault="007D493D" w:rsidP="003E4F4E">
                  <w:pPr>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 xml:space="preserve">Other segment information: </w:t>
                  </w:r>
                </w:p>
              </w:tc>
              <w:tc>
                <w:tcPr>
                  <w:tcW w:w="1491" w:type="dxa"/>
                  <w:shd w:val="clear" w:color="auto" w:fill="FFFF00"/>
                  <w:noWrap/>
                  <w:vAlign w:val="bottom"/>
                </w:tcPr>
                <w:p w14:paraId="10AA56AF" w14:textId="77777777" w:rsidR="007D493D" w:rsidRPr="00837D76" w:rsidRDefault="007D493D" w:rsidP="00062384">
                  <w:pPr>
                    <w:jc w:val="right"/>
                    <w:rPr>
                      <w:rFonts w:ascii="Calibri" w:hAnsi="Calibri" w:cs="Calibri"/>
                      <w:b/>
                      <w:bCs/>
                      <w:color w:val="000000"/>
                      <w:sz w:val="20"/>
                      <w:szCs w:val="20"/>
                      <w:lang w:eastAsia="en-IE"/>
                    </w:rPr>
                  </w:pPr>
                </w:p>
              </w:tc>
              <w:tc>
                <w:tcPr>
                  <w:tcW w:w="1659" w:type="dxa"/>
                  <w:shd w:val="clear" w:color="auto" w:fill="FFFF00"/>
                  <w:vAlign w:val="bottom"/>
                </w:tcPr>
                <w:p w14:paraId="71CC24AE" w14:textId="77777777" w:rsidR="007D493D" w:rsidRPr="00837D76" w:rsidRDefault="007D493D" w:rsidP="00062384">
                  <w:pPr>
                    <w:ind w:right="-45"/>
                    <w:jc w:val="right"/>
                    <w:rPr>
                      <w:rFonts w:ascii="Calibri" w:eastAsia="Calibri" w:hAnsi="Calibri" w:cs="Calibri"/>
                      <w:b/>
                      <w:sz w:val="20"/>
                      <w:szCs w:val="20"/>
                      <w:lang w:eastAsia="en-IE"/>
                    </w:rPr>
                  </w:pPr>
                </w:p>
              </w:tc>
              <w:tc>
                <w:tcPr>
                  <w:tcW w:w="1473" w:type="dxa"/>
                  <w:shd w:val="clear" w:color="auto" w:fill="FFFF00"/>
                  <w:vAlign w:val="bottom"/>
                </w:tcPr>
                <w:p w14:paraId="3FA80E63" w14:textId="77777777" w:rsidR="007D493D" w:rsidRPr="00837D76" w:rsidRDefault="007D493D" w:rsidP="00062384">
                  <w:pPr>
                    <w:jc w:val="right"/>
                    <w:rPr>
                      <w:rFonts w:ascii="Calibri" w:eastAsia="Calibri" w:hAnsi="Calibri" w:cs="Calibri"/>
                      <w:b/>
                      <w:sz w:val="20"/>
                      <w:szCs w:val="20"/>
                      <w:lang w:eastAsia="en-IE"/>
                    </w:rPr>
                  </w:pPr>
                </w:p>
              </w:tc>
              <w:tc>
                <w:tcPr>
                  <w:tcW w:w="1493" w:type="dxa"/>
                  <w:shd w:val="clear" w:color="auto" w:fill="FFFF00"/>
                  <w:noWrap/>
                  <w:vAlign w:val="bottom"/>
                </w:tcPr>
                <w:p w14:paraId="2D3CCA73" w14:textId="77777777" w:rsidR="007D493D" w:rsidRPr="00837D76" w:rsidRDefault="007D493D" w:rsidP="00062384">
                  <w:pPr>
                    <w:jc w:val="right"/>
                    <w:rPr>
                      <w:rFonts w:ascii="Calibri" w:eastAsia="Calibri" w:hAnsi="Calibri" w:cs="Calibri"/>
                      <w:b/>
                      <w:sz w:val="20"/>
                      <w:szCs w:val="20"/>
                      <w:lang w:eastAsia="en-IE"/>
                    </w:rPr>
                  </w:pPr>
                </w:p>
              </w:tc>
            </w:tr>
            <w:tr w:rsidR="007D493D" w:rsidRPr="001244BE" w14:paraId="63C2DA89" w14:textId="77777777" w:rsidTr="00062384">
              <w:trPr>
                <w:trHeight w:val="306"/>
              </w:trPr>
              <w:tc>
                <w:tcPr>
                  <w:tcW w:w="4147" w:type="dxa"/>
                  <w:shd w:val="clear" w:color="auto" w:fill="FFFFFF"/>
                  <w:vAlign w:val="bottom"/>
                  <w:hideMark/>
                </w:tcPr>
                <w:p w14:paraId="085496D7" w14:textId="77777777" w:rsidR="007D493D" w:rsidRPr="00837D76" w:rsidRDefault="007D493D" w:rsidP="003E4F4E">
                  <w:pPr>
                    <w:rPr>
                      <w:rFonts w:ascii="Calibri" w:hAnsi="Calibri" w:cs="Calibri"/>
                      <w:color w:val="000000"/>
                      <w:sz w:val="20"/>
                      <w:szCs w:val="20"/>
                      <w:lang w:eastAsia="en-IE"/>
                    </w:rPr>
                  </w:pPr>
                  <w:r w:rsidRPr="00837D76">
                    <w:rPr>
                      <w:rFonts w:ascii="Calibri" w:hAnsi="Calibri" w:cs="Calibri"/>
                      <w:color w:val="000000"/>
                      <w:sz w:val="20"/>
                      <w:szCs w:val="20"/>
                      <w:lang w:eastAsia="en-IE"/>
                    </w:rPr>
                    <w:t>Depreciation</w:t>
                  </w:r>
                </w:p>
              </w:tc>
              <w:tc>
                <w:tcPr>
                  <w:tcW w:w="1491" w:type="dxa"/>
                  <w:shd w:val="clear" w:color="000000" w:fill="FFFF00"/>
                  <w:noWrap/>
                  <w:vAlign w:val="bottom"/>
                </w:tcPr>
                <w:p w14:paraId="302B7532" w14:textId="77777777" w:rsidR="007D493D" w:rsidRPr="00837D76" w:rsidRDefault="00E21D7A" w:rsidP="00062384">
                  <w:pPr>
                    <w:jc w:val="right"/>
                    <w:rPr>
                      <w:rFonts w:ascii="Calibri" w:hAnsi="Calibri" w:cs="Calibri"/>
                      <w:b/>
                      <w:color w:val="000000"/>
                      <w:sz w:val="20"/>
                      <w:szCs w:val="20"/>
                      <w:lang w:eastAsia="en-IE"/>
                    </w:rPr>
                  </w:pPr>
                  <w:r>
                    <w:rPr>
                      <w:rFonts w:ascii="Calibri" w:hAnsi="Calibri" w:cs="Calibri"/>
                      <w:b/>
                      <w:color w:val="000000"/>
                      <w:sz w:val="20"/>
                      <w:szCs w:val="20"/>
                      <w:lang w:eastAsia="en-IE"/>
                    </w:rPr>
                    <w:t>(</w:t>
                  </w:r>
                  <w:r w:rsidR="003D5803">
                    <w:rPr>
                      <w:rFonts w:ascii="Calibri" w:hAnsi="Calibri" w:cs="Calibri"/>
                      <w:b/>
                      <w:color w:val="000000"/>
                      <w:sz w:val="20"/>
                      <w:szCs w:val="20"/>
                      <w:lang w:eastAsia="en-IE"/>
                    </w:rPr>
                    <w:t>27</w:t>
                  </w:r>
                  <w:r w:rsidR="00EC35D7">
                    <w:rPr>
                      <w:rFonts w:ascii="Calibri" w:hAnsi="Calibri" w:cs="Calibri"/>
                      <w:b/>
                      <w:color w:val="000000"/>
                      <w:sz w:val="20"/>
                      <w:szCs w:val="20"/>
                      <w:lang w:eastAsia="en-IE"/>
                    </w:rPr>
                    <w:t>3</w:t>
                  </w:r>
                  <w:r w:rsidR="003D5803">
                    <w:rPr>
                      <w:rFonts w:ascii="Calibri" w:hAnsi="Calibri" w:cs="Calibri"/>
                      <w:b/>
                      <w:color w:val="000000"/>
                      <w:sz w:val="20"/>
                      <w:szCs w:val="20"/>
                      <w:lang w:eastAsia="en-IE"/>
                    </w:rPr>
                    <w:t>.4</w:t>
                  </w:r>
                  <w:r>
                    <w:rPr>
                      <w:rFonts w:ascii="Calibri" w:hAnsi="Calibri" w:cs="Calibri"/>
                      <w:b/>
                      <w:color w:val="000000"/>
                      <w:sz w:val="20"/>
                      <w:szCs w:val="20"/>
                      <w:lang w:eastAsia="en-IE"/>
                    </w:rPr>
                    <w:t>)</w:t>
                  </w:r>
                </w:p>
              </w:tc>
              <w:tc>
                <w:tcPr>
                  <w:tcW w:w="1659" w:type="dxa"/>
                  <w:shd w:val="clear" w:color="000000" w:fill="FFFF00"/>
                  <w:vAlign w:val="bottom"/>
                </w:tcPr>
                <w:p w14:paraId="0E3BD6C2" w14:textId="77777777" w:rsidR="007D493D" w:rsidRPr="00837D76" w:rsidRDefault="00E21D7A" w:rsidP="00062384">
                  <w:pPr>
                    <w:ind w:right="-45"/>
                    <w:jc w:val="right"/>
                    <w:rPr>
                      <w:rFonts w:ascii="Calibri" w:hAnsi="Calibri" w:cs="Calibri"/>
                      <w:b/>
                      <w:color w:val="000000"/>
                      <w:sz w:val="20"/>
                      <w:szCs w:val="20"/>
                    </w:rPr>
                  </w:pPr>
                  <w:r>
                    <w:rPr>
                      <w:rFonts w:ascii="Calibri" w:hAnsi="Calibri" w:cs="Calibri"/>
                      <w:b/>
                      <w:color w:val="000000"/>
                      <w:sz w:val="20"/>
                      <w:szCs w:val="20"/>
                    </w:rPr>
                    <w:t>(</w:t>
                  </w:r>
                  <w:r w:rsidR="003D5803">
                    <w:rPr>
                      <w:rFonts w:ascii="Calibri" w:hAnsi="Calibri" w:cs="Calibri"/>
                      <w:b/>
                      <w:color w:val="000000"/>
                      <w:sz w:val="20"/>
                      <w:szCs w:val="20"/>
                    </w:rPr>
                    <w:t>10.5</w:t>
                  </w:r>
                  <w:r>
                    <w:rPr>
                      <w:rFonts w:ascii="Calibri" w:hAnsi="Calibri" w:cs="Calibri"/>
                      <w:b/>
                      <w:color w:val="000000"/>
                      <w:sz w:val="20"/>
                      <w:szCs w:val="20"/>
                    </w:rPr>
                    <w:t>)</w:t>
                  </w:r>
                </w:p>
              </w:tc>
              <w:tc>
                <w:tcPr>
                  <w:tcW w:w="1473" w:type="dxa"/>
                  <w:shd w:val="clear" w:color="000000" w:fill="FFFF00"/>
                  <w:vAlign w:val="bottom"/>
                </w:tcPr>
                <w:p w14:paraId="28AA90EB" w14:textId="77777777" w:rsidR="007D493D" w:rsidRPr="00837D76" w:rsidRDefault="003D5803" w:rsidP="00062384">
                  <w:pPr>
                    <w:jc w:val="right"/>
                    <w:rPr>
                      <w:rFonts w:ascii="Calibri" w:hAnsi="Calibri" w:cs="Calibri"/>
                      <w:b/>
                      <w:color w:val="000000"/>
                      <w:sz w:val="20"/>
                      <w:szCs w:val="20"/>
                    </w:rPr>
                  </w:pPr>
                  <w:r>
                    <w:rPr>
                      <w:rFonts w:ascii="Calibri" w:hAnsi="Calibri" w:cs="Calibri"/>
                      <w:b/>
                      <w:color w:val="000000"/>
                      <w:sz w:val="20"/>
                      <w:szCs w:val="20"/>
                    </w:rPr>
                    <w:t>-</w:t>
                  </w:r>
                </w:p>
              </w:tc>
              <w:tc>
                <w:tcPr>
                  <w:tcW w:w="1493" w:type="dxa"/>
                  <w:shd w:val="clear" w:color="000000" w:fill="FFFF00"/>
                  <w:noWrap/>
                  <w:vAlign w:val="bottom"/>
                </w:tcPr>
                <w:p w14:paraId="328642F1" w14:textId="77777777" w:rsidR="007D493D" w:rsidRPr="00837D76" w:rsidRDefault="00E21D7A" w:rsidP="00062384">
                  <w:pPr>
                    <w:jc w:val="right"/>
                    <w:rPr>
                      <w:rFonts w:ascii="Calibri" w:hAnsi="Calibri" w:cs="Calibri"/>
                      <w:b/>
                      <w:color w:val="000000"/>
                      <w:sz w:val="20"/>
                      <w:szCs w:val="20"/>
                    </w:rPr>
                  </w:pPr>
                  <w:r>
                    <w:rPr>
                      <w:rFonts w:ascii="Calibri" w:hAnsi="Calibri" w:cs="Calibri"/>
                      <w:b/>
                      <w:color w:val="000000"/>
                      <w:sz w:val="20"/>
                      <w:szCs w:val="20"/>
                    </w:rPr>
                    <w:t>(</w:t>
                  </w:r>
                  <w:r w:rsidR="00502DBE">
                    <w:rPr>
                      <w:rFonts w:ascii="Calibri" w:hAnsi="Calibri" w:cs="Calibri"/>
                      <w:b/>
                      <w:color w:val="000000"/>
                      <w:sz w:val="20"/>
                      <w:szCs w:val="20"/>
                    </w:rPr>
                    <w:t>2</w:t>
                  </w:r>
                  <w:r w:rsidR="003D5803">
                    <w:rPr>
                      <w:rFonts w:ascii="Calibri" w:hAnsi="Calibri" w:cs="Calibri"/>
                      <w:b/>
                      <w:color w:val="000000"/>
                      <w:sz w:val="20"/>
                      <w:szCs w:val="20"/>
                    </w:rPr>
                    <w:t>8</w:t>
                  </w:r>
                  <w:r w:rsidR="00EC35D7">
                    <w:rPr>
                      <w:rFonts w:ascii="Calibri" w:hAnsi="Calibri" w:cs="Calibri"/>
                      <w:b/>
                      <w:color w:val="000000"/>
                      <w:sz w:val="20"/>
                      <w:szCs w:val="20"/>
                    </w:rPr>
                    <w:t>3</w:t>
                  </w:r>
                  <w:r w:rsidR="00502DBE">
                    <w:rPr>
                      <w:rFonts w:ascii="Calibri" w:hAnsi="Calibri" w:cs="Calibri"/>
                      <w:b/>
                      <w:color w:val="000000"/>
                      <w:sz w:val="20"/>
                      <w:szCs w:val="20"/>
                    </w:rPr>
                    <w:t>.</w:t>
                  </w:r>
                  <w:r w:rsidR="003D5803">
                    <w:rPr>
                      <w:rFonts w:ascii="Calibri" w:hAnsi="Calibri" w:cs="Calibri"/>
                      <w:b/>
                      <w:color w:val="000000"/>
                      <w:sz w:val="20"/>
                      <w:szCs w:val="20"/>
                    </w:rPr>
                    <w:t>9</w:t>
                  </w:r>
                  <w:r>
                    <w:rPr>
                      <w:rFonts w:ascii="Calibri" w:hAnsi="Calibri" w:cs="Calibri"/>
                      <w:b/>
                      <w:color w:val="000000"/>
                      <w:sz w:val="20"/>
                      <w:szCs w:val="20"/>
                    </w:rPr>
                    <w:t>)</w:t>
                  </w:r>
                </w:p>
              </w:tc>
            </w:tr>
            <w:tr w:rsidR="007D493D" w:rsidRPr="001244BE" w14:paraId="4338EBE7" w14:textId="77777777" w:rsidTr="00062384">
              <w:trPr>
                <w:trHeight w:val="306"/>
              </w:trPr>
              <w:tc>
                <w:tcPr>
                  <w:tcW w:w="4147" w:type="dxa"/>
                  <w:shd w:val="clear" w:color="auto" w:fill="FFFFFF"/>
                  <w:vAlign w:val="bottom"/>
                </w:tcPr>
                <w:p w14:paraId="4546A272" w14:textId="77777777" w:rsidR="007D493D" w:rsidRPr="00837D76" w:rsidRDefault="007D493D" w:rsidP="003E4F4E">
                  <w:pPr>
                    <w:rPr>
                      <w:rFonts w:ascii="Calibri" w:hAnsi="Calibri" w:cs="Calibri"/>
                      <w:color w:val="000000"/>
                      <w:sz w:val="20"/>
                      <w:szCs w:val="20"/>
                      <w:lang w:eastAsia="en-IE"/>
                    </w:rPr>
                  </w:pPr>
                  <w:r>
                    <w:rPr>
                      <w:rFonts w:ascii="Calibri" w:hAnsi="Calibri" w:cs="Calibri"/>
                      <w:color w:val="000000"/>
                      <w:sz w:val="20"/>
                      <w:szCs w:val="20"/>
                      <w:lang w:eastAsia="en-IE"/>
                    </w:rPr>
                    <w:t xml:space="preserve">Net finance </w:t>
                  </w:r>
                  <w:r w:rsidR="00502DBE">
                    <w:rPr>
                      <w:rFonts w:ascii="Calibri" w:hAnsi="Calibri" w:cs="Calibri"/>
                      <w:color w:val="000000"/>
                      <w:sz w:val="20"/>
                      <w:szCs w:val="20"/>
                      <w:lang w:eastAsia="en-IE"/>
                    </w:rPr>
                    <w:t>income/(</w:t>
                  </w:r>
                  <w:r>
                    <w:rPr>
                      <w:rFonts w:ascii="Calibri" w:hAnsi="Calibri" w:cs="Calibri"/>
                      <w:color w:val="000000"/>
                      <w:sz w:val="20"/>
                      <w:szCs w:val="20"/>
                      <w:lang w:eastAsia="en-IE"/>
                    </w:rPr>
                    <w:t>expense</w:t>
                  </w:r>
                  <w:r w:rsidR="00502DBE">
                    <w:rPr>
                      <w:rFonts w:ascii="Calibri" w:hAnsi="Calibri" w:cs="Calibri"/>
                      <w:color w:val="000000"/>
                      <w:sz w:val="20"/>
                      <w:szCs w:val="20"/>
                      <w:lang w:eastAsia="en-IE"/>
                    </w:rPr>
                    <w:t>)</w:t>
                  </w:r>
                </w:p>
              </w:tc>
              <w:tc>
                <w:tcPr>
                  <w:tcW w:w="1491" w:type="dxa"/>
                  <w:shd w:val="clear" w:color="000000" w:fill="FFFF00"/>
                  <w:noWrap/>
                  <w:vAlign w:val="bottom"/>
                </w:tcPr>
                <w:p w14:paraId="41D2BFBD" w14:textId="77777777" w:rsidR="007D493D" w:rsidRPr="002E6EB1" w:rsidRDefault="00EC35D7" w:rsidP="00062384">
                  <w:pPr>
                    <w:jc w:val="right"/>
                    <w:rPr>
                      <w:rFonts w:ascii="Calibri" w:hAnsi="Calibri" w:cs="Calibri"/>
                      <w:b/>
                      <w:color w:val="000000"/>
                      <w:sz w:val="20"/>
                      <w:szCs w:val="20"/>
                      <w:lang w:eastAsia="en-IE"/>
                    </w:rPr>
                  </w:pPr>
                  <w:r>
                    <w:rPr>
                      <w:rFonts w:ascii="Calibri" w:hAnsi="Calibri" w:cs="Calibri"/>
                      <w:b/>
                      <w:color w:val="000000"/>
                      <w:sz w:val="20"/>
                      <w:szCs w:val="20"/>
                      <w:lang w:eastAsia="en-IE"/>
                    </w:rPr>
                    <w:t>15.9</w:t>
                  </w:r>
                </w:p>
              </w:tc>
              <w:tc>
                <w:tcPr>
                  <w:tcW w:w="1659" w:type="dxa"/>
                  <w:shd w:val="clear" w:color="000000" w:fill="FFFF00"/>
                  <w:vAlign w:val="bottom"/>
                </w:tcPr>
                <w:p w14:paraId="4D1284B6" w14:textId="77777777" w:rsidR="007D493D" w:rsidRDefault="008C331E" w:rsidP="00062384">
                  <w:pPr>
                    <w:ind w:right="-45"/>
                    <w:jc w:val="right"/>
                    <w:rPr>
                      <w:rFonts w:ascii="Calibri" w:hAnsi="Calibri" w:cs="Calibri"/>
                      <w:b/>
                      <w:sz w:val="20"/>
                      <w:szCs w:val="20"/>
                    </w:rPr>
                  </w:pPr>
                  <w:r>
                    <w:rPr>
                      <w:rFonts w:ascii="Calibri" w:hAnsi="Calibri" w:cs="Calibri"/>
                      <w:b/>
                      <w:sz w:val="20"/>
                      <w:szCs w:val="20"/>
                    </w:rPr>
                    <w:t>(2.2)</w:t>
                  </w:r>
                </w:p>
              </w:tc>
              <w:tc>
                <w:tcPr>
                  <w:tcW w:w="1473" w:type="dxa"/>
                  <w:shd w:val="clear" w:color="000000" w:fill="FFFF00"/>
                  <w:vAlign w:val="bottom"/>
                </w:tcPr>
                <w:p w14:paraId="5A7A05CB" w14:textId="77777777" w:rsidR="007D493D" w:rsidRDefault="008C331E" w:rsidP="00062384">
                  <w:pPr>
                    <w:jc w:val="right"/>
                    <w:rPr>
                      <w:rFonts w:ascii="Calibri" w:eastAsia="Calibri" w:hAnsi="Calibri" w:cs="Calibri"/>
                      <w:b/>
                      <w:sz w:val="20"/>
                      <w:szCs w:val="20"/>
                      <w:lang w:eastAsia="en-IE"/>
                    </w:rPr>
                  </w:pPr>
                  <w:r>
                    <w:rPr>
                      <w:rFonts w:ascii="Calibri" w:eastAsia="Calibri" w:hAnsi="Calibri" w:cs="Calibri"/>
                      <w:b/>
                      <w:sz w:val="20"/>
                      <w:szCs w:val="20"/>
                      <w:lang w:eastAsia="en-IE"/>
                    </w:rPr>
                    <w:t>-</w:t>
                  </w:r>
                </w:p>
              </w:tc>
              <w:tc>
                <w:tcPr>
                  <w:tcW w:w="1493" w:type="dxa"/>
                  <w:shd w:val="clear" w:color="000000" w:fill="FFFF00"/>
                  <w:noWrap/>
                  <w:vAlign w:val="bottom"/>
                </w:tcPr>
                <w:p w14:paraId="163D281F" w14:textId="77777777" w:rsidR="007D493D" w:rsidRPr="002E6EB1" w:rsidRDefault="00EC35D7" w:rsidP="00062384">
                  <w:pPr>
                    <w:jc w:val="right"/>
                    <w:rPr>
                      <w:rFonts w:ascii="Calibri" w:eastAsia="Calibri" w:hAnsi="Calibri" w:cs="Calibri"/>
                      <w:b/>
                      <w:sz w:val="20"/>
                      <w:szCs w:val="20"/>
                      <w:lang w:eastAsia="en-IE"/>
                    </w:rPr>
                  </w:pPr>
                  <w:r>
                    <w:rPr>
                      <w:rFonts w:ascii="Calibri" w:eastAsia="Calibri" w:hAnsi="Calibri" w:cs="Calibri"/>
                      <w:b/>
                      <w:sz w:val="20"/>
                      <w:szCs w:val="20"/>
                      <w:lang w:eastAsia="en-IE"/>
                    </w:rPr>
                    <w:t>13.7</w:t>
                  </w:r>
                </w:p>
              </w:tc>
            </w:tr>
            <w:tr w:rsidR="007D493D" w:rsidRPr="001244BE" w14:paraId="7AD80232" w14:textId="77777777" w:rsidTr="00062384">
              <w:trPr>
                <w:trHeight w:val="306"/>
              </w:trPr>
              <w:tc>
                <w:tcPr>
                  <w:tcW w:w="4147" w:type="dxa"/>
                  <w:shd w:val="clear" w:color="auto" w:fill="FFFFFF"/>
                  <w:vAlign w:val="bottom"/>
                  <w:hideMark/>
                </w:tcPr>
                <w:p w14:paraId="79BED10F" w14:textId="77777777" w:rsidR="007D493D" w:rsidRPr="00837D76" w:rsidRDefault="007D493D" w:rsidP="003E4F4E">
                  <w:pPr>
                    <w:rPr>
                      <w:rFonts w:ascii="Calibri" w:hAnsi="Calibri" w:cs="Calibri"/>
                      <w:color w:val="000000"/>
                      <w:sz w:val="20"/>
                      <w:szCs w:val="20"/>
                      <w:lang w:eastAsia="en-IE"/>
                    </w:rPr>
                  </w:pPr>
                  <w:r w:rsidRPr="00A4004C">
                    <w:rPr>
                      <w:rFonts w:ascii="Calibri" w:hAnsi="Calibri" w:cs="Calibri"/>
                      <w:color w:val="000000"/>
                      <w:sz w:val="20"/>
                      <w:szCs w:val="20"/>
                      <w:lang w:eastAsia="en-IE"/>
                    </w:rPr>
                    <w:t>Capital expenditure</w:t>
                  </w:r>
                </w:p>
              </w:tc>
              <w:tc>
                <w:tcPr>
                  <w:tcW w:w="1491" w:type="dxa"/>
                  <w:shd w:val="clear" w:color="000000" w:fill="FFFF00"/>
                  <w:noWrap/>
                  <w:vAlign w:val="bottom"/>
                </w:tcPr>
                <w:p w14:paraId="28672BFB" w14:textId="77777777" w:rsidR="007D493D" w:rsidRPr="008A1F20" w:rsidRDefault="00E21D7A" w:rsidP="00062384">
                  <w:pPr>
                    <w:jc w:val="right"/>
                    <w:rPr>
                      <w:rFonts w:ascii="Calibri" w:hAnsi="Calibri" w:cs="Calibri"/>
                      <w:b/>
                      <w:color w:val="000000"/>
                      <w:sz w:val="20"/>
                      <w:szCs w:val="20"/>
                      <w:lang w:eastAsia="en-IE"/>
                    </w:rPr>
                  </w:pPr>
                  <w:r w:rsidRPr="008A1F20">
                    <w:rPr>
                      <w:rFonts w:ascii="Calibri" w:hAnsi="Calibri" w:cs="Calibri"/>
                      <w:b/>
                      <w:color w:val="000000"/>
                      <w:sz w:val="20"/>
                      <w:szCs w:val="20"/>
                      <w:lang w:eastAsia="en-IE"/>
                    </w:rPr>
                    <w:t>(</w:t>
                  </w:r>
                  <w:r w:rsidR="008A1F20">
                    <w:rPr>
                      <w:rFonts w:ascii="Calibri" w:hAnsi="Calibri" w:cs="Calibri"/>
                      <w:b/>
                      <w:color w:val="000000"/>
                      <w:sz w:val="20"/>
                      <w:szCs w:val="20"/>
                      <w:lang w:eastAsia="en-IE"/>
                    </w:rPr>
                    <w:t>430.6</w:t>
                  </w:r>
                  <w:r w:rsidRPr="008A1F20">
                    <w:rPr>
                      <w:rFonts w:ascii="Calibri" w:hAnsi="Calibri" w:cs="Calibri"/>
                      <w:b/>
                      <w:color w:val="000000"/>
                      <w:sz w:val="20"/>
                      <w:szCs w:val="20"/>
                      <w:lang w:eastAsia="en-IE"/>
                    </w:rPr>
                    <w:t>)</w:t>
                  </w:r>
                </w:p>
              </w:tc>
              <w:tc>
                <w:tcPr>
                  <w:tcW w:w="1659" w:type="dxa"/>
                  <w:shd w:val="clear" w:color="000000" w:fill="FFFF00"/>
                  <w:vAlign w:val="bottom"/>
                </w:tcPr>
                <w:p w14:paraId="190EF5A8" w14:textId="77777777" w:rsidR="007D493D" w:rsidRPr="008A1F20" w:rsidRDefault="00E21D7A" w:rsidP="00062384">
                  <w:pPr>
                    <w:ind w:right="-45"/>
                    <w:jc w:val="right"/>
                    <w:rPr>
                      <w:rFonts w:ascii="Calibri" w:hAnsi="Calibri" w:cs="Calibri"/>
                      <w:b/>
                      <w:sz w:val="20"/>
                      <w:szCs w:val="20"/>
                    </w:rPr>
                  </w:pPr>
                  <w:r w:rsidRPr="008A1F20">
                    <w:rPr>
                      <w:rFonts w:ascii="Calibri" w:hAnsi="Calibri" w:cs="Calibri"/>
                      <w:b/>
                      <w:sz w:val="20"/>
                      <w:szCs w:val="20"/>
                    </w:rPr>
                    <w:t>(</w:t>
                  </w:r>
                  <w:r w:rsidR="008A1F20">
                    <w:rPr>
                      <w:rFonts w:ascii="Calibri" w:hAnsi="Calibri" w:cs="Calibri"/>
                      <w:b/>
                      <w:sz w:val="20"/>
                      <w:szCs w:val="20"/>
                    </w:rPr>
                    <w:t>16.6</w:t>
                  </w:r>
                  <w:r w:rsidRPr="008A1F20">
                    <w:rPr>
                      <w:rFonts w:ascii="Calibri" w:hAnsi="Calibri" w:cs="Calibri"/>
                      <w:b/>
                      <w:sz w:val="20"/>
                      <w:szCs w:val="20"/>
                    </w:rPr>
                    <w:t>)</w:t>
                  </w:r>
                </w:p>
              </w:tc>
              <w:tc>
                <w:tcPr>
                  <w:tcW w:w="1473" w:type="dxa"/>
                  <w:shd w:val="clear" w:color="000000" w:fill="FFFF00"/>
                  <w:vAlign w:val="bottom"/>
                </w:tcPr>
                <w:p w14:paraId="6DF2EDB8" w14:textId="77777777" w:rsidR="007D493D" w:rsidRPr="008A1F20" w:rsidRDefault="006234BA" w:rsidP="00062384">
                  <w:pPr>
                    <w:jc w:val="right"/>
                    <w:rPr>
                      <w:rFonts w:ascii="Calibri" w:eastAsia="Calibri" w:hAnsi="Calibri" w:cs="Calibri"/>
                      <w:b/>
                      <w:sz w:val="20"/>
                      <w:szCs w:val="20"/>
                      <w:lang w:eastAsia="en-IE"/>
                    </w:rPr>
                  </w:pPr>
                  <w:r w:rsidRPr="008A1F20">
                    <w:rPr>
                      <w:rFonts w:ascii="Calibri" w:eastAsia="Calibri" w:hAnsi="Calibri" w:cs="Calibri"/>
                      <w:b/>
                      <w:sz w:val="20"/>
                      <w:szCs w:val="20"/>
                      <w:lang w:eastAsia="en-IE"/>
                    </w:rPr>
                    <w:t>-</w:t>
                  </w:r>
                </w:p>
              </w:tc>
              <w:tc>
                <w:tcPr>
                  <w:tcW w:w="1493" w:type="dxa"/>
                  <w:shd w:val="clear" w:color="000000" w:fill="FFFF00"/>
                  <w:noWrap/>
                  <w:vAlign w:val="bottom"/>
                </w:tcPr>
                <w:p w14:paraId="1B9694D2" w14:textId="77777777" w:rsidR="007D493D" w:rsidRPr="008A1F20" w:rsidRDefault="00E21D7A" w:rsidP="00062384">
                  <w:pPr>
                    <w:jc w:val="right"/>
                    <w:rPr>
                      <w:rFonts w:ascii="Calibri" w:eastAsia="Calibri" w:hAnsi="Calibri" w:cs="Calibri"/>
                      <w:b/>
                      <w:sz w:val="20"/>
                      <w:szCs w:val="20"/>
                      <w:lang w:eastAsia="en-IE"/>
                    </w:rPr>
                  </w:pPr>
                  <w:r w:rsidRPr="008A1F20">
                    <w:rPr>
                      <w:rFonts w:ascii="Calibri" w:eastAsia="Calibri" w:hAnsi="Calibri" w:cs="Calibri"/>
                      <w:b/>
                      <w:sz w:val="20"/>
                      <w:szCs w:val="20"/>
                      <w:lang w:eastAsia="en-IE"/>
                    </w:rPr>
                    <w:t>(</w:t>
                  </w:r>
                  <w:r w:rsidR="008A1F20">
                    <w:rPr>
                      <w:rFonts w:ascii="Calibri" w:eastAsia="Calibri" w:hAnsi="Calibri" w:cs="Calibri"/>
                      <w:b/>
                      <w:sz w:val="20"/>
                      <w:szCs w:val="20"/>
                      <w:lang w:eastAsia="en-IE"/>
                    </w:rPr>
                    <w:t>447.2</w:t>
                  </w:r>
                  <w:r w:rsidRPr="008A1F20">
                    <w:rPr>
                      <w:rFonts w:ascii="Calibri" w:eastAsia="Calibri" w:hAnsi="Calibri" w:cs="Calibri"/>
                      <w:b/>
                      <w:sz w:val="20"/>
                      <w:szCs w:val="20"/>
                      <w:lang w:eastAsia="en-IE"/>
                    </w:rPr>
                    <w:t>)</w:t>
                  </w:r>
                </w:p>
              </w:tc>
            </w:tr>
            <w:tr w:rsidR="007D493D" w:rsidRPr="001244BE" w14:paraId="247D5862" w14:textId="77777777" w:rsidTr="00062384">
              <w:trPr>
                <w:trHeight w:val="306"/>
              </w:trPr>
              <w:tc>
                <w:tcPr>
                  <w:tcW w:w="4147" w:type="dxa"/>
                  <w:shd w:val="clear" w:color="auto" w:fill="FFFFFF"/>
                  <w:vAlign w:val="bottom"/>
                </w:tcPr>
                <w:p w14:paraId="4BD9240F" w14:textId="77777777" w:rsidR="007D493D" w:rsidRPr="00837D76" w:rsidRDefault="007D493D" w:rsidP="003E4F4E">
                  <w:pPr>
                    <w:rPr>
                      <w:rFonts w:ascii="Calibri" w:hAnsi="Calibri" w:cs="Calibri"/>
                      <w:color w:val="000000"/>
                      <w:sz w:val="20"/>
                      <w:szCs w:val="20"/>
                      <w:lang w:eastAsia="en-IE"/>
                    </w:rPr>
                  </w:pPr>
                </w:p>
              </w:tc>
              <w:tc>
                <w:tcPr>
                  <w:tcW w:w="1491" w:type="dxa"/>
                  <w:shd w:val="clear" w:color="000000" w:fill="FFFF00"/>
                  <w:noWrap/>
                  <w:vAlign w:val="bottom"/>
                </w:tcPr>
                <w:p w14:paraId="644942DE" w14:textId="77777777" w:rsidR="007D493D" w:rsidRPr="00A10F85" w:rsidRDefault="007D493D" w:rsidP="00062384">
                  <w:pPr>
                    <w:jc w:val="right"/>
                    <w:rPr>
                      <w:rFonts w:ascii="Calibri" w:hAnsi="Calibri" w:cs="Calibri"/>
                      <w:b/>
                      <w:color w:val="000000"/>
                      <w:sz w:val="20"/>
                      <w:szCs w:val="20"/>
                      <w:highlight w:val="green"/>
                      <w:lang w:eastAsia="en-IE"/>
                    </w:rPr>
                  </w:pPr>
                </w:p>
              </w:tc>
              <w:tc>
                <w:tcPr>
                  <w:tcW w:w="1659" w:type="dxa"/>
                  <w:shd w:val="clear" w:color="000000" w:fill="FFFF00"/>
                  <w:vAlign w:val="bottom"/>
                </w:tcPr>
                <w:p w14:paraId="69971C4E" w14:textId="77777777" w:rsidR="007D493D" w:rsidRPr="00A10F85" w:rsidRDefault="007D493D" w:rsidP="00062384">
                  <w:pPr>
                    <w:ind w:right="-45"/>
                    <w:jc w:val="right"/>
                    <w:rPr>
                      <w:rFonts w:ascii="Calibri" w:hAnsi="Calibri" w:cs="Calibri"/>
                      <w:b/>
                      <w:sz w:val="20"/>
                      <w:szCs w:val="20"/>
                      <w:highlight w:val="green"/>
                    </w:rPr>
                  </w:pPr>
                </w:p>
              </w:tc>
              <w:tc>
                <w:tcPr>
                  <w:tcW w:w="1473" w:type="dxa"/>
                  <w:shd w:val="clear" w:color="000000" w:fill="FFFF00"/>
                  <w:vAlign w:val="bottom"/>
                </w:tcPr>
                <w:p w14:paraId="6525DE7C" w14:textId="77777777" w:rsidR="007D493D" w:rsidRPr="006234BA" w:rsidRDefault="007D493D" w:rsidP="00062384">
                  <w:pPr>
                    <w:jc w:val="right"/>
                    <w:rPr>
                      <w:rFonts w:ascii="Calibri" w:eastAsia="Calibri" w:hAnsi="Calibri" w:cs="Calibri"/>
                      <w:b/>
                      <w:sz w:val="20"/>
                      <w:szCs w:val="20"/>
                      <w:lang w:eastAsia="en-IE"/>
                    </w:rPr>
                  </w:pPr>
                </w:p>
              </w:tc>
              <w:tc>
                <w:tcPr>
                  <w:tcW w:w="1493" w:type="dxa"/>
                  <w:shd w:val="clear" w:color="000000" w:fill="FFFF00"/>
                  <w:noWrap/>
                  <w:vAlign w:val="bottom"/>
                </w:tcPr>
                <w:p w14:paraId="78D52870" w14:textId="77777777" w:rsidR="007D493D" w:rsidRPr="00A10F85" w:rsidRDefault="007D493D" w:rsidP="00062384">
                  <w:pPr>
                    <w:jc w:val="right"/>
                    <w:rPr>
                      <w:rFonts w:ascii="Calibri" w:eastAsia="Calibri" w:hAnsi="Calibri" w:cs="Calibri"/>
                      <w:b/>
                      <w:sz w:val="20"/>
                      <w:szCs w:val="20"/>
                      <w:highlight w:val="green"/>
                      <w:lang w:eastAsia="en-IE"/>
                    </w:rPr>
                  </w:pPr>
                </w:p>
              </w:tc>
            </w:tr>
            <w:tr w:rsidR="00682230" w:rsidRPr="001244BE" w14:paraId="27572145" w14:textId="77777777" w:rsidTr="00062384">
              <w:trPr>
                <w:trHeight w:val="306"/>
              </w:trPr>
              <w:tc>
                <w:tcPr>
                  <w:tcW w:w="4147" w:type="dxa"/>
                  <w:shd w:val="clear" w:color="auto" w:fill="FFFFFF"/>
                  <w:vAlign w:val="bottom"/>
                  <w:hideMark/>
                </w:tcPr>
                <w:p w14:paraId="77B47FA4" w14:textId="77777777" w:rsidR="00682230" w:rsidRPr="00CF09DF" w:rsidRDefault="00682230" w:rsidP="00682230">
                  <w:pPr>
                    <w:rPr>
                      <w:rFonts w:ascii="Calibri" w:hAnsi="Calibri" w:cs="Calibri"/>
                      <w:color w:val="000000"/>
                      <w:sz w:val="20"/>
                      <w:szCs w:val="20"/>
                      <w:lang w:eastAsia="en-IE"/>
                    </w:rPr>
                  </w:pPr>
                  <w:r w:rsidRPr="00CF09DF">
                    <w:rPr>
                      <w:rFonts w:ascii="Calibri" w:hAnsi="Calibri" w:cs="Calibri"/>
                      <w:color w:val="000000"/>
                      <w:sz w:val="20"/>
                      <w:szCs w:val="20"/>
                      <w:lang w:eastAsia="en-IE"/>
                    </w:rPr>
                    <w:t>Segment assets</w:t>
                  </w:r>
                </w:p>
              </w:tc>
              <w:tc>
                <w:tcPr>
                  <w:tcW w:w="1491" w:type="dxa"/>
                  <w:shd w:val="clear" w:color="000000" w:fill="FFFF00"/>
                  <w:noWrap/>
                  <w:vAlign w:val="bottom"/>
                </w:tcPr>
                <w:p w14:paraId="6291A0D3" w14:textId="77777777" w:rsidR="00682230" w:rsidRPr="00682230" w:rsidRDefault="00682230" w:rsidP="00062384">
                  <w:pPr>
                    <w:ind w:left="-245" w:right="6"/>
                    <w:jc w:val="right"/>
                    <w:rPr>
                      <w:rFonts w:ascii="Calibri" w:hAnsi="Calibri" w:cs="Calibri"/>
                      <w:b/>
                      <w:bCs/>
                      <w:color w:val="000000"/>
                      <w:sz w:val="20"/>
                      <w:szCs w:val="20"/>
                      <w:lang w:eastAsia="en-IE"/>
                    </w:rPr>
                  </w:pPr>
                  <w:r w:rsidRPr="00682230">
                    <w:rPr>
                      <w:rFonts w:ascii="Calibri" w:hAnsi="Calibri" w:cs="Calibri"/>
                      <w:b/>
                      <w:bCs/>
                      <w:color w:val="000000"/>
                      <w:sz w:val="20"/>
                      <w:szCs w:val="20"/>
                      <w:lang w:eastAsia="en-IE"/>
                    </w:rPr>
                    <w:t>15,728.7</w:t>
                  </w:r>
                </w:p>
              </w:tc>
              <w:tc>
                <w:tcPr>
                  <w:tcW w:w="1659" w:type="dxa"/>
                  <w:shd w:val="clear" w:color="000000" w:fill="FFFF00"/>
                  <w:vAlign w:val="bottom"/>
                </w:tcPr>
                <w:p w14:paraId="07D3AE60" w14:textId="77777777" w:rsidR="00682230" w:rsidRPr="00854ED6" w:rsidRDefault="00682230" w:rsidP="00062384">
                  <w:pPr>
                    <w:ind w:right="-45"/>
                    <w:jc w:val="right"/>
                    <w:rPr>
                      <w:rFonts w:ascii="Calibri" w:hAnsi="Calibri" w:cs="Calibri"/>
                      <w:b/>
                      <w:bCs/>
                      <w:color w:val="000000"/>
                      <w:sz w:val="20"/>
                      <w:szCs w:val="20"/>
                      <w:highlight w:val="green"/>
                    </w:rPr>
                  </w:pPr>
                  <w:r w:rsidRPr="00682230">
                    <w:rPr>
                      <w:rFonts w:ascii="Calibri" w:hAnsi="Calibri" w:cs="Calibri"/>
                      <w:b/>
                      <w:bCs/>
                      <w:color w:val="000000"/>
                      <w:sz w:val="20"/>
                      <w:szCs w:val="20"/>
                    </w:rPr>
                    <w:t>639.6</w:t>
                  </w:r>
                </w:p>
              </w:tc>
              <w:tc>
                <w:tcPr>
                  <w:tcW w:w="1473" w:type="dxa"/>
                  <w:shd w:val="clear" w:color="000000" w:fill="FFFF00"/>
                  <w:vAlign w:val="bottom"/>
                </w:tcPr>
                <w:p w14:paraId="5ED545AE" w14:textId="77777777" w:rsidR="00682230" w:rsidRPr="00854ED6" w:rsidRDefault="00682230" w:rsidP="00062384">
                  <w:pPr>
                    <w:jc w:val="right"/>
                    <w:rPr>
                      <w:rFonts w:ascii="Calibri" w:eastAsia="Calibri" w:hAnsi="Calibri" w:cs="Calibri"/>
                      <w:b/>
                      <w:bCs/>
                      <w:sz w:val="20"/>
                      <w:szCs w:val="20"/>
                      <w:highlight w:val="green"/>
                      <w:lang w:eastAsia="en-IE"/>
                    </w:rPr>
                  </w:pPr>
                  <w:r w:rsidRPr="00682230">
                    <w:rPr>
                      <w:rFonts w:ascii="Calibri" w:eastAsia="Calibri" w:hAnsi="Calibri" w:cs="Calibri"/>
                      <w:b/>
                      <w:bCs/>
                      <w:sz w:val="20"/>
                      <w:szCs w:val="20"/>
                      <w:lang w:eastAsia="en-IE"/>
                    </w:rPr>
                    <w:t>-</w:t>
                  </w:r>
                </w:p>
              </w:tc>
              <w:tc>
                <w:tcPr>
                  <w:tcW w:w="1493" w:type="dxa"/>
                  <w:shd w:val="clear" w:color="000000" w:fill="FFFF00"/>
                  <w:noWrap/>
                  <w:vAlign w:val="bottom"/>
                </w:tcPr>
                <w:p w14:paraId="36DF15E1" w14:textId="77777777" w:rsidR="00682230" w:rsidRPr="00854ED6" w:rsidRDefault="00682230" w:rsidP="00062384">
                  <w:pPr>
                    <w:jc w:val="right"/>
                    <w:rPr>
                      <w:rFonts w:ascii="Calibri" w:eastAsia="Calibri" w:hAnsi="Calibri" w:cs="Calibri"/>
                      <w:b/>
                      <w:bCs/>
                      <w:sz w:val="20"/>
                      <w:szCs w:val="20"/>
                      <w:highlight w:val="green"/>
                      <w:lang w:eastAsia="en-IE"/>
                    </w:rPr>
                  </w:pPr>
                  <w:r w:rsidRPr="00682230">
                    <w:rPr>
                      <w:rFonts w:ascii="Calibri" w:eastAsia="Calibri" w:hAnsi="Calibri" w:cs="Calibri"/>
                      <w:b/>
                      <w:bCs/>
                      <w:sz w:val="20"/>
                      <w:szCs w:val="20"/>
                      <w:lang w:eastAsia="en-IE"/>
                    </w:rPr>
                    <w:t>16,368.3</w:t>
                  </w:r>
                </w:p>
              </w:tc>
            </w:tr>
            <w:tr w:rsidR="00682230" w:rsidRPr="001244BE" w14:paraId="0399D506" w14:textId="77777777" w:rsidTr="00062384">
              <w:trPr>
                <w:trHeight w:val="306"/>
              </w:trPr>
              <w:tc>
                <w:tcPr>
                  <w:tcW w:w="4147" w:type="dxa"/>
                  <w:shd w:val="clear" w:color="auto" w:fill="FFFFFF"/>
                  <w:vAlign w:val="bottom"/>
                  <w:hideMark/>
                </w:tcPr>
                <w:p w14:paraId="54A42750" w14:textId="77777777" w:rsidR="00682230" w:rsidRPr="00CF09DF" w:rsidRDefault="00682230" w:rsidP="00682230">
                  <w:pPr>
                    <w:rPr>
                      <w:rFonts w:ascii="Calibri" w:hAnsi="Calibri" w:cs="Calibri"/>
                      <w:color w:val="000000"/>
                      <w:sz w:val="20"/>
                      <w:szCs w:val="20"/>
                      <w:lang w:eastAsia="en-IE"/>
                    </w:rPr>
                  </w:pPr>
                  <w:r w:rsidRPr="00CF09DF">
                    <w:rPr>
                      <w:rFonts w:ascii="Calibri" w:hAnsi="Calibri" w:cs="Calibri"/>
                      <w:color w:val="000000"/>
                      <w:sz w:val="20"/>
                      <w:szCs w:val="20"/>
                      <w:lang w:eastAsia="en-IE"/>
                    </w:rPr>
                    <w:t>Segment liabilities</w:t>
                  </w:r>
                </w:p>
              </w:tc>
              <w:tc>
                <w:tcPr>
                  <w:tcW w:w="1491" w:type="dxa"/>
                  <w:shd w:val="clear" w:color="000000" w:fill="FFFF00"/>
                  <w:noWrap/>
                  <w:vAlign w:val="bottom"/>
                </w:tcPr>
                <w:p w14:paraId="3884FA56" w14:textId="77777777" w:rsidR="00682230" w:rsidRPr="00682230" w:rsidRDefault="00682230" w:rsidP="00062384">
                  <w:pPr>
                    <w:jc w:val="right"/>
                    <w:rPr>
                      <w:rFonts w:ascii="Calibri" w:hAnsi="Calibri" w:cs="Calibri"/>
                      <w:b/>
                      <w:color w:val="000000"/>
                      <w:sz w:val="20"/>
                      <w:szCs w:val="20"/>
                      <w:lang w:eastAsia="en-IE"/>
                    </w:rPr>
                  </w:pPr>
                  <w:r w:rsidRPr="00682230">
                    <w:rPr>
                      <w:rFonts w:ascii="Calibri" w:hAnsi="Calibri" w:cs="Calibri"/>
                      <w:b/>
                      <w:bCs/>
                      <w:color w:val="000000"/>
                      <w:sz w:val="20"/>
                      <w:szCs w:val="20"/>
                      <w:lang w:eastAsia="en-IE"/>
                    </w:rPr>
                    <w:t>(7,001.9)</w:t>
                  </w:r>
                </w:p>
              </w:tc>
              <w:tc>
                <w:tcPr>
                  <w:tcW w:w="1659" w:type="dxa"/>
                  <w:shd w:val="clear" w:color="000000" w:fill="FFFF00"/>
                  <w:vAlign w:val="bottom"/>
                </w:tcPr>
                <w:p w14:paraId="608479A6" w14:textId="77777777" w:rsidR="00682230" w:rsidRPr="00854ED6" w:rsidRDefault="00682230" w:rsidP="00062384">
                  <w:pPr>
                    <w:ind w:right="-45"/>
                    <w:jc w:val="right"/>
                    <w:rPr>
                      <w:rFonts w:ascii="Calibri" w:hAnsi="Calibri" w:cs="Calibri"/>
                      <w:b/>
                      <w:color w:val="000000"/>
                      <w:sz w:val="20"/>
                      <w:szCs w:val="20"/>
                      <w:highlight w:val="green"/>
                    </w:rPr>
                  </w:pPr>
                  <w:r w:rsidRPr="00682230">
                    <w:rPr>
                      <w:rFonts w:ascii="Calibri" w:hAnsi="Calibri" w:cs="Calibri"/>
                      <w:b/>
                      <w:color w:val="000000"/>
                      <w:sz w:val="20"/>
                      <w:szCs w:val="20"/>
                    </w:rPr>
                    <w:t>(937.7)</w:t>
                  </w:r>
                </w:p>
              </w:tc>
              <w:tc>
                <w:tcPr>
                  <w:tcW w:w="1473" w:type="dxa"/>
                  <w:shd w:val="clear" w:color="000000" w:fill="FFFF00"/>
                  <w:vAlign w:val="bottom"/>
                </w:tcPr>
                <w:p w14:paraId="553BCF49" w14:textId="77777777" w:rsidR="00682230" w:rsidRPr="00854ED6" w:rsidRDefault="00682230" w:rsidP="00062384">
                  <w:pPr>
                    <w:jc w:val="right"/>
                    <w:rPr>
                      <w:rFonts w:ascii="Calibri" w:eastAsia="Calibri" w:hAnsi="Calibri" w:cs="Calibri"/>
                      <w:b/>
                      <w:bCs/>
                      <w:sz w:val="20"/>
                      <w:szCs w:val="20"/>
                      <w:highlight w:val="green"/>
                      <w:lang w:eastAsia="en-IE"/>
                    </w:rPr>
                  </w:pPr>
                  <w:r w:rsidRPr="00682230">
                    <w:rPr>
                      <w:rFonts w:ascii="Calibri" w:eastAsia="Calibri" w:hAnsi="Calibri" w:cs="Calibri"/>
                      <w:b/>
                      <w:bCs/>
                      <w:sz w:val="20"/>
                      <w:szCs w:val="20"/>
                      <w:lang w:eastAsia="en-IE"/>
                    </w:rPr>
                    <w:t>-</w:t>
                  </w:r>
                </w:p>
              </w:tc>
              <w:tc>
                <w:tcPr>
                  <w:tcW w:w="1493" w:type="dxa"/>
                  <w:shd w:val="clear" w:color="000000" w:fill="FFFF00"/>
                  <w:noWrap/>
                  <w:vAlign w:val="bottom"/>
                </w:tcPr>
                <w:p w14:paraId="728C18A1" w14:textId="77777777" w:rsidR="00682230" w:rsidRPr="00854ED6" w:rsidRDefault="00682230" w:rsidP="00062384">
                  <w:pPr>
                    <w:jc w:val="right"/>
                    <w:rPr>
                      <w:rFonts w:ascii="Calibri" w:eastAsia="Calibri" w:hAnsi="Calibri" w:cs="Calibri"/>
                      <w:b/>
                      <w:sz w:val="20"/>
                      <w:szCs w:val="20"/>
                      <w:highlight w:val="green"/>
                      <w:lang w:eastAsia="en-IE"/>
                    </w:rPr>
                  </w:pPr>
                  <w:r w:rsidRPr="00682230">
                    <w:rPr>
                      <w:rFonts w:ascii="Calibri" w:eastAsia="Calibri" w:hAnsi="Calibri" w:cs="Calibri"/>
                      <w:b/>
                      <w:bCs/>
                      <w:sz w:val="20"/>
                      <w:szCs w:val="20"/>
                      <w:lang w:eastAsia="en-IE"/>
                    </w:rPr>
                    <w:t>(7,939.6)</w:t>
                  </w:r>
                </w:p>
              </w:tc>
            </w:tr>
          </w:tbl>
          <w:p w14:paraId="3F8DF676" w14:textId="77777777" w:rsidR="007D493D" w:rsidRPr="00C22F7C" w:rsidRDefault="007D493D" w:rsidP="003E4F4E">
            <w:pPr>
              <w:rPr>
                <w:rFonts w:ascii="Calibri" w:hAnsi="Calibri" w:cs="Calibri"/>
                <w:color w:val="000000"/>
                <w:sz w:val="22"/>
                <w:szCs w:val="22"/>
              </w:rPr>
            </w:pPr>
          </w:p>
        </w:tc>
      </w:tr>
    </w:tbl>
    <w:p w14:paraId="3A4D38E7" w14:textId="77777777" w:rsidR="008173A8" w:rsidRDefault="008173A8"/>
    <w:tbl>
      <w:tblPr>
        <w:tblW w:w="10278" w:type="dxa"/>
        <w:tblInd w:w="108" w:type="dxa"/>
        <w:tblLayout w:type="fixed"/>
        <w:tblLook w:val="04A0" w:firstRow="1" w:lastRow="0" w:firstColumn="1" w:lastColumn="0" w:noHBand="0" w:noVBand="1"/>
      </w:tblPr>
      <w:tblGrid>
        <w:gridCol w:w="4145"/>
        <w:gridCol w:w="1491"/>
        <w:gridCol w:w="1658"/>
        <w:gridCol w:w="1492"/>
        <w:gridCol w:w="1492"/>
      </w:tblGrid>
      <w:tr w:rsidR="007D493D" w:rsidRPr="0081763F" w14:paraId="59E8E367" w14:textId="77777777" w:rsidTr="00642DB8">
        <w:trPr>
          <w:trHeight w:val="307"/>
        </w:trPr>
        <w:tc>
          <w:tcPr>
            <w:tcW w:w="4145" w:type="dxa"/>
            <w:shd w:val="clear" w:color="auto" w:fill="FFFFFF"/>
            <w:vAlign w:val="bottom"/>
          </w:tcPr>
          <w:p w14:paraId="3F8CD587" w14:textId="77777777" w:rsidR="007D493D" w:rsidRPr="0081763F" w:rsidRDefault="007D493D" w:rsidP="007D493D">
            <w:pPr>
              <w:rPr>
                <w:rFonts w:ascii="Calibri" w:hAnsi="Calibri" w:cs="Calibri"/>
                <w:color w:val="000000"/>
                <w:sz w:val="20"/>
                <w:szCs w:val="20"/>
                <w:lang w:eastAsia="en-IE"/>
              </w:rPr>
            </w:pPr>
            <w:r w:rsidRPr="0081763F">
              <w:rPr>
                <w:rFonts w:ascii="Calibri" w:hAnsi="Calibri" w:cs="Calibri"/>
                <w:b/>
                <w:bCs/>
                <w:color w:val="000000"/>
                <w:sz w:val="20"/>
                <w:szCs w:val="20"/>
                <w:lang w:eastAsia="en-IE"/>
              </w:rPr>
              <w:t>Quarter Ended</w:t>
            </w:r>
          </w:p>
        </w:tc>
        <w:tc>
          <w:tcPr>
            <w:tcW w:w="1491" w:type="dxa"/>
            <w:shd w:val="clear" w:color="auto" w:fill="auto"/>
            <w:noWrap/>
            <w:vAlign w:val="bottom"/>
          </w:tcPr>
          <w:p w14:paraId="18E86D31" w14:textId="77777777" w:rsidR="007D493D" w:rsidRPr="0081763F" w:rsidRDefault="007D493D" w:rsidP="007D493D">
            <w:pPr>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 xml:space="preserve">Ryanair DAC </w:t>
            </w:r>
          </w:p>
        </w:tc>
        <w:tc>
          <w:tcPr>
            <w:tcW w:w="1658" w:type="dxa"/>
            <w:shd w:val="clear" w:color="auto" w:fill="auto"/>
            <w:vAlign w:val="bottom"/>
          </w:tcPr>
          <w:p w14:paraId="27B1BFC7" w14:textId="77777777" w:rsidR="007D493D" w:rsidRPr="0081763F" w:rsidRDefault="005C423E" w:rsidP="00FC5F2C">
            <w:pPr>
              <w:ind w:right="-45"/>
              <w:jc w:val="right"/>
              <w:rPr>
                <w:rFonts w:ascii="Calibri" w:hAnsi="Calibri" w:cs="Calibri"/>
                <w:b/>
                <w:bCs/>
                <w:color w:val="000000"/>
                <w:sz w:val="20"/>
                <w:szCs w:val="20"/>
              </w:rPr>
            </w:pPr>
            <w:r w:rsidRPr="0081763F">
              <w:rPr>
                <w:rFonts w:ascii="Calibri" w:hAnsi="Calibri" w:cs="Calibri"/>
                <w:b/>
                <w:bCs/>
                <w:color w:val="000000"/>
                <w:sz w:val="20"/>
                <w:szCs w:val="20"/>
                <w:lang w:eastAsia="en-IE"/>
              </w:rPr>
              <w:t>Other Airlines</w:t>
            </w:r>
          </w:p>
        </w:tc>
        <w:tc>
          <w:tcPr>
            <w:tcW w:w="1492" w:type="dxa"/>
            <w:shd w:val="clear" w:color="auto" w:fill="auto"/>
            <w:vAlign w:val="bottom"/>
          </w:tcPr>
          <w:p w14:paraId="6916FA00" w14:textId="77777777" w:rsidR="007D493D" w:rsidRPr="0081763F" w:rsidRDefault="007D493D" w:rsidP="00FC5F2C">
            <w:pPr>
              <w:jc w:val="right"/>
              <w:rPr>
                <w:rFonts w:ascii="Calibri" w:eastAsia="Calibri" w:hAnsi="Calibri" w:cs="Calibri"/>
                <w:b/>
                <w:bCs/>
                <w:sz w:val="20"/>
                <w:szCs w:val="20"/>
                <w:lang w:eastAsia="en-IE"/>
              </w:rPr>
            </w:pPr>
            <w:r w:rsidRPr="0081763F">
              <w:rPr>
                <w:rFonts w:ascii="Calibri" w:hAnsi="Calibri" w:cs="Calibri"/>
                <w:b/>
                <w:bCs/>
                <w:color w:val="000000"/>
                <w:sz w:val="20"/>
                <w:szCs w:val="20"/>
                <w:lang w:eastAsia="en-IE"/>
              </w:rPr>
              <w:t>Elimination</w:t>
            </w:r>
          </w:p>
        </w:tc>
        <w:tc>
          <w:tcPr>
            <w:tcW w:w="1492" w:type="dxa"/>
            <w:shd w:val="clear" w:color="auto" w:fill="auto"/>
            <w:noWrap/>
            <w:vAlign w:val="bottom"/>
          </w:tcPr>
          <w:p w14:paraId="3181C17F" w14:textId="77777777" w:rsidR="007D493D" w:rsidRPr="0081763F" w:rsidRDefault="007D493D" w:rsidP="007D493D">
            <w:pPr>
              <w:jc w:val="right"/>
              <w:rPr>
                <w:rFonts w:ascii="Calibri" w:eastAsia="Calibri" w:hAnsi="Calibri" w:cs="Calibri"/>
                <w:b/>
                <w:bCs/>
                <w:sz w:val="20"/>
                <w:szCs w:val="20"/>
                <w:lang w:eastAsia="en-IE"/>
              </w:rPr>
            </w:pPr>
            <w:r w:rsidRPr="0081763F">
              <w:rPr>
                <w:rFonts w:ascii="Calibri" w:hAnsi="Calibri" w:cs="Calibri"/>
                <w:b/>
                <w:bCs/>
                <w:color w:val="000000"/>
                <w:sz w:val="20"/>
                <w:szCs w:val="20"/>
                <w:lang w:eastAsia="en-IE"/>
              </w:rPr>
              <w:t>Total</w:t>
            </w:r>
          </w:p>
        </w:tc>
      </w:tr>
      <w:tr w:rsidR="007D493D" w:rsidRPr="0081763F" w14:paraId="04CCD5D3" w14:textId="77777777" w:rsidTr="00642DB8">
        <w:trPr>
          <w:trHeight w:val="307"/>
        </w:trPr>
        <w:tc>
          <w:tcPr>
            <w:tcW w:w="4145" w:type="dxa"/>
            <w:vMerge w:val="restart"/>
            <w:shd w:val="clear" w:color="auto" w:fill="FFFFFF"/>
            <w:vAlign w:val="center"/>
          </w:tcPr>
          <w:p w14:paraId="5668BE15" w14:textId="77777777" w:rsidR="007D493D" w:rsidRPr="0081763F" w:rsidRDefault="007D493D" w:rsidP="007D493D">
            <w:pPr>
              <w:rPr>
                <w:rFonts w:ascii="Calibri" w:hAnsi="Calibri" w:cs="Calibri"/>
                <w:color w:val="000000"/>
                <w:sz w:val="20"/>
                <w:szCs w:val="20"/>
                <w:lang w:eastAsia="en-IE"/>
              </w:rPr>
            </w:pPr>
          </w:p>
        </w:tc>
        <w:tc>
          <w:tcPr>
            <w:tcW w:w="1491" w:type="dxa"/>
            <w:shd w:val="clear" w:color="auto" w:fill="auto"/>
            <w:noWrap/>
            <w:vAlign w:val="bottom"/>
          </w:tcPr>
          <w:p w14:paraId="0B511967" w14:textId="77777777" w:rsidR="007D493D" w:rsidRPr="0081763F" w:rsidRDefault="007D493D" w:rsidP="007D493D">
            <w:pPr>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Sep 30,</w:t>
            </w:r>
          </w:p>
        </w:tc>
        <w:tc>
          <w:tcPr>
            <w:tcW w:w="1658" w:type="dxa"/>
            <w:shd w:val="clear" w:color="auto" w:fill="auto"/>
            <w:vAlign w:val="bottom"/>
          </w:tcPr>
          <w:p w14:paraId="41483BDD" w14:textId="77777777" w:rsidR="007D493D" w:rsidRPr="0081763F" w:rsidRDefault="007D493D" w:rsidP="00FC5F2C">
            <w:pPr>
              <w:ind w:right="-45"/>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Sep 30,</w:t>
            </w:r>
          </w:p>
        </w:tc>
        <w:tc>
          <w:tcPr>
            <w:tcW w:w="1492" w:type="dxa"/>
            <w:shd w:val="clear" w:color="auto" w:fill="auto"/>
            <w:vAlign w:val="bottom"/>
          </w:tcPr>
          <w:p w14:paraId="0B2D7703" w14:textId="77777777" w:rsidR="007D493D" w:rsidRPr="0081763F" w:rsidRDefault="007D493D" w:rsidP="00FC5F2C">
            <w:pPr>
              <w:jc w:val="right"/>
              <w:rPr>
                <w:rFonts w:ascii="Calibri" w:hAnsi="Calibri" w:cs="Calibri"/>
                <w:b/>
                <w:bCs/>
                <w:color w:val="000000"/>
                <w:sz w:val="16"/>
                <w:szCs w:val="16"/>
                <w:lang w:eastAsia="en-IE"/>
              </w:rPr>
            </w:pPr>
            <w:r w:rsidRPr="0081763F">
              <w:rPr>
                <w:rFonts w:ascii="Calibri" w:hAnsi="Calibri" w:cs="Calibri"/>
                <w:b/>
                <w:bCs/>
                <w:color w:val="000000"/>
                <w:sz w:val="20"/>
                <w:szCs w:val="20"/>
                <w:lang w:eastAsia="en-IE"/>
              </w:rPr>
              <w:t>Sep 30,</w:t>
            </w:r>
          </w:p>
        </w:tc>
        <w:tc>
          <w:tcPr>
            <w:tcW w:w="1492" w:type="dxa"/>
            <w:shd w:val="clear" w:color="auto" w:fill="auto"/>
            <w:noWrap/>
            <w:vAlign w:val="bottom"/>
          </w:tcPr>
          <w:p w14:paraId="6A3B6CE1" w14:textId="77777777" w:rsidR="007D493D" w:rsidRPr="0081763F" w:rsidRDefault="007D493D" w:rsidP="007D493D">
            <w:pPr>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Sep 30,</w:t>
            </w:r>
          </w:p>
        </w:tc>
      </w:tr>
      <w:tr w:rsidR="007D493D" w:rsidRPr="0081763F" w14:paraId="0836C079" w14:textId="77777777" w:rsidTr="00642DB8">
        <w:trPr>
          <w:trHeight w:val="307"/>
        </w:trPr>
        <w:tc>
          <w:tcPr>
            <w:tcW w:w="4145" w:type="dxa"/>
            <w:vMerge/>
            <w:shd w:val="clear" w:color="auto" w:fill="FFFFFF"/>
            <w:vAlign w:val="bottom"/>
          </w:tcPr>
          <w:p w14:paraId="4133AA36" w14:textId="77777777" w:rsidR="007D493D" w:rsidRPr="0081763F" w:rsidRDefault="007D493D" w:rsidP="007D493D">
            <w:pPr>
              <w:rPr>
                <w:rFonts w:ascii="Calibri" w:hAnsi="Calibri" w:cs="Calibri"/>
                <w:color w:val="000000"/>
                <w:sz w:val="20"/>
                <w:szCs w:val="20"/>
                <w:lang w:eastAsia="en-IE"/>
              </w:rPr>
            </w:pPr>
          </w:p>
        </w:tc>
        <w:tc>
          <w:tcPr>
            <w:tcW w:w="1491" w:type="dxa"/>
            <w:shd w:val="clear" w:color="auto" w:fill="auto"/>
            <w:noWrap/>
            <w:vAlign w:val="bottom"/>
          </w:tcPr>
          <w:p w14:paraId="7615BA0C" w14:textId="77777777" w:rsidR="007D493D" w:rsidRPr="0081763F" w:rsidRDefault="007D493D" w:rsidP="007D493D">
            <w:pPr>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2022</w:t>
            </w:r>
          </w:p>
        </w:tc>
        <w:tc>
          <w:tcPr>
            <w:tcW w:w="1658" w:type="dxa"/>
            <w:shd w:val="clear" w:color="auto" w:fill="auto"/>
            <w:vAlign w:val="bottom"/>
          </w:tcPr>
          <w:p w14:paraId="3A8F55CC" w14:textId="77777777" w:rsidR="007D493D" w:rsidRPr="0081763F" w:rsidRDefault="007D493D" w:rsidP="00FC5F2C">
            <w:pPr>
              <w:ind w:right="-45"/>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2022</w:t>
            </w:r>
          </w:p>
        </w:tc>
        <w:tc>
          <w:tcPr>
            <w:tcW w:w="1492" w:type="dxa"/>
            <w:shd w:val="clear" w:color="auto" w:fill="auto"/>
            <w:vAlign w:val="bottom"/>
          </w:tcPr>
          <w:p w14:paraId="27DB3B44" w14:textId="77777777" w:rsidR="007D493D" w:rsidRPr="0081763F" w:rsidRDefault="007D493D" w:rsidP="00FC5F2C">
            <w:pPr>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2022</w:t>
            </w:r>
          </w:p>
        </w:tc>
        <w:tc>
          <w:tcPr>
            <w:tcW w:w="1492" w:type="dxa"/>
            <w:shd w:val="clear" w:color="auto" w:fill="auto"/>
            <w:noWrap/>
            <w:vAlign w:val="bottom"/>
          </w:tcPr>
          <w:p w14:paraId="207D7679" w14:textId="77777777" w:rsidR="007D493D" w:rsidRPr="0081763F" w:rsidRDefault="007D493D" w:rsidP="007D493D">
            <w:pPr>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2022</w:t>
            </w:r>
          </w:p>
        </w:tc>
      </w:tr>
      <w:tr w:rsidR="007D493D" w:rsidRPr="0081763F" w14:paraId="3FBA58F6" w14:textId="77777777" w:rsidTr="00642DB8">
        <w:trPr>
          <w:trHeight w:val="307"/>
        </w:trPr>
        <w:tc>
          <w:tcPr>
            <w:tcW w:w="4145" w:type="dxa"/>
            <w:shd w:val="clear" w:color="auto" w:fill="FFFFFF"/>
            <w:vAlign w:val="bottom"/>
          </w:tcPr>
          <w:p w14:paraId="3782A47F" w14:textId="77777777" w:rsidR="007D493D" w:rsidRPr="0081763F" w:rsidRDefault="007D493D" w:rsidP="007D493D">
            <w:pPr>
              <w:rPr>
                <w:rFonts w:ascii="Calibri" w:hAnsi="Calibri" w:cs="Calibri"/>
                <w:color w:val="000000"/>
                <w:sz w:val="20"/>
                <w:szCs w:val="20"/>
                <w:lang w:eastAsia="en-IE"/>
              </w:rPr>
            </w:pPr>
          </w:p>
        </w:tc>
        <w:tc>
          <w:tcPr>
            <w:tcW w:w="1491" w:type="dxa"/>
            <w:shd w:val="clear" w:color="auto" w:fill="auto"/>
            <w:noWrap/>
            <w:vAlign w:val="bottom"/>
          </w:tcPr>
          <w:p w14:paraId="29ED5B01" w14:textId="77777777" w:rsidR="007D493D" w:rsidRPr="0081763F" w:rsidRDefault="007D493D" w:rsidP="007D493D">
            <w:pPr>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€M</w:t>
            </w:r>
          </w:p>
        </w:tc>
        <w:tc>
          <w:tcPr>
            <w:tcW w:w="1658" w:type="dxa"/>
            <w:shd w:val="clear" w:color="auto" w:fill="auto"/>
            <w:vAlign w:val="bottom"/>
          </w:tcPr>
          <w:p w14:paraId="11C8F80D" w14:textId="77777777" w:rsidR="007D493D" w:rsidRPr="0081763F" w:rsidRDefault="007D493D" w:rsidP="00FC5F2C">
            <w:pPr>
              <w:ind w:right="-45"/>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€M</w:t>
            </w:r>
          </w:p>
        </w:tc>
        <w:tc>
          <w:tcPr>
            <w:tcW w:w="1492" w:type="dxa"/>
            <w:shd w:val="clear" w:color="auto" w:fill="auto"/>
            <w:vAlign w:val="bottom"/>
          </w:tcPr>
          <w:p w14:paraId="65E0D786" w14:textId="77777777" w:rsidR="007D493D" w:rsidRPr="0081763F" w:rsidRDefault="007D493D" w:rsidP="00FC5F2C">
            <w:pPr>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€M</w:t>
            </w:r>
          </w:p>
        </w:tc>
        <w:tc>
          <w:tcPr>
            <w:tcW w:w="1492" w:type="dxa"/>
            <w:shd w:val="clear" w:color="auto" w:fill="auto"/>
            <w:noWrap/>
            <w:vAlign w:val="bottom"/>
          </w:tcPr>
          <w:p w14:paraId="7DB9107C" w14:textId="77777777" w:rsidR="007D493D" w:rsidRPr="0081763F" w:rsidRDefault="007D493D" w:rsidP="007D493D">
            <w:pPr>
              <w:jc w:val="right"/>
              <w:rPr>
                <w:rFonts w:ascii="Calibri" w:hAnsi="Calibri" w:cs="Calibri"/>
                <w:b/>
                <w:bCs/>
                <w:color w:val="000000"/>
                <w:sz w:val="20"/>
                <w:szCs w:val="20"/>
                <w:lang w:eastAsia="en-IE"/>
              </w:rPr>
            </w:pPr>
            <w:r w:rsidRPr="0081763F">
              <w:rPr>
                <w:rFonts w:ascii="Calibri" w:hAnsi="Calibri" w:cs="Calibri"/>
                <w:b/>
                <w:bCs/>
                <w:color w:val="000000"/>
                <w:sz w:val="20"/>
                <w:szCs w:val="20"/>
                <w:lang w:eastAsia="en-IE"/>
              </w:rPr>
              <w:t>€M</w:t>
            </w:r>
          </w:p>
        </w:tc>
      </w:tr>
      <w:tr w:rsidR="007D493D" w:rsidRPr="0081763F" w14:paraId="67447537" w14:textId="77777777" w:rsidTr="000917D9">
        <w:trPr>
          <w:trHeight w:val="307"/>
        </w:trPr>
        <w:tc>
          <w:tcPr>
            <w:tcW w:w="4145" w:type="dxa"/>
            <w:shd w:val="clear" w:color="auto" w:fill="FFFFFF"/>
            <w:vAlign w:val="bottom"/>
          </w:tcPr>
          <w:p w14:paraId="6AF3AF34" w14:textId="77777777" w:rsidR="007D493D" w:rsidRPr="0081763F" w:rsidRDefault="007D493D" w:rsidP="007D493D">
            <w:pPr>
              <w:jc w:val="both"/>
              <w:rPr>
                <w:rFonts w:ascii="Calibri" w:hAnsi="Calibri" w:cs="Calibri"/>
                <w:color w:val="000000"/>
                <w:sz w:val="20"/>
                <w:szCs w:val="20"/>
                <w:lang w:eastAsia="en-IE"/>
              </w:rPr>
            </w:pPr>
            <w:r w:rsidRPr="0081763F">
              <w:rPr>
                <w:rFonts w:ascii="Calibri" w:hAnsi="Calibri" w:cs="Calibri"/>
                <w:color w:val="000000"/>
                <w:sz w:val="20"/>
                <w:szCs w:val="20"/>
                <w:lang w:eastAsia="en-IE"/>
              </w:rPr>
              <w:t>Scheduled revenue</w:t>
            </w:r>
          </w:p>
        </w:tc>
        <w:tc>
          <w:tcPr>
            <w:tcW w:w="1491" w:type="dxa"/>
            <w:shd w:val="clear" w:color="auto" w:fill="auto"/>
            <w:noWrap/>
            <w:vAlign w:val="bottom"/>
          </w:tcPr>
          <w:p w14:paraId="219555EE" w14:textId="77777777" w:rsidR="007D493D" w:rsidRPr="0081763F" w:rsidRDefault="007D493D" w:rsidP="000917D9">
            <w:pPr>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2,790.5</w:t>
            </w:r>
          </w:p>
        </w:tc>
        <w:tc>
          <w:tcPr>
            <w:tcW w:w="1658" w:type="dxa"/>
            <w:shd w:val="clear" w:color="auto" w:fill="auto"/>
            <w:vAlign w:val="bottom"/>
          </w:tcPr>
          <w:p w14:paraId="790E3EA2" w14:textId="77777777" w:rsidR="007D493D" w:rsidRPr="0081763F" w:rsidRDefault="007D493D" w:rsidP="000917D9">
            <w:pPr>
              <w:ind w:right="-45"/>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57.9</w:t>
            </w:r>
          </w:p>
        </w:tc>
        <w:tc>
          <w:tcPr>
            <w:tcW w:w="1492" w:type="dxa"/>
            <w:shd w:val="clear" w:color="auto" w:fill="auto"/>
            <w:vAlign w:val="bottom"/>
          </w:tcPr>
          <w:p w14:paraId="3285CF61" w14:textId="77777777" w:rsidR="007D493D" w:rsidRPr="0081763F" w:rsidRDefault="007D493D" w:rsidP="000917D9">
            <w:pPr>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w:t>
            </w:r>
          </w:p>
        </w:tc>
        <w:tc>
          <w:tcPr>
            <w:tcW w:w="1492" w:type="dxa"/>
            <w:shd w:val="clear" w:color="auto" w:fill="auto"/>
            <w:noWrap/>
            <w:vAlign w:val="bottom"/>
          </w:tcPr>
          <w:p w14:paraId="52717FE6" w14:textId="77777777" w:rsidR="007D493D" w:rsidRPr="0081763F" w:rsidRDefault="007D493D" w:rsidP="000917D9">
            <w:pPr>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2,848.4</w:t>
            </w:r>
          </w:p>
        </w:tc>
      </w:tr>
      <w:tr w:rsidR="007D493D" w:rsidRPr="0081763F" w14:paraId="21E4301B" w14:textId="77777777" w:rsidTr="000917D9">
        <w:trPr>
          <w:trHeight w:val="307"/>
        </w:trPr>
        <w:tc>
          <w:tcPr>
            <w:tcW w:w="4145" w:type="dxa"/>
            <w:shd w:val="clear" w:color="auto" w:fill="FFFFFF"/>
            <w:vAlign w:val="bottom"/>
          </w:tcPr>
          <w:p w14:paraId="4851B6F1" w14:textId="77777777" w:rsidR="007D493D" w:rsidRPr="0081763F" w:rsidRDefault="007D493D" w:rsidP="007D493D">
            <w:pPr>
              <w:jc w:val="both"/>
              <w:rPr>
                <w:rFonts w:ascii="Calibri" w:hAnsi="Calibri" w:cs="Calibri"/>
                <w:color w:val="000000"/>
                <w:sz w:val="20"/>
                <w:szCs w:val="20"/>
                <w:lang w:eastAsia="en-IE"/>
              </w:rPr>
            </w:pPr>
            <w:r w:rsidRPr="0081763F">
              <w:rPr>
                <w:rFonts w:ascii="Calibri" w:hAnsi="Calibri" w:cs="Calibri"/>
                <w:color w:val="000000"/>
                <w:sz w:val="20"/>
                <w:szCs w:val="20"/>
                <w:lang w:eastAsia="en-IE"/>
              </w:rPr>
              <w:t>Ancillary revenue</w:t>
            </w:r>
          </w:p>
        </w:tc>
        <w:tc>
          <w:tcPr>
            <w:tcW w:w="1491" w:type="dxa"/>
            <w:shd w:val="clear" w:color="auto" w:fill="auto"/>
            <w:noWrap/>
            <w:vAlign w:val="bottom"/>
          </w:tcPr>
          <w:p w14:paraId="01E40DFA" w14:textId="77777777" w:rsidR="007D493D" w:rsidRPr="0081763F" w:rsidRDefault="007D493D" w:rsidP="000917D9">
            <w:pPr>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1,166.2</w:t>
            </w:r>
          </w:p>
        </w:tc>
        <w:tc>
          <w:tcPr>
            <w:tcW w:w="1658" w:type="dxa"/>
            <w:shd w:val="clear" w:color="auto" w:fill="auto"/>
            <w:vAlign w:val="bottom"/>
          </w:tcPr>
          <w:p w14:paraId="24F8DBCE" w14:textId="77777777" w:rsidR="007D493D" w:rsidRPr="0081763F" w:rsidRDefault="007D493D" w:rsidP="000917D9">
            <w:pPr>
              <w:ind w:right="-45"/>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w:t>
            </w:r>
          </w:p>
        </w:tc>
        <w:tc>
          <w:tcPr>
            <w:tcW w:w="1492" w:type="dxa"/>
            <w:shd w:val="clear" w:color="auto" w:fill="auto"/>
            <w:vAlign w:val="bottom"/>
          </w:tcPr>
          <w:p w14:paraId="7A153937" w14:textId="77777777" w:rsidR="007D493D" w:rsidRPr="0081763F" w:rsidRDefault="007D493D" w:rsidP="000917D9">
            <w:pPr>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w:t>
            </w:r>
          </w:p>
        </w:tc>
        <w:tc>
          <w:tcPr>
            <w:tcW w:w="1492" w:type="dxa"/>
            <w:shd w:val="clear" w:color="auto" w:fill="auto"/>
            <w:noWrap/>
            <w:vAlign w:val="bottom"/>
          </w:tcPr>
          <w:p w14:paraId="1B40D97C" w14:textId="77777777" w:rsidR="007D493D" w:rsidRPr="0081763F" w:rsidRDefault="007D493D" w:rsidP="000917D9">
            <w:pPr>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1,166.2</w:t>
            </w:r>
          </w:p>
        </w:tc>
      </w:tr>
      <w:tr w:rsidR="007D493D" w:rsidRPr="0081763F" w14:paraId="2DCEF0A4" w14:textId="77777777" w:rsidTr="000917D9">
        <w:trPr>
          <w:trHeight w:val="307"/>
        </w:trPr>
        <w:tc>
          <w:tcPr>
            <w:tcW w:w="4145" w:type="dxa"/>
            <w:shd w:val="clear" w:color="auto" w:fill="FFFFFF"/>
            <w:vAlign w:val="bottom"/>
          </w:tcPr>
          <w:p w14:paraId="4A164F47" w14:textId="77777777" w:rsidR="007D493D" w:rsidRPr="0081763F" w:rsidRDefault="007D493D" w:rsidP="007D493D">
            <w:pPr>
              <w:rPr>
                <w:rFonts w:ascii="Calibri" w:hAnsi="Calibri" w:cs="Calibri"/>
                <w:color w:val="000000"/>
                <w:sz w:val="20"/>
                <w:szCs w:val="20"/>
                <w:lang w:eastAsia="en-IE"/>
              </w:rPr>
            </w:pPr>
            <w:r w:rsidRPr="0081763F">
              <w:rPr>
                <w:rFonts w:ascii="Calibri" w:hAnsi="Calibri" w:cs="Calibri"/>
                <w:color w:val="000000"/>
                <w:sz w:val="20"/>
                <w:szCs w:val="20"/>
                <w:lang w:eastAsia="en-IE"/>
              </w:rPr>
              <w:t>Inter-segment revenue</w:t>
            </w:r>
          </w:p>
        </w:tc>
        <w:tc>
          <w:tcPr>
            <w:tcW w:w="1491" w:type="dxa"/>
            <w:tcBorders>
              <w:top w:val="nil"/>
              <w:left w:val="nil"/>
              <w:bottom w:val="single" w:sz="4" w:space="0" w:color="auto"/>
              <w:right w:val="nil"/>
            </w:tcBorders>
            <w:shd w:val="clear" w:color="auto" w:fill="auto"/>
            <w:noWrap/>
            <w:vAlign w:val="bottom"/>
          </w:tcPr>
          <w:p w14:paraId="54EC3DF8" w14:textId="77777777" w:rsidR="007D493D" w:rsidRPr="0081763F" w:rsidRDefault="007D493D" w:rsidP="000917D9">
            <w:pPr>
              <w:jc w:val="right"/>
              <w:rPr>
                <w:rFonts w:ascii="Calibri" w:hAnsi="Calibri" w:cs="Calibri"/>
                <w:color w:val="000000"/>
                <w:sz w:val="20"/>
                <w:szCs w:val="20"/>
              </w:rPr>
            </w:pPr>
            <w:r w:rsidRPr="0081763F">
              <w:rPr>
                <w:rFonts w:ascii="Calibri" w:hAnsi="Calibri" w:cs="Calibri"/>
                <w:color w:val="000000"/>
                <w:sz w:val="20"/>
                <w:szCs w:val="20"/>
                <w:lang w:eastAsia="en-IE"/>
              </w:rPr>
              <w:t>189.8</w:t>
            </w:r>
          </w:p>
        </w:tc>
        <w:tc>
          <w:tcPr>
            <w:tcW w:w="1658" w:type="dxa"/>
            <w:tcBorders>
              <w:top w:val="nil"/>
              <w:left w:val="nil"/>
              <w:bottom w:val="single" w:sz="4" w:space="0" w:color="auto"/>
              <w:right w:val="nil"/>
            </w:tcBorders>
            <w:shd w:val="clear" w:color="auto" w:fill="auto"/>
            <w:vAlign w:val="bottom"/>
          </w:tcPr>
          <w:p w14:paraId="06123182" w14:textId="77777777" w:rsidR="007D493D" w:rsidRPr="0081763F" w:rsidRDefault="007D493D" w:rsidP="000917D9">
            <w:pPr>
              <w:ind w:right="-45"/>
              <w:jc w:val="right"/>
              <w:rPr>
                <w:rFonts w:ascii="Calibri" w:hAnsi="Calibri" w:cs="Calibri"/>
                <w:color w:val="000000"/>
                <w:sz w:val="20"/>
                <w:szCs w:val="20"/>
              </w:rPr>
            </w:pPr>
            <w:r w:rsidRPr="0081763F">
              <w:rPr>
                <w:rFonts w:ascii="Calibri" w:hAnsi="Calibri" w:cs="Calibri"/>
                <w:color w:val="000000"/>
                <w:sz w:val="20"/>
                <w:szCs w:val="20"/>
              </w:rPr>
              <w:t>329.2</w:t>
            </w:r>
          </w:p>
        </w:tc>
        <w:tc>
          <w:tcPr>
            <w:tcW w:w="1492" w:type="dxa"/>
            <w:tcBorders>
              <w:top w:val="nil"/>
              <w:left w:val="nil"/>
              <w:bottom w:val="single" w:sz="4" w:space="0" w:color="auto"/>
              <w:right w:val="nil"/>
            </w:tcBorders>
            <w:shd w:val="clear" w:color="auto" w:fill="auto"/>
            <w:vAlign w:val="bottom"/>
          </w:tcPr>
          <w:p w14:paraId="0301F69C" w14:textId="77777777" w:rsidR="007D493D" w:rsidRPr="0081763F" w:rsidRDefault="007D493D" w:rsidP="000917D9">
            <w:pPr>
              <w:jc w:val="right"/>
              <w:rPr>
                <w:rFonts w:ascii="Calibri" w:hAnsi="Calibri" w:cs="Calibri"/>
                <w:color w:val="000000"/>
                <w:sz w:val="20"/>
                <w:szCs w:val="20"/>
                <w:lang w:eastAsia="en-IE"/>
              </w:rPr>
            </w:pPr>
            <w:r w:rsidRPr="0081763F">
              <w:rPr>
                <w:rFonts w:ascii="Calibri" w:hAnsi="Calibri" w:cs="Calibri"/>
                <w:color w:val="000000"/>
                <w:sz w:val="20"/>
                <w:szCs w:val="20"/>
              </w:rPr>
              <w:t>(519.0)</w:t>
            </w:r>
          </w:p>
        </w:tc>
        <w:tc>
          <w:tcPr>
            <w:tcW w:w="1492" w:type="dxa"/>
            <w:tcBorders>
              <w:top w:val="nil"/>
              <w:left w:val="nil"/>
              <w:bottom w:val="single" w:sz="4" w:space="0" w:color="auto"/>
              <w:right w:val="nil"/>
            </w:tcBorders>
            <w:shd w:val="clear" w:color="auto" w:fill="auto"/>
            <w:noWrap/>
            <w:vAlign w:val="bottom"/>
          </w:tcPr>
          <w:p w14:paraId="7D5E82DA" w14:textId="77777777" w:rsidR="007D493D" w:rsidRPr="0081763F" w:rsidRDefault="007D493D" w:rsidP="000917D9">
            <w:pPr>
              <w:jc w:val="right"/>
              <w:rPr>
                <w:rFonts w:ascii="Calibri" w:hAnsi="Calibri" w:cs="Calibri"/>
                <w:color w:val="000000"/>
                <w:sz w:val="20"/>
                <w:szCs w:val="20"/>
                <w:lang w:eastAsia="en-IE"/>
              </w:rPr>
            </w:pPr>
            <w:r w:rsidRPr="0081763F">
              <w:rPr>
                <w:rFonts w:ascii="Calibri" w:hAnsi="Calibri" w:cs="Calibri"/>
                <w:color w:val="000000"/>
                <w:sz w:val="20"/>
                <w:szCs w:val="20"/>
              </w:rPr>
              <w:t>-</w:t>
            </w:r>
          </w:p>
        </w:tc>
      </w:tr>
      <w:tr w:rsidR="007D493D" w:rsidRPr="0081763F" w14:paraId="2CCBC30F" w14:textId="77777777" w:rsidTr="000917D9">
        <w:trPr>
          <w:trHeight w:val="307"/>
        </w:trPr>
        <w:tc>
          <w:tcPr>
            <w:tcW w:w="4145" w:type="dxa"/>
            <w:shd w:val="clear" w:color="auto" w:fill="FFFFFF"/>
            <w:vAlign w:val="bottom"/>
          </w:tcPr>
          <w:p w14:paraId="76F28F54" w14:textId="77777777" w:rsidR="007D493D" w:rsidRPr="0081763F" w:rsidRDefault="007D493D" w:rsidP="007D493D">
            <w:pPr>
              <w:rPr>
                <w:rFonts w:ascii="Calibri" w:hAnsi="Calibri" w:cs="Calibri"/>
                <w:color w:val="000000"/>
                <w:sz w:val="20"/>
                <w:szCs w:val="20"/>
                <w:lang w:eastAsia="en-IE"/>
              </w:rPr>
            </w:pPr>
            <w:r w:rsidRPr="0081763F">
              <w:rPr>
                <w:rFonts w:ascii="Calibri" w:hAnsi="Calibri" w:cs="Calibri"/>
                <w:b/>
                <w:bCs/>
                <w:color w:val="000000"/>
                <w:sz w:val="20"/>
                <w:szCs w:val="20"/>
                <w:lang w:eastAsia="en-IE"/>
              </w:rPr>
              <w:t xml:space="preserve">Segment revenue                    </w:t>
            </w:r>
          </w:p>
        </w:tc>
        <w:tc>
          <w:tcPr>
            <w:tcW w:w="1491" w:type="dxa"/>
            <w:tcBorders>
              <w:top w:val="single" w:sz="4" w:space="0" w:color="auto"/>
              <w:bottom w:val="single" w:sz="12" w:space="0" w:color="auto"/>
            </w:tcBorders>
            <w:shd w:val="clear" w:color="auto" w:fill="auto"/>
            <w:noWrap/>
            <w:vAlign w:val="bottom"/>
          </w:tcPr>
          <w:p w14:paraId="52717BDB" w14:textId="77777777" w:rsidR="007D493D" w:rsidRPr="0081763F" w:rsidRDefault="007D493D" w:rsidP="000917D9">
            <w:pPr>
              <w:jc w:val="right"/>
              <w:rPr>
                <w:rFonts w:ascii="Calibri" w:hAnsi="Calibri" w:cs="Calibri"/>
                <w:color w:val="000000"/>
                <w:sz w:val="20"/>
                <w:szCs w:val="20"/>
              </w:rPr>
            </w:pPr>
            <w:r w:rsidRPr="0081763F">
              <w:rPr>
                <w:rFonts w:ascii="Calibri" w:hAnsi="Calibri" w:cs="Calibri"/>
                <w:color w:val="000000"/>
                <w:sz w:val="20"/>
                <w:szCs w:val="20"/>
                <w:lang w:eastAsia="en-IE"/>
              </w:rPr>
              <w:t>4,146.5</w:t>
            </w:r>
          </w:p>
        </w:tc>
        <w:tc>
          <w:tcPr>
            <w:tcW w:w="1658" w:type="dxa"/>
            <w:tcBorders>
              <w:top w:val="single" w:sz="4" w:space="0" w:color="auto"/>
              <w:bottom w:val="single" w:sz="12" w:space="0" w:color="auto"/>
            </w:tcBorders>
            <w:shd w:val="clear" w:color="auto" w:fill="auto"/>
            <w:vAlign w:val="bottom"/>
          </w:tcPr>
          <w:p w14:paraId="66A96197" w14:textId="77777777" w:rsidR="007D493D" w:rsidRPr="0081763F" w:rsidRDefault="007D493D" w:rsidP="000917D9">
            <w:pPr>
              <w:ind w:right="-45"/>
              <w:jc w:val="right"/>
              <w:rPr>
                <w:rFonts w:ascii="Calibri" w:hAnsi="Calibri" w:cs="Calibri"/>
                <w:color w:val="000000"/>
                <w:sz w:val="20"/>
                <w:szCs w:val="20"/>
              </w:rPr>
            </w:pPr>
            <w:r w:rsidRPr="0081763F">
              <w:rPr>
                <w:rFonts w:ascii="Calibri" w:eastAsia="Calibri" w:hAnsi="Calibri" w:cs="Calibri"/>
                <w:sz w:val="20"/>
                <w:szCs w:val="20"/>
                <w:lang w:eastAsia="en-IE"/>
              </w:rPr>
              <w:t>38</w:t>
            </w:r>
            <w:r w:rsidR="00EA22C5">
              <w:rPr>
                <w:rFonts w:ascii="Calibri" w:eastAsia="Calibri" w:hAnsi="Calibri" w:cs="Calibri"/>
                <w:sz w:val="20"/>
                <w:szCs w:val="20"/>
                <w:lang w:eastAsia="en-IE"/>
              </w:rPr>
              <w:t>7</w:t>
            </w:r>
            <w:r w:rsidRPr="0081763F">
              <w:rPr>
                <w:rFonts w:ascii="Calibri" w:eastAsia="Calibri" w:hAnsi="Calibri" w:cs="Calibri"/>
                <w:sz w:val="20"/>
                <w:szCs w:val="20"/>
                <w:lang w:eastAsia="en-IE"/>
              </w:rPr>
              <w:t>.1</w:t>
            </w:r>
          </w:p>
        </w:tc>
        <w:tc>
          <w:tcPr>
            <w:tcW w:w="1492" w:type="dxa"/>
            <w:tcBorders>
              <w:top w:val="single" w:sz="4" w:space="0" w:color="auto"/>
              <w:bottom w:val="single" w:sz="12" w:space="0" w:color="auto"/>
            </w:tcBorders>
            <w:shd w:val="clear" w:color="auto" w:fill="auto"/>
            <w:vAlign w:val="bottom"/>
          </w:tcPr>
          <w:p w14:paraId="0B11C051" w14:textId="77777777" w:rsidR="007D493D" w:rsidRPr="0081763F" w:rsidRDefault="007D493D" w:rsidP="000917D9">
            <w:pPr>
              <w:jc w:val="right"/>
              <w:rPr>
                <w:rFonts w:ascii="Calibri" w:hAnsi="Calibri" w:cs="Calibri"/>
                <w:color w:val="000000"/>
                <w:sz w:val="20"/>
                <w:szCs w:val="20"/>
              </w:rPr>
            </w:pPr>
            <w:r w:rsidRPr="0081763F">
              <w:rPr>
                <w:rFonts w:ascii="Calibri" w:hAnsi="Calibri" w:cs="Calibri"/>
                <w:color w:val="000000"/>
                <w:sz w:val="20"/>
                <w:szCs w:val="20"/>
                <w:lang w:eastAsia="en-IE"/>
              </w:rPr>
              <w:t>(519.0)</w:t>
            </w:r>
          </w:p>
        </w:tc>
        <w:tc>
          <w:tcPr>
            <w:tcW w:w="1492" w:type="dxa"/>
            <w:tcBorders>
              <w:top w:val="single" w:sz="4" w:space="0" w:color="auto"/>
              <w:bottom w:val="single" w:sz="12" w:space="0" w:color="auto"/>
            </w:tcBorders>
            <w:shd w:val="clear" w:color="auto" w:fill="auto"/>
            <w:noWrap/>
            <w:vAlign w:val="bottom"/>
          </w:tcPr>
          <w:p w14:paraId="430B8A77" w14:textId="77777777" w:rsidR="007D493D" w:rsidRPr="0081763F" w:rsidRDefault="007D493D" w:rsidP="000917D9">
            <w:pPr>
              <w:jc w:val="right"/>
              <w:rPr>
                <w:rFonts w:ascii="Calibri" w:hAnsi="Calibri" w:cs="Calibri"/>
                <w:color w:val="000000"/>
                <w:sz w:val="20"/>
                <w:szCs w:val="20"/>
              </w:rPr>
            </w:pPr>
            <w:r w:rsidRPr="0081763F">
              <w:rPr>
                <w:rFonts w:ascii="Calibri" w:hAnsi="Calibri" w:cs="Calibri"/>
                <w:color w:val="000000"/>
                <w:sz w:val="20"/>
                <w:szCs w:val="20"/>
                <w:lang w:eastAsia="en-IE"/>
              </w:rPr>
              <w:t>4,014.6</w:t>
            </w:r>
          </w:p>
        </w:tc>
      </w:tr>
      <w:tr w:rsidR="007D493D" w:rsidRPr="0081763F" w14:paraId="33CAB61F" w14:textId="77777777" w:rsidTr="000917D9">
        <w:trPr>
          <w:trHeight w:val="307"/>
        </w:trPr>
        <w:tc>
          <w:tcPr>
            <w:tcW w:w="4145" w:type="dxa"/>
            <w:shd w:val="clear" w:color="auto" w:fill="FFFFFF"/>
            <w:vAlign w:val="bottom"/>
          </w:tcPr>
          <w:p w14:paraId="2006E966" w14:textId="77777777" w:rsidR="007D493D" w:rsidRPr="0081763F" w:rsidRDefault="007D493D" w:rsidP="007D493D">
            <w:pPr>
              <w:rPr>
                <w:rFonts w:ascii="Calibri" w:hAnsi="Calibri" w:cs="Calibri"/>
                <w:b/>
                <w:bCs/>
                <w:color w:val="000000"/>
                <w:sz w:val="20"/>
                <w:szCs w:val="20"/>
                <w:lang w:eastAsia="en-IE"/>
              </w:rPr>
            </w:pPr>
          </w:p>
        </w:tc>
        <w:tc>
          <w:tcPr>
            <w:tcW w:w="1491" w:type="dxa"/>
            <w:tcBorders>
              <w:top w:val="single" w:sz="12" w:space="0" w:color="auto"/>
              <w:left w:val="nil"/>
              <w:right w:val="nil"/>
            </w:tcBorders>
            <w:shd w:val="clear" w:color="auto" w:fill="auto"/>
            <w:noWrap/>
            <w:vAlign w:val="bottom"/>
          </w:tcPr>
          <w:p w14:paraId="4434A474" w14:textId="77777777" w:rsidR="007D493D" w:rsidRPr="0081763F" w:rsidRDefault="007D493D" w:rsidP="000917D9">
            <w:pPr>
              <w:jc w:val="right"/>
              <w:rPr>
                <w:rFonts w:ascii="Calibri" w:hAnsi="Calibri" w:cs="Calibri"/>
                <w:color w:val="000000"/>
                <w:sz w:val="20"/>
                <w:szCs w:val="20"/>
              </w:rPr>
            </w:pPr>
          </w:p>
        </w:tc>
        <w:tc>
          <w:tcPr>
            <w:tcW w:w="1658" w:type="dxa"/>
            <w:tcBorders>
              <w:top w:val="single" w:sz="12" w:space="0" w:color="auto"/>
              <w:left w:val="nil"/>
              <w:right w:val="nil"/>
            </w:tcBorders>
            <w:shd w:val="clear" w:color="auto" w:fill="auto"/>
            <w:vAlign w:val="bottom"/>
          </w:tcPr>
          <w:p w14:paraId="3295CB09" w14:textId="77777777" w:rsidR="007D493D" w:rsidRPr="0081763F" w:rsidRDefault="007D493D" w:rsidP="000917D9">
            <w:pPr>
              <w:ind w:right="-45"/>
              <w:jc w:val="right"/>
              <w:rPr>
                <w:rFonts w:ascii="Calibri" w:hAnsi="Calibri" w:cs="Calibri"/>
                <w:color w:val="000000"/>
                <w:sz w:val="20"/>
                <w:szCs w:val="20"/>
              </w:rPr>
            </w:pPr>
          </w:p>
        </w:tc>
        <w:tc>
          <w:tcPr>
            <w:tcW w:w="1492" w:type="dxa"/>
            <w:tcBorders>
              <w:top w:val="single" w:sz="12" w:space="0" w:color="auto"/>
              <w:left w:val="nil"/>
              <w:right w:val="nil"/>
            </w:tcBorders>
            <w:shd w:val="clear" w:color="auto" w:fill="auto"/>
            <w:vAlign w:val="bottom"/>
          </w:tcPr>
          <w:p w14:paraId="379AEA64" w14:textId="77777777" w:rsidR="007D493D" w:rsidRPr="0081763F" w:rsidRDefault="007D493D" w:rsidP="000917D9">
            <w:pPr>
              <w:jc w:val="right"/>
              <w:rPr>
                <w:rFonts w:ascii="Calibri" w:hAnsi="Calibri" w:cs="Calibri"/>
                <w:sz w:val="20"/>
                <w:szCs w:val="20"/>
              </w:rPr>
            </w:pPr>
          </w:p>
        </w:tc>
        <w:tc>
          <w:tcPr>
            <w:tcW w:w="1492" w:type="dxa"/>
            <w:tcBorders>
              <w:top w:val="single" w:sz="12" w:space="0" w:color="auto"/>
              <w:left w:val="nil"/>
              <w:right w:val="nil"/>
            </w:tcBorders>
            <w:shd w:val="clear" w:color="auto" w:fill="auto"/>
            <w:noWrap/>
            <w:vAlign w:val="bottom"/>
          </w:tcPr>
          <w:p w14:paraId="4D1EDB2A" w14:textId="77777777" w:rsidR="007D493D" w:rsidRPr="0081763F" w:rsidRDefault="007D493D" w:rsidP="000917D9">
            <w:pPr>
              <w:jc w:val="right"/>
              <w:rPr>
                <w:rFonts w:ascii="Calibri" w:hAnsi="Calibri" w:cs="Calibri"/>
                <w:color w:val="000000"/>
                <w:sz w:val="20"/>
                <w:szCs w:val="20"/>
              </w:rPr>
            </w:pPr>
          </w:p>
        </w:tc>
      </w:tr>
      <w:tr w:rsidR="007D493D" w:rsidRPr="0081763F" w14:paraId="23912F4B" w14:textId="77777777" w:rsidTr="000917D9">
        <w:trPr>
          <w:trHeight w:val="307"/>
        </w:trPr>
        <w:tc>
          <w:tcPr>
            <w:tcW w:w="4145" w:type="dxa"/>
            <w:shd w:val="clear" w:color="auto" w:fill="FFFFFF"/>
            <w:vAlign w:val="bottom"/>
          </w:tcPr>
          <w:p w14:paraId="02B99144" w14:textId="77777777" w:rsidR="007D493D" w:rsidRPr="0081763F" w:rsidRDefault="007D493D" w:rsidP="00D00A73">
            <w:pPr>
              <w:rPr>
                <w:rFonts w:ascii="Calibri" w:hAnsi="Calibri" w:cs="Calibri"/>
                <w:color w:val="000000"/>
                <w:sz w:val="20"/>
                <w:szCs w:val="20"/>
                <w:lang w:eastAsia="en-IE"/>
              </w:rPr>
            </w:pPr>
            <w:r w:rsidRPr="0081763F">
              <w:rPr>
                <w:rFonts w:ascii="Calibri" w:hAnsi="Calibri" w:cs="Calibri"/>
                <w:b/>
                <w:bCs/>
                <w:color w:val="000000"/>
                <w:sz w:val="20"/>
                <w:szCs w:val="20"/>
                <w:lang w:eastAsia="en-IE"/>
              </w:rPr>
              <w:t>Reportable segment profit after income tax</w:t>
            </w:r>
            <w:r w:rsidR="00E94A24">
              <w:rPr>
                <w:rFonts w:ascii="Calibri" w:hAnsi="Calibri" w:cs="Calibri"/>
                <w:b/>
                <w:bCs/>
                <w:color w:val="000000"/>
                <w:sz w:val="20"/>
                <w:szCs w:val="20"/>
                <w:lang w:eastAsia="en-IE"/>
              </w:rPr>
              <w:t xml:space="preserve"> (i)</w:t>
            </w:r>
          </w:p>
        </w:tc>
        <w:tc>
          <w:tcPr>
            <w:tcW w:w="1491" w:type="dxa"/>
            <w:tcBorders>
              <w:top w:val="nil"/>
              <w:left w:val="nil"/>
              <w:bottom w:val="single" w:sz="12" w:space="0" w:color="auto"/>
              <w:right w:val="nil"/>
            </w:tcBorders>
            <w:shd w:val="clear" w:color="auto" w:fill="auto"/>
            <w:noWrap/>
            <w:vAlign w:val="bottom"/>
          </w:tcPr>
          <w:p w14:paraId="2406948D" w14:textId="77777777" w:rsidR="007D493D" w:rsidRPr="0081763F" w:rsidRDefault="007D493D" w:rsidP="000917D9">
            <w:pPr>
              <w:jc w:val="right"/>
              <w:rPr>
                <w:rFonts w:ascii="Calibri" w:eastAsia="Calibri" w:hAnsi="Calibri" w:cs="Calibri"/>
                <w:sz w:val="20"/>
                <w:szCs w:val="20"/>
                <w:lang w:eastAsia="en-IE"/>
              </w:rPr>
            </w:pPr>
            <w:r w:rsidRPr="0081763F">
              <w:rPr>
                <w:rFonts w:ascii="Calibri" w:hAnsi="Calibri" w:cs="Calibri"/>
                <w:color w:val="000000"/>
                <w:sz w:val="20"/>
                <w:szCs w:val="20"/>
                <w:lang w:eastAsia="en-IE"/>
              </w:rPr>
              <w:t>1,188.9</w:t>
            </w:r>
          </w:p>
        </w:tc>
        <w:tc>
          <w:tcPr>
            <w:tcW w:w="1658" w:type="dxa"/>
            <w:tcBorders>
              <w:top w:val="nil"/>
              <w:left w:val="nil"/>
              <w:bottom w:val="single" w:sz="12" w:space="0" w:color="auto"/>
              <w:right w:val="nil"/>
            </w:tcBorders>
            <w:shd w:val="clear" w:color="auto" w:fill="auto"/>
            <w:vAlign w:val="bottom"/>
          </w:tcPr>
          <w:p w14:paraId="2B7DBD91" w14:textId="77777777" w:rsidR="007D493D" w:rsidRPr="0081763F" w:rsidRDefault="007D493D" w:rsidP="000917D9">
            <w:pPr>
              <w:ind w:right="-45"/>
              <w:jc w:val="right"/>
              <w:rPr>
                <w:rFonts w:ascii="Calibri" w:eastAsia="Calibri" w:hAnsi="Calibri" w:cs="Calibri"/>
                <w:sz w:val="20"/>
                <w:szCs w:val="20"/>
                <w:lang w:eastAsia="en-IE"/>
              </w:rPr>
            </w:pPr>
            <w:r w:rsidRPr="0081763F">
              <w:rPr>
                <w:rFonts w:ascii="Calibri" w:hAnsi="Calibri" w:cs="Calibri"/>
                <w:color w:val="000000"/>
                <w:sz w:val="20"/>
                <w:szCs w:val="20"/>
              </w:rPr>
              <w:t>11.9</w:t>
            </w:r>
          </w:p>
        </w:tc>
        <w:tc>
          <w:tcPr>
            <w:tcW w:w="1492" w:type="dxa"/>
            <w:tcBorders>
              <w:top w:val="nil"/>
              <w:left w:val="nil"/>
              <w:bottom w:val="single" w:sz="12" w:space="0" w:color="auto"/>
              <w:right w:val="nil"/>
            </w:tcBorders>
            <w:shd w:val="clear" w:color="auto" w:fill="auto"/>
            <w:vAlign w:val="bottom"/>
          </w:tcPr>
          <w:p w14:paraId="11DE3414" w14:textId="77777777" w:rsidR="007D493D" w:rsidRPr="0081763F" w:rsidRDefault="007D493D" w:rsidP="000917D9">
            <w:pPr>
              <w:jc w:val="right"/>
              <w:rPr>
                <w:rFonts w:ascii="Calibri" w:eastAsia="Calibri" w:hAnsi="Calibri" w:cs="Calibri"/>
                <w:sz w:val="20"/>
                <w:szCs w:val="20"/>
                <w:lang w:eastAsia="en-IE"/>
              </w:rPr>
            </w:pPr>
            <w:r w:rsidRPr="0081763F">
              <w:rPr>
                <w:rFonts w:ascii="Calibri" w:hAnsi="Calibri" w:cs="Calibri"/>
                <w:sz w:val="20"/>
                <w:szCs w:val="20"/>
              </w:rPr>
              <w:t>-</w:t>
            </w:r>
          </w:p>
        </w:tc>
        <w:tc>
          <w:tcPr>
            <w:tcW w:w="1492" w:type="dxa"/>
            <w:tcBorders>
              <w:top w:val="nil"/>
              <w:left w:val="nil"/>
              <w:bottom w:val="single" w:sz="12" w:space="0" w:color="auto"/>
              <w:right w:val="nil"/>
            </w:tcBorders>
            <w:shd w:val="clear" w:color="auto" w:fill="auto"/>
            <w:noWrap/>
            <w:vAlign w:val="bottom"/>
          </w:tcPr>
          <w:p w14:paraId="148092EC" w14:textId="77777777" w:rsidR="007D493D" w:rsidRPr="0081763F" w:rsidRDefault="007D493D" w:rsidP="000917D9">
            <w:pPr>
              <w:jc w:val="right"/>
              <w:rPr>
                <w:rFonts w:ascii="Calibri" w:eastAsia="Calibri" w:hAnsi="Calibri" w:cs="Calibri"/>
                <w:sz w:val="20"/>
                <w:szCs w:val="20"/>
                <w:lang w:eastAsia="en-IE"/>
              </w:rPr>
            </w:pPr>
            <w:r w:rsidRPr="0081763F">
              <w:rPr>
                <w:rFonts w:ascii="Calibri" w:hAnsi="Calibri" w:cs="Calibri"/>
                <w:color w:val="000000"/>
                <w:sz w:val="20"/>
                <w:szCs w:val="20"/>
              </w:rPr>
              <w:t>1,200.8</w:t>
            </w:r>
          </w:p>
        </w:tc>
      </w:tr>
      <w:tr w:rsidR="007D493D" w:rsidRPr="0081763F" w14:paraId="0FE1B9EB" w14:textId="77777777" w:rsidTr="000917D9">
        <w:trPr>
          <w:trHeight w:val="307"/>
        </w:trPr>
        <w:tc>
          <w:tcPr>
            <w:tcW w:w="4145" w:type="dxa"/>
            <w:shd w:val="clear" w:color="auto" w:fill="FFFFFF"/>
            <w:vAlign w:val="bottom"/>
          </w:tcPr>
          <w:p w14:paraId="13D015A2" w14:textId="77777777" w:rsidR="007D493D" w:rsidRPr="0081763F" w:rsidRDefault="007D493D" w:rsidP="007D493D">
            <w:pPr>
              <w:rPr>
                <w:rFonts w:ascii="Calibri" w:hAnsi="Calibri" w:cs="Calibri"/>
                <w:color w:val="000000"/>
                <w:sz w:val="20"/>
                <w:szCs w:val="20"/>
                <w:lang w:eastAsia="en-IE"/>
              </w:rPr>
            </w:pPr>
            <w:r w:rsidRPr="0081763F">
              <w:rPr>
                <w:rFonts w:ascii="Calibri" w:hAnsi="Calibri" w:cs="Calibri"/>
                <w:color w:val="000000"/>
                <w:sz w:val="20"/>
                <w:szCs w:val="20"/>
                <w:lang w:eastAsia="en-IE"/>
              </w:rPr>
              <w:t> </w:t>
            </w:r>
          </w:p>
        </w:tc>
        <w:tc>
          <w:tcPr>
            <w:tcW w:w="1491" w:type="dxa"/>
            <w:tcBorders>
              <w:top w:val="single" w:sz="12" w:space="0" w:color="auto"/>
            </w:tcBorders>
            <w:shd w:val="clear" w:color="auto" w:fill="auto"/>
            <w:noWrap/>
            <w:vAlign w:val="bottom"/>
          </w:tcPr>
          <w:p w14:paraId="30DAA2F9" w14:textId="77777777" w:rsidR="007D493D" w:rsidRPr="0081763F" w:rsidRDefault="007D493D" w:rsidP="000917D9">
            <w:pPr>
              <w:jc w:val="right"/>
              <w:rPr>
                <w:rFonts w:ascii="Calibri" w:hAnsi="Calibri" w:cs="Calibri"/>
                <w:color w:val="000000"/>
                <w:sz w:val="20"/>
                <w:szCs w:val="20"/>
              </w:rPr>
            </w:pPr>
          </w:p>
        </w:tc>
        <w:tc>
          <w:tcPr>
            <w:tcW w:w="1658" w:type="dxa"/>
            <w:tcBorders>
              <w:top w:val="single" w:sz="12" w:space="0" w:color="auto"/>
            </w:tcBorders>
            <w:shd w:val="clear" w:color="auto" w:fill="auto"/>
            <w:vAlign w:val="bottom"/>
          </w:tcPr>
          <w:p w14:paraId="4EAAE9FF" w14:textId="77777777" w:rsidR="007D493D" w:rsidRPr="0081763F" w:rsidRDefault="007D493D" w:rsidP="000917D9">
            <w:pPr>
              <w:ind w:right="-45"/>
              <w:jc w:val="right"/>
              <w:rPr>
                <w:rFonts w:ascii="Calibri" w:hAnsi="Calibri" w:cs="Calibri"/>
                <w:color w:val="000000"/>
                <w:sz w:val="20"/>
                <w:szCs w:val="20"/>
              </w:rPr>
            </w:pPr>
          </w:p>
        </w:tc>
        <w:tc>
          <w:tcPr>
            <w:tcW w:w="1492" w:type="dxa"/>
            <w:tcBorders>
              <w:top w:val="single" w:sz="12" w:space="0" w:color="auto"/>
            </w:tcBorders>
            <w:shd w:val="clear" w:color="auto" w:fill="auto"/>
            <w:vAlign w:val="bottom"/>
          </w:tcPr>
          <w:p w14:paraId="0DDFB6AE" w14:textId="77777777" w:rsidR="007D493D" w:rsidRPr="0081763F" w:rsidRDefault="007D493D" w:rsidP="000917D9">
            <w:pPr>
              <w:jc w:val="right"/>
              <w:rPr>
                <w:rFonts w:ascii="Calibri" w:hAnsi="Calibri" w:cs="Calibri"/>
                <w:color w:val="000000"/>
                <w:sz w:val="20"/>
                <w:szCs w:val="20"/>
              </w:rPr>
            </w:pPr>
          </w:p>
        </w:tc>
        <w:tc>
          <w:tcPr>
            <w:tcW w:w="1492" w:type="dxa"/>
            <w:tcBorders>
              <w:top w:val="single" w:sz="12" w:space="0" w:color="auto"/>
            </w:tcBorders>
            <w:shd w:val="clear" w:color="auto" w:fill="auto"/>
            <w:noWrap/>
            <w:vAlign w:val="bottom"/>
          </w:tcPr>
          <w:p w14:paraId="5A6FD8EC" w14:textId="77777777" w:rsidR="007D493D" w:rsidRPr="0081763F" w:rsidRDefault="007D493D" w:rsidP="000917D9">
            <w:pPr>
              <w:jc w:val="right"/>
              <w:rPr>
                <w:rFonts w:ascii="Calibri" w:hAnsi="Calibri" w:cs="Calibri"/>
                <w:color w:val="000000"/>
                <w:sz w:val="20"/>
                <w:szCs w:val="20"/>
              </w:rPr>
            </w:pPr>
          </w:p>
        </w:tc>
      </w:tr>
      <w:tr w:rsidR="007D493D" w:rsidRPr="0081763F" w14:paraId="4C1332EA" w14:textId="77777777" w:rsidTr="000917D9">
        <w:trPr>
          <w:trHeight w:val="307"/>
        </w:trPr>
        <w:tc>
          <w:tcPr>
            <w:tcW w:w="4145" w:type="dxa"/>
            <w:shd w:val="clear" w:color="auto" w:fill="FFFFFF"/>
            <w:vAlign w:val="bottom"/>
          </w:tcPr>
          <w:p w14:paraId="61A61A3A" w14:textId="77777777" w:rsidR="007D493D" w:rsidRPr="0081763F" w:rsidRDefault="007D493D" w:rsidP="007D493D">
            <w:pPr>
              <w:rPr>
                <w:rFonts w:ascii="Calibri" w:hAnsi="Calibri" w:cs="Calibri"/>
                <w:color w:val="000000"/>
                <w:sz w:val="20"/>
                <w:szCs w:val="20"/>
                <w:lang w:eastAsia="en-IE"/>
              </w:rPr>
            </w:pPr>
            <w:r w:rsidRPr="0081763F">
              <w:rPr>
                <w:rFonts w:ascii="Calibri" w:hAnsi="Calibri" w:cs="Calibri"/>
                <w:b/>
                <w:bCs/>
                <w:color w:val="000000"/>
                <w:sz w:val="20"/>
                <w:szCs w:val="20"/>
                <w:lang w:eastAsia="en-IE"/>
              </w:rPr>
              <w:t xml:space="preserve">Other segment information: </w:t>
            </w:r>
          </w:p>
        </w:tc>
        <w:tc>
          <w:tcPr>
            <w:tcW w:w="1491" w:type="dxa"/>
            <w:shd w:val="clear" w:color="auto" w:fill="auto"/>
            <w:noWrap/>
            <w:vAlign w:val="bottom"/>
          </w:tcPr>
          <w:p w14:paraId="3C490334" w14:textId="77777777" w:rsidR="007D493D" w:rsidRPr="0081763F" w:rsidRDefault="007D493D" w:rsidP="000917D9">
            <w:pPr>
              <w:jc w:val="right"/>
              <w:rPr>
                <w:rFonts w:ascii="Calibri" w:hAnsi="Calibri" w:cs="Calibri"/>
                <w:color w:val="000000"/>
                <w:sz w:val="20"/>
                <w:szCs w:val="20"/>
              </w:rPr>
            </w:pPr>
          </w:p>
        </w:tc>
        <w:tc>
          <w:tcPr>
            <w:tcW w:w="1658" w:type="dxa"/>
            <w:shd w:val="clear" w:color="auto" w:fill="auto"/>
            <w:vAlign w:val="bottom"/>
          </w:tcPr>
          <w:p w14:paraId="580CBD74" w14:textId="77777777" w:rsidR="007D493D" w:rsidRPr="0081763F" w:rsidRDefault="007D493D" w:rsidP="000917D9">
            <w:pPr>
              <w:ind w:right="-45"/>
              <w:jc w:val="right"/>
              <w:rPr>
                <w:rFonts w:ascii="Calibri" w:hAnsi="Calibri" w:cs="Calibri"/>
                <w:color w:val="000000"/>
                <w:sz w:val="20"/>
                <w:szCs w:val="20"/>
              </w:rPr>
            </w:pPr>
          </w:p>
        </w:tc>
        <w:tc>
          <w:tcPr>
            <w:tcW w:w="1492" w:type="dxa"/>
            <w:shd w:val="clear" w:color="auto" w:fill="auto"/>
            <w:vAlign w:val="bottom"/>
          </w:tcPr>
          <w:p w14:paraId="7BCCE3A1" w14:textId="77777777" w:rsidR="007D493D" w:rsidRPr="0081763F" w:rsidRDefault="007D493D" w:rsidP="000917D9">
            <w:pPr>
              <w:jc w:val="right"/>
              <w:rPr>
                <w:rFonts w:ascii="Calibri" w:hAnsi="Calibri" w:cs="Calibri"/>
                <w:color w:val="000000"/>
                <w:sz w:val="20"/>
                <w:szCs w:val="20"/>
              </w:rPr>
            </w:pPr>
          </w:p>
        </w:tc>
        <w:tc>
          <w:tcPr>
            <w:tcW w:w="1492" w:type="dxa"/>
            <w:shd w:val="clear" w:color="auto" w:fill="auto"/>
            <w:noWrap/>
            <w:vAlign w:val="bottom"/>
          </w:tcPr>
          <w:p w14:paraId="7E45852E" w14:textId="77777777" w:rsidR="007D493D" w:rsidRPr="0081763F" w:rsidRDefault="007D493D" w:rsidP="000917D9">
            <w:pPr>
              <w:jc w:val="right"/>
              <w:rPr>
                <w:rFonts w:ascii="Calibri" w:hAnsi="Calibri" w:cs="Calibri"/>
                <w:color w:val="000000"/>
                <w:sz w:val="20"/>
                <w:szCs w:val="20"/>
              </w:rPr>
            </w:pPr>
          </w:p>
        </w:tc>
      </w:tr>
      <w:tr w:rsidR="007D493D" w:rsidRPr="0081763F" w14:paraId="3D3BA8D3" w14:textId="77777777" w:rsidTr="000917D9">
        <w:trPr>
          <w:trHeight w:val="307"/>
        </w:trPr>
        <w:tc>
          <w:tcPr>
            <w:tcW w:w="4145" w:type="dxa"/>
            <w:shd w:val="clear" w:color="auto" w:fill="FFFFFF"/>
            <w:vAlign w:val="bottom"/>
          </w:tcPr>
          <w:p w14:paraId="179528EE" w14:textId="77777777" w:rsidR="007D493D" w:rsidRPr="0081763F" w:rsidRDefault="007D493D" w:rsidP="007D493D">
            <w:pPr>
              <w:rPr>
                <w:rFonts w:ascii="Calibri" w:hAnsi="Calibri" w:cs="Calibri"/>
                <w:color w:val="000000"/>
                <w:sz w:val="20"/>
                <w:szCs w:val="20"/>
                <w:lang w:eastAsia="en-IE"/>
              </w:rPr>
            </w:pPr>
            <w:r w:rsidRPr="0081763F">
              <w:rPr>
                <w:rFonts w:ascii="Calibri" w:hAnsi="Calibri" w:cs="Calibri"/>
                <w:color w:val="000000"/>
                <w:sz w:val="20"/>
                <w:szCs w:val="20"/>
                <w:lang w:eastAsia="en-IE"/>
              </w:rPr>
              <w:t>Depreciation</w:t>
            </w:r>
          </w:p>
        </w:tc>
        <w:tc>
          <w:tcPr>
            <w:tcW w:w="1491" w:type="dxa"/>
            <w:tcBorders>
              <w:top w:val="nil"/>
              <w:left w:val="nil"/>
              <w:right w:val="nil"/>
            </w:tcBorders>
            <w:shd w:val="clear" w:color="auto" w:fill="auto"/>
            <w:noWrap/>
            <w:vAlign w:val="bottom"/>
          </w:tcPr>
          <w:p w14:paraId="504FF7D8" w14:textId="77777777" w:rsidR="007D493D" w:rsidRPr="0081763F" w:rsidRDefault="00E21D7A" w:rsidP="000917D9">
            <w:pPr>
              <w:jc w:val="right"/>
              <w:rPr>
                <w:rFonts w:ascii="Calibri" w:hAnsi="Calibri" w:cs="Calibri"/>
                <w:color w:val="000000"/>
                <w:sz w:val="20"/>
                <w:szCs w:val="20"/>
              </w:rPr>
            </w:pPr>
            <w:r>
              <w:rPr>
                <w:rFonts w:ascii="Calibri" w:hAnsi="Calibri" w:cs="Calibri"/>
                <w:color w:val="000000"/>
                <w:sz w:val="20"/>
                <w:szCs w:val="20"/>
                <w:lang w:eastAsia="en-IE"/>
              </w:rPr>
              <w:t>(</w:t>
            </w:r>
            <w:r w:rsidR="007D493D" w:rsidRPr="0081763F">
              <w:rPr>
                <w:rFonts w:ascii="Calibri" w:hAnsi="Calibri" w:cs="Calibri"/>
                <w:color w:val="000000"/>
                <w:sz w:val="20"/>
                <w:szCs w:val="20"/>
                <w:lang w:eastAsia="en-IE"/>
              </w:rPr>
              <w:t>215.0</w:t>
            </w:r>
            <w:r>
              <w:rPr>
                <w:rFonts w:ascii="Calibri" w:hAnsi="Calibri" w:cs="Calibri"/>
                <w:color w:val="000000"/>
                <w:sz w:val="20"/>
                <w:szCs w:val="20"/>
                <w:lang w:eastAsia="en-IE"/>
              </w:rPr>
              <w:t>)</w:t>
            </w:r>
          </w:p>
        </w:tc>
        <w:tc>
          <w:tcPr>
            <w:tcW w:w="1658" w:type="dxa"/>
            <w:tcBorders>
              <w:top w:val="nil"/>
              <w:left w:val="nil"/>
              <w:right w:val="nil"/>
            </w:tcBorders>
            <w:shd w:val="clear" w:color="auto" w:fill="auto"/>
            <w:vAlign w:val="bottom"/>
          </w:tcPr>
          <w:p w14:paraId="26E3FAF4" w14:textId="77777777" w:rsidR="007D493D" w:rsidRPr="0081763F" w:rsidRDefault="00E21D7A" w:rsidP="000917D9">
            <w:pPr>
              <w:ind w:right="-45"/>
              <w:jc w:val="right"/>
              <w:rPr>
                <w:rFonts w:ascii="Calibri" w:hAnsi="Calibri" w:cs="Calibri"/>
                <w:color w:val="000000"/>
                <w:sz w:val="20"/>
                <w:szCs w:val="20"/>
              </w:rPr>
            </w:pPr>
            <w:r>
              <w:rPr>
                <w:rFonts w:ascii="Calibri" w:hAnsi="Calibri" w:cs="Calibri"/>
                <w:color w:val="000000"/>
                <w:sz w:val="20"/>
                <w:szCs w:val="20"/>
              </w:rPr>
              <w:t>(</w:t>
            </w:r>
            <w:r w:rsidR="007D493D" w:rsidRPr="0081763F">
              <w:rPr>
                <w:rFonts w:ascii="Calibri" w:hAnsi="Calibri" w:cs="Calibri"/>
                <w:color w:val="000000"/>
                <w:sz w:val="20"/>
                <w:szCs w:val="20"/>
              </w:rPr>
              <w:t>11.7</w:t>
            </w:r>
            <w:r>
              <w:rPr>
                <w:rFonts w:ascii="Calibri" w:hAnsi="Calibri" w:cs="Calibri"/>
                <w:color w:val="000000"/>
                <w:sz w:val="20"/>
                <w:szCs w:val="20"/>
              </w:rPr>
              <w:t>)</w:t>
            </w:r>
          </w:p>
        </w:tc>
        <w:tc>
          <w:tcPr>
            <w:tcW w:w="1492" w:type="dxa"/>
            <w:tcBorders>
              <w:top w:val="nil"/>
              <w:left w:val="nil"/>
              <w:right w:val="nil"/>
            </w:tcBorders>
            <w:shd w:val="clear" w:color="auto" w:fill="auto"/>
            <w:vAlign w:val="bottom"/>
          </w:tcPr>
          <w:p w14:paraId="131F222F" w14:textId="77777777" w:rsidR="007D493D" w:rsidRPr="0081763F" w:rsidRDefault="007D493D" w:rsidP="000917D9">
            <w:pPr>
              <w:jc w:val="right"/>
              <w:rPr>
                <w:rFonts w:ascii="Calibri" w:hAnsi="Calibri" w:cs="Calibri"/>
                <w:color w:val="000000"/>
                <w:sz w:val="20"/>
                <w:szCs w:val="20"/>
              </w:rPr>
            </w:pPr>
            <w:r w:rsidRPr="0081763F">
              <w:rPr>
                <w:rFonts w:ascii="Calibri" w:hAnsi="Calibri" w:cs="Calibri"/>
                <w:color w:val="000000"/>
                <w:sz w:val="20"/>
                <w:szCs w:val="20"/>
              </w:rPr>
              <w:t>-</w:t>
            </w:r>
          </w:p>
        </w:tc>
        <w:tc>
          <w:tcPr>
            <w:tcW w:w="1492" w:type="dxa"/>
            <w:tcBorders>
              <w:top w:val="nil"/>
              <w:left w:val="nil"/>
              <w:right w:val="nil"/>
            </w:tcBorders>
            <w:shd w:val="clear" w:color="auto" w:fill="auto"/>
            <w:noWrap/>
            <w:vAlign w:val="bottom"/>
          </w:tcPr>
          <w:p w14:paraId="2C6F19C0" w14:textId="77777777" w:rsidR="007D493D" w:rsidRPr="0081763F" w:rsidRDefault="00E21D7A" w:rsidP="000917D9">
            <w:pPr>
              <w:jc w:val="right"/>
              <w:rPr>
                <w:rFonts w:ascii="Calibri" w:hAnsi="Calibri" w:cs="Calibri"/>
                <w:color w:val="000000"/>
                <w:sz w:val="20"/>
                <w:szCs w:val="20"/>
              </w:rPr>
            </w:pPr>
            <w:r>
              <w:rPr>
                <w:rFonts w:ascii="Calibri" w:hAnsi="Calibri" w:cs="Calibri"/>
                <w:color w:val="000000"/>
                <w:sz w:val="20"/>
                <w:szCs w:val="20"/>
              </w:rPr>
              <w:t>(</w:t>
            </w:r>
            <w:r w:rsidR="007D493D" w:rsidRPr="0081763F">
              <w:rPr>
                <w:rFonts w:ascii="Calibri" w:hAnsi="Calibri" w:cs="Calibri"/>
                <w:color w:val="000000"/>
                <w:sz w:val="20"/>
                <w:szCs w:val="20"/>
              </w:rPr>
              <w:t>226.7</w:t>
            </w:r>
            <w:r>
              <w:rPr>
                <w:rFonts w:ascii="Calibri" w:hAnsi="Calibri" w:cs="Calibri"/>
                <w:color w:val="000000"/>
                <w:sz w:val="20"/>
                <w:szCs w:val="20"/>
              </w:rPr>
              <w:t>)</w:t>
            </w:r>
          </w:p>
        </w:tc>
      </w:tr>
      <w:tr w:rsidR="007D493D" w:rsidRPr="0081763F" w14:paraId="541B82BE" w14:textId="77777777" w:rsidTr="000917D9">
        <w:trPr>
          <w:trHeight w:val="307"/>
        </w:trPr>
        <w:tc>
          <w:tcPr>
            <w:tcW w:w="4145" w:type="dxa"/>
            <w:shd w:val="clear" w:color="auto" w:fill="FFFFFF"/>
            <w:vAlign w:val="bottom"/>
          </w:tcPr>
          <w:p w14:paraId="34C88AD5" w14:textId="77777777" w:rsidR="007D493D" w:rsidRPr="0081763F" w:rsidRDefault="007D493D" w:rsidP="007D493D">
            <w:pPr>
              <w:rPr>
                <w:rFonts w:ascii="Calibri" w:hAnsi="Calibri" w:cs="Calibri"/>
                <w:color w:val="000000"/>
                <w:sz w:val="20"/>
                <w:szCs w:val="20"/>
                <w:lang w:eastAsia="en-IE"/>
              </w:rPr>
            </w:pPr>
            <w:r w:rsidRPr="0081763F">
              <w:rPr>
                <w:rFonts w:ascii="Calibri" w:hAnsi="Calibri" w:cs="Calibri"/>
                <w:color w:val="000000"/>
                <w:sz w:val="20"/>
                <w:szCs w:val="20"/>
                <w:lang w:eastAsia="en-IE"/>
              </w:rPr>
              <w:t>Net finance expense</w:t>
            </w:r>
          </w:p>
        </w:tc>
        <w:tc>
          <w:tcPr>
            <w:tcW w:w="1491" w:type="dxa"/>
            <w:tcBorders>
              <w:top w:val="nil"/>
              <w:left w:val="nil"/>
              <w:right w:val="nil"/>
            </w:tcBorders>
            <w:shd w:val="clear" w:color="auto" w:fill="auto"/>
            <w:noWrap/>
            <w:vAlign w:val="bottom"/>
          </w:tcPr>
          <w:p w14:paraId="0C82E19A" w14:textId="77777777" w:rsidR="007D493D" w:rsidRPr="0081763F" w:rsidRDefault="00E21D7A" w:rsidP="000917D9">
            <w:pPr>
              <w:jc w:val="right"/>
              <w:rPr>
                <w:rFonts w:ascii="Calibri" w:hAnsi="Calibri" w:cs="Calibri"/>
                <w:color w:val="000000"/>
                <w:sz w:val="20"/>
                <w:szCs w:val="20"/>
                <w:lang w:eastAsia="en-IE"/>
              </w:rPr>
            </w:pPr>
            <w:r>
              <w:rPr>
                <w:rFonts w:ascii="Calibri" w:hAnsi="Calibri" w:cs="Calibri"/>
                <w:color w:val="000000"/>
                <w:sz w:val="20"/>
                <w:szCs w:val="20"/>
                <w:lang w:eastAsia="en-IE"/>
              </w:rPr>
              <w:t>(</w:t>
            </w:r>
            <w:r w:rsidR="007D493D" w:rsidRPr="0081763F">
              <w:rPr>
                <w:rFonts w:ascii="Calibri" w:hAnsi="Calibri" w:cs="Calibri"/>
                <w:color w:val="000000"/>
                <w:sz w:val="20"/>
                <w:szCs w:val="20"/>
                <w:lang w:eastAsia="en-IE"/>
              </w:rPr>
              <w:t>14.6</w:t>
            </w:r>
            <w:r>
              <w:rPr>
                <w:rFonts w:ascii="Calibri" w:hAnsi="Calibri" w:cs="Calibri"/>
                <w:color w:val="000000"/>
                <w:sz w:val="20"/>
                <w:szCs w:val="20"/>
                <w:lang w:eastAsia="en-IE"/>
              </w:rPr>
              <w:t>)</w:t>
            </w:r>
          </w:p>
        </w:tc>
        <w:tc>
          <w:tcPr>
            <w:tcW w:w="1658" w:type="dxa"/>
            <w:tcBorders>
              <w:top w:val="nil"/>
              <w:left w:val="nil"/>
              <w:right w:val="nil"/>
            </w:tcBorders>
            <w:shd w:val="clear" w:color="auto" w:fill="auto"/>
            <w:vAlign w:val="bottom"/>
          </w:tcPr>
          <w:p w14:paraId="14158AB8" w14:textId="77777777" w:rsidR="007D493D" w:rsidRPr="0081763F" w:rsidRDefault="00E21D7A" w:rsidP="000917D9">
            <w:pPr>
              <w:ind w:right="-45"/>
              <w:jc w:val="right"/>
              <w:rPr>
                <w:rFonts w:ascii="Calibri" w:hAnsi="Calibri" w:cs="Calibri"/>
                <w:color w:val="000000"/>
                <w:sz w:val="20"/>
                <w:szCs w:val="20"/>
              </w:rPr>
            </w:pPr>
            <w:r>
              <w:rPr>
                <w:rFonts w:ascii="Calibri" w:hAnsi="Calibri" w:cs="Calibri"/>
                <w:sz w:val="20"/>
                <w:szCs w:val="20"/>
              </w:rPr>
              <w:t>(</w:t>
            </w:r>
            <w:r w:rsidR="007D493D" w:rsidRPr="0081763F">
              <w:rPr>
                <w:rFonts w:ascii="Calibri" w:hAnsi="Calibri" w:cs="Calibri"/>
                <w:sz w:val="20"/>
                <w:szCs w:val="20"/>
              </w:rPr>
              <w:t>1.5</w:t>
            </w:r>
            <w:r>
              <w:rPr>
                <w:rFonts w:ascii="Calibri" w:hAnsi="Calibri" w:cs="Calibri"/>
                <w:sz w:val="20"/>
                <w:szCs w:val="20"/>
              </w:rPr>
              <w:t>)</w:t>
            </w:r>
          </w:p>
        </w:tc>
        <w:tc>
          <w:tcPr>
            <w:tcW w:w="1492" w:type="dxa"/>
            <w:tcBorders>
              <w:top w:val="nil"/>
              <w:left w:val="nil"/>
              <w:right w:val="nil"/>
            </w:tcBorders>
            <w:shd w:val="clear" w:color="auto" w:fill="auto"/>
            <w:vAlign w:val="bottom"/>
          </w:tcPr>
          <w:p w14:paraId="19776A0C" w14:textId="77777777" w:rsidR="007D493D" w:rsidRPr="0081763F" w:rsidRDefault="007D493D" w:rsidP="000917D9">
            <w:pPr>
              <w:jc w:val="right"/>
              <w:rPr>
                <w:rFonts w:ascii="Calibri" w:hAnsi="Calibri" w:cs="Calibri"/>
                <w:color w:val="000000"/>
                <w:sz w:val="20"/>
                <w:szCs w:val="20"/>
              </w:rPr>
            </w:pPr>
            <w:r w:rsidRPr="0081763F">
              <w:rPr>
                <w:rFonts w:ascii="Calibri" w:eastAsia="Calibri" w:hAnsi="Calibri" w:cs="Calibri"/>
                <w:sz w:val="20"/>
                <w:szCs w:val="20"/>
                <w:lang w:eastAsia="en-IE"/>
              </w:rPr>
              <w:t>-</w:t>
            </w:r>
          </w:p>
        </w:tc>
        <w:tc>
          <w:tcPr>
            <w:tcW w:w="1492" w:type="dxa"/>
            <w:tcBorders>
              <w:top w:val="nil"/>
              <w:left w:val="nil"/>
              <w:right w:val="nil"/>
            </w:tcBorders>
            <w:shd w:val="clear" w:color="auto" w:fill="auto"/>
            <w:noWrap/>
            <w:vAlign w:val="bottom"/>
          </w:tcPr>
          <w:p w14:paraId="152C007D" w14:textId="77777777" w:rsidR="007D493D" w:rsidRPr="0081763F" w:rsidRDefault="00E21D7A" w:rsidP="000917D9">
            <w:pPr>
              <w:jc w:val="right"/>
              <w:rPr>
                <w:rFonts w:ascii="Calibri" w:hAnsi="Calibri" w:cs="Calibri"/>
                <w:color w:val="000000"/>
                <w:sz w:val="20"/>
                <w:szCs w:val="20"/>
              </w:rPr>
            </w:pPr>
            <w:r>
              <w:rPr>
                <w:rFonts w:ascii="Calibri" w:eastAsia="Calibri" w:hAnsi="Calibri" w:cs="Calibri"/>
                <w:sz w:val="20"/>
                <w:szCs w:val="20"/>
                <w:lang w:eastAsia="en-IE"/>
              </w:rPr>
              <w:t>(</w:t>
            </w:r>
            <w:r w:rsidR="007D493D" w:rsidRPr="0081763F">
              <w:rPr>
                <w:rFonts w:ascii="Calibri" w:eastAsia="Calibri" w:hAnsi="Calibri" w:cs="Calibri"/>
                <w:sz w:val="20"/>
                <w:szCs w:val="20"/>
                <w:lang w:eastAsia="en-IE"/>
              </w:rPr>
              <w:t>16.1</w:t>
            </w:r>
            <w:r>
              <w:rPr>
                <w:rFonts w:ascii="Calibri" w:eastAsia="Calibri" w:hAnsi="Calibri" w:cs="Calibri"/>
                <w:sz w:val="20"/>
                <w:szCs w:val="20"/>
                <w:lang w:eastAsia="en-IE"/>
              </w:rPr>
              <w:t>)</w:t>
            </w:r>
          </w:p>
        </w:tc>
      </w:tr>
      <w:tr w:rsidR="007D493D" w:rsidRPr="0081763F" w14:paraId="03499F3D" w14:textId="77777777" w:rsidTr="000917D9">
        <w:trPr>
          <w:trHeight w:val="307"/>
        </w:trPr>
        <w:tc>
          <w:tcPr>
            <w:tcW w:w="4145" w:type="dxa"/>
            <w:shd w:val="clear" w:color="auto" w:fill="FFFFFF"/>
            <w:vAlign w:val="bottom"/>
          </w:tcPr>
          <w:p w14:paraId="3E7389DE" w14:textId="77777777" w:rsidR="007D493D" w:rsidRPr="0081763F" w:rsidRDefault="007D493D" w:rsidP="007D493D">
            <w:pPr>
              <w:rPr>
                <w:rFonts w:ascii="Calibri" w:hAnsi="Calibri" w:cs="Calibri"/>
                <w:color w:val="000000"/>
                <w:sz w:val="20"/>
                <w:szCs w:val="20"/>
                <w:lang w:eastAsia="en-IE"/>
              </w:rPr>
            </w:pPr>
            <w:r w:rsidRPr="0081763F">
              <w:rPr>
                <w:rFonts w:ascii="Calibri" w:hAnsi="Calibri" w:cs="Calibri"/>
                <w:color w:val="000000"/>
                <w:sz w:val="20"/>
                <w:szCs w:val="20"/>
                <w:lang w:eastAsia="en-IE"/>
              </w:rPr>
              <w:t>Capital expenditure</w:t>
            </w:r>
          </w:p>
        </w:tc>
        <w:tc>
          <w:tcPr>
            <w:tcW w:w="1491" w:type="dxa"/>
            <w:tcBorders>
              <w:left w:val="nil"/>
              <w:right w:val="nil"/>
            </w:tcBorders>
            <w:shd w:val="clear" w:color="auto" w:fill="auto"/>
            <w:noWrap/>
            <w:vAlign w:val="bottom"/>
          </w:tcPr>
          <w:p w14:paraId="717CD121" w14:textId="77777777" w:rsidR="007D493D" w:rsidRPr="0081763F" w:rsidRDefault="00E21D7A" w:rsidP="000917D9">
            <w:pPr>
              <w:jc w:val="right"/>
              <w:rPr>
                <w:rFonts w:ascii="Calibri" w:hAnsi="Calibri" w:cs="Calibri"/>
                <w:color w:val="000000"/>
                <w:sz w:val="20"/>
                <w:szCs w:val="20"/>
                <w:lang w:eastAsia="en-IE"/>
              </w:rPr>
            </w:pPr>
            <w:r>
              <w:rPr>
                <w:rFonts w:ascii="Calibri" w:hAnsi="Calibri" w:cs="Calibri"/>
                <w:color w:val="000000"/>
                <w:sz w:val="20"/>
                <w:szCs w:val="20"/>
                <w:lang w:eastAsia="en-IE"/>
              </w:rPr>
              <w:t>(</w:t>
            </w:r>
            <w:r w:rsidR="007D493D" w:rsidRPr="0081763F">
              <w:rPr>
                <w:rFonts w:ascii="Calibri" w:hAnsi="Calibri" w:cs="Calibri"/>
                <w:color w:val="000000"/>
                <w:sz w:val="20"/>
                <w:szCs w:val="20"/>
                <w:lang w:eastAsia="en-IE"/>
              </w:rPr>
              <w:t>261.4</w:t>
            </w:r>
            <w:r>
              <w:rPr>
                <w:rFonts w:ascii="Calibri" w:hAnsi="Calibri" w:cs="Calibri"/>
                <w:color w:val="000000"/>
                <w:sz w:val="20"/>
                <w:szCs w:val="20"/>
                <w:lang w:eastAsia="en-IE"/>
              </w:rPr>
              <w:t>)</w:t>
            </w:r>
          </w:p>
        </w:tc>
        <w:tc>
          <w:tcPr>
            <w:tcW w:w="1658" w:type="dxa"/>
            <w:tcBorders>
              <w:left w:val="nil"/>
              <w:right w:val="nil"/>
            </w:tcBorders>
            <w:shd w:val="clear" w:color="auto" w:fill="auto"/>
            <w:vAlign w:val="bottom"/>
          </w:tcPr>
          <w:p w14:paraId="5C6FC3C4" w14:textId="77777777" w:rsidR="007D493D" w:rsidRPr="0081763F" w:rsidRDefault="00E21D7A" w:rsidP="000917D9">
            <w:pPr>
              <w:ind w:right="-45"/>
              <w:jc w:val="right"/>
              <w:rPr>
                <w:rFonts w:ascii="Calibri" w:hAnsi="Calibri" w:cs="Calibri"/>
                <w:color w:val="000000"/>
                <w:sz w:val="20"/>
                <w:szCs w:val="20"/>
              </w:rPr>
            </w:pPr>
            <w:r>
              <w:rPr>
                <w:rFonts w:ascii="Calibri" w:hAnsi="Calibri" w:cs="Calibri"/>
                <w:sz w:val="20"/>
                <w:szCs w:val="20"/>
              </w:rPr>
              <w:t>(</w:t>
            </w:r>
            <w:r w:rsidR="007D493D" w:rsidRPr="0081763F">
              <w:rPr>
                <w:rFonts w:ascii="Calibri" w:hAnsi="Calibri" w:cs="Calibri"/>
                <w:sz w:val="20"/>
                <w:szCs w:val="20"/>
              </w:rPr>
              <w:t>114.0</w:t>
            </w:r>
            <w:r>
              <w:rPr>
                <w:rFonts w:ascii="Calibri" w:hAnsi="Calibri" w:cs="Calibri"/>
                <w:sz w:val="20"/>
                <w:szCs w:val="20"/>
              </w:rPr>
              <w:t>)</w:t>
            </w:r>
          </w:p>
        </w:tc>
        <w:tc>
          <w:tcPr>
            <w:tcW w:w="1492" w:type="dxa"/>
            <w:tcBorders>
              <w:left w:val="nil"/>
              <w:right w:val="nil"/>
            </w:tcBorders>
            <w:shd w:val="clear" w:color="auto" w:fill="auto"/>
            <w:vAlign w:val="bottom"/>
          </w:tcPr>
          <w:p w14:paraId="46B61BE1" w14:textId="77777777" w:rsidR="007D493D" w:rsidRPr="0081763F" w:rsidRDefault="007D493D" w:rsidP="000917D9">
            <w:pPr>
              <w:jc w:val="right"/>
              <w:rPr>
                <w:rFonts w:ascii="Calibri" w:hAnsi="Calibri" w:cs="Calibri"/>
                <w:color w:val="000000"/>
                <w:sz w:val="20"/>
                <w:szCs w:val="20"/>
              </w:rPr>
            </w:pPr>
            <w:r w:rsidRPr="0081763F">
              <w:rPr>
                <w:rFonts w:ascii="Calibri" w:eastAsia="Calibri" w:hAnsi="Calibri" w:cs="Calibri"/>
                <w:sz w:val="20"/>
                <w:szCs w:val="20"/>
                <w:lang w:eastAsia="en-IE"/>
              </w:rPr>
              <w:t>-</w:t>
            </w:r>
          </w:p>
        </w:tc>
        <w:tc>
          <w:tcPr>
            <w:tcW w:w="1492" w:type="dxa"/>
            <w:tcBorders>
              <w:left w:val="nil"/>
              <w:right w:val="nil"/>
            </w:tcBorders>
            <w:shd w:val="clear" w:color="auto" w:fill="auto"/>
            <w:noWrap/>
            <w:vAlign w:val="bottom"/>
          </w:tcPr>
          <w:p w14:paraId="5358733C" w14:textId="77777777" w:rsidR="007D493D" w:rsidRPr="0081763F" w:rsidRDefault="00E21D7A" w:rsidP="000917D9">
            <w:pPr>
              <w:jc w:val="right"/>
              <w:rPr>
                <w:rFonts w:ascii="Calibri" w:hAnsi="Calibri" w:cs="Calibri"/>
                <w:color w:val="000000"/>
                <w:sz w:val="20"/>
                <w:szCs w:val="20"/>
              </w:rPr>
            </w:pPr>
            <w:r>
              <w:rPr>
                <w:rFonts w:ascii="Calibri" w:eastAsia="Calibri" w:hAnsi="Calibri" w:cs="Calibri"/>
                <w:sz w:val="20"/>
                <w:szCs w:val="20"/>
                <w:lang w:eastAsia="en-IE"/>
              </w:rPr>
              <w:t>(</w:t>
            </w:r>
            <w:r w:rsidR="007D493D" w:rsidRPr="0081763F">
              <w:rPr>
                <w:rFonts w:ascii="Calibri" w:eastAsia="Calibri" w:hAnsi="Calibri" w:cs="Calibri"/>
                <w:sz w:val="20"/>
                <w:szCs w:val="20"/>
                <w:lang w:eastAsia="en-IE"/>
              </w:rPr>
              <w:t>375.4</w:t>
            </w:r>
            <w:r>
              <w:rPr>
                <w:rFonts w:ascii="Calibri" w:eastAsia="Calibri" w:hAnsi="Calibri" w:cs="Calibri"/>
                <w:sz w:val="20"/>
                <w:szCs w:val="20"/>
                <w:lang w:eastAsia="en-IE"/>
              </w:rPr>
              <w:t>)</w:t>
            </w:r>
          </w:p>
        </w:tc>
      </w:tr>
      <w:tr w:rsidR="007D493D" w:rsidRPr="0081763F" w14:paraId="6AC125A5" w14:textId="77777777" w:rsidTr="000917D9">
        <w:trPr>
          <w:trHeight w:val="307"/>
        </w:trPr>
        <w:tc>
          <w:tcPr>
            <w:tcW w:w="4145" w:type="dxa"/>
            <w:shd w:val="clear" w:color="auto" w:fill="FFFFFF"/>
            <w:vAlign w:val="bottom"/>
          </w:tcPr>
          <w:p w14:paraId="3A6EA3DA" w14:textId="77777777" w:rsidR="007D493D" w:rsidRPr="0081763F" w:rsidRDefault="007D493D" w:rsidP="007D493D">
            <w:pPr>
              <w:rPr>
                <w:rFonts w:ascii="Calibri" w:hAnsi="Calibri" w:cs="Calibri"/>
                <w:color w:val="000000"/>
                <w:sz w:val="20"/>
                <w:szCs w:val="20"/>
                <w:lang w:eastAsia="en-IE"/>
              </w:rPr>
            </w:pPr>
            <w:r w:rsidRPr="0081763F">
              <w:rPr>
                <w:rFonts w:ascii="Calibri" w:hAnsi="Calibri" w:cs="Calibri"/>
                <w:color w:val="000000"/>
                <w:sz w:val="20"/>
                <w:szCs w:val="20"/>
                <w:lang w:eastAsia="en-IE"/>
              </w:rPr>
              <w:t> </w:t>
            </w:r>
          </w:p>
        </w:tc>
        <w:tc>
          <w:tcPr>
            <w:tcW w:w="1491" w:type="dxa"/>
            <w:tcBorders>
              <w:left w:val="nil"/>
              <w:right w:val="nil"/>
            </w:tcBorders>
            <w:shd w:val="clear" w:color="auto" w:fill="auto"/>
            <w:noWrap/>
            <w:vAlign w:val="bottom"/>
          </w:tcPr>
          <w:p w14:paraId="4190C0FB" w14:textId="77777777" w:rsidR="007D493D" w:rsidRPr="0081763F" w:rsidRDefault="007D493D" w:rsidP="000917D9">
            <w:pPr>
              <w:jc w:val="right"/>
              <w:rPr>
                <w:rFonts w:ascii="Calibri" w:hAnsi="Calibri" w:cs="Calibri"/>
                <w:color w:val="000000"/>
                <w:sz w:val="20"/>
                <w:szCs w:val="20"/>
                <w:lang w:eastAsia="en-IE"/>
              </w:rPr>
            </w:pPr>
          </w:p>
        </w:tc>
        <w:tc>
          <w:tcPr>
            <w:tcW w:w="1658" w:type="dxa"/>
            <w:tcBorders>
              <w:left w:val="nil"/>
              <w:right w:val="nil"/>
            </w:tcBorders>
            <w:shd w:val="clear" w:color="auto" w:fill="auto"/>
            <w:vAlign w:val="bottom"/>
          </w:tcPr>
          <w:p w14:paraId="69484568" w14:textId="77777777" w:rsidR="007D493D" w:rsidRPr="0081763F" w:rsidRDefault="007D493D" w:rsidP="000917D9">
            <w:pPr>
              <w:ind w:right="-45"/>
              <w:jc w:val="right"/>
              <w:rPr>
                <w:rFonts w:ascii="Calibri" w:hAnsi="Calibri" w:cs="Calibri"/>
                <w:color w:val="000000"/>
                <w:sz w:val="20"/>
                <w:szCs w:val="20"/>
                <w:lang w:eastAsia="en-IE"/>
              </w:rPr>
            </w:pPr>
          </w:p>
        </w:tc>
        <w:tc>
          <w:tcPr>
            <w:tcW w:w="1492" w:type="dxa"/>
            <w:tcBorders>
              <w:left w:val="nil"/>
              <w:right w:val="nil"/>
            </w:tcBorders>
            <w:shd w:val="clear" w:color="auto" w:fill="auto"/>
            <w:vAlign w:val="bottom"/>
          </w:tcPr>
          <w:p w14:paraId="149B9A06" w14:textId="77777777" w:rsidR="007D493D" w:rsidRPr="0081763F" w:rsidRDefault="007D493D" w:rsidP="000917D9">
            <w:pPr>
              <w:ind w:left="-245"/>
              <w:jc w:val="right"/>
              <w:rPr>
                <w:rFonts w:ascii="Calibri" w:hAnsi="Calibri" w:cs="Calibri"/>
                <w:color w:val="000000"/>
                <w:sz w:val="20"/>
                <w:szCs w:val="20"/>
                <w:lang w:eastAsia="en-IE"/>
              </w:rPr>
            </w:pPr>
          </w:p>
        </w:tc>
        <w:tc>
          <w:tcPr>
            <w:tcW w:w="1492" w:type="dxa"/>
            <w:tcBorders>
              <w:left w:val="nil"/>
              <w:right w:val="nil"/>
            </w:tcBorders>
            <w:shd w:val="clear" w:color="auto" w:fill="auto"/>
            <w:noWrap/>
            <w:vAlign w:val="bottom"/>
          </w:tcPr>
          <w:p w14:paraId="30709998" w14:textId="77777777" w:rsidR="007D493D" w:rsidRPr="0081763F" w:rsidRDefault="007D493D" w:rsidP="000917D9">
            <w:pPr>
              <w:jc w:val="right"/>
              <w:rPr>
                <w:rFonts w:ascii="Calibri" w:hAnsi="Calibri" w:cs="Calibri"/>
                <w:color w:val="000000"/>
                <w:sz w:val="20"/>
                <w:szCs w:val="20"/>
                <w:lang w:eastAsia="en-IE"/>
              </w:rPr>
            </w:pPr>
          </w:p>
        </w:tc>
      </w:tr>
      <w:tr w:rsidR="007D493D" w:rsidRPr="0081763F" w14:paraId="53A81DE2" w14:textId="77777777" w:rsidTr="000917D9">
        <w:trPr>
          <w:trHeight w:val="307"/>
        </w:trPr>
        <w:tc>
          <w:tcPr>
            <w:tcW w:w="4145" w:type="dxa"/>
            <w:shd w:val="clear" w:color="auto" w:fill="FFFFFF"/>
            <w:vAlign w:val="bottom"/>
          </w:tcPr>
          <w:p w14:paraId="0ECE2B72" w14:textId="77777777" w:rsidR="007D493D" w:rsidRPr="0081763F" w:rsidRDefault="007D493D" w:rsidP="007D493D">
            <w:pPr>
              <w:rPr>
                <w:rFonts w:ascii="Calibri" w:hAnsi="Calibri" w:cs="Calibri"/>
                <w:color w:val="000000"/>
                <w:sz w:val="20"/>
                <w:szCs w:val="20"/>
                <w:lang w:eastAsia="en-IE"/>
              </w:rPr>
            </w:pPr>
            <w:r w:rsidRPr="0081763F">
              <w:rPr>
                <w:rFonts w:ascii="Calibri" w:hAnsi="Calibri" w:cs="Calibri"/>
                <w:color w:val="000000"/>
                <w:sz w:val="20"/>
                <w:szCs w:val="20"/>
                <w:lang w:eastAsia="en-IE"/>
              </w:rPr>
              <w:t>Segment assets</w:t>
            </w:r>
          </w:p>
        </w:tc>
        <w:tc>
          <w:tcPr>
            <w:tcW w:w="1491" w:type="dxa"/>
            <w:tcBorders>
              <w:top w:val="nil"/>
              <w:left w:val="nil"/>
              <w:bottom w:val="nil"/>
              <w:right w:val="nil"/>
            </w:tcBorders>
            <w:shd w:val="clear" w:color="auto" w:fill="auto"/>
            <w:noWrap/>
            <w:vAlign w:val="bottom"/>
          </w:tcPr>
          <w:p w14:paraId="16657B99" w14:textId="77777777" w:rsidR="007D493D" w:rsidRPr="0081763F" w:rsidRDefault="007D493D" w:rsidP="000917D9">
            <w:pPr>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 xml:space="preserve">          16,063.1</w:t>
            </w:r>
          </w:p>
        </w:tc>
        <w:tc>
          <w:tcPr>
            <w:tcW w:w="1658" w:type="dxa"/>
            <w:tcBorders>
              <w:top w:val="nil"/>
              <w:left w:val="nil"/>
              <w:bottom w:val="nil"/>
              <w:right w:val="nil"/>
            </w:tcBorders>
            <w:shd w:val="clear" w:color="auto" w:fill="auto"/>
            <w:vAlign w:val="bottom"/>
          </w:tcPr>
          <w:p w14:paraId="4E43657D" w14:textId="77777777" w:rsidR="007D493D" w:rsidRPr="0081763F" w:rsidRDefault="007D493D" w:rsidP="000917D9">
            <w:pPr>
              <w:ind w:right="-45"/>
              <w:jc w:val="right"/>
              <w:rPr>
                <w:rFonts w:ascii="Calibri" w:hAnsi="Calibri" w:cs="Calibri"/>
                <w:color w:val="000000"/>
                <w:sz w:val="20"/>
                <w:szCs w:val="20"/>
                <w:lang w:eastAsia="en-IE"/>
              </w:rPr>
            </w:pPr>
            <w:r w:rsidRPr="0081763F">
              <w:rPr>
                <w:rFonts w:ascii="Calibri" w:hAnsi="Calibri" w:cs="Calibri"/>
                <w:color w:val="000000"/>
                <w:sz w:val="20"/>
                <w:szCs w:val="20"/>
              </w:rPr>
              <w:t>534.2</w:t>
            </w:r>
          </w:p>
        </w:tc>
        <w:tc>
          <w:tcPr>
            <w:tcW w:w="1492" w:type="dxa"/>
            <w:tcBorders>
              <w:top w:val="nil"/>
              <w:left w:val="nil"/>
              <w:bottom w:val="nil"/>
              <w:right w:val="nil"/>
            </w:tcBorders>
            <w:shd w:val="clear" w:color="auto" w:fill="auto"/>
            <w:vAlign w:val="bottom"/>
          </w:tcPr>
          <w:p w14:paraId="0A993C23" w14:textId="77777777" w:rsidR="007D493D" w:rsidRPr="0081763F" w:rsidRDefault="007D493D" w:rsidP="000917D9">
            <w:pPr>
              <w:ind w:left="-245"/>
              <w:jc w:val="right"/>
              <w:rPr>
                <w:rFonts w:ascii="Calibri" w:hAnsi="Calibri" w:cs="Calibri"/>
                <w:color w:val="000000"/>
                <w:sz w:val="20"/>
                <w:szCs w:val="20"/>
                <w:lang w:eastAsia="en-IE"/>
              </w:rPr>
            </w:pPr>
            <w:r w:rsidRPr="0081763F">
              <w:rPr>
                <w:rFonts w:ascii="Calibri" w:eastAsia="Calibri" w:hAnsi="Calibri" w:cs="Calibri"/>
                <w:sz w:val="20"/>
                <w:szCs w:val="20"/>
                <w:lang w:eastAsia="en-IE"/>
              </w:rPr>
              <w:t>-</w:t>
            </w:r>
          </w:p>
        </w:tc>
        <w:tc>
          <w:tcPr>
            <w:tcW w:w="1492" w:type="dxa"/>
            <w:tcBorders>
              <w:top w:val="nil"/>
              <w:left w:val="nil"/>
              <w:bottom w:val="nil"/>
              <w:right w:val="nil"/>
            </w:tcBorders>
            <w:shd w:val="clear" w:color="auto" w:fill="auto"/>
            <w:noWrap/>
            <w:vAlign w:val="bottom"/>
          </w:tcPr>
          <w:p w14:paraId="33A4C862" w14:textId="77777777" w:rsidR="007D493D" w:rsidRPr="0081763F" w:rsidRDefault="007D493D" w:rsidP="000917D9">
            <w:pPr>
              <w:jc w:val="right"/>
              <w:rPr>
                <w:rFonts w:ascii="Calibri" w:hAnsi="Calibri" w:cs="Calibri"/>
                <w:color w:val="000000"/>
                <w:sz w:val="20"/>
                <w:szCs w:val="20"/>
                <w:lang w:eastAsia="en-IE"/>
              </w:rPr>
            </w:pPr>
            <w:r w:rsidRPr="0081763F">
              <w:rPr>
                <w:rFonts w:ascii="Calibri" w:eastAsia="Calibri" w:hAnsi="Calibri" w:cs="Calibri"/>
                <w:sz w:val="20"/>
                <w:szCs w:val="20"/>
                <w:lang w:eastAsia="en-IE"/>
              </w:rPr>
              <w:t>16,597.3</w:t>
            </w:r>
          </w:p>
        </w:tc>
      </w:tr>
      <w:tr w:rsidR="007D493D" w:rsidRPr="0081763F" w14:paraId="3EF8C3F8" w14:textId="77777777" w:rsidTr="000917D9">
        <w:trPr>
          <w:trHeight w:val="307"/>
        </w:trPr>
        <w:tc>
          <w:tcPr>
            <w:tcW w:w="4145" w:type="dxa"/>
            <w:shd w:val="clear" w:color="auto" w:fill="FFFFFF"/>
            <w:vAlign w:val="bottom"/>
          </w:tcPr>
          <w:p w14:paraId="738F4F79" w14:textId="77777777" w:rsidR="007D493D" w:rsidRPr="0081763F" w:rsidRDefault="007D493D" w:rsidP="007D493D">
            <w:pPr>
              <w:rPr>
                <w:rFonts w:ascii="Calibri" w:hAnsi="Calibri" w:cs="Calibri"/>
                <w:color w:val="000000"/>
                <w:sz w:val="20"/>
                <w:szCs w:val="20"/>
                <w:lang w:eastAsia="en-IE"/>
              </w:rPr>
            </w:pPr>
            <w:r w:rsidRPr="0081763F">
              <w:rPr>
                <w:rFonts w:ascii="Calibri" w:hAnsi="Calibri" w:cs="Calibri"/>
                <w:color w:val="000000"/>
                <w:sz w:val="20"/>
                <w:szCs w:val="20"/>
                <w:lang w:eastAsia="en-IE"/>
              </w:rPr>
              <w:t>Segment liabilities</w:t>
            </w:r>
          </w:p>
        </w:tc>
        <w:tc>
          <w:tcPr>
            <w:tcW w:w="1491" w:type="dxa"/>
            <w:tcBorders>
              <w:top w:val="nil"/>
              <w:left w:val="nil"/>
              <w:bottom w:val="nil"/>
              <w:right w:val="nil"/>
            </w:tcBorders>
            <w:shd w:val="clear" w:color="auto" w:fill="auto"/>
            <w:noWrap/>
            <w:vAlign w:val="bottom"/>
          </w:tcPr>
          <w:p w14:paraId="5BE8D622" w14:textId="77777777" w:rsidR="007D493D" w:rsidRPr="0081763F" w:rsidRDefault="007D493D" w:rsidP="000917D9">
            <w:pPr>
              <w:jc w:val="right"/>
              <w:rPr>
                <w:rFonts w:ascii="Calibri" w:hAnsi="Calibri" w:cs="Calibri"/>
                <w:color w:val="000000"/>
                <w:sz w:val="20"/>
                <w:szCs w:val="20"/>
                <w:lang w:eastAsia="en-IE"/>
              </w:rPr>
            </w:pPr>
            <w:r w:rsidRPr="0081763F">
              <w:rPr>
                <w:rFonts w:ascii="Calibri" w:hAnsi="Calibri" w:cs="Calibri"/>
                <w:color w:val="000000"/>
                <w:sz w:val="20"/>
                <w:szCs w:val="20"/>
                <w:lang w:eastAsia="en-IE"/>
              </w:rPr>
              <w:t xml:space="preserve">        </w:t>
            </w:r>
            <w:r w:rsidR="00E21D7A">
              <w:rPr>
                <w:rFonts w:ascii="Calibri" w:hAnsi="Calibri" w:cs="Calibri"/>
                <w:color w:val="000000"/>
                <w:sz w:val="20"/>
                <w:szCs w:val="20"/>
                <w:lang w:eastAsia="en-IE"/>
              </w:rPr>
              <w:t>(</w:t>
            </w:r>
            <w:r w:rsidRPr="0081763F">
              <w:rPr>
                <w:rFonts w:ascii="Calibri" w:hAnsi="Calibri" w:cs="Calibri"/>
                <w:color w:val="000000"/>
                <w:sz w:val="20"/>
                <w:szCs w:val="20"/>
                <w:lang w:eastAsia="en-IE"/>
              </w:rPr>
              <w:t>9,003.6</w:t>
            </w:r>
            <w:r w:rsidR="00E21D7A">
              <w:rPr>
                <w:rFonts w:ascii="Calibri" w:hAnsi="Calibri" w:cs="Calibri"/>
                <w:color w:val="000000"/>
                <w:sz w:val="20"/>
                <w:szCs w:val="20"/>
                <w:lang w:eastAsia="en-IE"/>
              </w:rPr>
              <w:t>)</w:t>
            </w:r>
          </w:p>
        </w:tc>
        <w:tc>
          <w:tcPr>
            <w:tcW w:w="1658" w:type="dxa"/>
            <w:tcBorders>
              <w:top w:val="nil"/>
              <w:left w:val="nil"/>
              <w:bottom w:val="nil"/>
              <w:right w:val="nil"/>
            </w:tcBorders>
            <w:shd w:val="clear" w:color="auto" w:fill="auto"/>
            <w:vAlign w:val="bottom"/>
          </w:tcPr>
          <w:p w14:paraId="0E6BB5E3" w14:textId="77777777" w:rsidR="007D493D" w:rsidRPr="0081763F" w:rsidRDefault="00E21D7A" w:rsidP="000917D9">
            <w:pPr>
              <w:ind w:right="-45"/>
              <w:jc w:val="right"/>
              <w:rPr>
                <w:rFonts w:ascii="Calibri" w:hAnsi="Calibri" w:cs="Calibri"/>
                <w:color w:val="000000"/>
                <w:sz w:val="20"/>
                <w:szCs w:val="20"/>
              </w:rPr>
            </w:pPr>
            <w:r>
              <w:rPr>
                <w:rFonts w:ascii="Calibri" w:hAnsi="Calibri" w:cs="Calibri"/>
                <w:color w:val="000000"/>
                <w:sz w:val="20"/>
                <w:szCs w:val="20"/>
              </w:rPr>
              <w:t>(</w:t>
            </w:r>
            <w:r w:rsidR="007D493D" w:rsidRPr="0081763F">
              <w:rPr>
                <w:rFonts w:ascii="Calibri" w:hAnsi="Calibri" w:cs="Calibri"/>
                <w:color w:val="000000"/>
                <w:sz w:val="20"/>
                <w:szCs w:val="20"/>
              </w:rPr>
              <w:t>927.6</w:t>
            </w:r>
            <w:r>
              <w:rPr>
                <w:rFonts w:ascii="Calibri" w:hAnsi="Calibri" w:cs="Calibri"/>
                <w:color w:val="000000"/>
                <w:sz w:val="20"/>
                <w:szCs w:val="20"/>
              </w:rPr>
              <w:t>)</w:t>
            </w:r>
          </w:p>
        </w:tc>
        <w:tc>
          <w:tcPr>
            <w:tcW w:w="1492" w:type="dxa"/>
            <w:tcBorders>
              <w:top w:val="nil"/>
              <w:left w:val="nil"/>
              <w:bottom w:val="nil"/>
              <w:right w:val="nil"/>
            </w:tcBorders>
            <w:shd w:val="clear" w:color="auto" w:fill="auto"/>
            <w:vAlign w:val="bottom"/>
          </w:tcPr>
          <w:p w14:paraId="552D8FA5" w14:textId="77777777" w:rsidR="007D493D" w:rsidRPr="0081763F" w:rsidRDefault="007D493D" w:rsidP="000917D9">
            <w:pPr>
              <w:jc w:val="right"/>
              <w:rPr>
                <w:rFonts w:ascii="Calibri" w:hAnsi="Calibri" w:cs="Calibri"/>
                <w:color w:val="000000"/>
                <w:sz w:val="20"/>
                <w:szCs w:val="20"/>
                <w:lang w:eastAsia="en-IE"/>
              </w:rPr>
            </w:pPr>
            <w:r w:rsidRPr="0081763F">
              <w:rPr>
                <w:rFonts w:ascii="Calibri" w:eastAsia="Calibri" w:hAnsi="Calibri" w:cs="Calibri"/>
                <w:sz w:val="20"/>
                <w:szCs w:val="20"/>
                <w:lang w:eastAsia="en-IE"/>
              </w:rPr>
              <w:t>-</w:t>
            </w:r>
          </w:p>
        </w:tc>
        <w:tc>
          <w:tcPr>
            <w:tcW w:w="1492" w:type="dxa"/>
            <w:tcBorders>
              <w:top w:val="nil"/>
              <w:left w:val="nil"/>
              <w:bottom w:val="nil"/>
              <w:right w:val="nil"/>
            </w:tcBorders>
            <w:shd w:val="clear" w:color="auto" w:fill="auto"/>
            <w:noWrap/>
            <w:vAlign w:val="bottom"/>
          </w:tcPr>
          <w:p w14:paraId="4FEC8009" w14:textId="77777777" w:rsidR="007D493D" w:rsidRPr="0081763F" w:rsidRDefault="00E21D7A" w:rsidP="000917D9">
            <w:pPr>
              <w:jc w:val="right"/>
              <w:rPr>
                <w:rFonts w:ascii="Calibri" w:hAnsi="Calibri" w:cs="Calibri"/>
                <w:color w:val="000000"/>
                <w:sz w:val="20"/>
                <w:szCs w:val="20"/>
                <w:lang w:eastAsia="en-IE"/>
              </w:rPr>
            </w:pPr>
            <w:r>
              <w:rPr>
                <w:rFonts w:ascii="Calibri" w:eastAsia="Calibri" w:hAnsi="Calibri" w:cs="Calibri"/>
                <w:sz w:val="20"/>
                <w:szCs w:val="20"/>
                <w:lang w:eastAsia="en-IE"/>
              </w:rPr>
              <w:t>(</w:t>
            </w:r>
            <w:r w:rsidR="007D493D" w:rsidRPr="0081763F">
              <w:rPr>
                <w:rFonts w:ascii="Calibri" w:eastAsia="Calibri" w:hAnsi="Calibri" w:cs="Calibri"/>
                <w:sz w:val="20"/>
                <w:szCs w:val="20"/>
                <w:lang w:eastAsia="en-IE"/>
              </w:rPr>
              <w:t>9,931.2</w:t>
            </w:r>
            <w:r>
              <w:rPr>
                <w:rFonts w:ascii="Calibri" w:eastAsia="Calibri" w:hAnsi="Calibri" w:cs="Calibri"/>
                <w:sz w:val="20"/>
                <w:szCs w:val="20"/>
                <w:lang w:eastAsia="en-IE"/>
              </w:rPr>
              <w:t>)</w:t>
            </w:r>
          </w:p>
        </w:tc>
      </w:tr>
    </w:tbl>
    <w:p w14:paraId="6882CDBE" w14:textId="77777777" w:rsidR="007D493D" w:rsidRPr="0081763F" w:rsidRDefault="007D493D" w:rsidP="007D493D">
      <w:pPr>
        <w:tabs>
          <w:tab w:val="left" w:pos="4080"/>
        </w:tabs>
        <w:rPr>
          <w:rFonts w:ascii="Calibri" w:hAnsi="Calibri" w:cs="Calibri"/>
          <w:lang w:val="en-US"/>
        </w:rPr>
      </w:pPr>
    </w:p>
    <w:p w14:paraId="7D1BEB41" w14:textId="77777777" w:rsidR="00E94A24" w:rsidRPr="00E94A24" w:rsidRDefault="00502376" w:rsidP="00E94A24">
      <w:pPr>
        <w:ind w:right="-142"/>
        <w:jc w:val="both"/>
        <w:rPr>
          <w:rFonts w:ascii="Calibri" w:hAnsi="Calibri" w:cs="Calibri"/>
          <w:i/>
          <w:iCs/>
          <w:sz w:val="18"/>
          <w:szCs w:val="18"/>
        </w:rPr>
      </w:pPr>
      <w:r>
        <w:rPr>
          <w:rFonts w:ascii="Calibri" w:hAnsi="Calibri" w:cs="Calibri"/>
          <w:i/>
          <w:iCs/>
          <w:sz w:val="18"/>
          <w:szCs w:val="18"/>
        </w:rPr>
        <w:t>(</w:t>
      </w:r>
      <w:r w:rsidR="00E94A24" w:rsidRPr="00E94A24">
        <w:rPr>
          <w:rFonts w:ascii="Calibri" w:hAnsi="Calibri" w:cs="Calibri"/>
          <w:i/>
          <w:iCs/>
          <w:sz w:val="18"/>
          <w:szCs w:val="18"/>
        </w:rPr>
        <w:t>i) Adjusted profit after tax in the three months to September 30, 2022, excludes a net exceptional loss after tax of €125M, attributable to the fair value measurement of jet fuel call options.</w:t>
      </w:r>
    </w:p>
    <w:p w14:paraId="331D18C5" w14:textId="77777777" w:rsidR="00E94A24" w:rsidRDefault="00E94A24" w:rsidP="00BC2DD1">
      <w:pPr>
        <w:spacing w:after="120" w:line="300" w:lineRule="exact"/>
        <w:ind w:right="-142"/>
        <w:jc w:val="both"/>
        <w:rPr>
          <w:rFonts w:ascii="Calibri" w:hAnsi="Calibri" w:cs="Calibri"/>
          <w:sz w:val="22"/>
          <w:szCs w:val="22"/>
        </w:rPr>
      </w:pPr>
    </w:p>
    <w:p w14:paraId="7E4C16A7" w14:textId="77777777" w:rsidR="003D3D5E" w:rsidRDefault="00346E22" w:rsidP="00BC2DD1">
      <w:pPr>
        <w:spacing w:after="120" w:line="300" w:lineRule="exact"/>
        <w:ind w:right="-142"/>
        <w:jc w:val="both"/>
        <w:rPr>
          <w:rFonts w:ascii="Calibri" w:hAnsi="Calibri" w:cs="Calibri"/>
          <w:sz w:val="22"/>
          <w:szCs w:val="22"/>
        </w:rPr>
      </w:pPr>
      <w:r w:rsidRPr="0081763F">
        <w:rPr>
          <w:rFonts w:ascii="Calibri" w:hAnsi="Calibri" w:cs="Calibri"/>
          <w:sz w:val="22"/>
          <w:szCs w:val="22"/>
        </w:rPr>
        <w:t xml:space="preserve">The following table disaggregates revenue by primary geographical market. In accordance with IFRS 8, revenue by country of origin has been provided where revenue for that country is </w:t>
      </w:r>
      <w:proofErr w:type="gramStart"/>
      <w:r w:rsidRPr="0081763F">
        <w:rPr>
          <w:rFonts w:ascii="Calibri" w:hAnsi="Calibri" w:cs="Calibri"/>
          <w:sz w:val="22"/>
          <w:szCs w:val="22"/>
        </w:rPr>
        <w:t>in excess of</w:t>
      </w:r>
      <w:proofErr w:type="gramEnd"/>
      <w:r w:rsidRPr="0081763F">
        <w:rPr>
          <w:rFonts w:ascii="Calibri" w:hAnsi="Calibri" w:cs="Calibri"/>
          <w:sz w:val="22"/>
          <w:szCs w:val="22"/>
        </w:rPr>
        <w:t xml:space="preserve"> 10% of total revenue. Ireland is presented as it represents the country of domicile. “Other” includes all other countries in which the Group has operations.</w:t>
      </w:r>
    </w:p>
    <w:p w14:paraId="480E03BF" w14:textId="77777777" w:rsidR="00D00A73" w:rsidRDefault="00D00A73">
      <w:r>
        <w:br w:type="page"/>
      </w:r>
    </w:p>
    <w:tbl>
      <w:tblPr>
        <w:tblW w:w="10232" w:type="dxa"/>
        <w:tblInd w:w="108" w:type="dxa"/>
        <w:tblLook w:val="04A0" w:firstRow="1" w:lastRow="0" w:firstColumn="1" w:lastColumn="0" w:noHBand="0" w:noVBand="1"/>
      </w:tblPr>
      <w:tblGrid>
        <w:gridCol w:w="3686"/>
        <w:gridCol w:w="284"/>
        <w:gridCol w:w="283"/>
        <w:gridCol w:w="1559"/>
        <w:gridCol w:w="1418"/>
        <w:gridCol w:w="1514"/>
        <w:gridCol w:w="1488"/>
      </w:tblGrid>
      <w:tr w:rsidR="00BF4A9E" w14:paraId="17D06F03" w14:textId="77777777" w:rsidTr="009C5CA5">
        <w:trPr>
          <w:trHeight w:val="223"/>
        </w:trPr>
        <w:tc>
          <w:tcPr>
            <w:tcW w:w="3686" w:type="dxa"/>
          </w:tcPr>
          <w:p w14:paraId="5CB2929F" w14:textId="77777777" w:rsidR="00BF4A9E" w:rsidRDefault="00BF4A9E" w:rsidP="00984744">
            <w:pPr>
              <w:autoSpaceDE w:val="0"/>
              <w:autoSpaceDN w:val="0"/>
              <w:adjustRightInd w:val="0"/>
              <w:ind w:hanging="105"/>
              <w:jc w:val="right"/>
              <w:rPr>
                <w:rFonts w:ascii="Calibri" w:hAnsi="Calibri" w:cs="Calibri"/>
                <w:color w:val="000000"/>
                <w:sz w:val="22"/>
                <w:szCs w:val="22"/>
              </w:rPr>
            </w:pPr>
          </w:p>
        </w:tc>
        <w:tc>
          <w:tcPr>
            <w:tcW w:w="284" w:type="dxa"/>
          </w:tcPr>
          <w:p w14:paraId="49AFCE9A" w14:textId="77777777" w:rsidR="00BF4A9E" w:rsidRDefault="00BF4A9E">
            <w:pPr>
              <w:autoSpaceDE w:val="0"/>
              <w:autoSpaceDN w:val="0"/>
              <w:adjustRightInd w:val="0"/>
              <w:jc w:val="right"/>
              <w:rPr>
                <w:rFonts w:ascii="Calibri" w:hAnsi="Calibri" w:cs="Calibri"/>
                <w:b/>
                <w:bCs/>
                <w:color w:val="000000"/>
                <w:sz w:val="22"/>
                <w:szCs w:val="22"/>
                <w:highlight w:val="yellow"/>
              </w:rPr>
            </w:pPr>
          </w:p>
        </w:tc>
        <w:tc>
          <w:tcPr>
            <w:tcW w:w="283" w:type="dxa"/>
          </w:tcPr>
          <w:p w14:paraId="7895D8E9" w14:textId="77777777" w:rsidR="00BF4A9E" w:rsidRDefault="00BF4A9E">
            <w:pPr>
              <w:autoSpaceDE w:val="0"/>
              <w:autoSpaceDN w:val="0"/>
              <w:adjustRightInd w:val="0"/>
              <w:jc w:val="right"/>
              <w:rPr>
                <w:rFonts w:ascii="Calibri" w:hAnsi="Calibri" w:cs="Calibri"/>
                <w:color w:val="000000"/>
                <w:sz w:val="22"/>
                <w:szCs w:val="22"/>
              </w:rPr>
            </w:pPr>
          </w:p>
        </w:tc>
        <w:tc>
          <w:tcPr>
            <w:tcW w:w="1559" w:type="dxa"/>
            <w:shd w:val="clear" w:color="auto" w:fill="FFFF00"/>
            <w:hideMark/>
          </w:tcPr>
          <w:p w14:paraId="27AF6339" w14:textId="77777777" w:rsidR="00B4227E" w:rsidRDefault="00BF4A9E">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 xml:space="preserve">Half-Year Ended </w:t>
            </w:r>
          </w:p>
          <w:p w14:paraId="0E7E4FDC" w14:textId="77777777" w:rsidR="00BF4A9E" w:rsidRDefault="00BF4A9E">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Sep 30, 202</w:t>
            </w:r>
            <w:r w:rsidR="00346E22">
              <w:rPr>
                <w:rFonts w:ascii="Calibri" w:hAnsi="Calibri" w:cs="Calibri"/>
                <w:b/>
                <w:color w:val="000000"/>
                <w:sz w:val="22"/>
                <w:szCs w:val="22"/>
              </w:rPr>
              <w:t>3</w:t>
            </w:r>
          </w:p>
        </w:tc>
        <w:tc>
          <w:tcPr>
            <w:tcW w:w="1418" w:type="dxa"/>
            <w:hideMark/>
          </w:tcPr>
          <w:p w14:paraId="1ECA6FB5" w14:textId="77777777" w:rsidR="00B4227E" w:rsidRPr="00BD0069" w:rsidRDefault="00BF4A9E">
            <w:pPr>
              <w:autoSpaceDE w:val="0"/>
              <w:autoSpaceDN w:val="0"/>
              <w:adjustRightInd w:val="0"/>
              <w:jc w:val="right"/>
              <w:rPr>
                <w:rFonts w:ascii="Calibri" w:hAnsi="Calibri" w:cs="Calibri"/>
                <w:color w:val="000000"/>
                <w:sz w:val="22"/>
                <w:szCs w:val="22"/>
              </w:rPr>
            </w:pPr>
            <w:r w:rsidRPr="00BD0069">
              <w:rPr>
                <w:rFonts w:ascii="Calibri" w:hAnsi="Calibri" w:cs="Calibri"/>
                <w:color w:val="000000"/>
                <w:sz w:val="22"/>
                <w:szCs w:val="22"/>
              </w:rPr>
              <w:t xml:space="preserve">Half-Year Ended </w:t>
            </w:r>
          </w:p>
          <w:p w14:paraId="572C42DA" w14:textId="77777777" w:rsidR="00BF4A9E" w:rsidRPr="00BD0069" w:rsidRDefault="00BF4A9E">
            <w:pPr>
              <w:autoSpaceDE w:val="0"/>
              <w:autoSpaceDN w:val="0"/>
              <w:adjustRightInd w:val="0"/>
              <w:jc w:val="right"/>
              <w:rPr>
                <w:rFonts w:ascii="Calibri" w:hAnsi="Calibri" w:cs="Calibri"/>
                <w:color w:val="000000"/>
                <w:sz w:val="22"/>
                <w:szCs w:val="22"/>
              </w:rPr>
            </w:pPr>
            <w:r w:rsidRPr="00BD0069">
              <w:rPr>
                <w:rFonts w:ascii="Calibri" w:hAnsi="Calibri" w:cs="Calibri"/>
                <w:color w:val="000000"/>
                <w:sz w:val="22"/>
                <w:szCs w:val="22"/>
              </w:rPr>
              <w:t>Sep 30, 202</w:t>
            </w:r>
            <w:r w:rsidR="00346E22">
              <w:rPr>
                <w:rFonts w:ascii="Calibri" w:hAnsi="Calibri" w:cs="Calibri"/>
                <w:color w:val="000000"/>
                <w:sz w:val="22"/>
                <w:szCs w:val="22"/>
              </w:rPr>
              <w:t>2</w:t>
            </w:r>
          </w:p>
        </w:tc>
        <w:tc>
          <w:tcPr>
            <w:tcW w:w="1514" w:type="dxa"/>
            <w:shd w:val="clear" w:color="auto" w:fill="FFFF00"/>
            <w:hideMark/>
          </w:tcPr>
          <w:p w14:paraId="580D85B4" w14:textId="77777777" w:rsidR="00B4227E" w:rsidRDefault="00BF4A9E">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 xml:space="preserve">Quarter Ended </w:t>
            </w:r>
          </w:p>
          <w:p w14:paraId="19CF226F" w14:textId="77777777" w:rsidR="00BF4A9E" w:rsidRDefault="00BF4A9E">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Sep 30, 202</w:t>
            </w:r>
            <w:r w:rsidR="00346E22">
              <w:rPr>
                <w:rFonts w:ascii="Calibri" w:hAnsi="Calibri" w:cs="Calibri"/>
                <w:b/>
                <w:color w:val="000000"/>
                <w:sz w:val="22"/>
                <w:szCs w:val="22"/>
              </w:rPr>
              <w:t>3</w:t>
            </w:r>
          </w:p>
        </w:tc>
        <w:tc>
          <w:tcPr>
            <w:tcW w:w="1488" w:type="dxa"/>
            <w:hideMark/>
          </w:tcPr>
          <w:p w14:paraId="3A68C036" w14:textId="77777777" w:rsidR="00346E22" w:rsidRDefault="00BF4A9E" w:rsidP="009C5CA5">
            <w:pPr>
              <w:autoSpaceDE w:val="0"/>
              <w:autoSpaceDN w:val="0"/>
              <w:adjustRightInd w:val="0"/>
              <w:ind w:right="-81"/>
              <w:jc w:val="right"/>
              <w:rPr>
                <w:rFonts w:ascii="Calibri" w:hAnsi="Calibri" w:cs="Calibri"/>
                <w:color w:val="000000"/>
                <w:sz w:val="22"/>
                <w:szCs w:val="22"/>
              </w:rPr>
            </w:pPr>
            <w:r w:rsidRPr="00BD0069">
              <w:rPr>
                <w:rFonts w:ascii="Calibri" w:hAnsi="Calibri" w:cs="Calibri"/>
                <w:color w:val="000000"/>
                <w:sz w:val="22"/>
                <w:szCs w:val="22"/>
              </w:rPr>
              <w:t xml:space="preserve">Quarter </w:t>
            </w:r>
          </w:p>
          <w:p w14:paraId="5FA2A0D2" w14:textId="77777777" w:rsidR="00B4227E" w:rsidRPr="00BD0069" w:rsidRDefault="00BF4A9E" w:rsidP="009C5CA5">
            <w:pPr>
              <w:autoSpaceDE w:val="0"/>
              <w:autoSpaceDN w:val="0"/>
              <w:adjustRightInd w:val="0"/>
              <w:ind w:right="-81"/>
              <w:jc w:val="right"/>
              <w:rPr>
                <w:rFonts w:ascii="Calibri" w:hAnsi="Calibri" w:cs="Calibri"/>
                <w:color w:val="000000"/>
                <w:sz w:val="22"/>
                <w:szCs w:val="22"/>
              </w:rPr>
            </w:pPr>
            <w:r w:rsidRPr="00BD0069">
              <w:rPr>
                <w:rFonts w:ascii="Calibri" w:hAnsi="Calibri" w:cs="Calibri"/>
                <w:color w:val="000000"/>
                <w:sz w:val="22"/>
                <w:szCs w:val="22"/>
              </w:rPr>
              <w:t xml:space="preserve">Ended </w:t>
            </w:r>
          </w:p>
          <w:p w14:paraId="7D0083E2" w14:textId="77777777" w:rsidR="00BF4A9E" w:rsidRPr="00BD0069" w:rsidRDefault="00BF4A9E" w:rsidP="009C5CA5">
            <w:pPr>
              <w:autoSpaceDE w:val="0"/>
              <w:autoSpaceDN w:val="0"/>
              <w:adjustRightInd w:val="0"/>
              <w:ind w:right="-81"/>
              <w:jc w:val="right"/>
              <w:rPr>
                <w:rFonts w:ascii="Calibri" w:hAnsi="Calibri" w:cs="Calibri"/>
                <w:color w:val="000000"/>
                <w:sz w:val="22"/>
                <w:szCs w:val="22"/>
              </w:rPr>
            </w:pPr>
            <w:r w:rsidRPr="00BD0069">
              <w:rPr>
                <w:rFonts w:ascii="Calibri" w:hAnsi="Calibri" w:cs="Calibri"/>
                <w:color w:val="000000"/>
                <w:sz w:val="22"/>
                <w:szCs w:val="22"/>
              </w:rPr>
              <w:t>Sep 30, 202</w:t>
            </w:r>
            <w:r w:rsidR="00346E22">
              <w:rPr>
                <w:rFonts w:ascii="Calibri" w:hAnsi="Calibri" w:cs="Calibri"/>
                <w:color w:val="000000"/>
                <w:sz w:val="22"/>
                <w:szCs w:val="22"/>
              </w:rPr>
              <w:t>2</w:t>
            </w:r>
          </w:p>
        </w:tc>
      </w:tr>
      <w:tr w:rsidR="00BF4A9E" w14:paraId="51D0A062" w14:textId="77777777" w:rsidTr="009C5CA5">
        <w:trPr>
          <w:trHeight w:val="223"/>
        </w:trPr>
        <w:tc>
          <w:tcPr>
            <w:tcW w:w="3686" w:type="dxa"/>
          </w:tcPr>
          <w:p w14:paraId="323F8DF2" w14:textId="77777777" w:rsidR="00BF4A9E" w:rsidRDefault="00BF4A9E" w:rsidP="00984744">
            <w:pPr>
              <w:autoSpaceDE w:val="0"/>
              <w:autoSpaceDN w:val="0"/>
              <w:adjustRightInd w:val="0"/>
              <w:ind w:hanging="105"/>
              <w:jc w:val="right"/>
              <w:rPr>
                <w:rFonts w:ascii="Calibri" w:hAnsi="Calibri" w:cs="Calibri"/>
                <w:color w:val="000000"/>
                <w:sz w:val="22"/>
                <w:szCs w:val="22"/>
              </w:rPr>
            </w:pPr>
          </w:p>
        </w:tc>
        <w:tc>
          <w:tcPr>
            <w:tcW w:w="284" w:type="dxa"/>
          </w:tcPr>
          <w:p w14:paraId="4B355E2C" w14:textId="77777777" w:rsidR="00BF4A9E" w:rsidRDefault="00BF4A9E">
            <w:pPr>
              <w:autoSpaceDE w:val="0"/>
              <w:autoSpaceDN w:val="0"/>
              <w:adjustRightInd w:val="0"/>
              <w:ind w:left="-106" w:right="-113"/>
              <w:jc w:val="right"/>
              <w:rPr>
                <w:rFonts w:ascii="Calibri" w:hAnsi="Calibri" w:cs="Calibri"/>
                <w:b/>
                <w:bCs/>
                <w:color w:val="000000"/>
                <w:sz w:val="22"/>
                <w:szCs w:val="22"/>
                <w:highlight w:val="yellow"/>
              </w:rPr>
            </w:pPr>
          </w:p>
        </w:tc>
        <w:tc>
          <w:tcPr>
            <w:tcW w:w="283" w:type="dxa"/>
          </w:tcPr>
          <w:p w14:paraId="596A8EFB" w14:textId="77777777" w:rsidR="00BF4A9E" w:rsidRDefault="00BF4A9E">
            <w:pPr>
              <w:autoSpaceDE w:val="0"/>
              <w:autoSpaceDN w:val="0"/>
              <w:adjustRightInd w:val="0"/>
              <w:ind w:left="-112" w:right="-107"/>
              <w:jc w:val="right"/>
              <w:rPr>
                <w:rFonts w:ascii="Calibri" w:hAnsi="Calibri" w:cs="Calibri"/>
                <w:color w:val="000000"/>
                <w:sz w:val="22"/>
                <w:szCs w:val="22"/>
              </w:rPr>
            </w:pPr>
          </w:p>
        </w:tc>
        <w:tc>
          <w:tcPr>
            <w:tcW w:w="1559" w:type="dxa"/>
            <w:shd w:val="clear" w:color="auto" w:fill="FFFF00"/>
          </w:tcPr>
          <w:p w14:paraId="67FC1A95" w14:textId="77777777" w:rsidR="00BF4A9E" w:rsidRDefault="00D62753">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€M</w:t>
            </w:r>
          </w:p>
        </w:tc>
        <w:tc>
          <w:tcPr>
            <w:tcW w:w="1418" w:type="dxa"/>
          </w:tcPr>
          <w:p w14:paraId="4D94B971" w14:textId="77777777" w:rsidR="00BF4A9E" w:rsidRPr="00BD0069" w:rsidRDefault="00D62753">
            <w:pPr>
              <w:autoSpaceDE w:val="0"/>
              <w:autoSpaceDN w:val="0"/>
              <w:adjustRightInd w:val="0"/>
              <w:jc w:val="right"/>
              <w:rPr>
                <w:rFonts w:ascii="Calibri" w:hAnsi="Calibri" w:cs="Calibri"/>
                <w:color w:val="000000"/>
                <w:sz w:val="22"/>
                <w:szCs w:val="22"/>
              </w:rPr>
            </w:pPr>
            <w:r w:rsidRPr="00BD0069">
              <w:rPr>
                <w:rFonts w:ascii="Calibri" w:hAnsi="Calibri" w:cs="Calibri"/>
                <w:color w:val="000000"/>
                <w:sz w:val="22"/>
                <w:szCs w:val="22"/>
              </w:rPr>
              <w:t>€M</w:t>
            </w:r>
          </w:p>
        </w:tc>
        <w:tc>
          <w:tcPr>
            <w:tcW w:w="1514" w:type="dxa"/>
            <w:shd w:val="clear" w:color="auto" w:fill="FFFF00"/>
          </w:tcPr>
          <w:p w14:paraId="5D9B12CB" w14:textId="77777777" w:rsidR="00BF4A9E" w:rsidRDefault="00D62753">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€M</w:t>
            </w:r>
          </w:p>
        </w:tc>
        <w:tc>
          <w:tcPr>
            <w:tcW w:w="1488" w:type="dxa"/>
          </w:tcPr>
          <w:p w14:paraId="212CE16C" w14:textId="77777777" w:rsidR="00BF4A9E" w:rsidRPr="00BD0069" w:rsidRDefault="00D62753" w:rsidP="009C5CA5">
            <w:pPr>
              <w:autoSpaceDE w:val="0"/>
              <w:autoSpaceDN w:val="0"/>
              <w:adjustRightInd w:val="0"/>
              <w:ind w:right="-81"/>
              <w:jc w:val="right"/>
              <w:rPr>
                <w:rFonts w:ascii="Calibri" w:hAnsi="Calibri" w:cs="Calibri"/>
                <w:color w:val="000000"/>
                <w:sz w:val="22"/>
                <w:szCs w:val="22"/>
              </w:rPr>
            </w:pPr>
            <w:r w:rsidRPr="00BD0069">
              <w:rPr>
                <w:rFonts w:ascii="Calibri" w:hAnsi="Calibri" w:cs="Calibri"/>
                <w:color w:val="000000"/>
                <w:sz w:val="22"/>
                <w:szCs w:val="22"/>
              </w:rPr>
              <w:t>€M</w:t>
            </w:r>
          </w:p>
        </w:tc>
      </w:tr>
      <w:tr w:rsidR="00BF4A9E" w14:paraId="42D143F5" w14:textId="77777777" w:rsidTr="009C5CA5">
        <w:trPr>
          <w:trHeight w:val="223"/>
        </w:trPr>
        <w:tc>
          <w:tcPr>
            <w:tcW w:w="3686" w:type="dxa"/>
          </w:tcPr>
          <w:p w14:paraId="4BA5B9A0" w14:textId="77777777" w:rsidR="00BF4A9E" w:rsidRDefault="00BF4A9E" w:rsidP="00984744">
            <w:pPr>
              <w:autoSpaceDE w:val="0"/>
              <w:autoSpaceDN w:val="0"/>
              <w:adjustRightInd w:val="0"/>
              <w:ind w:hanging="105"/>
              <w:jc w:val="right"/>
              <w:rPr>
                <w:rFonts w:ascii="Calibri" w:hAnsi="Calibri" w:cs="Calibri"/>
                <w:color w:val="000000"/>
                <w:sz w:val="22"/>
                <w:szCs w:val="22"/>
              </w:rPr>
            </w:pPr>
          </w:p>
        </w:tc>
        <w:tc>
          <w:tcPr>
            <w:tcW w:w="284" w:type="dxa"/>
          </w:tcPr>
          <w:p w14:paraId="2FCF09CA" w14:textId="77777777" w:rsidR="00BF4A9E" w:rsidRDefault="00BF4A9E">
            <w:pPr>
              <w:autoSpaceDE w:val="0"/>
              <w:autoSpaceDN w:val="0"/>
              <w:adjustRightInd w:val="0"/>
              <w:ind w:left="-106"/>
              <w:jc w:val="right"/>
              <w:rPr>
                <w:rFonts w:ascii="Calibri" w:hAnsi="Calibri" w:cs="Calibri"/>
                <w:b/>
                <w:bCs/>
                <w:color w:val="000000"/>
                <w:sz w:val="22"/>
                <w:szCs w:val="22"/>
                <w:highlight w:val="yellow"/>
              </w:rPr>
            </w:pPr>
          </w:p>
        </w:tc>
        <w:tc>
          <w:tcPr>
            <w:tcW w:w="283" w:type="dxa"/>
          </w:tcPr>
          <w:p w14:paraId="34B75BFB" w14:textId="77777777" w:rsidR="00BF4A9E" w:rsidRDefault="00BF4A9E">
            <w:pPr>
              <w:autoSpaceDE w:val="0"/>
              <w:autoSpaceDN w:val="0"/>
              <w:adjustRightInd w:val="0"/>
              <w:ind w:left="-112"/>
              <w:jc w:val="right"/>
              <w:rPr>
                <w:rFonts w:ascii="Calibri" w:hAnsi="Calibri" w:cs="Calibri"/>
                <w:bCs/>
                <w:color w:val="000000"/>
                <w:sz w:val="22"/>
                <w:szCs w:val="22"/>
              </w:rPr>
            </w:pPr>
          </w:p>
        </w:tc>
        <w:tc>
          <w:tcPr>
            <w:tcW w:w="1559" w:type="dxa"/>
            <w:shd w:val="clear" w:color="auto" w:fill="FFFF00"/>
          </w:tcPr>
          <w:p w14:paraId="79507E9A" w14:textId="77777777" w:rsidR="00BF4A9E" w:rsidRDefault="00BF4A9E">
            <w:pPr>
              <w:autoSpaceDE w:val="0"/>
              <w:autoSpaceDN w:val="0"/>
              <w:adjustRightInd w:val="0"/>
              <w:ind w:left="-245"/>
              <w:jc w:val="right"/>
              <w:rPr>
                <w:rFonts w:ascii="Calibri" w:hAnsi="Calibri" w:cs="Calibri"/>
                <w:b/>
                <w:bCs/>
                <w:color w:val="000000"/>
                <w:sz w:val="22"/>
                <w:szCs w:val="22"/>
              </w:rPr>
            </w:pPr>
          </w:p>
        </w:tc>
        <w:tc>
          <w:tcPr>
            <w:tcW w:w="1418" w:type="dxa"/>
          </w:tcPr>
          <w:p w14:paraId="2015D2A8" w14:textId="77777777" w:rsidR="00BF4A9E" w:rsidRDefault="00BF4A9E">
            <w:pPr>
              <w:autoSpaceDE w:val="0"/>
              <w:autoSpaceDN w:val="0"/>
              <w:adjustRightInd w:val="0"/>
              <w:ind w:left="-245"/>
              <w:jc w:val="right"/>
              <w:rPr>
                <w:rFonts w:ascii="Calibri" w:hAnsi="Calibri" w:cs="Calibri"/>
                <w:b/>
                <w:bCs/>
                <w:color w:val="000000"/>
                <w:sz w:val="22"/>
                <w:szCs w:val="22"/>
              </w:rPr>
            </w:pPr>
          </w:p>
        </w:tc>
        <w:tc>
          <w:tcPr>
            <w:tcW w:w="1514" w:type="dxa"/>
            <w:shd w:val="clear" w:color="auto" w:fill="FFFF00"/>
          </w:tcPr>
          <w:p w14:paraId="003F427D" w14:textId="77777777" w:rsidR="00BF4A9E" w:rsidRDefault="00BF4A9E">
            <w:pPr>
              <w:autoSpaceDE w:val="0"/>
              <w:autoSpaceDN w:val="0"/>
              <w:adjustRightInd w:val="0"/>
              <w:ind w:left="-245"/>
              <w:jc w:val="right"/>
              <w:rPr>
                <w:rFonts w:ascii="Calibri" w:hAnsi="Calibri" w:cs="Calibri"/>
                <w:b/>
                <w:bCs/>
                <w:color w:val="000000"/>
                <w:sz w:val="22"/>
                <w:szCs w:val="22"/>
              </w:rPr>
            </w:pPr>
          </w:p>
        </w:tc>
        <w:tc>
          <w:tcPr>
            <w:tcW w:w="1488" w:type="dxa"/>
          </w:tcPr>
          <w:p w14:paraId="15E66584" w14:textId="77777777" w:rsidR="00BF4A9E" w:rsidRDefault="00BF4A9E" w:rsidP="009C5CA5">
            <w:pPr>
              <w:autoSpaceDE w:val="0"/>
              <w:autoSpaceDN w:val="0"/>
              <w:adjustRightInd w:val="0"/>
              <w:ind w:left="-109" w:right="-81"/>
              <w:jc w:val="right"/>
              <w:rPr>
                <w:rFonts w:ascii="Calibri" w:hAnsi="Calibri" w:cs="Calibri"/>
                <w:bCs/>
                <w:color w:val="000000"/>
                <w:sz w:val="22"/>
                <w:szCs w:val="22"/>
              </w:rPr>
            </w:pPr>
          </w:p>
        </w:tc>
      </w:tr>
      <w:tr w:rsidR="004A2481" w14:paraId="03E66277" w14:textId="77777777" w:rsidTr="009C5CA5">
        <w:trPr>
          <w:trHeight w:val="223"/>
        </w:trPr>
        <w:tc>
          <w:tcPr>
            <w:tcW w:w="3686" w:type="dxa"/>
            <w:hideMark/>
          </w:tcPr>
          <w:p w14:paraId="7128EF64" w14:textId="77777777" w:rsidR="004A2481" w:rsidRPr="005454B4" w:rsidRDefault="004A2481" w:rsidP="00984744">
            <w:pPr>
              <w:autoSpaceDE w:val="0"/>
              <w:autoSpaceDN w:val="0"/>
              <w:adjustRightInd w:val="0"/>
              <w:ind w:hanging="105"/>
              <w:rPr>
                <w:rFonts w:ascii="Calibri" w:hAnsi="Calibri" w:cs="Calibri"/>
                <w:color w:val="000000"/>
                <w:sz w:val="22"/>
                <w:szCs w:val="22"/>
              </w:rPr>
            </w:pPr>
            <w:r w:rsidRPr="005454B4">
              <w:rPr>
                <w:rFonts w:ascii="Calibri" w:hAnsi="Calibri" w:cs="Calibri"/>
                <w:color w:val="000000"/>
                <w:sz w:val="22"/>
                <w:szCs w:val="22"/>
              </w:rPr>
              <w:t>Italy</w:t>
            </w:r>
          </w:p>
        </w:tc>
        <w:tc>
          <w:tcPr>
            <w:tcW w:w="284" w:type="dxa"/>
          </w:tcPr>
          <w:p w14:paraId="4A74B621" w14:textId="77777777" w:rsidR="004A2481" w:rsidRPr="005454B4" w:rsidRDefault="004A2481" w:rsidP="004A2481">
            <w:pPr>
              <w:autoSpaceDE w:val="0"/>
              <w:autoSpaceDN w:val="0"/>
              <w:adjustRightInd w:val="0"/>
              <w:jc w:val="right"/>
              <w:rPr>
                <w:rFonts w:ascii="Calibri" w:hAnsi="Calibri" w:cs="Calibri"/>
                <w:b/>
                <w:bCs/>
                <w:color w:val="000000"/>
                <w:sz w:val="22"/>
                <w:szCs w:val="22"/>
              </w:rPr>
            </w:pPr>
          </w:p>
        </w:tc>
        <w:tc>
          <w:tcPr>
            <w:tcW w:w="283" w:type="dxa"/>
          </w:tcPr>
          <w:p w14:paraId="7A7BF1EB" w14:textId="77777777" w:rsidR="004A2481" w:rsidRPr="005454B4" w:rsidRDefault="004A2481" w:rsidP="004A2481">
            <w:pPr>
              <w:autoSpaceDE w:val="0"/>
              <w:autoSpaceDN w:val="0"/>
              <w:adjustRightInd w:val="0"/>
              <w:jc w:val="right"/>
              <w:rPr>
                <w:rFonts w:ascii="Calibri" w:hAnsi="Calibri" w:cs="Calibri"/>
                <w:bCs/>
                <w:color w:val="000000"/>
                <w:sz w:val="22"/>
                <w:szCs w:val="22"/>
              </w:rPr>
            </w:pPr>
          </w:p>
        </w:tc>
        <w:tc>
          <w:tcPr>
            <w:tcW w:w="1559" w:type="dxa"/>
            <w:shd w:val="clear" w:color="auto" w:fill="FFFF00"/>
          </w:tcPr>
          <w:p w14:paraId="7FFCADB7" w14:textId="77777777" w:rsidR="004A2481" w:rsidRPr="00FB1F4E" w:rsidRDefault="00FB1F4E" w:rsidP="004A2481">
            <w:pPr>
              <w:widowControl w:val="0"/>
              <w:autoSpaceDE w:val="0"/>
              <w:autoSpaceDN w:val="0"/>
              <w:adjustRightInd w:val="0"/>
              <w:jc w:val="right"/>
              <w:rPr>
                <w:rFonts w:ascii="Calibri" w:hAnsi="Calibri" w:cs="Calibri"/>
                <w:b/>
                <w:bCs/>
                <w:sz w:val="22"/>
                <w:szCs w:val="22"/>
              </w:rPr>
            </w:pPr>
            <w:r w:rsidRPr="00FB1F4E">
              <w:rPr>
                <w:rFonts w:ascii="Calibri" w:hAnsi="Calibri" w:cs="Calibri"/>
                <w:b/>
                <w:bCs/>
                <w:sz w:val="22"/>
                <w:szCs w:val="22"/>
              </w:rPr>
              <w:t>1,8</w:t>
            </w:r>
            <w:r w:rsidR="00EC35D7">
              <w:rPr>
                <w:rFonts w:ascii="Calibri" w:hAnsi="Calibri" w:cs="Calibri"/>
                <w:b/>
                <w:bCs/>
                <w:sz w:val="22"/>
                <w:szCs w:val="22"/>
              </w:rPr>
              <w:t>30.3</w:t>
            </w:r>
          </w:p>
        </w:tc>
        <w:tc>
          <w:tcPr>
            <w:tcW w:w="1418" w:type="dxa"/>
            <w:hideMark/>
          </w:tcPr>
          <w:p w14:paraId="1BA154AC" w14:textId="77777777" w:rsidR="004A2481" w:rsidRPr="004A2481" w:rsidRDefault="00346E22" w:rsidP="004A2481">
            <w:pPr>
              <w:widowControl w:val="0"/>
              <w:autoSpaceDE w:val="0"/>
              <w:autoSpaceDN w:val="0"/>
              <w:adjustRightInd w:val="0"/>
              <w:jc w:val="right"/>
              <w:rPr>
                <w:rFonts w:ascii="Calibri" w:hAnsi="Calibri" w:cs="Calibri"/>
                <w:sz w:val="22"/>
                <w:szCs w:val="22"/>
              </w:rPr>
            </w:pPr>
            <w:r>
              <w:rPr>
                <w:rFonts w:ascii="Calibri" w:hAnsi="Calibri" w:cs="Calibri"/>
                <w:sz w:val="22"/>
                <w:szCs w:val="22"/>
              </w:rPr>
              <w:t>1,460.1</w:t>
            </w:r>
          </w:p>
        </w:tc>
        <w:tc>
          <w:tcPr>
            <w:tcW w:w="1514" w:type="dxa"/>
            <w:shd w:val="clear" w:color="auto" w:fill="FFFF00"/>
          </w:tcPr>
          <w:p w14:paraId="173A0275" w14:textId="77777777" w:rsidR="004A2481" w:rsidRPr="00FB1F4E" w:rsidRDefault="00FB1F4E" w:rsidP="004A2481">
            <w:pPr>
              <w:widowControl w:val="0"/>
              <w:autoSpaceDE w:val="0"/>
              <w:autoSpaceDN w:val="0"/>
              <w:adjustRightInd w:val="0"/>
              <w:jc w:val="right"/>
              <w:rPr>
                <w:rFonts w:ascii="Calibri" w:hAnsi="Calibri" w:cs="Calibri"/>
                <w:b/>
                <w:bCs/>
                <w:sz w:val="22"/>
                <w:szCs w:val="22"/>
              </w:rPr>
            </w:pPr>
            <w:r w:rsidRPr="00FB1F4E">
              <w:rPr>
                <w:rFonts w:ascii="Calibri" w:hAnsi="Calibri" w:cs="Calibri"/>
                <w:b/>
                <w:bCs/>
                <w:sz w:val="22"/>
                <w:szCs w:val="22"/>
              </w:rPr>
              <w:t>1,029.</w:t>
            </w:r>
            <w:r w:rsidR="00EC35D7">
              <w:rPr>
                <w:rFonts w:ascii="Calibri" w:hAnsi="Calibri" w:cs="Calibri"/>
                <w:b/>
                <w:bCs/>
                <w:sz w:val="22"/>
                <w:szCs w:val="22"/>
              </w:rPr>
              <w:t>8</w:t>
            </w:r>
          </w:p>
        </w:tc>
        <w:tc>
          <w:tcPr>
            <w:tcW w:w="1488" w:type="dxa"/>
            <w:hideMark/>
          </w:tcPr>
          <w:p w14:paraId="277D1048" w14:textId="77777777" w:rsidR="004A2481" w:rsidRPr="004A2481" w:rsidRDefault="00346E22" w:rsidP="009C5CA5">
            <w:pPr>
              <w:autoSpaceDE w:val="0"/>
              <w:autoSpaceDN w:val="0"/>
              <w:adjustRightInd w:val="0"/>
              <w:ind w:right="-81"/>
              <w:jc w:val="right"/>
              <w:rPr>
                <w:rFonts w:ascii="Calibri" w:hAnsi="Calibri" w:cs="Calibri"/>
                <w:color w:val="000000"/>
                <w:sz w:val="22"/>
                <w:szCs w:val="22"/>
              </w:rPr>
            </w:pPr>
            <w:r>
              <w:rPr>
                <w:rFonts w:ascii="Calibri" w:hAnsi="Calibri" w:cs="Calibri"/>
                <w:color w:val="000000"/>
                <w:sz w:val="22"/>
                <w:szCs w:val="22"/>
              </w:rPr>
              <w:t>874.6</w:t>
            </w:r>
          </w:p>
        </w:tc>
      </w:tr>
      <w:tr w:rsidR="004A2481" w14:paraId="46E2234E" w14:textId="77777777" w:rsidTr="009C5CA5">
        <w:trPr>
          <w:trHeight w:val="223"/>
        </w:trPr>
        <w:tc>
          <w:tcPr>
            <w:tcW w:w="3686" w:type="dxa"/>
            <w:hideMark/>
          </w:tcPr>
          <w:p w14:paraId="385C2D92" w14:textId="77777777" w:rsidR="004A2481" w:rsidRPr="005454B4" w:rsidRDefault="004A2481" w:rsidP="00984744">
            <w:pPr>
              <w:autoSpaceDE w:val="0"/>
              <w:autoSpaceDN w:val="0"/>
              <w:adjustRightInd w:val="0"/>
              <w:ind w:hanging="105"/>
              <w:rPr>
                <w:rFonts w:ascii="Calibri" w:hAnsi="Calibri" w:cs="Calibri"/>
                <w:color w:val="000000"/>
                <w:sz w:val="22"/>
                <w:szCs w:val="22"/>
              </w:rPr>
            </w:pPr>
            <w:r w:rsidRPr="005454B4">
              <w:rPr>
                <w:rFonts w:ascii="Calibri" w:hAnsi="Calibri" w:cs="Calibri"/>
                <w:color w:val="000000"/>
                <w:sz w:val="22"/>
                <w:szCs w:val="22"/>
              </w:rPr>
              <w:t>Spain</w:t>
            </w:r>
          </w:p>
        </w:tc>
        <w:tc>
          <w:tcPr>
            <w:tcW w:w="284" w:type="dxa"/>
          </w:tcPr>
          <w:p w14:paraId="434D18AC" w14:textId="77777777" w:rsidR="004A2481" w:rsidRPr="005454B4" w:rsidRDefault="004A2481" w:rsidP="004A2481">
            <w:pPr>
              <w:autoSpaceDE w:val="0"/>
              <w:autoSpaceDN w:val="0"/>
              <w:adjustRightInd w:val="0"/>
              <w:jc w:val="right"/>
              <w:rPr>
                <w:rFonts w:ascii="Calibri" w:hAnsi="Calibri" w:cs="Calibri"/>
                <w:b/>
                <w:bCs/>
                <w:color w:val="000000"/>
                <w:sz w:val="22"/>
                <w:szCs w:val="22"/>
              </w:rPr>
            </w:pPr>
          </w:p>
        </w:tc>
        <w:tc>
          <w:tcPr>
            <w:tcW w:w="283" w:type="dxa"/>
          </w:tcPr>
          <w:p w14:paraId="7FB86821" w14:textId="77777777" w:rsidR="004A2481" w:rsidRPr="005454B4" w:rsidRDefault="004A2481" w:rsidP="004A2481">
            <w:pPr>
              <w:autoSpaceDE w:val="0"/>
              <w:autoSpaceDN w:val="0"/>
              <w:adjustRightInd w:val="0"/>
              <w:jc w:val="right"/>
              <w:rPr>
                <w:rFonts w:ascii="Calibri" w:hAnsi="Calibri" w:cs="Calibri"/>
                <w:bCs/>
                <w:color w:val="000000"/>
                <w:sz w:val="22"/>
                <w:szCs w:val="22"/>
              </w:rPr>
            </w:pPr>
          </w:p>
        </w:tc>
        <w:tc>
          <w:tcPr>
            <w:tcW w:w="1559" w:type="dxa"/>
            <w:shd w:val="clear" w:color="auto" w:fill="FFFF00"/>
          </w:tcPr>
          <w:p w14:paraId="607FBE89" w14:textId="77777777" w:rsidR="004A2481" w:rsidRPr="00FB1F4E" w:rsidRDefault="00FB1F4E" w:rsidP="004A2481">
            <w:pPr>
              <w:widowControl w:val="0"/>
              <w:autoSpaceDE w:val="0"/>
              <w:autoSpaceDN w:val="0"/>
              <w:adjustRightInd w:val="0"/>
              <w:jc w:val="right"/>
              <w:rPr>
                <w:rFonts w:ascii="Calibri" w:hAnsi="Calibri" w:cs="Calibri"/>
                <w:b/>
                <w:bCs/>
                <w:sz w:val="22"/>
                <w:szCs w:val="22"/>
              </w:rPr>
            </w:pPr>
            <w:r w:rsidRPr="00FB1F4E">
              <w:rPr>
                <w:rFonts w:ascii="Calibri" w:hAnsi="Calibri" w:cs="Calibri"/>
                <w:b/>
                <w:bCs/>
                <w:sz w:val="22"/>
                <w:szCs w:val="22"/>
              </w:rPr>
              <w:t>1,55</w:t>
            </w:r>
            <w:r w:rsidR="00EC35D7">
              <w:rPr>
                <w:rFonts w:ascii="Calibri" w:hAnsi="Calibri" w:cs="Calibri"/>
                <w:b/>
                <w:bCs/>
                <w:sz w:val="22"/>
                <w:szCs w:val="22"/>
              </w:rPr>
              <w:t>2.4</w:t>
            </w:r>
          </w:p>
        </w:tc>
        <w:tc>
          <w:tcPr>
            <w:tcW w:w="1418" w:type="dxa"/>
            <w:hideMark/>
          </w:tcPr>
          <w:p w14:paraId="1FBD740D" w14:textId="77777777" w:rsidR="004A2481" w:rsidRPr="004A2481" w:rsidRDefault="00346E22" w:rsidP="004A2481">
            <w:pPr>
              <w:widowControl w:val="0"/>
              <w:autoSpaceDE w:val="0"/>
              <w:autoSpaceDN w:val="0"/>
              <w:adjustRightInd w:val="0"/>
              <w:jc w:val="right"/>
              <w:rPr>
                <w:rFonts w:ascii="Calibri" w:hAnsi="Calibri" w:cs="Calibri"/>
                <w:sz w:val="22"/>
                <w:szCs w:val="22"/>
              </w:rPr>
            </w:pPr>
            <w:r>
              <w:rPr>
                <w:rFonts w:ascii="Calibri" w:hAnsi="Calibri" w:cs="Calibri"/>
                <w:sz w:val="22"/>
                <w:szCs w:val="22"/>
              </w:rPr>
              <w:t>1,180.0</w:t>
            </w:r>
          </w:p>
        </w:tc>
        <w:tc>
          <w:tcPr>
            <w:tcW w:w="1514" w:type="dxa"/>
            <w:shd w:val="clear" w:color="auto" w:fill="FFFF00"/>
          </w:tcPr>
          <w:p w14:paraId="4219C7E0" w14:textId="77777777" w:rsidR="004A2481" w:rsidRPr="00FB1F4E" w:rsidRDefault="00FB1F4E" w:rsidP="004A2481">
            <w:pPr>
              <w:widowControl w:val="0"/>
              <w:autoSpaceDE w:val="0"/>
              <w:autoSpaceDN w:val="0"/>
              <w:adjustRightInd w:val="0"/>
              <w:jc w:val="right"/>
              <w:rPr>
                <w:rFonts w:ascii="Calibri" w:hAnsi="Calibri" w:cs="Calibri"/>
                <w:b/>
                <w:bCs/>
                <w:sz w:val="22"/>
                <w:szCs w:val="22"/>
              </w:rPr>
            </w:pPr>
            <w:r w:rsidRPr="00FB1F4E">
              <w:rPr>
                <w:rFonts w:ascii="Calibri" w:hAnsi="Calibri" w:cs="Calibri"/>
                <w:b/>
                <w:bCs/>
                <w:sz w:val="22"/>
                <w:szCs w:val="22"/>
              </w:rPr>
              <w:t>89</w:t>
            </w:r>
            <w:r w:rsidR="00EC35D7">
              <w:rPr>
                <w:rFonts w:ascii="Calibri" w:hAnsi="Calibri" w:cs="Calibri"/>
                <w:b/>
                <w:bCs/>
                <w:sz w:val="22"/>
                <w:szCs w:val="22"/>
              </w:rPr>
              <w:t>7.0</w:t>
            </w:r>
          </w:p>
        </w:tc>
        <w:tc>
          <w:tcPr>
            <w:tcW w:w="1488" w:type="dxa"/>
            <w:hideMark/>
          </w:tcPr>
          <w:p w14:paraId="7215BC35" w14:textId="77777777" w:rsidR="004A2481" w:rsidRPr="004A2481" w:rsidRDefault="00346E22" w:rsidP="009C5CA5">
            <w:pPr>
              <w:autoSpaceDE w:val="0"/>
              <w:autoSpaceDN w:val="0"/>
              <w:adjustRightInd w:val="0"/>
              <w:ind w:right="-81"/>
              <w:jc w:val="right"/>
              <w:rPr>
                <w:rFonts w:ascii="Calibri" w:hAnsi="Calibri" w:cs="Calibri"/>
                <w:color w:val="000000"/>
                <w:sz w:val="22"/>
                <w:szCs w:val="22"/>
              </w:rPr>
            </w:pPr>
            <w:r>
              <w:rPr>
                <w:rFonts w:ascii="Calibri" w:hAnsi="Calibri" w:cs="Calibri"/>
                <w:color w:val="000000"/>
                <w:sz w:val="22"/>
                <w:szCs w:val="22"/>
              </w:rPr>
              <w:t>712.3</w:t>
            </w:r>
          </w:p>
        </w:tc>
      </w:tr>
      <w:tr w:rsidR="004A2481" w14:paraId="65BA5BA0" w14:textId="77777777" w:rsidTr="009C5CA5">
        <w:trPr>
          <w:trHeight w:val="223"/>
        </w:trPr>
        <w:tc>
          <w:tcPr>
            <w:tcW w:w="3686" w:type="dxa"/>
          </w:tcPr>
          <w:p w14:paraId="6C715075" w14:textId="77777777" w:rsidR="004A2481" w:rsidRPr="005454B4" w:rsidRDefault="004A2481" w:rsidP="00984744">
            <w:pPr>
              <w:autoSpaceDE w:val="0"/>
              <w:autoSpaceDN w:val="0"/>
              <w:adjustRightInd w:val="0"/>
              <w:ind w:hanging="105"/>
              <w:rPr>
                <w:rFonts w:ascii="Calibri" w:hAnsi="Calibri" w:cs="Calibri"/>
                <w:color w:val="000000"/>
                <w:sz w:val="22"/>
                <w:szCs w:val="22"/>
              </w:rPr>
            </w:pPr>
            <w:r w:rsidRPr="005454B4">
              <w:rPr>
                <w:rFonts w:ascii="Calibri" w:hAnsi="Calibri" w:cs="Calibri"/>
                <w:color w:val="000000"/>
                <w:sz w:val="22"/>
                <w:szCs w:val="22"/>
              </w:rPr>
              <w:t>United Kingdom</w:t>
            </w:r>
          </w:p>
        </w:tc>
        <w:tc>
          <w:tcPr>
            <w:tcW w:w="284" w:type="dxa"/>
          </w:tcPr>
          <w:p w14:paraId="522892A3" w14:textId="77777777" w:rsidR="004A2481" w:rsidRPr="005454B4" w:rsidRDefault="004A2481" w:rsidP="004A2481">
            <w:pPr>
              <w:autoSpaceDE w:val="0"/>
              <w:autoSpaceDN w:val="0"/>
              <w:adjustRightInd w:val="0"/>
              <w:jc w:val="right"/>
              <w:rPr>
                <w:rFonts w:ascii="Calibri" w:hAnsi="Calibri" w:cs="Calibri"/>
                <w:b/>
                <w:bCs/>
                <w:color w:val="000000"/>
                <w:sz w:val="22"/>
                <w:szCs w:val="22"/>
              </w:rPr>
            </w:pPr>
          </w:p>
        </w:tc>
        <w:tc>
          <w:tcPr>
            <w:tcW w:w="283" w:type="dxa"/>
          </w:tcPr>
          <w:p w14:paraId="798E540C" w14:textId="77777777" w:rsidR="004A2481" w:rsidRPr="005454B4" w:rsidRDefault="004A2481" w:rsidP="004A2481">
            <w:pPr>
              <w:autoSpaceDE w:val="0"/>
              <w:autoSpaceDN w:val="0"/>
              <w:adjustRightInd w:val="0"/>
              <w:jc w:val="right"/>
              <w:rPr>
                <w:rFonts w:ascii="Calibri" w:hAnsi="Calibri" w:cs="Calibri"/>
                <w:bCs/>
                <w:color w:val="000000"/>
                <w:sz w:val="22"/>
                <w:szCs w:val="22"/>
              </w:rPr>
            </w:pPr>
          </w:p>
        </w:tc>
        <w:tc>
          <w:tcPr>
            <w:tcW w:w="1559" w:type="dxa"/>
            <w:shd w:val="clear" w:color="auto" w:fill="FFFF00"/>
          </w:tcPr>
          <w:p w14:paraId="643B5295" w14:textId="77777777" w:rsidR="004A2481" w:rsidRPr="00FB1F4E" w:rsidRDefault="00FB1F4E" w:rsidP="004A2481">
            <w:pPr>
              <w:widowControl w:val="0"/>
              <w:autoSpaceDE w:val="0"/>
              <w:autoSpaceDN w:val="0"/>
              <w:adjustRightInd w:val="0"/>
              <w:jc w:val="right"/>
              <w:rPr>
                <w:rFonts w:ascii="Calibri" w:hAnsi="Calibri" w:cs="Calibri"/>
                <w:b/>
                <w:bCs/>
                <w:sz w:val="22"/>
                <w:szCs w:val="22"/>
              </w:rPr>
            </w:pPr>
            <w:r w:rsidRPr="00FB1F4E">
              <w:rPr>
                <w:rFonts w:ascii="Calibri" w:hAnsi="Calibri" w:cs="Calibri"/>
                <w:b/>
                <w:bCs/>
                <w:sz w:val="22"/>
                <w:szCs w:val="22"/>
              </w:rPr>
              <w:t>1,263.</w:t>
            </w:r>
            <w:r w:rsidR="00EC35D7">
              <w:rPr>
                <w:rFonts w:ascii="Calibri" w:hAnsi="Calibri" w:cs="Calibri"/>
                <w:b/>
                <w:bCs/>
                <w:sz w:val="22"/>
                <w:szCs w:val="22"/>
              </w:rPr>
              <w:t>4</w:t>
            </w:r>
          </w:p>
        </w:tc>
        <w:tc>
          <w:tcPr>
            <w:tcW w:w="1418" w:type="dxa"/>
          </w:tcPr>
          <w:p w14:paraId="52DC12A4" w14:textId="77777777" w:rsidR="004A2481" w:rsidRPr="004A2481" w:rsidRDefault="00346E22" w:rsidP="004A2481">
            <w:pPr>
              <w:widowControl w:val="0"/>
              <w:autoSpaceDE w:val="0"/>
              <w:autoSpaceDN w:val="0"/>
              <w:adjustRightInd w:val="0"/>
              <w:jc w:val="right"/>
              <w:rPr>
                <w:rFonts w:ascii="Calibri" w:hAnsi="Calibri" w:cs="Calibri"/>
                <w:sz w:val="22"/>
                <w:szCs w:val="22"/>
              </w:rPr>
            </w:pPr>
            <w:r>
              <w:rPr>
                <w:rFonts w:ascii="Calibri" w:hAnsi="Calibri" w:cs="Calibri"/>
                <w:sz w:val="22"/>
                <w:szCs w:val="22"/>
              </w:rPr>
              <w:t>947.6</w:t>
            </w:r>
          </w:p>
        </w:tc>
        <w:tc>
          <w:tcPr>
            <w:tcW w:w="1514" w:type="dxa"/>
            <w:shd w:val="clear" w:color="auto" w:fill="FFFF00"/>
          </w:tcPr>
          <w:p w14:paraId="5FC408B9" w14:textId="77777777" w:rsidR="004A2481" w:rsidRPr="00FB1F4E" w:rsidRDefault="00FB1F4E" w:rsidP="004A2481">
            <w:pPr>
              <w:widowControl w:val="0"/>
              <w:autoSpaceDE w:val="0"/>
              <w:autoSpaceDN w:val="0"/>
              <w:adjustRightInd w:val="0"/>
              <w:jc w:val="right"/>
              <w:rPr>
                <w:rFonts w:ascii="Calibri" w:hAnsi="Calibri" w:cs="Calibri"/>
                <w:b/>
                <w:bCs/>
                <w:sz w:val="22"/>
                <w:szCs w:val="22"/>
              </w:rPr>
            </w:pPr>
            <w:r w:rsidRPr="00FB1F4E">
              <w:rPr>
                <w:rFonts w:ascii="Calibri" w:hAnsi="Calibri" w:cs="Calibri"/>
                <w:b/>
                <w:bCs/>
                <w:sz w:val="22"/>
                <w:szCs w:val="22"/>
              </w:rPr>
              <w:t>717.</w:t>
            </w:r>
            <w:r w:rsidR="00EC35D7">
              <w:rPr>
                <w:rFonts w:ascii="Calibri" w:hAnsi="Calibri" w:cs="Calibri"/>
                <w:b/>
                <w:bCs/>
                <w:sz w:val="22"/>
                <w:szCs w:val="22"/>
              </w:rPr>
              <w:t>7</w:t>
            </w:r>
          </w:p>
        </w:tc>
        <w:tc>
          <w:tcPr>
            <w:tcW w:w="1488" w:type="dxa"/>
          </w:tcPr>
          <w:p w14:paraId="7E8F97AA" w14:textId="77777777" w:rsidR="004A2481" w:rsidRPr="004A2481" w:rsidRDefault="00346E22" w:rsidP="009C5CA5">
            <w:pPr>
              <w:autoSpaceDE w:val="0"/>
              <w:autoSpaceDN w:val="0"/>
              <w:adjustRightInd w:val="0"/>
              <w:ind w:right="-81"/>
              <w:jc w:val="right"/>
              <w:rPr>
                <w:rFonts w:ascii="Calibri" w:hAnsi="Calibri" w:cs="Calibri"/>
                <w:color w:val="000000"/>
                <w:sz w:val="22"/>
                <w:szCs w:val="22"/>
              </w:rPr>
            </w:pPr>
            <w:r>
              <w:rPr>
                <w:rFonts w:ascii="Calibri" w:hAnsi="Calibri" w:cs="Calibri"/>
                <w:color w:val="000000"/>
                <w:sz w:val="22"/>
                <w:szCs w:val="22"/>
              </w:rPr>
              <w:t>565.8</w:t>
            </w:r>
          </w:p>
        </w:tc>
      </w:tr>
      <w:tr w:rsidR="004A2481" w14:paraId="6BBBA737" w14:textId="77777777" w:rsidTr="009C5CA5">
        <w:trPr>
          <w:trHeight w:val="223"/>
        </w:trPr>
        <w:tc>
          <w:tcPr>
            <w:tcW w:w="3686" w:type="dxa"/>
            <w:hideMark/>
          </w:tcPr>
          <w:p w14:paraId="395A0788" w14:textId="77777777" w:rsidR="004A2481" w:rsidRPr="005454B4" w:rsidRDefault="004A2481" w:rsidP="00984744">
            <w:pPr>
              <w:autoSpaceDE w:val="0"/>
              <w:autoSpaceDN w:val="0"/>
              <w:adjustRightInd w:val="0"/>
              <w:ind w:hanging="105"/>
              <w:rPr>
                <w:rFonts w:ascii="Calibri" w:hAnsi="Calibri" w:cs="Calibri"/>
                <w:color w:val="000000"/>
                <w:sz w:val="22"/>
                <w:szCs w:val="22"/>
              </w:rPr>
            </w:pPr>
            <w:r w:rsidRPr="005454B4">
              <w:rPr>
                <w:rFonts w:ascii="Calibri" w:hAnsi="Calibri" w:cs="Calibri"/>
                <w:color w:val="000000"/>
                <w:sz w:val="22"/>
                <w:szCs w:val="22"/>
              </w:rPr>
              <w:t>Ireland</w:t>
            </w:r>
          </w:p>
        </w:tc>
        <w:tc>
          <w:tcPr>
            <w:tcW w:w="284" w:type="dxa"/>
          </w:tcPr>
          <w:p w14:paraId="4DDFB04A" w14:textId="77777777" w:rsidR="004A2481" w:rsidRPr="005454B4" w:rsidRDefault="004A2481" w:rsidP="004A2481">
            <w:pPr>
              <w:autoSpaceDE w:val="0"/>
              <w:autoSpaceDN w:val="0"/>
              <w:adjustRightInd w:val="0"/>
              <w:jc w:val="right"/>
              <w:rPr>
                <w:rFonts w:ascii="Calibri" w:hAnsi="Calibri" w:cs="Calibri"/>
                <w:b/>
                <w:bCs/>
                <w:color w:val="000000"/>
                <w:sz w:val="22"/>
                <w:szCs w:val="22"/>
              </w:rPr>
            </w:pPr>
          </w:p>
        </w:tc>
        <w:tc>
          <w:tcPr>
            <w:tcW w:w="283" w:type="dxa"/>
          </w:tcPr>
          <w:p w14:paraId="197AF674" w14:textId="77777777" w:rsidR="004A2481" w:rsidRPr="005454B4" w:rsidRDefault="004A2481" w:rsidP="004A2481">
            <w:pPr>
              <w:autoSpaceDE w:val="0"/>
              <w:autoSpaceDN w:val="0"/>
              <w:adjustRightInd w:val="0"/>
              <w:jc w:val="right"/>
              <w:rPr>
                <w:rFonts w:ascii="Calibri" w:hAnsi="Calibri" w:cs="Calibri"/>
                <w:bCs/>
                <w:color w:val="000000"/>
                <w:sz w:val="22"/>
                <w:szCs w:val="22"/>
              </w:rPr>
            </w:pPr>
          </w:p>
        </w:tc>
        <w:tc>
          <w:tcPr>
            <w:tcW w:w="1559" w:type="dxa"/>
            <w:shd w:val="clear" w:color="auto" w:fill="FFFF00"/>
          </w:tcPr>
          <w:p w14:paraId="1D4D8560" w14:textId="77777777" w:rsidR="004A2481" w:rsidRPr="00FB1F4E" w:rsidRDefault="00FB1F4E" w:rsidP="004A2481">
            <w:pPr>
              <w:widowControl w:val="0"/>
              <w:autoSpaceDE w:val="0"/>
              <w:autoSpaceDN w:val="0"/>
              <w:adjustRightInd w:val="0"/>
              <w:jc w:val="right"/>
              <w:rPr>
                <w:rFonts w:ascii="Calibri" w:hAnsi="Calibri" w:cs="Calibri"/>
                <w:b/>
                <w:bCs/>
                <w:sz w:val="22"/>
                <w:szCs w:val="22"/>
              </w:rPr>
            </w:pPr>
            <w:r w:rsidRPr="00FB1F4E">
              <w:rPr>
                <w:rFonts w:ascii="Calibri" w:hAnsi="Calibri" w:cs="Calibri"/>
                <w:b/>
                <w:bCs/>
                <w:sz w:val="22"/>
                <w:szCs w:val="22"/>
              </w:rPr>
              <w:t>488.</w:t>
            </w:r>
            <w:r w:rsidR="00EC35D7">
              <w:rPr>
                <w:rFonts w:ascii="Calibri" w:hAnsi="Calibri" w:cs="Calibri"/>
                <w:b/>
                <w:bCs/>
                <w:sz w:val="22"/>
                <w:szCs w:val="22"/>
              </w:rPr>
              <w:t>8</w:t>
            </w:r>
          </w:p>
        </w:tc>
        <w:tc>
          <w:tcPr>
            <w:tcW w:w="1418" w:type="dxa"/>
            <w:hideMark/>
          </w:tcPr>
          <w:p w14:paraId="4202876C" w14:textId="77777777" w:rsidR="004A2481" w:rsidRPr="004A2481" w:rsidRDefault="00346E22" w:rsidP="004A2481">
            <w:pPr>
              <w:widowControl w:val="0"/>
              <w:autoSpaceDE w:val="0"/>
              <w:autoSpaceDN w:val="0"/>
              <w:adjustRightInd w:val="0"/>
              <w:jc w:val="right"/>
              <w:rPr>
                <w:rFonts w:ascii="Calibri" w:hAnsi="Calibri" w:cs="Calibri"/>
                <w:sz w:val="22"/>
                <w:szCs w:val="22"/>
              </w:rPr>
            </w:pPr>
            <w:r>
              <w:rPr>
                <w:rFonts w:ascii="Calibri" w:hAnsi="Calibri" w:cs="Calibri"/>
                <w:sz w:val="22"/>
                <w:szCs w:val="22"/>
              </w:rPr>
              <w:t>377.6</w:t>
            </w:r>
          </w:p>
        </w:tc>
        <w:tc>
          <w:tcPr>
            <w:tcW w:w="1514" w:type="dxa"/>
            <w:shd w:val="clear" w:color="auto" w:fill="FFFF00"/>
          </w:tcPr>
          <w:p w14:paraId="76120203" w14:textId="77777777" w:rsidR="004A2481" w:rsidRPr="00FB1F4E" w:rsidRDefault="00FB1F4E" w:rsidP="004A2481">
            <w:pPr>
              <w:widowControl w:val="0"/>
              <w:autoSpaceDE w:val="0"/>
              <w:autoSpaceDN w:val="0"/>
              <w:adjustRightInd w:val="0"/>
              <w:jc w:val="right"/>
              <w:rPr>
                <w:rFonts w:ascii="Calibri" w:hAnsi="Calibri" w:cs="Calibri"/>
                <w:b/>
                <w:bCs/>
                <w:sz w:val="22"/>
                <w:szCs w:val="22"/>
              </w:rPr>
            </w:pPr>
            <w:r w:rsidRPr="00FB1F4E">
              <w:rPr>
                <w:rFonts w:ascii="Calibri" w:hAnsi="Calibri" w:cs="Calibri"/>
                <w:b/>
                <w:bCs/>
                <w:sz w:val="22"/>
                <w:szCs w:val="22"/>
              </w:rPr>
              <w:t>277.</w:t>
            </w:r>
            <w:r w:rsidR="00EC35D7">
              <w:rPr>
                <w:rFonts w:ascii="Calibri" w:hAnsi="Calibri" w:cs="Calibri"/>
                <w:b/>
                <w:bCs/>
                <w:sz w:val="22"/>
                <w:szCs w:val="22"/>
              </w:rPr>
              <w:t>3</w:t>
            </w:r>
          </w:p>
        </w:tc>
        <w:tc>
          <w:tcPr>
            <w:tcW w:w="1488" w:type="dxa"/>
            <w:hideMark/>
          </w:tcPr>
          <w:p w14:paraId="2BE42DBE" w14:textId="77777777" w:rsidR="004A2481" w:rsidRPr="004A2481" w:rsidRDefault="00346E22" w:rsidP="009C5CA5">
            <w:pPr>
              <w:autoSpaceDE w:val="0"/>
              <w:autoSpaceDN w:val="0"/>
              <w:adjustRightInd w:val="0"/>
              <w:ind w:right="-81"/>
              <w:jc w:val="right"/>
              <w:rPr>
                <w:rFonts w:ascii="Calibri" w:hAnsi="Calibri" w:cs="Calibri"/>
                <w:color w:val="000000"/>
                <w:sz w:val="22"/>
                <w:szCs w:val="22"/>
              </w:rPr>
            </w:pPr>
            <w:r>
              <w:rPr>
                <w:rFonts w:ascii="Calibri" w:hAnsi="Calibri" w:cs="Calibri"/>
                <w:color w:val="000000"/>
                <w:sz w:val="22"/>
                <w:szCs w:val="22"/>
              </w:rPr>
              <w:t>223.7</w:t>
            </w:r>
          </w:p>
        </w:tc>
      </w:tr>
      <w:tr w:rsidR="004A2481" w14:paraId="2469AAF3" w14:textId="77777777" w:rsidTr="009C5CA5">
        <w:trPr>
          <w:trHeight w:val="223"/>
        </w:trPr>
        <w:tc>
          <w:tcPr>
            <w:tcW w:w="3686" w:type="dxa"/>
          </w:tcPr>
          <w:p w14:paraId="190AD6FA" w14:textId="77777777" w:rsidR="004A2481" w:rsidRPr="005454B4" w:rsidRDefault="004A2481" w:rsidP="00984744">
            <w:pPr>
              <w:autoSpaceDE w:val="0"/>
              <w:autoSpaceDN w:val="0"/>
              <w:adjustRightInd w:val="0"/>
              <w:ind w:hanging="105"/>
              <w:rPr>
                <w:rFonts w:ascii="Calibri" w:hAnsi="Calibri" w:cs="Calibri"/>
                <w:color w:val="000000"/>
                <w:sz w:val="22"/>
                <w:szCs w:val="22"/>
              </w:rPr>
            </w:pPr>
            <w:r w:rsidRPr="005454B4">
              <w:rPr>
                <w:rFonts w:ascii="Calibri" w:hAnsi="Calibri" w:cs="Calibri"/>
                <w:color w:val="000000"/>
                <w:sz w:val="22"/>
                <w:szCs w:val="22"/>
              </w:rPr>
              <w:t xml:space="preserve">Other </w:t>
            </w:r>
          </w:p>
        </w:tc>
        <w:tc>
          <w:tcPr>
            <w:tcW w:w="284" w:type="dxa"/>
          </w:tcPr>
          <w:p w14:paraId="4FE6012C" w14:textId="77777777" w:rsidR="004A2481" w:rsidRPr="005454B4" w:rsidRDefault="004A2481" w:rsidP="004A2481">
            <w:pPr>
              <w:autoSpaceDE w:val="0"/>
              <w:autoSpaceDN w:val="0"/>
              <w:adjustRightInd w:val="0"/>
              <w:jc w:val="right"/>
              <w:rPr>
                <w:rFonts w:ascii="Calibri" w:hAnsi="Calibri" w:cs="Calibri"/>
                <w:b/>
                <w:bCs/>
                <w:color w:val="000000"/>
                <w:sz w:val="22"/>
                <w:szCs w:val="22"/>
              </w:rPr>
            </w:pPr>
          </w:p>
        </w:tc>
        <w:tc>
          <w:tcPr>
            <w:tcW w:w="283" w:type="dxa"/>
          </w:tcPr>
          <w:p w14:paraId="45C7D258" w14:textId="77777777" w:rsidR="004A2481" w:rsidRPr="005454B4" w:rsidRDefault="004A2481" w:rsidP="004A2481">
            <w:pPr>
              <w:autoSpaceDE w:val="0"/>
              <w:autoSpaceDN w:val="0"/>
              <w:adjustRightInd w:val="0"/>
              <w:jc w:val="right"/>
              <w:rPr>
                <w:rFonts w:ascii="Calibri" w:hAnsi="Calibri" w:cs="Calibri"/>
                <w:bCs/>
                <w:color w:val="000000"/>
                <w:sz w:val="22"/>
                <w:szCs w:val="22"/>
              </w:rPr>
            </w:pPr>
          </w:p>
        </w:tc>
        <w:tc>
          <w:tcPr>
            <w:tcW w:w="1559" w:type="dxa"/>
            <w:tcBorders>
              <w:top w:val="nil"/>
              <w:left w:val="nil"/>
              <w:bottom w:val="single" w:sz="4" w:space="0" w:color="auto"/>
              <w:right w:val="nil"/>
            </w:tcBorders>
            <w:shd w:val="clear" w:color="auto" w:fill="FFFF00"/>
          </w:tcPr>
          <w:p w14:paraId="1DDD6040" w14:textId="77777777" w:rsidR="004A2481" w:rsidRPr="00FB1F4E" w:rsidRDefault="00FB1F4E" w:rsidP="004A2481">
            <w:pPr>
              <w:widowControl w:val="0"/>
              <w:autoSpaceDE w:val="0"/>
              <w:autoSpaceDN w:val="0"/>
              <w:adjustRightInd w:val="0"/>
              <w:jc w:val="right"/>
              <w:rPr>
                <w:rFonts w:ascii="Calibri" w:hAnsi="Calibri" w:cs="Calibri"/>
                <w:b/>
                <w:bCs/>
                <w:sz w:val="22"/>
                <w:szCs w:val="22"/>
              </w:rPr>
            </w:pPr>
            <w:r w:rsidRPr="00FB1F4E">
              <w:rPr>
                <w:rFonts w:ascii="Calibri" w:hAnsi="Calibri" w:cs="Calibri"/>
                <w:b/>
                <w:bCs/>
                <w:sz w:val="22"/>
                <w:szCs w:val="22"/>
              </w:rPr>
              <w:t>3,4</w:t>
            </w:r>
            <w:r w:rsidR="00EC35D7">
              <w:rPr>
                <w:rFonts w:ascii="Calibri" w:hAnsi="Calibri" w:cs="Calibri"/>
                <w:b/>
                <w:bCs/>
                <w:sz w:val="22"/>
                <w:szCs w:val="22"/>
              </w:rPr>
              <w:t>40.3</w:t>
            </w:r>
          </w:p>
        </w:tc>
        <w:tc>
          <w:tcPr>
            <w:tcW w:w="1418" w:type="dxa"/>
            <w:tcBorders>
              <w:top w:val="nil"/>
              <w:left w:val="nil"/>
              <w:bottom w:val="single" w:sz="4" w:space="0" w:color="auto"/>
              <w:right w:val="nil"/>
            </w:tcBorders>
          </w:tcPr>
          <w:p w14:paraId="50C22867" w14:textId="77777777" w:rsidR="004A2481" w:rsidRPr="004A2481" w:rsidRDefault="00346E22" w:rsidP="004A2481">
            <w:pPr>
              <w:widowControl w:val="0"/>
              <w:autoSpaceDE w:val="0"/>
              <w:autoSpaceDN w:val="0"/>
              <w:adjustRightInd w:val="0"/>
              <w:jc w:val="right"/>
              <w:rPr>
                <w:rFonts w:ascii="Calibri" w:hAnsi="Calibri" w:cs="Calibri"/>
                <w:sz w:val="22"/>
                <w:szCs w:val="22"/>
              </w:rPr>
            </w:pPr>
            <w:r>
              <w:rPr>
                <w:rFonts w:ascii="Calibri" w:hAnsi="Calibri" w:cs="Calibri"/>
                <w:sz w:val="22"/>
                <w:szCs w:val="22"/>
              </w:rPr>
              <w:t>2,650.8</w:t>
            </w:r>
          </w:p>
        </w:tc>
        <w:tc>
          <w:tcPr>
            <w:tcW w:w="1514" w:type="dxa"/>
            <w:tcBorders>
              <w:top w:val="nil"/>
              <w:left w:val="nil"/>
              <w:bottom w:val="single" w:sz="4" w:space="0" w:color="auto"/>
              <w:right w:val="nil"/>
            </w:tcBorders>
            <w:shd w:val="clear" w:color="auto" w:fill="FFFF00"/>
          </w:tcPr>
          <w:p w14:paraId="4394D740" w14:textId="77777777" w:rsidR="004A2481" w:rsidRPr="00FB1F4E" w:rsidRDefault="00FB1F4E" w:rsidP="004A2481">
            <w:pPr>
              <w:widowControl w:val="0"/>
              <w:autoSpaceDE w:val="0"/>
              <w:autoSpaceDN w:val="0"/>
              <w:adjustRightInd w:val="0"/>
              <w:jc w:val="right"/>
              <w:rPr>
                <w:rFonts w:ascii="Calibri" w:hAnsi="Calibri" w:cs="Calibri"/>
                <w:b/>
                <w:bCs/>
                <w:sz w:val="22"/>
                <w:szCs w:val="22"/>
              </w:rPr>
            </w:pPr>
            <w:r w:rsidRPr="00FB1F4E">
              <w:rPr>
                <w:rFonts w:ascii="Calibri" w:hAnsi="Calibri" w:cs="Calibri"/>
                <w:b/>
                <w:bCs/>
                <w:sz w:val="22"/>
                <w:szCs w:val="22"/>
              </w:rPr>
              <w:t>2,00</w:t>
            </w:r>
            <w:r w:rsidR="00EC35D7">
              <w:rPr>
                <w:rFonts w:ascii="Calibri" w:hAnsi="Calibri" w:cs="Calibri"/>
                <w:b/>
                <w:bCs/>
                <w:sz w:val="22"/>
                <w:szCs w:val="22"/>
              </w:rPr>
              <w:t>4.1</w:t>
            </w:r>
          </w:p>
        </w:tc>
        <w:tc>
          <w:tcPr>
            <w:tcW w:w="1488" w:type="dxa"/>
            <w:tcBorders>
              <w:top w:val="nil"/>
              <w:left w:val="nil"/>
              <w:bottom w:val="single" w:sz="4" w:space="0" w:color="auto"/>
              <w:right w:val="nil"/>
            </w:tcBorders>
          </w:tcPr>
          <w:p w14:paraId="4012984D" w14:textId="77777777" w:rsidR="004A2481" w:rsidRPr="004A2481" w:rsidRDefault="00346E22" w:rsidP="009C5CA5">
            <w:pPr>
              <w:autoSpaceDE w:val="0"/>
              <w:autoSpaceDN w:val="0"/>
              <w:adjustRightInd w:val="0"/>
              <w:ind w:right="-81"/>
              <w:jc w:val="right"/>
              <w:rPr>
                <w:rFonts w:ascii="Calibri" w:hAnsi="Calibri" w:cs="Calibri"/>
                <w:color w:val="000000"/>
                <w:sz w:val="22"/>
                <w:szCs w:val="22"/>
              </w:rPr>
            </w:pPr>
            <w:r>
              <w:rPr>
                <w:rFonts w:ascii="Calibri" w:hAnsi="Calibri" w:cs="Calibri"/>
                <w:color w:val="000000"/>
                <w:sz w:val="22"/>
                <w:szCs w:val="22"/>
              </w:rPr>
              <w:t>1,638.2</w:t>
            </w:r>
          </w:p>
        </w:tc>
      </w:tr>
      <w:tr w:rsidR="004A2481" w14:paraId="048D7546" w14:textId="77777777" w:rsidTr="009C5CA5">
        <w:trPr>
          <w:trHeight w:val="293"/>
        </w:trPr>
        <w:tc>
          <w:tcPr>
            <w:tcW w:w="3686" w:type="dxa"/>
            <w:hideMark/>
          </w:tcPr>
          <w:p w14:paraId="04CFF21D" w14:textId="77777777" w:rsidR="004A2481" w:rsidRPr="005454B4" w:rsidRDefault="004A2481" w:rsidP="00984744">
            <w:pPr>
              <w:autoSpaceDE w:val="0"/>
              <w:autoSpaceDN w:val="0"/>
              <w:adjustRightInd w:val="0"/>
              <w:ind w:hanging="105"/>
              <w:rPr>
                <w:rFonts w:ascii="Calibri" w:hAnsi="Calibri" w:cs="Calibri"/>
                <w:color w:val="000000"/>
                <w:sz w:val="22"/>
                <w:szCs w:val="22"/>
              </w:rPr>
            </w:pPr>
            <w:r w:rsidRPr="005454B4">
              <w:rPr>
                <w:rFonts w:ascii="Calibri" w:hAnsi="Calibri" w:cs="Calibri"/>
                <w:color w:val="000000"/>
                <w:sz w:val="22"/>
                <w:szCs w:val="22"/>
              </w:rPr>
              <w:t>Total revenue</w:t>
            </w:r>
          </w:p>
        </w:tc>
        <w:tc>
          <w:tcPr>
            <w:tcW w:w="284" w:type="dxa"/>
          </w:tcPr>
          <w:p w14:paraId="3888011A" w14:textId="77777777" w:rsidR="004A2481" w:rsidRPr="005454B4" w:rsidRDefault="004A2481" w:rsidP="004A2481">
            <w:pPr>
              <w:autoSpaceDE w:val="0"/>
              <w:autoSpaceDN w:val="0"/>
              <w:adjustRightInd w:val="0"/>
              <w:jc w:val="right"/>
              <w:rPr>
                <w:rFonts w:ascii="Calibri" w:hAnsi="Calibri" w:cs="Calibri"/>
                <w:b/>
                <w:bCs/>
                <w:color w:val="000000"/>
                <w:sz w:val="22"/>
                <w:szCs w:val="22"/>
              </w:rPr>
            </w:pPr>
          </w:p>
        </w:tc>
        <w:tc>
          <w:tcPr>
            <w:tcW w:w="283" w:type="dxa"/>
          </w:tcPr>
          <w:p w14:paraId="549F0F9F" w14:textId="77777777" w:rsidR="004A2481" w:rsidRPr="005454B4" w:rsidRDefault="004A2481" w:rsidP="004A2481">
            <w:pPr>
              <w:autoSpaceDE w:val="0"/>
              <w:autoSpaceDN w:val="0"/>
              <w:adjustRightInd w:val="0"/>
              <w:jc w:val="right"/>
              <w:rPr>
                <w:rFonts w:ascii="Calibri" w:hAnsi="Calibri" w:cs="Calibri"/>
                <w:bCs/>
                <w:color w:val="000000"/>
                <w:sz w:val="22"/>
                <w:szCs w:val="22"/>
              </w:rPr>
            </w:pPr>
          </w:p>
        </w:tc>
        <w:tc>
          <w:tcPr>
            <w:tcW w:w="1559" w:type="dxa"/>
            <w:tcBorders>
              <w:top w:val="single" w:sz="4" w:space="0" w:color="auto"/>
              <w:left w:val="nil"/>
              <w:bottom w:val="single" w:sz="12" w:space="0" w:color="auto"/>
              <w:right w:val="nil"/>
            </w:tcBorders>
            <w:shd w:val="clear" w:color="auto" w:fill="FFFF00"/>
          </w:tcPr>
          <w:p w14:paraId="7527240B" w14:textId="77777777" w:rsidR="004A2481" w:rsidRPr="005454B4" w:rsidRDefault="00A04975" w:rsidP="004A2481">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8,57</w:t>
            </w:r>
            <w:r w:rsidR="00EC35D7">
              <w:rPr>
                <w:rFonts w:ascii="Calibri" w:hAnsi="Calibri" w:cs="Calibri"/>
                <w:b/>
                <w:bCs/>
                <w:sz w:val="22"/>
                <w:szCs w:val="22"/>
              </w:rPr>
              <w:t>5.2</w:t>
            </w:r>
          </w:p>
        </w:tc>
        <w:tc>
          <w:tcPr>
            <w:tcW w:w="1418" w:type="dxa"/>
            <w:tcBorders>
              <w:top w:val="single" w:sz="4" w:space="0" w:color="auto"/>
              <w:left w:val="nil"/>
              <w:bottom w:val="single" w:sz="12" w:space="0" w:color="auto"/>
              <w:right w:val="nil"/>
            </w:tcBorders>
            <w:hideMark/>
          </w:tcPr>
          <w:p w14:paraId="799EBFAA" w14:textId="77777777" w:rsidR="004A2481" w:rsidRPr="004A2481" w:rsidRDefault="00346E22" w:rsidP="004A2481">
            <w:pPr>
              <w:widowControl w:val="0"/>
              <w:autoSpaceDE w:val="0"/>
              <w:autoSpaceDN w:val="0"/>
              <w:adjustRightInd w:val="0"/>
              <w:jc w:val="right"/>
              <w:rPr>
                <w:rFonts w:ascii="Calibri" w:hAnsi="Calibri" w:cs="Calibri"/>
                <w:sz w:val="22"/>
                <w:szCs w:val="22"/>
              </w:rPr>
            </w:pPr>
            <w:r>
              <w:rPr>
                <w:rFonts w:ascii="Calibri" w:hAnsi="Calibri" w:cs="Calibri"/>
                <w:sz w:val="22"/>
                <w:szCs w:val="22"/>
              </w:rPr>
              <w:t>6,616.1</w:t>
            </w:r>
          </w:p>
        </w:tc>
        <w:tc>
          <w:tcPr>
            <w:tcW w:w="1514" w:type="dxa"/>
            <w:tcBorders>
              <w:top w:val="single" w:sz="4" w:space="0" w:color="auto"/>
              <w:left w:val="nil"/>
              <w:bottom w:val="single" w:sz="12" w:space="0" w:color="auto"/>
              <w:right w:val="nil"/>
            </w:tcBorders>
            <w:shd w:val="clear" w:color="auto" w:fill="FFFF00"/>
          </w:tcPr>
          <w:p w14:paraId="5A2BDEC2" w14:textId="77777777" w:rsidR="004A2481" w:rsidRPr="005454B4" w:rsidRDefault="00A04975" w:rsidP="004A2481">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4,92</w:t>
            </w:r>
            <w:r w:rsidR="00EC35D7">
              <w:rPr>
                <w:rFonts w:ascii="Calibri" w:hAnsi="Calibri" w:cs="Calibri"/>
                <w:b/>
                <w:bCs/>
                <w:sz w:val="22"/>
                <w:szCs w:val="22"/>
              </w:rPr>
              <w:t>5.9</w:t>
            </w:r>
          </w:p>
        </w:tc>
        <w:tc>
          <w:tcPr>
            <w:tcW w:w="1488" w:type="dxa"/>
            <w:tcBorders>
              <w:top w:val="single" w:sz="4" w:space="0" w:color="auto"/>
              <w:left w:val="nil"/>
              <w:bottom w:val="single" w:sz="12" w:space="0" w:color="auto"/>
              <w:right w:val="nil"/>
            </w:tcBorders>
            <w:hideMark/>
          </w:tcPr>
          <w:p w14:paraId="600D9802" w14:textId="77777777" w:rsidR="004A2481" w:rsidRPr="004A2481" w:rsidRDefault="00346E22" w:rsidP="009C5CA5">
            <w:pPr>
              <w:autoSpaceDE w:val="0"/>
              <w:autoSpaceDN w:val="0"/>
              <w:adjustRightInd w:val="0"/>
              <w:ind w:right="-81"/>
              <w:jc w:val="right"/>
              <w:rPr>
                <w:rFonts w:ascii="Calibri" w:hAnsi="Calibri" w:cs="Calibri"/>
                <w:color w:val="000000"/>
                <w:sz w:val="22"/>
                <w:szCs w:val="22"/>
              </w:rPr>
            </w:pPr>
            <w:r>
              <w:rPr>
                <w:rFonts w:ascii="Calibri" w:hAnsi="Calibri" w:cs="Calibri"/>
                <w:color w:val="000000"/>
                <w:sz w:val="22"/>
                <w:szCs w:val="22"/>
              </w:rPr>
              <w:t>4,014.6</w:t>
            </w:r>
          </w:p>
        </w:tc>
      </w:tr>
    </w:tbl>
    <w:p w14:paraId="41D8AB29" w14:textId="77777777" w:rsidR="00FB1140" w:rsidRDefault="00FB1140" w:rsidP="00136DF6">
      <w:pPr>
        <w:rPr>
          <w:rFonts w:ascii="Calibri" w:hAnsi="Calibri" w:cs="Calibri"/>
          <w:lang w:val="en-US"/>
        </w:rPr>
      </w:pPr>
    </w:p>
    <w:p w14:paraId="302B2E98" w14:textId="77777777" w:rsidR="00346E22" w:rsidRPr="0081763F" w:rsidRDefault="00346E22" w:rsidP="00346E22">
      <w:pPr>
        <w:ind w:right="-143"/>
        <w:jc w:val="both"/>
        <w:rPr>
          <w:rFonts w:ascii="Calibri" w:hAnsi="Calibri" w:cs="Calibri"/>
          <w:sz w:val="22"/>
          <w:szCs w:val="22"/>
        </w:rPr>
      </w:pPr>
      <w:r w:rsidRPr="0081763F">
        <w:rPr>
          <w:rFonts w:ascii="Calibri" w:hAnsi="Calibri" w:cs="Calibri"/>
          <w:sz w:val="22"/>
          <w:szCs w:val="22"/>
        </w:rPr>
        <w:t xml:space="preserve">Ancillary revenues comprise revenues from non-flight scheduled operations, inflight </w:t>
      </w:r>
      <w:proofErr w:type="gramStart"/>
      <w:r w:rsidRPr="0081763F">
        <w:rPr>
          <w:rFonts w:ascii="Calibri" w:hAnsi="Calibri" w:cs="Calibri"/>
          <w:sz w:val="22"/>
          <w:szCs w:val="22"/>
        </w:rPr>
        <w:t>sales</w:t>
      </w:r>
      <w:proofErr w:type="gramEnd"/>
      <w:r w:rsidRPr="0081763F">
        <w:rPr>
          <w:rFonts w:ascii="Calibri" w:hAnsi="Calibri" w:cs="Calibri"/>
          <w:sz w:val="22"/>
          <w:szCs w:val="22"/>
        </w:rPr>
        <w:t xml:space="preserve"> and internet-related services. Non-flight scheduled revenue arises from the sale of </w:t>
      </w:r>
      <w:r w:rsidR="006534C0">
        <w:rPr>
          <w:rFonts w:ascii="Calibri" w:hAnsi="Calibri" w:cs="Calibri"/>
          <w:sz w:val="22"/>
          <w:szCs w:val="22"/>
        </w:rPr>
        <w:t xml:space="preserve">discretionary products such as </w:t>
      </w:r>
      <w:r w:rsidRPr="0081763F">
        <w:rPr>
          <w:rFonts w:ascii="Calibri" w:hAnsi="Calibri" w:cs="Calibri"/>
          <w:sz w:val="22"/>
          <w:szCs w:val="22"/>
        </w:rPr>
        <w:t>priority boarding, allocated seats, car hire, travel insurance, airport transfers, room reservations and other sources, including excess baggage charges and other fees, all directly attributable to the low-fares business.</w:t>
      </w:r>
    </w:p>
    <w:p w14:paraId="03A749E0" w14:textId="77777777" w:rsidR="00346E22" w:rsidRPr="0081763F" w:rsidRDefault="00346E22" w:rsidP="00346E22">
      <w:pPr>
        <w:ind w:right="-143"/>
        <w:jc w:val="both"/>
        <w:rPr>
          <w:rFonts w:ascii="Calibri" w:hAnsi="Calibri" w:cs="Calibri"/>
          <w:sz w:val="22"/>
          <w:szCs w:val="22"/>
        </w:rPr>
      </w:pPr>
    </w:p>
    <w:p w14:paraId="43C9C2E2" w14:textId="77777777" w:rsidR="00D00A73" w:rsidRPr="0081763F" w:rsidRDefault="00346E22" w:rsidP="00D00A73">
      <w:pPr>
        <w:ind w:right="-143"/>
        <w:jc w:val="both"/>
        <w:rPr>
          <w:rFonts w:ascii="Calibri" w:hAnsi="Calibri" w:cs="Calibri"/>
          <w:sz w:val="22"/>
          <w:szCs w:val="22"/>
        </w:rPr>
      </w:pPr>
      <w:proofErr w:type="gramStart"/>
      <w:r w:rsidRPr="0081763F">
        <w:rPr>
          <w:rFonts w:ascii="Calibri" w:hAnsi="Calibri" w:cs="Calibri"/>
          <w:sz w:val="22"/>
          <w:szCs w:val="22"/>
        </w:rPr>
        <w:t>The vast majority of</w:t>
      </w:r>
      <w:proofErr w:type="gramEnd"/>
      <w:r w:rsidRPr="0081763F">
        <w:rPr>
          <w:rFonts w:ascii="Calibri" w:hAnsi="Calibri" w:cs="Calibri"/>
          <w:sz w:val="22"/>
          <w:szCs w:val="22"/>
        </w:rPr>
        <w:t xml:space="preserve"> ancillary revenue is recognised at a point in time, which is typically the flight date. The economic factors that would impact the nature, amount, </w:t>
      </w:r>
      <w:proofErr w:type="gramStart"/>
      <w:r w:rsidRPr="0081763F">
        <w:rPr>
          <w:rFonts w:ascii="Calibri" w:hAnsi="Calibri" w:cs="Calibri"/>
          <w:sz w:val="22"/>
          <w:szCs w:val="22"/>
        </w:rPr>
        <w:t>timing</w:t>
      </w:r>
      <w:proofErr w:type="gramEnd"/>
      <w:r w:rsidRPr="0081763F">
        <w:rPr>
          <w:rFonts w:ascii="Calibri" w:hAnsi="Calibri" w:cs="Calibri"/>
          <w:sz w:val="22"/>
          <w:szCs w:val="22"/>
        </w:rPr>
        <w:t xml:space="preserve"> and uncertainty of revenue and cashflows associated with the provision of passenger travel-related ancillary services are homogeneous across the various component categories within ancillary revenue. Accordingly, there is no further disaggregation of ancillary revenue required in accordance with IFRS 15.</w:t>
      </w:r>
    </w:p>
    <w:p w14:paraId="2E462DE5" w14:textId="77777777" w:rsidR="00D00A73" w:rsidRPr="0081763F" w:rsidRDefault="00D00A73" w:rsidP="00D00A73">
      <w:pPr>
        <w:ind w:right="-143"/>
        <w:jc w:val="both"/>
        <w:rPr>
          <w:rFonts w:ascii="Calibri" w:hAnsi="Calibri" w:cs="Calibri"/>
          <w:sz w:val="22"/>
          <w:szCs w:val="22"/>
        </w:rPr>
      </w:pPr>
    </w:p>
    <w:p w14:paraId="555B8335" w14:textId="77777777" w:rsidR="00097571" w:rsidRPr="0081763F" w:rsidRDefault="004A6FF0" w:rsidP="00D00A73">
      <w:pPr>
        <w:ind w:right="-143"/>
        <w:jc w:val="both"/>
        <w:rPr>
          <w:rFonts w:ascii="Calibri" w:hAnsi="Calibri" w:cs="Calibri"/>
          <w:b/>
          <w:sz w:val="22"/>
          <w:szCs w:val="22"/>
        </w:rPr>
      </w:pPr>
      <w:r w:rsidRPr="0081763F">
        <w:rPr>
          <w:rFonts w:ascii="Calibri" w:hAnsi="Calibri" w:cs="Calibri"/>
          <w:b/>
          <w:sz w:val="22"/>
          <w:szCs w:val="22"/>
        </w:rPr>
        <w:t>8</w:t>
      </w:r>
      <w:r w:rsidR="00097571" w:rsidRPr="0081763F">
        <w:rPr>
          <w:rFonts w:ascii="Calibri" w:hAnsi="Calibri" w:cs="Calibri"/>
          <w:b/>
          <w:sz w:val="22"/>
          <w:szCs w:val="22"/>
        </w:rPr>
        <w:t>.</w:t>
      </w:r>
      <w:r w:rsidR="00097571" w:rsidRPr="0081763F">
        <w:rPr>
          <w:rFonts w:ascii="Calibri" w:hAnsi="Calibri" w:cs="Calibri"/>
          <w:b/>
          <w:sz w:val="22"/>
          <w:szCs w:val="22"/>
        </w:rPr>
        <w:tab/>
        <w:t xml:space="preserve">Property, </w:t>
      </w:r>
      <w:proofErr w:type="gramStart"/>
      <w:r w:rsidR="00097571" w:rsidRPr="0081763F">
        <w:rPr>
          <w:rFonts w:ascii="Calibri" w:hAnsi="Calibri" w:cs="Calibri"/>
          <w:b/>
          <w:sz w:val="22"/>
          <w:szCs w:val="22"/>
        </w:rPr>
        <w:t>plant</w:t>
      </w:r>
      <w:proofErr w:type="gramEnd"/>
      <w:r w:rsidR="00097571" w:rsidRPr="0081763F">
        <w:rPr>
          <w:rFonts w:ascii="Calibri" w:hAnsi="Calibri" w:cs="Calibri"/>
          <w:b/>
          <w:sz w:val="22"/>
          <w:szCs w:val="22"/>
        </w:rPr>
        <w:t xml:space="preserve"> and equipment</w:t>
      </w:r>
      <w:r w:rsidR="009F6FFA" w:rsidRPr="0081763F">
        <w:rPr>
          <w:rFonts w:ascii="Calibri" w:hAnsi="Calibri" w:cs="Calibri"/>
          <w:b/>
          <w:sz w:val="22"/>
          <w:szCs w:val="22"/>
        </w:rPr>
        <w:t xml:space="preserve"> </w:t>
      </w:r>
    </w:p>
    <w:p w14:paraId="32C55A00" w14:textId="77777777" w:rsidR="00097571" w:rsidRPr="0081763F" w:rsidRDefault="00097571" w:rsidP="009C5CA5">
      <w:pPr>
        <w:ind w:right="-143"/>
        <w:rPr>
          <w:rFonts w:ascii="Calibri" w:hAnsi="Calibri" w:cs="Calibri"/>
          <w:lang w:val="en-US"/>
        </w:rPr>
      </w:pPr>
    </w:p>
    <w:p w14:paraId="581A925B" w14:textId="77777777" w:rsidR="00097571" w:rsidRPr="0081763F" w:rsidRDefault="00097571" w:rsidP="009C5CA5">
      <w:pPr>
        <w:autoSpaceDE w:val="0"/>
        <w:autoSpaceDN w:val="0"/>
        <w:adjustRightInd w:val="0"/>
        <w:ind w:right="-143"/>
        <w:jc w:val="both"/>
        <w:rPr>
          <w:rFonts w:ascii="Calibri" w:hAnsi="Calibri" w:cs="Calibri"/>
          <w:i/>
          <w:sz w:val="22"/>
          <w:szCs w:val="22"/>
        </w:rPr>
      </w:pPr>
      <w:r w:rsidRPr="0081763F">
        <w:rPr>
          <w:rFonts w:ascii="Calibri" w:hAnsi="Calibri" w:cs="Calibri"/>
          <w:i/>
          <w:sz w:val="22"/>
          <w:szCs w:val="22"/>
        </w:rPr>
        <w:t>Acquisitions and disposals</w:t>
      </w:r>
    </w:p>
    <w:p w14:paraId="0E6D9D88" w14:textId="77777777" w:rsidR="00984744" w:rsidRPr="0081763F" w:rsidRDefault="00346E22" w:rsidP="00984744">
      <w:pPr>
        <w:jc w:val="both"/>
        <w:rPr>
          <w:rFonts w:ascii="Calibri" w:hAnsi="Calibri" w:cs="Calibri"/>
          <w:sz w:val="22"/>
          <w:szCs w:val="22"/>
        </w:rPr>
      </w:pPr>
      <w:r w:rsidRPr="0081763F">
        <w:rPr>
          <w:rFonts w:ascii="Calibri" w:hAnsi="Calibri" w:cs="Calibri"/>
          <w:sz w:val="22"/>
          <w:szCs w:val="22"/>
        </w:rPr>
        <w:t xml:space="preserve">During the period ended </w:t>
      </w:r>
      <w:r w:rsidRPr="00CB058C">
        <w:rPr>
          <w:rFonts w:ascii="Calibri" w:hAnsi="Calibri" w:cs="Calibri"/>
          <w:sz w:val="22"/>
          <w:szCs w:val="22"/>
        </w:rPr>
        <w:t>September 30, 2023, net capital additions amounted to €</w:t>
      </w:r>
      <w:r w:rsidR="006E2C07" w:rsidRPr="00CB058C">
        <w:rPr>
          <w:rFonts w:ascii="Calibri" w:hAnsi="Calibri" w:cs="Calibri"/>
          <w:sz w:val="22"/>
          <w:szCs w:val="22"/>
        </w:rPr>
        <w:t>92</w:t>
      </w:r>
      <w:r w:rsidR="00FE4FA3" w:rsidRPr="00CB058C">
        <w:rPr>
          <w:rFonts w:ascii="Calibri" w:hAnsi="Calibri" w:cs="Calibri"/>
          <w:sz w:val="22"/>
          <w:szCs w:val="22"/>
        </w:rPr>
        <w:t>4</w:t>
      </w:r>
      <w:r w:rsidRPr="00CB058C">
        <w:rPr>
          <w:rFonts w:ascii="Calibri" w:hAnsi="Calibri" w:cs="Calibri"/>
          <w:sz w:val="22"/>
          <w:szCs w:val="22"/>
        </w:rPr>
        <w:t xml:space="preserve">M principally reflecting aircraft deliveries in the period, aircraft pre-delivery deposits and capitalised maintenance, offset by supplier reimbursements and favourable </w:t>
      </w:r>
      <w:r w:rsidR="00E94A24" w:rsidRPr="00CB058C">
        <w:rPr>
          <w:rFonts w:ascii="Calibri" w:hAnsi="Calibri" w:cs="Calibri"/>
          <w:sz w:val="22"/>
          <w:szCs w:val="22"/>
        </w:rPr>
        <w:t xml:space="preserve">€/US$ </w:t>
      </w:r>
      <w:r w:rsidRPr="00CB058C">
        <w:rPr>
          <w:rFonts w:ascii="Calibri" w:hAnsi="Calibri" w:cs="Calibri"/>
          <w:sz w:val="22"/>
          <w:szCs w:val="22"/>
        </w:rPr>
        <w:t>hedging</w:t>
      </w:r>
      <w:r w:rsidRPr="0081763F">
        <w:rPr>
          <w:rFonts w:ascii="Calibri" w:hAnsi="Calibri" w:cs="Calibri"/>
          <w:sz w:val="22"/>
          <w:szCs w:val="22"/>
        </w:rPr>
        <w:t>.</w:t>
      </w:r>
    </w:p>
    <w:p w14:paraId="1E41102C" w14:textId="77777777" w:rsidR="00346E22" w:rsidRPr="0081763F" w:rsidRDefault="00346E22" w:rsidP="00984744">
      <w:pPr>
        <w:jc w:val="both"/>
        <w:rPr>
          <w:rFonts w:ascii="Calibri" w:hAnsi="Calibri" w:cs="Calibri"/>
          <w:sz w:val="22"/>
          <w:szCs w:val="22"/>
        </w:rPr>
      </w:pPr>
    </w:p>
    <w:p w14:paraId="41163071" w14:textId="77777777" w:rsidR="00346E22" w:rsidRPr="0081763F" w:rsidRDefault="00346E22" w:rsidP="00346E22">
      <w:pPr>
        <w:jc w:val="both"/>
        <w:rPr>
          <w:sz w:val="22"/>
          <w:szCs w:val="22"/>
        </w:rPr>
      </w:pPr>
      <w:r w:rsidRPr="0081763F">
        <w:rPr>
          <w:rFonts w:ascii="Calibri" w:hAnsi="Calibri" w:cs="Calibri"/>
          <w:b/>
          <w:sz w:val="22"/>
          <w:szCs w:val="22"/>
          <w:lang w:val="en-US"/>
        </w:rPr>
        <w:t>9.</w:t>
      </w:r>
      <w:r w:rsidRPr="0081763F">
        <w:rPr>
          <w:rFonts w:ascii="Calibri" w:hAnsi="Calibri" w:cs="Calibri"/>
          <w:b/>
          <w:sz w:val="22"/>
          <w:szCs w:val="22"/>
          <w:lang w:val="en-US"/>
        </w:rPr>
        <w:tab/>
        <w:t>Related party transactions</w:t>
      </w:r>
    </w:p>
    <w:p w14:paraId="0B4D2B55" w14:textId="77777777" w:rsidR="00346E22" w:rsidRPr="0081763F" w:rsidRDefault="00346E22" w:rsidP="00346E22">
      <w:pPr>
        <w:jc w:val="both"/>
        <w:rPr>
          <w:sz w:val="22"/>
          <w:szCs w:val="22"/>
        </w:rPr>
      </w:pPr>
    </w:p>
    <w:p w14:paraId="2A840BE9" w14:textId="77777777" w:rsidR="00346E22" w:rsidRPr="0081763F" w:rsidRDefault="00346E22" w:rsidP="00346E22">
      <w:pPr>
        <w:jc w:val="both"/>
        <w:rPr>
          <w:rFonts w:ascii="Calibri" w:hAnsi="Calibri" w:cs="Calibri"/>
          <w:sz w:val="22"/>
          <w:szCs w:val="22"/>
        </w:rPr>
      </w:pPr>
      <w:r w:rsidRPr="0081763F">
        <w:rPr>
          <w:rFonts w:ascii="Calibri" w:hAnsi="Calibri" w:cs="Calibri"/>
          <w:sz w:val="22"/>
          <w:szCs w:val="22"/>
        </w:rPr>
        <w:t xml:space="preserve">The Company’s related parties comprise its subsidiaries, </w:t>
      </w:r>
      <w:proofErr w:type="gramStart"/>
      <w:r w:rsidRPr="0081763F">
        <w:rPr>
          <w:rFonts w:ascii="Calibri" w:hAnsi="Calibri" w:cs="Calibri"/>
          <w:sz w:val="22"/>
          <w:szCs w:val="22"/>
        </w:rPr>
        <w:t>Directors</w:t>
      </w:r>
      <w:proofErr w:type="gramEnd"/>
      <w:r w:rsidRPr="0081763F">
        <w:rPr>
          <w:rFonts w:ascii="Calibri" w:hAnsi="Calibri" w:cs="Calibri"/>
          <w:sz w:val="22"/>
          <w:szCs w:val="22"/>
        </w:rPr>
        <w:t xml:space="preserve"> and key management personnel. All transactions with subsidiaries eliminate on consolidation and are not disclosed.</w:t>
      </w:r>
    </w:p>
    <w:p w14:paraId="26C9ADAE" w14:textId="77777777" w:rsidR="00346E22" w:rsidRPr="0081763F" w:rsidRDefault="00346E22" w:rsidP="00346E22">
      <w:pPr>
        <w:jc w:val="both"/>
        <w:rPr>
          <w:rFonts w:ascii="Calibri" w:hAnsi="Calibri" w:cs="Calibri"/>
          <w:sz w:val="22"/>
          <w:szCs w:val="22"/>
        </w:rPr>
      </w:pPr>
    </w:p>
    <w:p w14:paraId="2218C35B" w14:textId="77777777" w:rsidR="00346E22" w:rsidRPr="0081763F" w:rsidRDefault="00346E22" w:rsidP="00346E22">
      <w:pPr>
        <w:jc w:val="both"/>
        <w:rPr>
          <w:rFonts w:ascii="Calibri" w:hAnsi="Calibri" w:cs="Calibri"/>
          <w:sz w:val="22"/>
          <w:szCs w:val="22"/>
        </w:rPr>
      </w:pPr>
      <w:r w:rsidRPr="0081763F">
        <w:rPr>
          <w:rFonts w:ascii="Calibri" w:hAnsi="Calibri" w:cs="Calibri"/>
          <w:sz w:val="22"/>
          <w:szCs w:val="22"/>
        </w:rPr>
        <w:t>There were no related party transactions in the half</w:t>
      </w:r>
      <w:r w:rsidR="0058230A">
        <w:rPr>
          <w:rFonts w:ascii="Calibri" w:hAnsi="Calibri" w:cs="Calibri"/>
          <w:sz w:val="22"/>
          <w:szCs w:val="22"/>
        </w:rPr>
        <w:t>-</w:t>
      </w:r>
      <w:r w:rsidRPr="0081763F">
        <w:rPr>
          <w:rFonts w:ascii="Calibri" w:hAnsi="Calibri" w:cs="Calibri"/>
          <w:sz w:val="22"/>
          <w:szCs w:val="22"/>
        </w:rPr>
        <w:t xml:space="preserve">year ended September 30, </w:t>
      </w:r>
      <w:proofErr w:type="gramStart"/>
      <w:r w:rsidRPr="0081763F">
        <w:rPr>
          <w:rFonts w:ascii="Calibri" w:hAnsi="Calibri" w:cs="Calibri"/>
          <w:sz w:val="22"/>
          <w:szCs w:val="22"/>
        </w:rPr>
        <w:t>2023</w:t>
      </w:r>
      <w:proofErr w:type="gramEnd"/>
      <w:r w:rsidRPr="0081763F">
        <w:rPr>
          <w:rFonts w:ascii="Calibri" w:hAnsi="Calibri" w:cs="Calibri"/>
          <w:sz w:val="22"/>
          <w:szCs w:val="22"/>
        </w:rPr>
        <w:t xml:space="preserve"> that materially affected the financial position or the performance of the Group during that period and there were no changes in the related party transactions described in the 2023 Annual Report that could have a material effect on the financial position or performance of the Group in the same period.</w:t>
      </w:r>
    </w:p>
    <w:p w14:paraId="2B0B370D" w14:textId="77777777" w:rsidR="00346E22" w:rsidRPr="0081763F" w:rsidRDefault="00346E22" w:rsidP="00346E22">
      <w:pPr>
        <w:jc w:val="both"/>
        <w:rPr>
          <w:rFonts w:ascii="Calibri" w:hAnsi="Calibri" w:cs="Calibri"/>
          <w:sz w:val="22"/>
          <w:szCs w:val="22"/>
        </w:rPr>
      </w:pPr>
    </w:p>
    <w:p w14:paraId="684BC204" w14:textId="77777777" w:rsidR="005E6885" w:rsidRPr="0081763F" w:rsidRDefault="005E6885" w:rsidP="00984744">
      <w:pPr>
        <w:autoSpaceDE w:val="0"/>
        <w:autoSpaceDN w:val="0"/>
        <w:adjustRightInd w:val="0"/>
        <w:ind w:right="-23"/>
        <w:jc w:val="both"/>
        <w:rPr>
          <w:rFonts w:ascii="Calibri" w:hAnsi="Calibri" w:cs="Calibri"/>
          <w:i/>
          <w:sz w:val="8"/>
          <w:szCs w:val="8"/>
        </w:rPr>
      </w:pPr>
    </w:p>
    <w:p w14:paraId="3D5EFA8E" w14:textId="77777777" w:rsidR="00097571" w:rsidRPr="0081763F" w:rsidRDefault="00346E22" w:rsidP="009C5CA5">
      <w:pPr>
        <w:autoSpaceDE w:val="0"/>
        <w:autoSpaceDN w:val="0"/>
        <w:adjustRightInd w:val="0"/>
        <w:ind w:right="-143"/>
        <w:jc w:val="both"/>
        <w:rPr>
          <w:rFonts w:ascii="Calibri" w:hAnsi="Calibri" w:cs="Calibri"/>
          <w:b/>
          <w:sz w:val="22"/>
          <w:szCs w:val="22"/>
        </w:rPr>
      </w:pPr>
      <w:r w:rsidRPr="0081763F">
        <w:rPr>
          <w:rFonts w:ascii="Calibri" w:hAnsi="Calibri" w:cs="Calibri"/>
          <w:b/>
          <w:sz w:val="22"/>
          <w:szCs w:val="22"/>
        </w:rPr>
        <w:t>10</w:t>
      </w:r>
      <w:r w:rsidR="00097571" w:rsidRPr="0081763F">
        <w:rPr>
          <w:rFonts w:ascii="Calibri" w:hAnsi="Calibri" w:cs="Calibri"/>
          <w:b/>
          <w:sz w:val="22"/>
          <w:szCs w:val="22"/>
        </w:rPr>
        <w:t>.</w:t>
      </w:r>
      <w:r w:rsidR="00097571" w:rsidRPr="0081763F">
        <w:rPr>
          <w:rFonts w:ascii="Calibri" w:hAnsi="Calibri" w:cs="Calibri"/>
          <w:sz w:val="22"/>
          <w:szCs w:val="22"/>
        </w:rPr>
        <w:tab/>
      </w:r>
      <w:r w:rsidR="00097571" w:rsidRPr="0081763F">
        <w:rPr>
          <w:rFonts w:ascii="Calibri" w:hAnsi="Calibri" w:cs="Calibri"/>
          <w:b/>
          <w:sz w:val="22"/>
          <w:szCs w:val="22"/>
        </w:rPr>
        <w:t xml:space="preserve">Financial instruments and financial risk management </w:t>
      </w:r>
    </w:p>
    <w:p w14:paraId="7FBEF106" w14:textId="77777777" w:rsidR="001B35FF" w:rsidRPr="0081763F" w:rsidRDefault="001B35FF" w:rsidP="009C5CA5">
      <w:pPr>
        <w:autoSpaceDE w:val="0"/>
        <w:autoSpaceDN w:val="0"/>
        <w:adjustRightInd w:val="0"/>
        <w:ind w:right="-143"/>
        <w:jc w:val="both"/>
        <w:rPr>
          <w:rFonts w:ascii="Calibri" w:eastAsia="Calibri" w:hAnsi="Calibri" w:cs="Calibri"/>
          <w:sz w:val="22"/>
          <w:szCs w:val="22"/>
        </w:rPr>
      </w:pPr>
    </w:p>
    <w:p w14:paraId="5B317268" w14:textId="77777777" w:rsidR="00097571" w:rsidRPr="0081763F" w:rsidRDefault="00097571" w:rsidP="009C5CA5">
      <w:pPr>
        <w:autoSpaceDE w:val="0"/>
        <w:autoSpaceDN w:val="0"/>
        <w:adjustRightInd w:val="0"/>
        <w:ind w:right="-143"/>
        <w:jc w:val="both"/>
        <w:rPr>
          <w:rFonts w:ascii="Calibri" w:eastAsia="Calibri" w:hAnsi="Calibri" w:cs="Calibri"/>
          <w:sz w:val="22"/>
          <w:szCs w:val="22"/>
        </w:rPr>
      </w:pPr>
      <w:r w:rsidRPr="0081763F">
        <w:rPr>
          <w:rFonts w:ascii="Calibri" w:eastAsia="Calibri" w:hAnsi="Calibri" w:cs="Calibri"/>
          <w:sz w:val="22"/>
          <w:szCs w:val="22"/>
        </w:rPr>
        <w:t xml:space="preserve">The Group is exposed to various financial risks arising in the normal course of business. The Group’s financial risk exposures are predominantly related to </w:t>
      </w:r>
      <w:r w:rsidRPr="0081763F">
        <w:rPr>
          <w:rFonts w:ascii="Calibri" w:hAnsi="Calibri" w:cs="Calibri"/>
          <w:sz w:val="22"/>
          <w:szCs w:val="22"/>
        </w:rPr>
        <w:t xml:space="preserve">commodity price, foreign </w:t>
      </w:r>
      <w:proofErr w:type="gramStart"/>
      <w:r w:rsidRPr="0081763F">
        <w:rPr>
          <w:rFonts w:ascii="Calibri" w:hAnsi="Calibri" w:cs="Calibri"/>
          <w:sz w:val="22"/>
          <w:szCs w:val="22"/>
        </w:rPr>
        <w:t>exchange</w:t>
      </w:r>
      <w:proofErr w:type="gramEnd"/>
      <w:r w:rsidRPr="0081763F">
        <w:rPr>
          <w:rFonts w:ascii="Calibri" w:hAnsi="Calibri" w:cs="Calibri"/>
          <w:sz w:val="22"/>
          <w:szCs w:val="22"/>
        </w:rPr>
        <w:t xml:space="preserve"> and interest rate risks. The Group uses financial instruments to manage exposures arising from these risks. </w:t>
      </w:r>
      <w:r w:rsidRPr="0081763F">
        <w:rPr>
          <w:rFonts w:ascii="Calibri" w:eastAsia="Calibri" w:hAnsi="Calibri" w:cs="Calibri"/>
          <w:sz w:val="22"/>
          <w:szCs w:val="22"/>
        </w:rPr>
        <w:t xml:space="preserve"> </w:t>
      </w:r>
    </w:p>
    <w:p w14:paraId="12FEEA1C" w14:textId="77777777" w:rsidR="00097571" w:rsidRPr="0081763F" w:rsidRDefault="00097571" w:rsidP="009C5CA5">
      <w:pPr>
        <w:autoSpaceDE w:val="0"/>
        <w:autoSpaceDN w:val="0"/>
        <w:adjustRightInd w:val="0"/>
        <w:ind w:right="-143"/>
        <w:jc w:val="both"/>
        <w:rPr>
          <w:rFonts w:ascii="Calibri" w:eastAsia="Calibri" w:hAnsi="Calibri" w:cs="Calibri"/>
          <w:sz w:val="22"/>
          <w:szCs w:val="22"/>
        </w:rPr>
      </w:pPr>
    </w:p>
    <w:p w14:paraId="5867DDFB" w14:textId="77777777" w:rsidR="003F214A" w:rsidRPr="0081763F" w:rsidRDefault="00097571" w:rsidP="009C5CA5">
      <w:pPr>
        <w:autoSpaceDE w:val="0"/>
        <w:autoSpaceDN w:val="0"/>
        <w:adjustRightInd w:val="0"/>
        <w:ind w:right="-143"/>
        <w:jc w:val="both"/>
        <w:rPr>
          <w:rFonts w:ascii="Calibri" w:hAnsi="Calibri" w:cs="Calibri"/>
          <w:sz w:val="22"/>
          <w:szCs w:val="22"/>
        </w:rPr>
      </w:pPr>
      <w:r w:rsidRPr="0081763F">
        <w:rPr>
          <w:rFonts w:ascii="Calibri" w:eastAsia="Calibri" w:hAnsi="Calibri" w:cs="Calibri"/>
          <w:sz w:val="22"/>
          <w:szCs w:val="22"/>
        </w:rPr>
        <w:t>These interim financial statements do not include all financial risk management information and disclosures required in the annual financial statements and should be read in conjunction with the 20</w:t>
      </w:r>
      <w:r w:rsidR="00D019C0" w:rsidRPr="0081763F">
        <w:rPr>
          <w:rFonts w:ascii="Calibri" w:eastAsia="Calibri" w:hAnsi="Calibri" w:cs="Calibri"/>
          <w:sz w:val="22"/>
          <w:szCs w:val="22"/>
        </w:rPr>
        <w:t>2</w:t>
      </w:r>
      <w:r w:rsidR="00346E22" w:rsidRPr="0081763F">
        <w:rPr>
          <w:rFonts w:ascii="Calibri" w:eastAsia="Calibri" w:hAnsi="Calibri" w:cs="Calibri"/>
          <w:sz w:val="22"/>
          <w:szCs w:val="22"/>
        </w:rPr>
        <w:t>3</w:t>
      </w:r>
      <w:r w:rsidRPr="0081763F">
        <w:rPr>
          <w:rFonts w:ascii="Calibri" w:eastAsia="Calibri" w:hAnsi="Calibri" w:cs="Calibri"/>
          <w:sz w:val="22"/>
          <w:szCs w:val="22"/>
        </w:rPr>
        <w:t xml:space="preserve"> Annual Report. </w:t>
      </w:r>
      <w:r w:rsidR="00264E71" w:rsidRPr="0081763F">
        <w:rPr>
          <w:rFonts w:ascii="Calibri" w:hAnsi="Calibri" w:cs="Calibri"/>
          <w:sz w:val="22"/>
          <w:szCs w:val="22"/>
        </w:rPr>
        <w:t>There have been no changes in our risk management policies in the period.</w:t>
      </w:r>
    </w:p>
    <w:p w14:paraId="23BBCDA9" w14:textId="77777777" w:rsidR="003F214A" w:rsidRPr="0081763F" w:rsidRDefault="003F214A" w:rsidP="009C5CA5">
      <w:pPr>
        <w:autoSpaceDE w:val="0"/>
        <w:autoSpaceDN w:val="0"/>
        <w:adjustRightInd w:val="0"/>
        <w:ind w:right="-143"/>
        <w:jc w:val="both"/>
        <w:rPr>
          <w:rFonts w:ascii="Calibri" w:hAnsi="Calibri" w:cs="Calibri"/>
          <w:sz w:val="22"/>
          <w:szCs w:val="22"/>
        </w:rPr>
      </w:pPr>
    </w:p>
    <w:p w14:paraId="76CDA050" w14:textId="77777777" w:rsidR="00097571" w:rsidRPr="0081763F" w:rsidRDefault="00097571" w:rsidP="009C5CA5">
      <w:pPr>
        <w:autoSpaceDE w:val="0"/>
        <w:autoSpaceDN w:val="0"/>
        <w:adjustRightInd w:val="0"/>
        <w:ind w:right="-143"/>
        <w:jc w:val="both"/>
        <w:rPr>
          <w:rFonts w:ascii="Calibri" w:eastAsia="Calibri" w:hAnsi="Calibri" w:cs="Calibri"/>
          <w:b/>
          <w:bCs/>
          <w:i/>
          <w:iCs/>
          <w:sz w:val="22"/>
          <w:szCs w:val="22"/>
        </w:rPr>
      </w:pPr>
      <w:r w:rsidRPr="0081763F">
        <w:rPr>
          <w:rFonts w:ascii="Calibri" w:eastAsia="Calibri" w:hAnsi="Calibri" w:cs="Calibri"/>
          <w:b/>
          <w:bCs/>
          <w:i/>
          <w:iCs/>
          <w:sz w:val="22"/>
          <w:szCs w:val="22"/>
        </w:rPr>
        <w:t>Fair value hierarchy</w:t>
      </w:r>
    </w:p>
    <w:p w14:paraId="498C07AF" w14:textId="77777777" w:rsidR="00097571" w:rsidRPr="0081763F" w:rsidRDefault="00097571" w:rsidP="009C5CA5">
      <w:pPr>
        <w:ind w:right="-143"/>
        <w:jc w:val="both"/>
        <w:rPr>
          <w:rFonts w:ascii="Calibri" w:eastAsia="MS Mincho" w:hAnsi="Calibri" w:cs="Calibri"/>
          <w:sz w:val="22"/>
          <w:szCs w:val="22"/>
          <w:lang w:val="en-US"/>
        </w:rPr>
      </w:pPr>
      <w:r w:rsidRPr="0081763F">
        <w:rPr>
          <w:rFonts w:ascii="Calibri" w:hAnsi="Calibri" w:cs="Calibri"/>
          <w:sz w:val="22"/>
          <w:szCs w:val="22"/>
        </w:rPr>
        <w:t>Financial instruments measured at fair value in the balance sheet are categorised by the type of valuation method used. The different valuation levels are defined as follows:</w:t>
      </w:r>
    </w:p>
    <w:p w14:paraId="1C0FB0B3" w14:textId="77777777" w:rsidR="00097571" w:rsidRPr="0081763F" w:rsidRDefault="00097571" w:rsidP="009C5CA5">
      <w:pPr>
        <w:numPr>
          <w:ilvl w:val="0"/>
          <w:numId w:val="5"/>
        </w:numPr>
        <w:autoSpaceDE w:val="0"/>
        <w:autoSpaceDN w:val="0"/>
        <w:adjustRightInd w:val="0"/>
        <w:ind w:left="426" w:right="-143" w:hanging="426"/>
        <w:jc w:val="both"/>
        <w:rPr>
          <w:rFonts w:ascii="Calibri" w:hAnsi="Calibri" w:cs="Calibri"/>
          <w:sz w:val="22"/>
          <w:szCs w:val="22"/>
          <w:lang w:val="en-US"/>
        </w:rPr>
      </w:pPr>
      <w:r w:rsidRPr="0081763F">
        <w:rPr>
          <w:rFonts w:ascii="Calibri" w:hAnsi="Calibri" w:cs="Calibri"/>
          <w:sz w:val="22"/>
          <w:szCs w:val="22"/>
          <w:lang w:val="en-US"/>
        </w:rPr>
        <w:lastRenderedPageBreak/>
        <w:t>Level 1: quoted prices (unadjusted) in active markets for identical assets or liabilities that the Group can access at the measurement date.</w:t>
      </w:r>
    </w:p>
    <w:p w14:paraId="20FA7AA0" w14:textId="77777777" w:rsidR="00097571" w:rsidRPr="0081763F" w:rsidRDefault="00097571" w:rsidP="009C5CA5">
      <w:pPr>
        <w:numPr>
          <w:ilvl w:val="0"/>
          <w:numId w:val="5"/>
        </w:numPr>
        <w:autoSpaceDE w:val="0"/>
        <w:autoSpaceDN w:val="0"/>
        <w:adjustRightInd w:val="0"/>
        <w:ind w:left="426" w:right="-143" w:hanging="426"/>
        <w:jc w:val="both"/>
        <w:rPr>
          <w:rFonts w:ascii="Calibri" w:hAnsi="Calibri" w:cs="Calibri"/>
          <w:sz w:val="22"/>
          <w:szCs w:val="22"/>
          <w:lang w:val="en-US"/>
        </w:rPr>
      </w:pPr>
      <w:r w:rsidRPr="0081763F">
        <w:rPr>
          <w:rFonts w:ascii="Calibri" w:hAnsi="Calibri" w:cs="Calibri"/>
          <w:sz w:val="22"/>
          <w:szCs w:val="22"/>
          <w:lang w:val="en-US"/>
        </w:rPr>
        <w:t>Level 2: inputs other than quoted prices included within Level 1 that are observable for that asset or liability, either directly or indirectly.</w:t>
      </w:r>
    </w:p>
    <w:p w14:paraId="443F1D6C" w14:textId="77777777" w:rsidR="00984744" w:rsidRPr="0081763F" w:rsidRDefault="00097571" w:rsidP="009C5CA5">
      <w:pPr>
        <w:numPr>
          <w:ilvl w:val="0"/>
          <w:numId w:val="5"/>
        </w:numPr>
        <w:autoSpaceDE w:val="0"/>
        <w:autoSpaceDN w:val="0"/>
        <w:adjustRightInd w:val="0"/>
        <w:ind w:left="426" w:right="-143" w:hanging="426"/>
        <w:jc w:val="both"/>
        <w:rPr>
          <w:rFonts w:ascii="Calibri" w:eastAsia="Calibri" w:hAnsi="Calibri" w:cs="Calibri"/>
          <w:b/>
          <w:bCs/>
          <w:i/>
          <w:iCs/>
          <w:sz w:val="22"/>
          <w:szCs w:val="22"/>
        </w:rPr>
      </w:pPr>
      <w:r w:rsidRPr="0081763F">
        <w:rPr>
          <w:rFonts w:ascii="Calibri" w:hAnsi="Calibri" w:cs="Calibri"/>
          <w:sz w:val="22"/>
          <w:szCs w:val="22"/>
          <w:lang w:val="en-US"/>
        </w:rPr>
        <w:t>Level 3: significant unobservable inputs for the asset or liability.</w:t>
      </w:r>
    </w:p>
    <w:p w14:paraId="44589525" w14:textId="77777777" w:rsidR="00984744" w:rsidRPr="0081763F" w:rsidRDefault="00984744" w:rsidP="009C5CA5">
      <w:pPr>
        <w:autoSpaceDE w:val="0"/>
        <w:autoSpaceDN w:val="0"/>
        <w:adjustRightInd w:val="0"/>
        <w:ind w:right="-143"/>
        <w:jc w:val="both"/>
        <w:rPr>
          <w:rFonts w:ascii="Calibri" w:hAnsi="Calibri" w:cs="Calibri"/>
          <w:sz w:val="22"/>
          <w:szCs w:val="22"/>
          <w:lang w:val="en-US"/>
        </w:rPr>
      </w:pPr>
    </w:p>
    <w:p w14:paraId="155E8F46" w14:textId="77777777" w:rsidR="00097571" w:rsidRPr="0081763F" w:rsidRDefault="00097571" w:rsidP="009C5CA5">
      <w:pPr>
        <w:autoSpaceDE w:val="0"/>
        <w:autoSpaceDN w:val="0"/>
        <w:adjustRightInd w:val="0"/>
        <w:ind w:right="-143"/>
        <w:jc w:val="both"/>
        <w:rPr>
          <w:rFonts w:ascii="Calibri" w:eastAsia="Calibri" w:hAnsi="Calibri" w:cs="Calibri"/>
          <w:b/>
          <w:bCs/>
          <w:i/>
          <w:iCs/>
          <w:sz w:val="22"/>
          <w:szCs w:val="22"/>
        </w:rPr>
      </w:pPr>
      <w:r w:rsidRPr="0081763F">
        <w:rPr>
          <w:rFonts w:ascii="Calibri" w:eastAsia="Calibri" w:hAnsi="Calibri" w:cs="Calibri"/>
          <w:b/>
          <w:bCs/>
          <w:i/>
          <w:iCs/>
          <w:sz w:val="22"/>
          <w:szCs w:val="22"/>
        </w:rPr>
        <w:t>Fair value estimation</w:t>
      </w:r>
    </w:p>
    <w:p w14:paraId="67AB3A4F" w14:textId="77777777" w:rsidR="00984744" w:rsidRPr="0081763F" w:rsidRDefault="00097571" w:rsidP="009C5CA5">
      <w:pPr>
        <w:pStyle w:val="CG-SingleSp05s2"/>
        <w:spacing w:after="0"/>
        <w:ind w:right="-143" w:firstLine="0"/>
        <w:rPr>
          <w:rFonts w:ascii="Calibri" w:hAnsi="Calibri" w:cs="Calibri"/>
          <w:szCs w:val="22"/>
        </w:rPr>
      </w:pPr>
      <w:r w:rsidRPr="0081763F">
        <w:rPr>
          <w:rFonts w:ascii="Calibri" w:hAnsi="Calibri" w:cs="Calibri"/>
          <w:szCs w:val="22"/>
        </w:rPr>
        <w:t>Fair value is the price that would be received to sell an asset, or paid to transfer a liability, in an orderly transaction between market participants at the measurement date. The following methods and assumptions were used to estimate the fair value of each material class of the Group’s financial instruments:</w:t>
      </w:r>
    </w:p>
    <w:p w14:paraId="2EE8C649" w14:textId="77777777" w:rsidR="00BD2DAC" w:rsidRPr="0081763F" w:rsidRDefault="00BD2DAC" w:rsidP="00984744">
      <w:pPr>
        <w:pStyle w:val="CG-SingleSp05s2"/>
        <w:spacing w:after="0"/>
        <w:ind w:firstLine="0"/>
        <w:rPr>
          <w:rFonts w:ascii="Calibri" w:hAnsi="Calibri" w:cs="Calibri"/>
          <w:i/>
          <w:szCs w:val="22"/>
        </w:rPr>
      </w:pPr>
    </w:p>
    <w:p w14:paraId="330BB357" w14:textId="77777777" w:rsidR="00097571" w:rsidRPr="0081763F" w:rsidRDefault="00097571" w:rsidP="009C5CA5">
      <w:pPr>
        <w:pStyle w:val="CG-SingleSp05s2"/>
        <w:spacing w:after="0"/>
        <w:ind w:right="-143" w:firstLine="0"/>
        <w:rPr>
          <w:rFonts w:ascii="Calibri" w:hAnsi="Calibri" w:cs="Calibri"/>
          <w:i/>
          <w:szCs w:val="22"/>
        </w:rPr>
      </w:pPr>
      <w:r w:rsidRPr="0081763F">
        <w:rPr>
          <w:rFonts w:ascii="Calibri" w:hAnsi="Calibri" w:cs="Calibri"/>
          <w:i/>
          <w:szCs w:val="22"/>
        </w:rPr>
        <w:t>Financial instruments measured at fair value</w:t>
      </w:r>
    </w:p>
    <w:p w14:paraId="62EBDBC2" w14:textId="77777777" w:rsidR="00984744" w:rsidRPr="0081763F" w:rsidRDefault="00984744" w:rsidP="009C5CA5">
      <w:pPr>
        <w:pStyle w:val="CG-SingleSp05s2"/>
        <w:spacing w:after="0"/>
        <w:ind w:right="-143" w:firstLine="0"/>
        <w:rPr>
          <w:rFonts w:ascii="Calibri" w:hAnsi="Calibri" w:cs="Calibri"/>
          <w:i/>
          <w:szCs w:val="22"/>
        </w:rPr>
      </w:pPr>
    </w:p>
    <w:p w14:paraId="0D5A8270" w14:textId="77777777" w:rsidR="00097571" w:rsidRPr="0081763F" w:rsidRDefault="00097571" w:rsidP="00502376">
      <w:pPr>
        <w:pStyle w:val="CG-SingleSp05s2"/>
        <w:numPr>
          <w:ilvl w:val="0"/>
          <w:numId w:val="3"/>
        </w:numPr>
        <w:tabs>
          <w:tab w:val="clear" w:pos="340"/>
          <w:tab w:val="left" w:pos="-284"/>
          <w:tab w:val="num" w:pos="426"/>
        </w:tabs>
        <w:snapToGrid w:val="0"/>
        <w:spacing w:after="0"/>
        <w:ind w:left="426" w:right="-143" w:hanging="426"/>
        <w:rPr>
          <w:rFonts w:ascii="Calibri" w:hAnsi="Calibri" w:cs="Calibri"/>
          <w:szCs w:val="22"/>
        </w:rPr>
      </w:pPr>
      <w:r w:rsidRPr="0081763F">
        <w:rPr>
          <w:rFonts w:ascii="Calibri" w:hAnsi="Calibri" w:cs="Calibri"/>
          <w:b/>
          <w:bCs/>
          <w:szCs w:val="22"/>
        </w:rPr>
        <w:t xml:space="preserve">Derivatives – interest rate swaps: </w:t>
      </w:r>
      <w:r w:rsidR="003022F1" w:rsidRPr="0081763F">
        <w:rPr>
          <w:rFonts w:ascii="Calibri" w:hAnsi="Calibri" w:cs="Calibri"/>
          <w:szCs w:val="22"/>
        </w:rPr>
        <w:t xml:space="preserve">Discounted cash-flow analyses have been used to determine their fair value, </w:t>
      </w:r>
      <w:proofErr w:type="gramStart"/>
      <w:r w:rsidR="003022F1" w:rsidRPr="0081763F">
        <w:rPr>
          <w:rFonts w:ascii="Calibri" w:hAnsi="Calibri" w:cs="Calibri"/>
          <w:szCs w:val="22"/>
        </w:rPr>
        <w:t>taking into account</w:t>
      </w:r>
      <w:proofErr w:type="gramEnd"/>
      <w:r w:rsidR="003022F1" w:rsidRPr="0081763F">
        <w:rPr>
          <w:rFonts w:ascii="Calibri" w:hAnsi="Calibri" w:cs="Calibri"/>
          <w:szCs w:val="22"/>
        </w:rPr>
        <w:t xml:space="preserve"> current market inputs and rates. The Group’s credit risk and counterparty’s credit risk is </w:t>
      </w:r>
      <w:proofErr w:type="gramStart"/>
      <w:r w:rsidR="003022F1" w:rsidRPr="0081763F">
        <w:rPr>
          <w:rFonts w:ascii="Calibri" w:hAnsi="Calibri" w:cs="Calibri"/>
          <w:szCs w:val="22"/>
        </w:rPr>
        <w:t>taken into account</w:t>
      </w:r>
      <w:proofErr w:type="gramEnd"/>
      <w:r w:rsidR="003022F1" w:rsidRPr="0081763F">
        <w:rPr>
          <w:rFonts w:ascii="Calibri" w:hAnsi="Calibri" w:cs="Calibri"/>
          <w:szCs w:val="22"/>
        </w:rPr>
        <w:t xml:space="preserve"> when establishing fair value (Level 2).</w:t>
      </w:r>
    </w:p>
    <w:p w14:paraId="644AB7CF" w14:textId="77777777" w:rsidR="00CA278A" w:rsidRPr="0081763F" w:rsidRDefault="00CA278A" w:rsidP="00502376">
      <w:pPr>
        <w:pStyle w:val="CG-SingleSp05s2"/>
        <w:numPr>
          <w:ilvl w:val="0"/>
          <w:numId w:val="3"/>
        </w:numPr>
        <w:tabs>
          <w:tab w:val="clear" w:pos="340"/>
          <w:tab w:val="num" w:pos="-284"/>
          <w:tab w:val="num" w:pos="426"/>
        </w:tabs>
        <w:snapToGrid w:val="0"/>
        <w:spacing w:after="0"/>
        <w:ind w:left="426" w:right="-143" w:hanging="426"/>
        <w:rPr>
          <w:rFonts w:ascii="Calibri" w:hAnsi="Calibri" w:cs="Calibri"/>
          <w:szCs w:val="22"/>
        </w:rPr>
      </w:pPr>
      <w:r w:rsidRPr="0081763F">
        <w:rPr>
          <w:rFonts w:ascii="Calibri" w:hAnsi="Calibri" w:cs="Calibri"/>
          <w:b/>
          <w:bCs/>
          <w:szCs w:val="22"/>
        </w:rPr>
        <w:t xml:space="preserve">Derivatives – currency forwards, </w:t>
      </w:r>
      <w:r w:rsidR="00264E71" w:rsidRPr="0081763F">
        <w:rPr>
          <w:rFonts w:ascii="Calibri" w:hAnsi="Calibri" w:cs="Calibri"/>
          <w:b/>
          <w:bCs/>
          <w:szCs w:val="22"/>
        </w:rPr>
        <w:t>jet fuel forward contracts and carbon</w:t>
      </w:r>
      <w:r w:rsidRPr="0081763F">
        <w:rPr>
          <w:rFonts w:ascii="Calibri" w:hAnsi="Calibri" w:cs="Calibri"/>
          <w:b/>
          <w:bCs/>
          <w:szCs w:val="22"/>
        </w:rPr>
        <w:t xml:space="preserve"> contracts: </w:t>
      </w:r>
      <w:r w:rsidR="003022F1" w:rsidRPr="0081763F">
        <w:rPr>
          <w:rFonts w:ascii="Calibri" w:hAnsi="Calibri" w:cs="Calibri"/>
          <w:szCs w:val="22"/>
        </w:rPr>
        <w:t xml:space="preserve">A comparison of the contracted rate to the market rate for contracts providing a similar risk profile </w:t>
      </w:r>
      <w:proofErr w:type="gramStart"/>
      <w:r w:rsidR="003022F1" w:rsidRPr="0081763F">
        <w:rPr>
          <w:rFonts w:ascii="Calibri" w:hAnsi="Calibri" w:cs="Calibri"/>
          <w:szCs w:val="22"/>
        </w:rPr>
        <w:t>at</w:t>
      </w:r>
      <w:proofErr w:type="gramEnd"/>
      <w:r w:rsidR="003022F1" w:rsidRPr="0081763F">
        <w:rPr>
          <w:rFonts w:ascii="Calibri" w:hAnsi="Calibri" w:cs="Calibri"/>
          <w:szCs w:val="22"/>
        </w:rPr>
        <w:t xml:space="preserve"> September 30, 202</w:t>
      </w:r>
      <w:r w:rsidR="00346E22" w:rsidRPr="0081763F">
        <w:rPr>
          <w:rFonts w:ascii="Calibri" w:hAnsi="Calibri" w:cs="Calibri"/>
          <w:szCs w:val="22"/>
        </w:rPr>
        <w:t>3</w:t>
      </w:r>
      <w:r w:rsidR="003022F1" w:rsidRPr="0081763F">
        <w:rPr>
          <w:rFonts w:ascii="Calibri" w:hAnsi="Calibri" w:cs="Calibri"/>
          <w:szCs w:val="22"/>
        </w:rPr>
        <w:t xml:space="preserve"> has been used to establish fair value. The Group’s credit risk and counterparty’s credit risk is </w:t>
      </w:r>
      <w:proofErr w:type="gramStart"/>
      <w:r w:rsidR="003022F1" w:rsidRPr="0081763F">
        <w:rPr>
          <w:rFonts w:ascii="Calibri" w:hAnsi="Calibri" w:cs="Calibri"/>
          <w:szCs w:val="22"/>
        </w:rPr>
        <w:t>taken into account</w:t>
      </w:r>
      <w:proofErr w:type="gramEnd"/>
      <w:r w:rsidR="003022F1" w:rsidRPr="0081763F">
        <w:rPr>
          <w:rFonts w:ascii="Calibri" w:hAnsi="Calibri" w:cs="Calibri"/>
          <w:szCs w:val="22"/>
        </w:rPr>
        <w:t xml:space="preserve"> when establishing fair value (Level 2).</w:t>
      </w:r>
    </w:p>
    <w:p w14:paraId="217A7816" w14:textId="77777777" w:rsidR="00BD1B5D" w:rsidRPr="0081763F" w:rsidRDefault="00CA278A" w:rsidP="00502376">
      <w:pPr>
        <w:pStyle w:val="CG-SingleSp05s2"/>
        <w:numPr>
          <w:ilvl w:val="0"/>
          <w:numId w:val="3"/>
        </w:numPr>
        <w:tabs>
          <w:tab w:val="clear" w:pos="340"/>
          <w:tab w:val="num" w:pos="-284"/>
          <w:tab w:val="num" w:pos="426"/>
        </w:tabs>
        <w:autoSpaceDE w:val="0"/>
        <w:autoSpaceDN w:val="0"/>
        <w:adjustRightInd w:val="0"/>
        <w:snapToGrid w:val="0"/>
        <w:spacing w:after="0" w:line="300" w:lineRule="exact"/>
        <w:ind w:left="426" w:right="-143" w:hanging="426"/>
        <w:rPr>
          <w:rFonts w:ascii="Calibri" w:hAnsi="Calibri" w:cs="Calibri"/>
          <w:szCs w:val="22"/>
        </w:rPr>
      </w:pPr>
      <w:r w:rsidRPr="0081763F">
        <w:rPr>
          <w:rFonts w:ascii="Calibri" w:hAnsi="Calibri" w:cs="Calibri"/>
          <w:b/>
          <w:bCs/>
          <w:szCs w:val="22"/>
        </w:rPr>
        <w:t xml:space="preserve">Derivatives – </w:t>
      </w:r>
      <w:r w:rsidR="00264E71" w:rsidRPr="0081763F">
        <w:rPr>
          <w:rFonts w:ascii="Calibri" w:hAnsi="Calibri" w:cs="Calibri"/>
          <w:b/>
          <w:bCs/>
          <w:szCs w:val="22"/>
        </w:rPr>
        <w:t>jet fuel call</w:t>
      </w:r>
      <w:r w:rsidRPr="0081763F">
        <w:rPr>
          <w:rFonts w:ascii="Calibri" w:hAnsi="Calibri" w:cs="Calibri"/>
          <w:b/>
          <w:bCs/>
          <w:szCs w:val="22"/>
        </w:rPr>
        <w:t xml:space="preserve"> options:</w:t>
      </w:r>
      <w:r w:rsidRPr="0081763F">
        <w:rPr>
          <w:rFonts w:ascii="Calibri" w:hAnsi="Calibri" w:cs="Calibri"/>
          <w:szCs w:val="22"/>
        </w:rPr>
        <w:t xml:space="preserve"> </w:t>
      </w:r>
      <w:r w:rsidR="00FA26A4" w:rsidRPr="0081763F">
        <w:rPr>
          <w:rFonts w:ascii="Calibri" w:hAnsi="Calibri" w:cs="Calibri"/>
          <w:szCs w:val="22"/>
        </w:rPr>
        <w:t>The fair value of jet fuel call options is determined based on standard option pricing valuation models (Level 2).</w:t>
      </w:r>
    </w:p>
    <w:p w14:paraId="725DAF71" w14:textId="77777777" w:rsidR="001B35FF" w:rsidRPr="0081763F" w:rsidRDefault="001B35FF" w:rsidP="009C5CA5">
      <w:pPr>
        <w:pStyle w:val="CG-SingleSp05s2"/>
        <w:tabs>
          <w:tab w:val="num" w:pos="426"/>
        </w:tabs>
        <w:autoSpaceDE w:val="0"/>
        <w:autoSpaceDN w:val="0"/>
        <w:adjustRightInd w:val="0"/>
        <w:snapToGrid w:val="0"/>
        <w:spacing w:after="0"/>
        <w:ind w:left="426" w:right="-143" w:hanging="426"/>
        <w:rPr>
          <w:rFonts w:ascii="Calibri" w:hAnsi="Calibri" w:cs="Calibri"/>
          <w:bCs/>
          <w:iCs/>
          <w:szCs w:val="22"/>
        </w:rPr>
      </w:pPr>
    </w:p>
    <w:p w14:paraId="0F207EE2" w14:textId="77777777" w:rsidR="007F460F" w:rsidRPr="0081763F" w:rsidRDefault="00097571" w:rsidP="009C5CA5">
      <w:pPr>
        <w:pStyle w:val="CG-SingleSp05s2"/>
        <w:tabs>
          <w:tab w:val="num" w:pos="0"/>
        </w:tabs>
        <w:autoSpaceDE w:val="0"/>
        <w:autoSpaceDN w:val="0"/>
        <w:adjustRightInd w:val="0"/>
        <w:snapToGrid w:val="0"/>
        <w:spacing w:after="0"/>
        <w:ind w:right="-143" w:firstLine="0"/>
        <w:rPr>
          <w:rFonts w:ascii="Calibri" w:hAnsi="Calibri" w:cs="Calibri"/>
          <w:bCs/>
          <w:iCs/>
          <w:szCs w:val="22"/>
        </w:rPr>
      </w:pPr>
      <w:r w:rsidRPr="0081763F">
        <w:rPr>
          <w:rFonts w:ascii="Calibri" w:hAnsi="Calibri" w:cs="Calibri"/>
          <w:bCs/>
          <w:iCs/>
          <w:szCs w:val="22"/>
        </w:rPr>
        <w:t xml:space="preserve">The Group policy is to recognise any transfers between levels of the fair value hierarchy as of the end of the reporting period during which the transfer occurred. During the quarter ended </w:t>
      </w:r>
      <w:r w:rsidR="00B00D5E" w:rsidRPr="0081763F">
        <w:rPr>
          <w:rFonts w:ascii="Calibri" w:hAnsi="Calibri" w:cs="Calibri"/>
          <w:bCs/>
          <w:iCs/>
          <w:szCs w:val="22"/>
        </w:rPr>
        <w:t>September</w:t>
      </w:r>
      <w:r w:rsidRPr="0081763F">
        <w:rPr>
          <w:rFonts w:ascii="Calibri" w:hAnsi="Calibri" w:cs="Calibri"/>
          <w:bCs/>
          <w:iCs/>
          <w:szCs w:val="22"/>
        </w:rPr>
        <w:t xml:space="preserve"> 30, 202</w:t>
      </w:r>
      <w:r w:rsidR="007D493D" w:rsidRPr="0081763F">
        <w:rPr>
          <w:rFonts w:ascii="Calibri" w:hAnsi="Calibri" w:cs="Calibri"/>
          <w:bCs/>
          <w:iCs/>
          <w:szCs w:val="22"/>
        </w:rPr>
        <w:t>3</w:t>
      </w:r>
      <w:r w:rsidRPr="0081763F">
        <w:rPr>
          <w:rFonts w:ascii="Calibri" w:hAnsi="Calibri" w:cs="Calibri"/>
          <w:bCs/>
          <w:iCs/>
          <w:szCs w:val="22"/>
        </w:rPr>
        <w:t>, there were no reclassifications of financial instruments and no transfers between levels of the fair value hierarchy used in measuring the fair value of financial instruments.</w:t>
      </w:r>
    </w:p>
    <w:p w14:paraId="6CB06F41" w14:textId="77777777" w:rsidR="00984744" w:rsidRPr="0081763F" w:rsidRDefault="00984744" w:rsidP="009C5CA5">
      <w:pPr>
        <w:pStyle w:val="CG-SingleSp05s2"/>
        <w:autoSpaceDE w:val="0"/>
        <w:autoSpaceDN w:val="0"/>
        <w:adjustRightInd w:val="0"/>
        <w:snapToGrid w:val="0"/>
        <w:spacing w:after="0"/>
        <w:ind w:right="-143" w:firstLine="0"/>
        <w:rPr>
          <w:rFonts w:ascii="Calibri" w:hAnsi="Calibri" w:cs="Calibri"/>
          <w:bCs/>
          <w:iCs/>
          <w:szCs w:val="22"/>
        </w:rPr>
      </w:pPr>
    </w:p>
    <w:p w14:paraId="47A8F192" w14:textId="77777777" w:rsidR="00097571" w:rsidRPr="0081763F" w:rsidRDefault="00097571" w:rsidP="009C5CA5">
      <w:pPr>
        <w:pStyle w:val="ListParagraph"/>
        <w:autoSpaceDE w:val="0"/>
        <w:autoSpaceDN w:val="0"/>
        <w:adjustRightInd w:val="0"/>
        <w:ind w:left="0" w:right="-143"/>
        <w:jc w:val="both"/>
        <w:rPr>
          <w:rFonts w:ascii="Calibri" w:hAnsi="Calibri" w:cs="Calibri"/>
          <w:i/>
          <w:sz w:val="22"/>
          <w:szCs w:val="22"/>
        </w:rPr>
      </w:pPr>
      <w:r w:rsidRPr="0081763F">
        <w:rPr>
          <w:rFonts w:ascii="Calibri" w:hAnsi="Calibri" w:cs="Calibri"/>
          <w:i/>
          <w:sz w:val="22"/>
          <w:szCs w:val="22"/>
        </w:rPr>
        <w:t>Financial instruments not measured at fair value</w:t>
      </w:r>
    </w:p>
    <w:p w14:paraId="374849AD" w14:textId="77777777" w:rsidR="00984744" w:rsidRPr="0081763F" w:rsidRDefault="00984744" w:rsidP="009C5CA5">
      <w:pPr>
        <w:pStyle w:val="ListParagraph"/>
        <w:autoSpaceDE w:val="0"/>
        <w:autoSpaceDN w:val="0"/>
        <w:adjustRightInd w:val="0"/>
        <w:ind w:left="0" w:right="-143"/>
        <w:jc w:val="both"/>
        <w:rPr>
          <w:rFonts w:ascii="Calibri" w:hAnsi="Calibri" w:cs="Calibri"/>
          <w:i/>
          <w:sz w:val="22"/>
          <w:szCs w:val="22"/>
        </w:rPr>
      </w:pPr>
    </w:p>
    <w:p w14:paraId="6B3F514E" w14:textId="77777777" w:rsidR="00BD1B5D" w:rsidRPr="0081763F" w:rsidRDefault="00097571" w:rsidP="009C5CA5">
      <w:pPr>
        <w:pStyle w:val="CG-SingleSp05s2"/>
        <w:numPr>
          <w:ilvl w:val="0"/>
          <w:numId w:val="3"/>
        </w:numPr>
        <w:tabs>
          <w:tab w:val="clear" w:pos="340"/>
          <w:tab w:val="num" w:pos="-284"/>
          <w:tab w:val="num" w:pos="426"/>
        </w:tabs>
        <w:autoSpaceDE w:val="0"/>
        <w:autoSpaceDN w:val="0"/>
        <w:adjustRightInd w:val="0"/>
        <w:snapToGrid w:val="0"/>
        <w:spacing w:after="0"/>
        <w:ind w:left="426" w:right="-143" w:hanging="426"/>
        <w:rPr>
          <w:rFonts w:ascii="Calibri" w:hAnsi="Calibri" w:cs="Calibri"/>
          <w:szCs w:val="22"/>
        </w:rPr>
      </w:pPr>
      <w:r w:rsidRPr="0081763F">
        <w:rPr>
          <w:rFonts w:ascii="Calibri" w:hAnsi="Calibri" w:cs="Calibri"/>
          <w:b/>
          <w:bCs/>
          <w:szCs w:val="22"/>
        </w:rPr>
        <w:t xml:space="preserve">Long-term debt: </w:t>
      </w:r>
      <w:r w:rsidRPr="0081763F">
        <w:rPr>
          <w:rFonts w:ascii="Calibri" w:hAnsi="Calibri" w:cs="Calibri"/>
          <w:szCs w:val="22"/>
        </w:rPr>
        <w:t xml:space="preserve">The repayments which the Group is committed to make have been discounted at the relevant market rates of interest applicable (including credit spreads) </w:t>
      </w:r>
      <w:proofErr w:type="gramStart"/>
      <w:r w:rsidRPr="0081763F">
        <w:rPr>
          <w:rFonts w:ascii="Calibri" w:hAnsi="Calibri" w:cs="Calibri"/>
          <w:szCs w:val="22"/>
        </w:rPr>
        <w:t>at</w:t>
      </w:r>
      <w:proofErr w:type="gramEnd"/>
      <w:r w:rsidRPr="0081763F">
        <w:rPr>
          <w:rFonts w:ascii="Calibri" w:hAnsi="Calibri" w:cs="Calibri"/>
          <w:szCs w:val="22"/>
        </w:rPr>
        <w:t xml:space="preserve"> </w:t>
      </w:r>
      <w:r w:rsidR="00B00D5E" w:rsidRPr="0081763F">
        <w:rPr>
          <w:rFonts w:ascii="Calibri" w:hAnsi="Calibri" w:cs="Calibri"/>
          <w:szCs w:val="22"/>
        </w:rPr>
        <w:t>September</w:t>
      </w:r>
      <w:r w:rsidRPr="0081763F">
        <w:rPr>
          <w:rFonts w:ascii="Calibri" w:hAnsi="Calibri" w:cs="Calibri"/>
          <w:szCs w:val="22"/>
        </w:rPr>
        <w:t xml:space="preserve"> 30, 202</w:t>
      </w:r>
      <w:r w:rsidR="00346E22" w:rsidRPr="0081763F">
        <w:rPr>
          <w:rFonts w:ascii="Calibri" w:hAnsi="Calibri" w:cs="Calibri"/>
          <w:szCs w:val="22"/>
        </w:rPr>
        <w:t>3</w:t>
      </w:r>
      <w:r w:rsidRPr="0081763F">
        <w:rPr>
          <w:rFonts w:ascii="Calibri" w:hAnsi="Calibri" w:cs="Calibri"/>
          <w:szCs w:val="22"/>
        </w:rPr>
        <w:t xml:space="preserve"> to arrive at a fair value representing the amount payable to a third party to assume the obligations.</w:t>
      </w:r>
    </w:p>
    <w:p w14:paraId="771F06E8" w14:textId="77777777" w:rsidR="00691043" w:rsidRPr="0081763F" w:rsidRDefault="00691043" w:rsidP="009C5CA5">
      <w:pPr>
        <w:autoSpaceDE w:val="0"/>
        <w:autoSpaceDN w:val="0"/>
        <w:adjustRightInd w:val="0"/>
        <w:ind w:right="-143"/>
        <w:jc w:val="both"/>
        <w:rPr>
          <w:rFonts w:ascii="Calibri" w:hAnsi="Calibri" w:cs="Calibri"/>
          <w:sz w:val="22"/>
          <w:szCs w:val="22"/>
        </w:rPr>
      </w:pPr>
    </w:p>
    <w:p w14:paraId="7C58EFEF" w14:textId="77777777" w:rsidR="00D00A73" w:rsidRPr="0081763F" w:rsidRDefault="00C11D72" w:rsidP="008173A8">
      <w:pPr>
        <w:autoSpaceDE w:val="0"/>
        <w:autoSpaceDN w:val="0"/>
        <w:adjustRightInd w:val="0"/>
        <w:ind w:right="-143"/>
        <w:jc w:val="both"/>
        <w:rPr>
          <w:rFonts w:ascii="Calibri" w:hAnsi="Calibri" w:cs="Calibri"/>
          <w:bCs/>
          <w:iCs/>
          <w:sz w:val="22"/>
          <w:szCs w:val="22"/>
        </w:rPr>
      </w:pPr>
      <w:r w:rsidRPr="0081763F">
        <w:rPr>
          <w:rFonts w:ascii="Calibri" w:hAnsi="Calibri" w:cs="Calibri"/>
          <w:bCs/>
          <w:iCs/>
          <w:sz w:val="22"/>
          <w:szCs w:val="22"/>
        </w:rPr>
        <w:t>The fair value of financial assets and financial liabilities, together with the carrying amounts in the condensed consolidated balance sheet, are as follows:</w:t>
      </w:r>
    </w:p>
    <w:p w14:paraId="7AF99530" w14:textId="77777777" w:rsidR="001B6BEE" w:rsidRDefault="00D00A73" w:rsidP="008173A8">
      <w:pPr>
        <w:autoSpaceDE w:val="0"/>
        <w:autoSpaceDN w:val="0"/>
        <w:adjustRightInd w:val="0"/>
        <w:ind w:right="-143"/>
        <w:jc w:val="both"/>
      </w:pPr>
      <w:r>
        <w:rPr>
          <w:rFonts w:ascii="Calibri" w:hAnsi="Calibri" w:cs="Calibri"/>
          <w:bCs/>
          <w:iCs/>
          <w:sz w:val="22"/>
          <w:szCs w:val="22"/>
          <w:highlight w:val="green"/>
        </w:rPr>
        <w:br w:type="page"/>
      </w:r>
    </w:p>
    <w:tbl>
      <w:tblPr>
        <w:tblW w:w="10349" w:type="dxa"/>
        <w:tblLayout w:type="fixed"/>
        <w:tblLook w:val="04A0" w:firstRow="1" w:lastRow="0" w:firstColumn="1" w:lastColumn="0" w:noHBand="0" w:noVBand="1"/>
      </w:tblPr>
      <w:tblGrid>
        <w:gridCol w:w="4820"/>
        <w:gridCol w:w="1417"/>
        <w:gridCol w:w="1417"/>
        <w:gridCol w:w="1417"/>
        <w:gridCol w:w="1278"/>
      </w:tblGrid>
      <w:tr w:rsidR="00E36553" w:rsidRPr="00135F6B" w14:paraId="6C1738C5" w14:textId="77777777" w:rsidTr="00013C6F">
        <w:trPr>
          <w:trHeight w:val="232"/>
        </w:trPr>
        <w:tc>
          <w:tcPr>
            <w:tcW w:w="4820" w:type="dxa"/>
            <w:shd w:val="clear" w:color="auto" w:fill="FFFFFF"/>
            <w:vAlign w:val="center"/>
            <w:hideMark/>
          </w:tcPr>
          <w:p w14:paraId="53DD4BE5" w14:textId="77777777" w:rsidR="00E36553" w:rsidRPr="00B64FD7" w:rsidRDefault="00E36553" w:rsidP="00013C6F">
            <w:pPr>
              <w:ind w:left="-284" w:right="-2"/>
              <w:rPr>
                <w:rFonts w:ascii="Calibri" w:hAnsi="Calibri" w:cs="Calibri"/>
                <w:color w:val="000000"/>
                <w:sz w:val="20"/>
                <w:szCs w:val="20"/>
                <w:lang w:eastAsia="en-IE"/>
              </w:rPr>
            </w:pPr>
            <w:bookmarkStart w:id="20" w:name="_Hlk144819342"/>
            <w:r>
              <w:br w:type="page"/>
            </w:r>
            <w:r w:rsidRPr="00B373F3">
              <w:rPr>
                <w:rFonts w:ascii="Calibri" w:hAnsi="Calibri" w:cs="Calibri"/>
                <w:bCs/>
                <w:iCs/>
                <w:sz w:val="20"/>
                <w:szCs w:val="20"/>
              </w:rPr>
              <w:br w:type="page"/>
            </w:r>
            <w:r w:rsidRPr="00B64FD7">
              <w:rPr>
                <w:rFonts w:ascii="Calibri" w:hAnsi="Calibri" w:cs="Calibri"/>
                <w:color w:val="000000"/>
                <w:sz w:val="20"/>
                <w:szCs w:val="20"/>
                <w:lang w:eastAsia="en-IE"/>
              </w:rPr>
              <w:t> </w:t>
            </w:r>
          </w:p>
        </w:tc>
        <w:tc>
          <w:tcPr>
            <w:tcW w:w="1417" w:type="dxa"/>
            <w:shd w:val="clear" w:color="auto" w:fill="FFFF00"/>
            <w:vAlign w:val="center"/>
            <w:hideMark/>
          </w:tcPr>
          <w:p w14:paraId="6BB57AF6" w14:textId="77777777" w:rsidR="00E36553" w:rsidRPr="00E4569B" w:rsidRDefault="00E36553" w:rsidP="00013C6F">
            <w:pPr>
              <w:ind w:left="-284" w:right="-2"/>
              <w:jc w:val="right"/>
              <w:rPr>
                <w:rFonts w:ascii="Calibri" w:hAnsi="Calibri" w:cs="Calibri"/>
                <w:b/>
                <w:bCs/>
                <w:color w:val="000000"/>
                <w:sz w:val="20"/>
                <w:szCs w:val="20"/>
                <w:lang w:eastAsia="en-IE"/>
              </w:rPr>
            </w:pPr>
            <w:r w:rsidRPr="00E4569B">
              <w:rPr>
                <w:rFonts w:ascii="Calibri" w:hAnsi="Calibri" w:cs="Calibri"/>
                <w:b/>
                <w:bCs/>
                <w:color w:val="000000"/>
                <w:sz w:val="20"/>
                <w:szCs w:val="20"/>
                <w:lang w:eastAsia="en-IE"/>
              </w:rPr>
              <w:t xml:space="preserve">At </w:t>
            </w:r>
            <w:r>
              <w:rPr>
                <w:rFonts w:ascii="Calibri" w:hAnsi="Calibri" w:cs="Calibri"/>
                <w:b/>
                <w:bCs/>
                <w:color w:val="000000"/>
                <w:sz w:val="20"/>
                <w:szCs w:val="20"/>
                <w:lang w:eastAsia="en-IE"/>
              </w:rPr>
              <w:t>Sep 30</w:t>
            </w:r>
            <w:r w:rsidRPr="00E4569B">
              <w:rPr>
                <w:rFonts w:ascii="Calibri" w:hAnsi="Calibri" w:cs="Calibri"/>
                <w:b/>
                <w:bCs/>
                <w:color w:val="000000"/>
                <w:sz w:val="20"/>
                <w:szCs w:val="20"/>
                <w:lang w:eastAsia="en-IE"/>
              </w:rPr>
              <w:t>,</w:t>
            </w:r>
          </w:p>
        </w:tc>
        <w:tc>
          <w:tcPr>
            <w:tcW w:w="1417" w:type="dxa"/>
            <w:shd w:val="clear" w:color="auto" w:fill="FFFF00"/>
            <w:vAlign w:val="center"/>
            <w:hideMark/>
          </w:tcPr>
          <w:p w14:paraId="2C3B295A" w14:textId="77777777" w:rsidR="00E36553" w:rsidRPr="00700397" w:rsidRDefault="00E36553" w:rsidP="00013C6F">
            <w:pPr>
              <w:ind w:left="-284" w:right="-2"/>
              <w:jc w:val="right"/>
              <w:rPr>
                <w:rFonts w:ascii="Calibri" w:hAnsi="Calibri" w:cs="Calibri"/>
                <w:b/>
                <w:bCs/>
                <w:color w:val="000000"/>
                <w:sz w:val="20"/>
                <w:szCs w:val="20"/>
                <w:lang w:eastAsia="en-IE"/>
              </w:rPr>
            </w:pPr>
            <w:r w:rsidRPr="00D51978">
              <w:rPr>
                <w:rFonts w:ascii="Calibri" w:hAnsi="Calibri" w:cs="Calibri"/>
                <w:b/>
                <w:bCs/>
                <w:color w:val="000000"/>
                <w:sz w:val="20"/>
                <w:szCs w:val="20"/>
                <w:lang w:eastAsia="en-IE"/>
              </w:rPr>
              <w:t xml:space="preserve">At </w:t>
            </w:r>
            <w:r>
              <w:rPr>
                <w:rFonts w:ascii="Calibri" w:hAnsi="Calibri" w:cs="Calibri"/>
                <w:b/>
                <w:bCs/>
                <w:color w:val="000000"/>
                <w:sz w:val="20"/>
                <w:szCs w:val="20"/>
                <w:lang w:eastAsia="en-IE"/>
              </w:rPr>
              <w:t>Sep</w:t>
            </w:r>
            <w:r w:rsidR="00991094">
              <w:rPr>
                <w:rFonts w:ascii="Calibri" w:hAnsi="Calibri" w:cs="Calibri"/>
                <w:b/>
                <w:bCs/>
                <w:color w:val="000000"/>
                <w:sz w:val="20"/>
                <w:szCs w:val="20"/>
                <w:lang w:eastAsia="en-IE"/>
              </w:rPr>
              <w:t xml:space="preserve"> </w:t>
            </w:r>
            <w:r>
              <w:rPr>
                <w:rFonts w:ascii="Calibri" w:hAnsi="Calibri" w:cs="Calibri"/>
                <w:b/>
                <w:bCs/>
                <w:color w:val="000000"/>
                <w:sz w:val="20"/>
                <w:szCs w:val="20"/>
                <w:lang w:eastAsia="en-IE"/>
              </w:rPr>
              <w:t>30</w:t>
            </w:r>
            <w:r w:rsidRPr="00D51978">
              <w:rPr>
                <w:rFonts w:ascii="Calibri" w:hAnsi="Calibri" w:cs="Calibri"/>
                <w:b/>
                <w:bCs/>
                <w:color w:val="000000"/>
                <w:sz w:val="20"/>
                <w:szCs w:val="20"/>
                <w:lang w:eastAsia="en-IE"/>
              </w:rPr>
              <w:t>,</w:t>
            </w:r>
          </w:p>
        </w:tc>
        <w:tc>
          <w:tcPr>
            <w:tcW w:w="1417" w:type="dxa"/>
            <w:shd w:val="clear" w:color="auto" w:fill="FFFFFF"/>
            <w:vAlign w:val="center"/>
            <w:hideMark/>
          </w:tcPr>
          <w:p w14:paraId="74AE3071" w14:textId="77777777" w:rsidR="00E36553" w:rsidRPr="00E52C8A" w:rsidRDefault="00E36553" w:rsidP="00013C6F">
            <w:pPr>
              <w:ind w:left="-284" w:right="-2"/>
              <w:jc w:val="right"/>
              <w:rPr>
                <w:rFonts w:ascii="Calibri" w:hAnsi="Calibri" w:cs="Calibri"/>
                <w:b/>
                <w:bCs/>
                <w:color w:val="000000"/>
                <w:sz w:val="20"/>
                <w:szCs w:val="20"/>
                <w:lang w:eastAsia="en-IE"/>
              </w:rPr>
            </w:pPr>
            <w:proofErr w:type="gramStart"/>
            <w:r w:rsidRPr="00E52C8A">
              <w:rPr>
                <w:rFonts w:ascii="Calibri" w:hAnsi="Calibri" w:cs="Calibri"/>
                <w:b/>
                <w:bCs/>
                <w:color w:val="000000"/>
                <w:sz w:val="20"/>
                <w:szCs w:val="20"/>
                <w:lang w:eastAsia="en-IE"/>
              </w:rPr>
              <w:t>At</w:t>
            </w:r>
            <w:proofErr w:type="gramEnd"/>
            <w:r w:rsidRPr="00E52C8A">
              <w:rPr>
                <w:rFonts w:ascii="Calibri" w:hAnsi="Calibri" w:cs="Calibri"/>
                <w:b/>
                <w:bCs/>
                <w:color w:val="000000"/>
                <w:sz w:val="20"/>
                <w:szCs w:val="20"/>
                <w:lang w:eastAsia="en-IE"/>
              </w:rPr>
              <w:t xml:space="preserve"> Mar 31,</w:t>
            </w:r>
          </w:p>
        </w:tc>
        <w:tc>
          <w:tcPr>
            <w:tcW w:w="1278" w:type="dxa"/>
            <w:shd w:val="clear" w:color="auto" w:fill="FFFFFF"/>
            <w:vAlign w:val="center"/>
            <w:hideMark/>
          </w:tcPr>
          <w:p w14:paraId="59855B95" w14:textId="77777777" w:rsidR="00E36553" w:rsidRPr="00135F6B" w:rsidRDefault="00E36553" w:rsidP="00013C6F">
            <w:pPr>
              <w:ind w:left="-284" w:right="-2"/>
              <w:jc w:val="right"/>
              <w:rPr>
                <w:rFonts w:ascii="Calibri" w:hAnsi="Calibri" w:cs="Calibri"/>
                <w:b/>
                <w:bCs/>
                <w:color w:val="000000"/>
                <w:sz w:val="20"/>
                <w:szCs w:val="20"/>
                <w:lang w:eastAsia="en-IE"/>
              </w:rPr>
            </w:pPr>
            <w:proofErr w:type="gramStart"/>
            <w:r w:rsidRPr="00224058">
              <w:rPr>
                <w:rFonts w:ascii="Calibri" w:hAnsi="Calibri" w:cs="Calibri"/>
                <w:b/>
                <w:bCs/>
                <w:color w:val="000000"/>
                <w:sz w:val="20"/>
                <w:szCs w:val="20"/>
                <w:lang w:eastAsia="en-IE"/>
              </w:rPr>
              <w:t>At</w:t>
            </w:r>
            <w:proofErr w:type="gramEnd"/>
            <w:r w:rsidRPr="00224058">
              <w:rPr>
                <w:rFonts w:ascii="Calibri" w:hAnsi="Calibri" w:cs="Calibri"/>
                <w:b/>
                <w:bCs/>
                <w:color w:val="000000"/>
                <w:sz w:val="20"/>
                <w:szCs w:val="20"/>
                <w:lang w:eastAsia="en-IE"/>
              </w:rPr>
              <w:t xml:space="preserve"> Mar 3</w:t>
            </w:r>
            <w:r w:rsidRPr="00135F6B">
              <w:rPr>
                <w:rFonts w:ascii="Calibri" w:hAnsi="Calibri" w:cs="Calibri"/>
                <w:b/>
                <w:bCs/>
                <w:color w:val="000000"/>
                <w:sz w:val="20"/>
                <w:szCs w:val="20"/>
                <w:lang w:eastAsia="en-IE"/>
              </w:rPr>
              <w:t>1,</w:t>
            </w:r>
          </w:p>
        </w:tc>
      </w:tr>
      <w:tr w:rsidR="00E36553" w:rsidRPr="00135F6B" w14:paraId="0931228E" w14:textId="77777777" w:rsidTr="00013C6F">
        <w:trPr>
          <w:trHeight w:val="232"/>
        </w:trPr>
        <w:tc>
          <w:tcPr>
            <w:tcW w:w="4820" w:type="dxa"/>
            <w:shd w:val="clear" w:color="auto" w:fill="FFFFFF"/>
            <w:vAlign w:val="center"/>
            <w:hideMark/>
          </w:tcPr>
          <w:p w14:paraId="51E9CF02" w14:textId="77777777" w:rsidR="00E36553" w:rsidRPr="00135F6B" w:rsidRDefault="00E36553" w:rsidP="00013C6F">
            <w:pPr>
              <w:ind w:left="-284" w:right="-2"/>
              <w:rPr>
                <w:rFonts w:ascii="Calibri" w:hAnsi="Calibri" w:cs="Calibri"/>
                <w:color w:val="000000"/>
                <w:sz w:val="20"/>
                <w:szCs w:val="20"/>
                <w:lang w:eastAsia="en-IE"/>
              </w:rPr>
            </w:pPr>
            <w:r w:rsidRPr="00135F6B">
              <w:rPr>
                <w:rFonts w:ascii="Calibri" w:hAnsi="Calibri" w:cs="Calibri"/>
                <w:color w:val="000000"/>
                <w:sz w:val="20"/>
                <w:szCs w:val="20"/>
                <w:lang w:eastAsia="en-IE"/>
              </w:rPr>
              <w:t> </w:t>
            </w:r>
          </w:p>
        </w:tc>
        <w:tc>
          <w:tcPr>
            <w:tcW w:w="1417" w:type="dxa"/>
            <w:shd w:val="clear" w:color="auto" w:fill="FFFF00"/>
            <w:vAlign w:val="center"/>
            <w:hideMark/>
          </w:tcPr>
          <w:p w14:paraId="11B759DE"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417" w:type="dxa"/>
            <w:shd w:val="clear" w:color="auto" w:fill="FFFF00"/>
            <w:vAlign w:val="center"/>
            <w:hideMark/>
          </w:tcPr>
          <w:p w14:paraId="41FF60D5"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417" w:type="dxa"/>
            <w:shd w:val="clear" w:color="auto" w:fill="FFFFFF"/>
            <w:vAlign w:val="center"/>
            <w:hideMark/>
          </w:tcPr>
          <w:p w14:paraId="7D329448"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278" w:type="dxa"/>
            <w:shd w:val="clear" w:color="auto" w:fill="FFFFFF"/>
            <w:vAlign w:val="center"/>
            <w:hideMark/>
          </w:tcPr>
          <w:p w14:paraId="186F843F"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r>
      <w:tr w:rsidR="00E36553" w:rsidRPr="00135F6B" w14:paraId="1CC10E56" w14:textId="77777777" w:rsidTr="00013C6F">
        <w:trPr>
          <w:trHeight w:val="232"/>
        </w:trPr>
        <w:tc>
          <w:tcPr>
            <w:tcW w:w="4820" w:type="dxa"/>
            <w:shd w:val="clear" w:color="auto" w:fill="FFFFFF"/>
            <w:vAlign w:val="center"/>
            <w:hideMark/>
          </w:tcPr>
          <w:p w14:paraId="3D0767DF" w14:textId="77777777" w:rsidR="00E36553" w:rsidRPr="00135F6B" w:rsidRDefault="00E36553" w:rsidP="00013C6F">
            <w:pPr>
              <w:ind w:left="-284" w:right="-2"/>
              <w:rPr>
                <w:rFonts w:ascii="Calibri" w:hAnsi="Calibri" w:cs="Calibri"/>
                <w:color w:val="000000"/>
                <w:sz w:val="20"/>
                <w:szCs w:val="20"/>
                <w:lang w:eastAsia="en-IE"/>
              </w:rPr>
            </w:pPr>
            <w:r w:rsidRPr="00135F6B">
              <w:rPr>
                <w:rFonts w:ascii="Calibri" w:hAnsi="Calibri" w:cs="Calibri"/>
                <w:color w:val="000000"/>
                <w:sz w:val="20"/>
                <w:szCs w:val="20"/>
                <w:lang w:eastAsia="en-IE"/>
              </w:rPr>
              <w:t> </w:t>
            </w:r>
          </w:p>
        </w:tc>
        <w:tc>
          <w:tcPr>
            <w:tcW w:w="1417" w:type="dxa"/>
            <w:shd w:val="clear" w:color="auto" w:fill="FFFF00"/>
            <w:vAlign w:val="center"/>
            <w:hideMark/>
          </w:tcPr>
          <w:p w14:paraId="60289806"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Carrying</w:t>
            </w:r>
          </w:p>
        </w:tc>
        <w:tc>
          <w:tcPr>
            <w:tcW w:w="1417" w:type="dxa"/>
            <w:shd w:val="clear" w:color="auto" w:fill="FFFF00"/>
            <w:vAlign w:val="center"/>
            <w:hideMark/>
          </w:tcPr>
          <w:p w14:paraId="105CF8FF"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Fair</w:t>
            </w:r>
          </w:p>
        </w:tc>
        <w:tc>
          <w:tcPr>
            <w:tcW w:w="1417" w:type="dxa"/>
            <w:shd w:val="clear" w:color="auto" w:fill="FFFFFF"/>
            <w:vAlign w:val="center"/>
            <w:hideMark/>
          </w:tcPr>
          <w:p w14:paraId="59C907CE"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Carrying</w:t>
            </w:r>
          </w:p>
        </w:tc>
        <w:tc>
          <w:tcPr>
            <w:tcW w:w="1278" w:type="dxa"/>
            <w:shd w:val="clear" w:color="auto" w:fill="FFFFFF"/>
            <w:vAlign w:val="center"/>
            <w:hideMark/>
          </w:tcPr>
          <w:p w14:paraId="103D5A62"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Fair</w:t>
            </w:r>
          </w:p>
        </w:tc>
      </w:tr>
      <w:tr w:rsidR="00E36553" w:rsidRPr="00135F6B" w14:paraId="79E6C94C" w14:textId="77777777" w:rsidTr="00013C6F">
        <w:trPr>
          <w:trHeight w:val="232"/>
        </w:trPr>
        <w:tc>
          <w:tcPr>
            <w:tcW w:w="4820" w:type="dxa"/>
            <w:shd w:val="clear" w:color="auto" w:fill="FFFFFF"/>
            <w:vAlign w:val="center"/>
            <w:hideMark/>
          </w:tcPr>
          <w:p w14:paraId="354FBD94" w14:textId="77777777" w:rsidR="00E36553" w:rsidRPr="00135F6B" w:rsidRDefault="00E36553" w:rsidP="00013C6F">
            <w:pPr>
              <w:ind w:left="-284" w:right="-2"/>
              <w:rPr>
                <w:rFonts w:ascii="Calibri" w:hAnsi="Calibri" w:cs="Calibri"/>
                <w:color w:val="000000"/>
                <w:sz w:val="20"/>
                <w:szCs w:val="20"/>
                <w:lang w:eastAsia="en-IE"/>
              </w:rPr>
            </w:pPr>
            <w:r w:rsidRPr="00135F6B">
              <w:rPr>
                <w:rFonts w:ascii="Calibri" w:hAnsi="Calibri" w:cs="Calibri"/>
                <w:color w:val="000000"/>
                <w:sz w:val="20"/>
                <w:szCs w:val="20"/>
                <w:lang w:eastAsia="en-IE"/>
              </w:rPr>
              <w:t> </w:t>
            </w:r>
          </w:p>
        </w:tc>
        <w:tc>
          <w:tcPr>
            <w:tcW w:w="1417" w:type="dxa"/>
            <w:tcBorders>
              <w:top w:val="nil"/>
              <w:left w:val="nil"/>
              <w:bottom w:val="single" w:sz="8" w:space="0" w:color="auto"/>
              <w:right w:val="nil"/>
            </w:tcBorders>
            <w:shd w:val="clear" w:color="auto" w:fill="FFFF00"/>
            <w:vAlign w:val="center"/>
            <w:hideMark/>
          </w:tcPr>
          <w:p w14:paraId="4F28A36B"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Amount</w:t>
            </w:r>
          </w:p>
        </w:tc>
        <w:tc>
          <w:tcPr>
            <w:tcW w:w="1417" w:type="dxa"/>
            <w:tcBorders>
              <w:top w:val="nil"/>
              <w:left w:val="nil"/>
              <w:bottom w:val="single" w:sz="8" w:space="0" w:color="auto"/>
              <w:right w:val="nil"/>
            </w:tcBorders>
            <w:shd w:val="clear" w:color="auto" w:fill="FFFF00"/>
            <w:vAlign w:val="center"/>
            <w:hideMark/>
          </w:tcPr>
          <w:p w14:paraId="651212BD"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Value</w:t>
            </w:r>
          </w:p>
        </w:tc>
        <w:tc>
          <w:tcPr>
            <w:tcW w:w="1417" w:type="dxa"/>
            <w:tcBorders>
              <w:top w:val="nil"/>
              <w:left w:val="nil"/>
              <w:bottom w:val="single" w:sz="8" w:space="0" w:color="auto"/>
              <w:right w:val="nil"/>
            </w:tcBorders>
            <w:shd w:val="clear" w:color="auto" w:fill="FFFFFF"/>
            <w:vAlign w:val="center"/>
            <w:hideMark/>
          </w:tcPr>
          <w:p w14:paraId="0165D8D2"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Amount</w:t>
            </w:r>
          </w:p>
        </w:tc>
        <w:tc>
          <w:tcPr>
            <w:tcW w:w="1278" w:type="dxa"/>
            <w:tcBorders>
              <w:top w:val="nil"/>
              <w:left w:val="nil"/>
              <w:bottom w:val="single" w:sz="8" w:space="0" w:color="auto"/>
              <w:right w:val="nil"/>
            </w:tcBorders>
            <w:shd w:val="clear" w:color="auto" w:fill="FFFFFF"/>
            <w:vAlign w:val="center"/>
            <w:hideMark/>
          </w:tcPr>
          <w:p w14:paraId="3B3BA2F1"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Value</w:t>
            </w:r>
          </w:p>
        </w:tc>
      </w:tr>
      <w:tr w:rsidR="00E36553" w:rsidRPr="00135F6B" w14:paraId="75707E62" w14:textId="77777777" w:rsidTr="00013C6F">
        <w:trPr>
          <w:trHeight w:val="232"/>
        </w:trPr>
        <w:tc>
          <w:tcPr>
            <w:tcW w:w="4820" w:type="dxa"/>
            <w:shd w:val="clear" w:color="auto" w:fill="FFFFFF"/>
            <w:vAlign w:val="center"/>
            <w:hideMark/>
          </w:tcPr>
          <w:p w14:paraId="25C5546F" w14:textId="77777777" w:rsidR="00E36553" w:rsidRPr="00156BD0" w:rsidRDefault="00E36553" w:rsidP="00013C6F">
            <w:pPr>
              <w:ind w:right="-2" w:hanging="105"/>
              <w:rPr>
                <w:rFonts w:ascii="Calibri" w:hAnsi="Calibri" w:cs="Calibri"/>
                <w:b/>
                <w:bCs/>
                <w:color w:val="000000"/>
                <w:sz w:val="20"/>
                <w:szCs w:val="20"/>
                <w:lang w:eastAsia="en-IE"/>
              </w:rPr>
            </w:pPr>
            <w:r w:rsidRPr="00156BD0">
              <w:rPr>
                <w:rFonts w:ascii="Calibri" w:hAnsi="Calibri" w:cs="Calibri"/>
                <w:b/>
                <w:bCs/>
                <w:color w:val="000000"/>
                <w:sz w:val="20"/>
                <w:szCs w:val="20"/>
                <w:lang w:eastAsia="en-IE"/>
              </w:rPr>
              <w:t>Non-current financial assets</w:t>
            </w:r>
          </w:p>
        </w:tc>
        <w:tc>
          <w:tcPr>
            <w:tcW w:w="1417" w:type="dxa"/>
            <w:shd w:val="clear" w:color="auto" w:fill="FFFF00"/>
            <w:vAlign w:val="center"/>
            <w:hideMark/>
          </w:tcPr>
          <w:p w14:paraId="1E44E87D" w14:textId="77777777" w:rsidR="00E36553" w:rsidRPr="00135F6B" w:rsidRDefault="00E36553" w:rsidP="00013C6F">
            <w:pPr>
              <w:ind w:left="-284" w:right="-2"/>
              <w:jc w:val="right"/>
              <w:rPr>
                <w:rFonts w:ascii="Calibri" w:hAnsi="Calibri" w:cs="Calibri"/>
                <w:b/>
                <w:bCs/>
                <w:color w:val="000000"/>
                <w:sz w:val="20"/>
                <w:szCs w:val="20"/>
                <w:u w:val="single"/>
                <w:lang w:eastAsia="en-IE"/>
              </w:rPr>
            </w:pPr>
            <w:r w:rsidRPr="00135F6B">
              <w:rPr>
                <w:rFonts w:ascii="Calibri" w:hAnsi="Calibri" w:cs="Calibri"/>
                <w:b/>
                <w:bCs/>
                <w:color w:val="000000"/>
                <w:sz w:val="20"/>
                <w:szCs w:val="20"/>
                <w:u w:val="single"/>
                <w:lang w:eastAsia="en-IE"/>
              </w:rPr>
              <w:t>€M</w:t>
            </w:r>
          </w:p>
        </w:tc>
        <w:tc>
          <w:tcPr>
            <w:tcW w:w="1417" w:type="dxa"/>
            <w:shd w:val="clear" w:color="auto" w:fill="FFFF00"/>
            <w:vAlign w:val="center"/>
            <w:hideMark/>
          </w:tcPr>
          <w:p w14:paraId="5497C5CC" w14:textId="77777777" w:rsidR="00E36553" w:rsidRPr="00135F6B" w:rsidRDefault="00E36553" w:rsidP="00013C6F">
            <w:pPr>
              <w:ind w:left="-284" w:right="-2"/>
              <w:jc w:val="right"/>
              <w:rPr>
                <w:rFonts w:ascii="Calibri" w:hAnsi="Calibri" w:cs="Calibri"/>
                <w:b/>
                <w:bCs/>
                <w:color w:val="000000"/>
                <w:sz w:val="20"/>
                <w:szCs w:val="20"/>
                <w:u w:val="single"/>
                <w:lang w:eastAsia="en-IE"/>
              </w:rPr>
            </w:pPr>
            <w:r w:rsidRPr="00135F6B">
              <w:rPr>
                <w:rFonts w:ascii="Calibri" w:hAnsi="Calibri" w:cs="Calibri"/>
                <w:b/>
                <w:bCs/>
                <w:color w:val="000000"/>
                <w:sz w:val="20"/>
                <w:szCs w:val="20"/>
                <w:u w:val="single"/>
                <w:lang w:eastAsia="en-IE"/>
              </w:rPr>
              <w:t>€M</w:t>
            </w:r>
          </w:p>
        </w:tc>
        <w:tc>
          <w:tcPr>
            <w:tcW w:w="1417" w:type="dxa"/>
            <w:shd w:val="clear" w:color="auto" w:fill="FFFFFF"/>
            <w:vAlign w:val="center"/>
            <w:hideMark/>
          </w:tcPr>
          <w:p w14:paraId="5D8BFA66" w14:textId="77777777" w:rsidR="00E36553" w:rsidRPr="00AD66EB" w:rsidRDefault="00E36553" w:rsidP="00013C6F">
            <w:pPr>
              <w:ind w:left="-284" w:right="-2"/>
              <w:jc w:val="right"/>
              <w:rPr>
                <w:rFonts w:ascii="Calibri" w:hAnsi="Calibri" w:cs="Calibri"/>
                <w:b/>
                <w:bCs/>
                <w:color w:val="000000"/>
                <w:sz w:val="20"/>
                <w:szCs w:val="20"/>
                <w:u w:val="single"/>
                <w:lang w:eastAsia="en-IE"/>
              </w:rPr>
            </w:pPr>
            <w:r w:rsidRPr="00AD66EB">
              <w:rPr>
                <w:rFonts w:ascii="Calibri" w:hAnsi="Calibri" w:cs="Calibri"/>
                <w:b/>
                <w:bCs/>
                <w:color w:val="000000"/>
                <w:sz w:val="20"/>
                <w:szCs w:val="20"/>
                <w:u w:val="single"/>
                <w:lang w:eastAsia="en-IE"/>
              </w:rPr>
              <w:t>€M</w:t>
            </w:r>
          </w:p>
        </w:tc>
        <w:tc>
          <w:tcPr>
            <w:tcW w:w="1278" w:type="dxa"/>
            <w:shd w:val="clear" w:color="auto" w:fill="FFFFFF"/>
            <w:vAlign w:val="center"/>
            <w:hideMark/>
          </w:tcPr>
          <w:p w14:paraId="5E120C58" w14:textId="77777777" w:rsidR="00E36553" w:rsidRPr="00AD66EB" w:rsidRDefault="00E36553" w:rsidP="00013C6F">
            <w:pPr>
              <w:ind w:left="-284" w:right="-2"/>
              <w:jc w:val="right"/>
              <w:rPr>
                <w:rFonts w:ascii="Calibri" w:hAnsi="Calibri" w:cs="Calibri"/>
                <w:b/>
                <w:bCs/>
                <w:color w:val="000000"/>
                <w:sz w:val="20"/>
                <w:szCs w:val="20"/>
                <w:u w:val="single"/>
                <w:lang w:eastAsia="en-IE"/>
              </w:rPr>
            </w:pPr>
            <w:r w:rsidRPr="00AD66EB">
              <w:rPr>
                <w:rFonts w:ascii="Calibri" w:hAnsi="Calibri" w:cs="Calibri"/>
                <w:b/>
                <w:bCs/>
                <w:color w:val="000000"/>
                <w:sz w:val="20"/>
                <w:szCs w:val="20"/>
                <w:u w:val="single"/>
                <w:lang w:eastAsia="en-IE"/>
              </w:rPr>
              <w:t>€M</w:t>
            </w:r>
          </w:p>
        </w:tc>
      </w:tr>
      <w:tr w:rsidR="00E36553" w:rsidRPr="00135F6B" w14:paraId="12345B11" w14:textId="77777777" w:rsidTr="00013C6F">
        <w:trPr>
          <w:trHeight w:val="232"/>
        </w:trPr>
        <w:tc>
          <w:tcPr>
            <w:tcW w:w="4820" w:type="dxa"/>
            <w:shd w:val="clear" w:color="auto" w:fill="FFFFFF"/>
            <w:vAlign w:val="center"/>
            <w:hideMark/>
          </w:tcPr>
          <w:p w14:paraId="77AD5D73"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Derivative financial instruments:</w:t>
            </w:r>
          </w:p>
        </w:tc>
        <w:tc>
          <w:tcPr>
            <w:tcW w:w="1417" w:type="dxa"/>
            <w:shd w:val="clear" w:color="auto" w:fill="FFFF00"/>
            <w:vAlign w:val="center"/>
            <w:hideMark/>
          </w:tcPr>
          <w:p w14:paraId="50E6FBB0" w14:textId="77777777" w:rsidR="00E36553" w:rsidRPr="00135F6B" w:rsidRDefault="00E36553" w:rsidP="00013C6F">
            <w:pPr>
              <w:ind w:left="-284" w:right="-2"/>
              <w:rPr>
                <w:rFonts w:ascii="Calibri" w:hAnsi="Calibri" w:cs="Calibri"/>
                <w:color w:val="000000"/>
                <w:sz w:val="20"/>
                <w:szCs w:val="20"/>
                <w:lang w:eastAsia="en-IE"/>
              </w:rPr>
            </w:pPr>
          </w:p>
        </w:tc>
        <w:tc>
          <w:tcPr>
            <w:tcW w:w="1417" w:type="dxa"/>
            <w:shd w:val="clear" w:color="auto" w:fill="FFFF00"/>
            <w:vAlign w:val="center"/>
            <w:hideMark/>
          </w:tcPr>
          <w:p w14:paraId="485272F7" w14:textId="77777777" w:rsidR="00E36553" w:rsidRPr="00135F6B" w:rsidRDefault="00E36553" w:rsidP="00013C6F">
            <w:pPr>
              <w:ind w:left="-284" w:right="-2"/>
              <w:rPr>
                <w:rFonts w:ascii="Calibri" w:eastAsia="Calibri" w:hAnsi="Calibri" w:cs="Calibri"/>
                <w:sz w:val="20"/>
                <w:szCs w:val="20"/>
                <w:lang w:eastAsia="en-IE"/>
              </w:rPr>
            </w:pPr>
          </w:p>
        </w:tc>
        <w:tc>
          <w:tcPr>
            <w:tcW w:w="1417" w:type="dxa"/>
            <w:shd w:val="clear" w:color="auto" w:fill="FFFFFF"/>
            <w:noWrap/>
            <w:vAlign w:val="bottom"/>
            <w:hideMark/>
          </w:tcPr>
          <w:p w14:paraId="1E115A61" w14:textId="77777777" w:rsidR="00E36553" w:rsidRPr="00135F6B" w:rsidRDefault="00E36553" w:rsidP="00013C6F">
            <w:pPr>
              <w:ind w:left="-284" w:right="-2"/>
              <w:rPr>
                <w:rFonts w:ascii="Calibri" w:eastAsia="Calibri" w:hAnsi="Calibri" w:cs="Calibri"/>
                <w:sz w:val="20"/>
                <w:szCs w:val="20"/>
                <w:lang w:eastAsia="en-IE"/>
              </w:rPr>
            </w:pPr>
          </w:p>
        </w:tc>
        <w:tc>
          <w:tcPr>
            <w:tcW w:w="1278" w:type="dxa"/>
            <w:shd w:val="clear" w:color="auto" w:fill="FFFFFF"/>
            <w:noWrap/>
            <w:vAlign w:val="bottom"/>
            <w:hideMark/>
          </w:tcPr>
          <w:p w14:paraId="1AC4FD41" w14:textId="77777777" w:rsidR="00E36553" w:rsidRPr="00135F6B" w:rsidRDefault="00E36553" w:rsidP="00013C6F">
            <w:pPr>
              <w:ind w:left="-284" w:right="-2"/>
              <w:rPr>
                <w:rFonts w:ascii="Calibri" w:eastAsia="Calibri" w:hAnsi="Calibri" w:cs="Calibri"/>
                <w:sz w:val="20"/>
                <w:szCs w:val="20"/>
                <w:lang w:eastAsia="en-IE"/>
              </w:rPr>
            </w:pPr>
          </w:p>
        </w:tc>
      </w:tr>
      <w:tr w:rsidR="00E36553" w:rsidRPr="00135F6B" w14:paraId="64BBE6E7" w14:textId="77777777" w:rsidTr="00013C6F">
        <w:trPr>
          <w:trHeight w:val="232"/>
        </w:trPr>
        <w:tc>
          <w:tcPr>
            <w:tcW w:w="4820" w:type="dxa"/>
            <w:shd w:val="clear" w:color="auto" w:fill="FFFFFF"/>
            <w:vAlign w:val="center"/>
            <w:hideMark/>
          </w:tcPr>
          <w:p w14:paraId="7D965458"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xml:space="preserve">- U.S. dollar currency forward contracts </w:t>
            </w:r>
          </w:p>
        </w:tc>
        <w:tc>
          <w:tcPr>
            <w:tcW w:w="1417" w:type="dxa"/>
            <w:shd w:val="clear" w:color="auto" w:fill="FFFF00"/>
            <w:vAlign w:val="center"/>
          </w:tcPr>
          <w:p w14:paraId="0B2EA484" w14:textId="77777777" w:rsidR="00E36553" w:rsidRPr="00135F6B" w:rsidRDefault="00DA1339"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64.1</w:t>
            </w:r>
          </w:p>
        </w:tc>
        <w:tc>
          <w:tcPr>
            <w:tcW w:w="1417" w:type="dxa"/>
            <w:shd w:val="clear" w:color="auto" w:fill="FFFF00"/>
            <w:vAlign w:val="center"/>
          </w:tcPr>
          <w:p w14:paraId="176A08D7" w14:textId="77777777" w:rsidR="00E36553" w:rsidRPr="00135F6B" w:rsidRDefault="00DA1339"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64.1</w:t>
            </w:r>
          </w:p>
        </w:tc>
        <w:tc>
          <w:tcPr>
            <w:tcW w:w="1417" w:type="dxa"/>
            <w:shd w:val="clear" w:color="auto" w:fill="FFFFFF"/>
            <w:vAlign w:val="center"/>
            <w:hideMark/>
          </w:tcPr>
          <w:p w14:paraId="59E1CC03"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53.2</w:t>
            </w:r>
          </w:p>
        </w:tc>
        <w:tc>
          <w:tcPr>
            <w:tcW w:w="1278" w:type="dxa"/>
            <w:shd w:val="clear" w:color="auto" w:fill="FFFFFF"/>
            <w:vAlign w:val="center"/>
            <w:hideMark/>
          </w:tcPr>
          <w:p w14:paraId="465C79DD"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53.2</w:t>
            </w:r>
          </w:p>
        </w:tc>
      </w:tr>
      <w:tr w:rsidR="00E36553" w:rsidRPr="00135F6B" w14:paraId="6B062D4F" w14:textId="77777777" w:rsidTr="00013C6F">
        <w:trPr>
          <w:trHeight w:val="232"/>
        </w:trPr>
        <w:tc>
          <w:tcPr>
            <w:tcW w:w="4820" w:type="dxa"/>
            <w:shd w:val="clear" w:color="auto" w:fill="FFFFFF"/>
            <w:vAlign w:val="center"/>
          </w:tcPr>
          <w:p w14:paraId="17962109"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Jet fuel &amp; carbon derivative forward contracts</w:t>
            </w:r>
          </w:p>
        </w:tc>
        <w:tc>
          <w:tcPr>
            <w:tcW w:w="1417" w:type="dxa"/>
            <w:tcBorders>
              <w:top w:val="nil"/>
              <w:left w:val="nil"/>
              <w:right w:val="nil"/>
            </w:tcBorders>
            <w:shd w:val="clear" w:color="auto" w:fill="FFFF00"/>
            <w:vAlign w:val="center"/>
          </w:tcPr>
          <w:p w14:paraId="757E0612" w14:textId="77777777" w:rsidR="00E36553" w:rsidRPr="00135F6B" w:rsidRDefault="00DA1339"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4</w:t>
            </w:r>
            <w:r w:rsidR="00497A1E">
              <w:rPr>
                <w:rFonts w:ascii="Calibri" w:hAnsi="Calibri" w:cs="Calibri"/>
                <w:b/>
                <w:color w:val="000000"/>
                <w:sz w:val="20"/>
                <w:szCs w:val="20"/>
                <w:lang w:eastAsia="en-IE"/>
              </w:rPr>
              <w:t>6.0</w:t>
            </w:r>
          </w:p>
        </w:tc>
        <w:tc>
          <w:tcPr>
            <w:tcW w:w="1417" w:type="dxa"/>
            <w:tcBorders>
              <w:top w:val="nil"/>
              <w:left w:val="nil"/>
              <w:right w:val="nil"/>
            </w:tcBorders>
            <w:shd w:val="clear" w:color="auto" w:fill="FFFF00"/>
            <w:vAlign w:val="center"/>
          </w:tcPr>
          <w:p w14:paraId="7EBBDC64" w14:textId="77777777" w:rsidR="00E36553" w:rsidRPr="00135F6B" w:rsidRDefault="00DA1339"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4</w:t>
            </w:r>
            <w:r w:rsidR="00497A1E">
              <w:rPr>
                <w:rFonts w:ascii="Calibri" w:eastAsia="Calibri" w:hAnsi="Calibri" w:cs="Calibri"/>
                <w:b/>
                <w:sz w:val="20"/>
                <w:szCs w:val="20"/>
                <w:lang w:eastAsia="en-IE"/>
              </w:rPr>
              <w:t>6.0</w:t>
            </w:r>
          </w:p>
        </w:tc>
        <w:tc>
          <w:tcPr>
            <w:tcW w:w="1417" w:type="dxa"/>
            <w:tcBorders>
              <w:top w:val="nil"/>
              <w:left w:val="nil"/>
              <w:right w:val="nil"/>
            </w:tcBorders>
            <w:shd w:val="clear" w:color="auto" w:fill="FFFFFF"/>
            <w:vAlign w:val="center"/>
          </w:tcPr>
          <w:p w14:paraId="0802F246"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w:t>
            </w:r>
          </w:p>
        </w:tc>
        <w:tc>
          <w:tcPr>
            <w:tcW w:w="1278" w:type="dxa"/>
            <w:tcBorders>
              <w:top w:val="nil"/>
              <w:left w:val="nil"/>
              <w:right w:val="nil"/>
            </w:tcBorders>
            <w:shd w:val="clear" w:color="auto" w:fill="FFFFFF"/>
            <w:vAlign w:val="center"/>
          </w:tcPr>
          <w:p w14:paraId="74152A56" w14:textId="77777777" w:rsidR="00E36553" w:rsidRPr="00AD66EB" w:rsidRDefault="00E36553" w:rsidP="00013C6F">
            <w:pPr>
              <w:ind w:left="-284" w:right="-2"/>
              <w:jc w:val="right"/>
              <w:rPr>
                <w:rFonts w:ascii="Calibri" w:eastAsia="Calibri" w:hAnsi="Calibri" w:cs="Calibri"/>
                <w:bCs/>
                <w:sz w:val="20"/>
                <w:szCs w:val="20"/>
                <w:lang w:eastAsia="en-IE"/>
              </w:rPr>
            </w:pPr>
            <w:r w:rsidRPr="00AD66EB">
              <w:rPr>
                <w:rFonts w:ascii="Calibri" w:eastAsia="Calibri" w:hAnsi="Calibri" w:cs="Calibri"/>
                <w:bCs/>
                <w:sz w:val="20"/>
                <w:szCs w:val="20"/>
                <w:lang w:eastAsia="en-IE"/>
              </w:rPr>
              <w:t>-</w:t>
            </w:r>
          </w:p>
        </w:tc>
      </w:tr>
      <w:tr w:rsidR="00E36553" w:rsidRPr="00135F6B" w14:paraId="6C36F7F7" w14:textId="77777777" w:rsidTr="00013C6F">
        <w:trPr>
          <w:trHeight w:val="232"/>
        </w:trPr>
        <w:tc>
          <w:tcPr>
            <w:tcW w:w="4820" w:type="dxa"/>
            <w:shd w:val="clear" w:color="auto" w:fill="FFFFFF"/>
            <w:vAlign w:val="center"/>
            <w:hideMark/>
          </w:tcPr>
          <w:p w14:paraId="67052A81"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Interest rate swaps</w:t>
            </w:r>
          </w:p>
        </w:tc>
        <w:tc>
          <w:tcPr>
            <w:tcW w:w="1417" w:type="dxa"/>
            <w:tcBorders>
              <w:left w:val="nil"/>
              <w:bottom w:val="single" w:sz="8" w:space="0" w:color="auto"/>
              <w:right w:val="nil"/>
            </w:tcBorders>
            <w:shd w:val="clear" w:color="auto" w:fill="FFFF00"/>
            <w:vAlign w:val="center"/>
          </w:tcPr>
          <w:p w14:paraId="4C3C8BFA" w14:textId="77777777" w:rsidR="00E36553" w:rsidRPr="00135F6B" w:rsidRDefault="00DA1339"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w:t>
            </w:r>
          </w:p>
        </w:tc>
        <w:tc>
          <w:tcPr>
            <w:tcW w:w="1417" w:type="dxa"/>
            <w:tcBorders>
              <w:left w:val="nil"/>
              <w:bottom w:val="single" w:sz="8" w:space="0" w:color="auto"/>
              <w:right w:val="nil"/>
            </w:tcBorders>
            <w:shd w:val="clear" w:color="auto" w:fill="FFFF00"/>
            <w:vAlign w:val="center"/>
          </w:tcPr>
          <w:p w14:paraId="49D2CBFD" w14:textId="77777777" w:rsidR="00E36553" w:rsidRPr="00135F6B" w:rsidRDefault="00DA1339"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w:t>
            </w:r>
          </w:p>
        </w:tc>
        <w:tc>
          <w:tcPr>
            <w:tcW w:w="1417" w:type="dxa"/>
            <w:tcBorders>
              <w:left w:val="nil"/>
              <w:bottom w:val="single" w:sz="8" w:space="0" w:color="auto"/>
              <w:right w:val="nil"/>
            </w:tcBorders>
            <w:shd w:val="clear" w:color="auto" w:fill="FFFFFF"/>
            <w:vAlign w:val="center"/>
            <w:hideMark/>
          </w:tcPr>
          <w:p w14:paraId="36E87E67"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1.4</w:t>
            </w:r>
          </w:p>
        </w:tc>
        <w:tc>
          <w:tcPr>
            <w:tcW w:w="1278" w:type="dxa"/>
            <w:tcBorders>
              <w:left w:val="nil"/>
              <w:bottom w:val="single" w:sz="8" w:space="0" w:color="auto"/>
              <w:right w:val="nil"/>
            </w:tcBorders>
            <w:shd w:val="clear" w:color="auto" w:fill="FFFFFF"/>
            <w:vAlign w:val="center"/>
            <w:hideMark/>
          </w:tcPr>
          <w:p w14:paraId="104618ED"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1.4</w:t>
            </w:r>
          </w:p>
        </w:tc>
      </w:tr>
      <w:tr w:rsidR="00E36553" w:rsidRPr="00135F6B" w14:paraId="618C9DA3" w14:textId="77777777" w:rsidTr="00013C6F">
        <w:trPr>
          <w:trHeight w:val="232"/>
        </w:trPr>
        <w:tc>
          <w:tcPr>
            <w:tcW w:w="4820" w:type="dxa"/>
            <w:shd w:val="clear" w:color="auto" w:fill="FFFFFF"/>
            <w:vAlign w:val="bottom"/>
            <w:hideMark/>
          </w:tcPr>
          <w:p w14:paraId="13D39D98"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shd w:val="clear" w:color="auto" w:fill="FFFF00"/>
            <w:vAlign w:val="center"/>
          </w:tcPr>
          <w:p w14:paraId="38518232" w14:textId="77777777" w:rsidR="00E36553" w:rsidRPr="00135F6B" w:rsidRDefault="00DA1339"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110.1</w:t>
            </w:r>
          </w:p>
        </w:tc>
        <w:tc>
          <w:tcPr>
            <w:tcW w:w="1417" w:type="dxa"/>
            <w:shd w:val="clear" w:color="auto" w:fill="FFFF00"/>
            <w:vAlign w:val="center"/>
          </w:tcPr>
          <w:p w14:paraId="29FC97ED" w14:textId="77777777" w:rsidR="00E36553" w:rsidRPr="00135F6B" w:rsidRDefault="00DA1339"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110.1</w:t>
            </w:r>
          </w:p>
        </w:tc>
        <w:tc>
          <w:tcPr>
            <w:tcW w:w="1417" w:type="dxa"/>
            <w:shd w:val="clear" w:color="auto" w:fill="FFFFFF"/>
            <w:vAlign w:val="center"/>
            <w:hideMark/>
          </w:tcPr>
          <w:p w14:paraId="5A5D17D1"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54.6</w:t>
            </w:r>
          </w:p>
        </w:tc>
        <w:tc>
          <w:tcPr>
            <w:tcW w:w="1278" w:type="dxa"/>
            <w:shd w:val="clear" w:color="auto" w:fill="FFFFFF"/>
            <w:vAlign w:val="center"/>
            <w:hideMark/>
          </w:tcPr>
          <w:p w14:paraId="40679A06"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54.6</w:t>
            </w:r>
          </w:p>
        </w:tc>
      </w:tr>
      <w:tr w:rsidR="00E36553" w:rsidRPr="00135F6B" w14:paraId="35C150B9" w14:textId="77777777" w:rsidTr="00013C6F">
        <w:trPr>
          <w:trHeight w:val="232"/>
        </w:trPr>
        <w:tc>
          <w:tcPr>
            <w:tcW w:w="4820" w:type="dxa"/>
            <w:shd w:val="clear" w:color="auto" w:fill="FFFFFF"/>
            <w:vAlign w:val="center"/>
            <w:hideMark/>
          </w:tcPr>
          <w:p w14:paraId="6A885EAA" w14:textId="77777777" w:rsidR="00E36553" w:rsidRPr="00156BD0" w:rsidRDefault="00E36553" w:rsidP="00013C6F">
            <w:pPr>
              <w:ind w:right="-2" w:hanging="105"/>
              <w:rPr>
                <w:rFonts w:ascii="Calibri" w:hAnsi="Calibri" w:cs="Calibri"/>
                <w:b/>
                <w:bCs/>
                <w:color w:val="000000"/>
                <w:sz w:val="20"/>
                <w:szCs w:val="20"/>
                <w:lang w:eastAsia="en-IE"/>
              </w:rPr>
            </w:pPr>
            <w:r w:rsidRPr="00156BD0">
              <w:rPr>
                <w:rFonts w:ascii="Calibri" w:hAnsi="Calibri" w:cs="Calibri"/>
                <w:b/>
                <w:bCs/>
                <w:color w:val="000000"/>
                <w:sz w:val="20"/>
                <w:szCs w:val="20"/>
                <w:lang w:eastAsia="en-IE"/>
              </w:rPr>
              <w:t>Current financial assets</w:t>
            </w:r>
          </w:p>
        </w:tc>
        <w:tc>
          <w:tcPr>
            <w:tcW w:w="1417" w:type="dxa"/>
            <w:shd w:val="clear" w:color="auto" w:fill="FFFF00"/>
            <w:vAlign w:val="center"/>
          </w:tcPr>
          <w:p w14:paraId="0CA4818B" w14:textId="77777777" w:rsidR="00E36553" w:rsidRPr="00135F6B" w:rsidRDefault="00E36553" w:rsidP="00013C6F">
            <w:pPr>
              <w:ind w:left="-284" w:right="-2"/>
              <w:jc w:val="right"/>
              <w:rPr>
                <w:rFonts w:ascii="Calibri" w:hAnsi="Calibri" w:cs="Calibri"/>
                <w:b/>
                <w:bCs/>
                <w:color w:val="000000"/>
                <w:sz w:val="20"/>
                <w:szCs w:val="20"/>
                <w:lang w:eastAsia="en-IE"/>
              </w:rPr>
            </w:pPr>
          </w:p>
        </w:tc>
        <w:tc>
          <w:tcPr>
            <w:tcW w:w="1417" w:type="dxa"/>
            <w:shd w:val="clear" w:color="auto" w:fill="FFFF00"/>
            <w:vAlign w:val="center"/>
          </w:tcPr>
          <w:p w14:paraId="1E0A668C"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hideMark/>
          </w:tcPr>
          <w:p w14:paraId="100CD36B" w14:textId="77777777" w:rsidR="00E36553" w:rsidRPr="00AD66EB" w:rsidRDefault="00E36553" w:rsidP="00013C6F">
            <w:pPr>
              <w:ind w:left="-284" w:right="-2"/>
              <w:jc w:val="right"/>
              <w:rPr>
                <w:rFonts w:ascii="Calibri" w:eastAsia="Calibri" w:hAnsi="Calibri" w:cs="Calibri"/>
                <w:bCs/>
                <w:sz w:val="20"/>
                <w:szCs w:val="20"/>
                <w:lang w:eastAsia="en-IE"/>
              </w:rPr>
            </w:pPr>
          </w:p>
        </w:tc>
        <w:tc>
          <w:tcPr>
            <w:tcW w:w="1278" w:type="dxa"/>
            <w:shd w:val="clear" w:color="auto" w:fill="FFFFFF"/>
            <w:vAlign w:val="center"/>
            <w:hideMark/>
          </w:tcPr>
          <w:p w14:paraId="57175915" w14:textId="77777777" w:rsidR="00E36553" w:rsidRPr="00AD66EB" w:rsidRDefault="00E36553" w:rsidP="00013C6F">
            <w:pPr>
              <w:ind w:left="-284" w:right="-2"/>
              <w:jc w:val="right"/>
              <w:rPr>
                <w:rFonts w:ascii="Calibri" w:eastAsia="Calibri" w:hAnsi="Calibri" w:cs="Calibri"/>
                <w:bCs/>
                <w:sz w:val="20"/>
                <w:szCs w:val="20"/>
                <w:lang w:eastAsia="en-IE"/>
              </w:rPr>
            </w:pPr>
          </w:p>
        </w:tc>
      </w:tr>
      <w:tr w:rsidR="00E36553" w:rsidRPr="00135F6B" w14:paraId="78A0403D" w14:textId="77777777" w:rsidTr="00013C6F">
        <w:trPr>
          <w:trHeight w:val="232"/>
        </w:trPr>
        <w:tc>
          <w:tcPr>
            <w:tcW w:w="4820" w:type="dxa"/>
            <w:shd w:val="clear" w:color="auto" w:fill="FFFFFF"/>
            <w:vAlign w:val="center"/>
            <w:hideMark/>
          </w:tcPr>
          <w:p w14:paraId="544297BB"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Derivative financial instruments:</w:t>
            </w:r>
          </w:p>
        </w:tc>
        <w:tc>
          <w:tcPr>
            <w:tcW w:w="1417" w:type="dxa"/>
            <w:shd w:val="clear" w:color="auto" w:fill="FFFF00"/>
            <w:vAlign w:val="center"/>
          </w:tcPr>
          <w:p w14:paraId="19C3C890" w14:textId="77777777" w:rsidR="00E36553" w:rsidRPr="00135F6B" w:rsidRDefault="00E36553" w:rsidP="00013C6F">
            <w:pPr>
              <w:ind w:left="-284" w:right="-2"/>
              <w:jc w:val="right"/>
              <w:rPr>
                <w:rFonts w:ascii="Calibri" w:hAnsi="Calibri" w:cs="Calibri"/>
                <w:b/>
                <w:color w:val="000000"/>
                <w:sz w:val="20"/>
                <w:szCs w:val="20"/>
                <w:lang w:eastAsia="en-IE"/>
              </w:rPr>
            </w:pPr>
          </w:p>
        </w:tc>
        <w:tc>
          <w:tcPr>
            <w:tcW w:w="1417" w:type="dxa"/>
            <w:shd w:val="clear" w:color="auto" w:fill="FFFF00"/>
            <w:vAlign w:val="center"/>
          </w:tcPr>
          <w:p w14:paraId="06F1F7CF"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hideMark/>
          </w:tcPr>
          <w:p w14:paraId="0BBC7C38" w14:textId="77777777" w:rsidR="00E36553" w:rsidRPr="00AD66EB" w:rsidRDefault="00E36553" w:rsidP="00013C6F">
            <w:pPr>
              <w:ind w:left="-284" w:right="-2"/>
              <w:jc w:val="right"/>
              <w:rPr>
                <w:rFonts w:ascii="Calibri" w:eastAsia="Calibri" w:hAnsi="Calibri" w:cs="Calibri"/>
                <w:bCs/>
                <w:sz w:val="20"/>
                <w:szCs w:val="20"/>
                <w:lang w:eastAsia="en-IE"/>
              </w:rPr>
            </w:pPr>
          </w:p>
        </w:tc>
        <w:tc>
          <w:tcPr>
            <w:tcW w:w="1278" w:type="dxa"/>
            <w:shd w:val="clear" w:color="auto" w:fill="FFFFFF"/>
            <w:vAlign w:val="center"/>
            <w:hideMark/>
          </w:tcPr>
          <w:p w14:paraId="58F636C6" w14:textId="77777777" w:rsidR="00E36553" w:rsidRPr="00AD66EB" w:rsidRDefault="00E36553" w:rsidP="00013C6F">
            <w:pPr>
              <w:ind w:left="-284" w:right="-2"/>
              <w:jc w:val="right"/>
              <w:rPr>
                <w:rFonts w:ascii="Calibri" w:eastAsia="Calibri" w:hAnsi="Calibri" w:cs="Calibri"/>
                <w:bCs/>
                <w:sz w:val="20"/>
                <w:szCs w:val="20"/>
                <w:lang w:eastAsia="en-IE"/>
              </w:rPr>
            </w:pPr>
          </w:p>
        </w:tc>
      </w:tr>
      <w:tr w:rsidR="00E36553" w:rsidRPr="00135F6B" w14:paraId="3E7B53B3" w14:textId="77777777" w:rsidTr="00013C6F">
        <w:trPr>
          <w:trHeight w:val="232"/>
        </w:trPr>
        <w:tc>
          <w:tcPr>
            <w:tcW w:w="4820" w:type="dxa"/>
            <w:shd w:val="clear" w:color="auto" w:fill="FFFFFF"/>
            <w:vAlign w:val="center"/>
            <w:hideMark/>
          </w:tcPr>
          <w:p w14:paraId="36CD5D18"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U.S. dollar currency forward contracts</w:t>
            </w:r>
          </w:p>
        </w:tc>
        <w:tc>
          <w:tcPr>
            <w:tcW w:w="1417" w:type="dxa"/>
            <w:shd w:val="clear" w:color="auto" w:fill="FFFF00"/>
            <w:vAlign w:val="center"/>
          </w:tcPr>
          <w:p w14:paraId="7F794226" w14:textId="77777777" w:rsidR="00E36553" w:rsidRPr="00135F6B" w:rsidRDefault="00497A1E"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289.</w:t>
            </w:r>
            <w:r w:rsidR="004E2EF9">
              <w:rPr>
                <w:rFonts w:ascii="Calibri" w:hAnsi="Calibri" w:cs="Calibri"/>
                <w:b/>
                <w:color w:val="000000"/>
                <w:sz w:val="20"/>
                <w:szCs w:val="20"/>
                <w:lang w:eastAsia="en-IE"/>
              </w:rPr>
              <w:t>8</w:t>
            </w:r>
          </w:p>
        </w:tc>
        <w:tc>
          <w:tcPr>
            <w:tcW w:w="1417" w:type="dxa"/>
            <w:shd w:val="clear" w:color="auto" w:fill="FFFF00"/>
            <w:vAlign w:val="center"/>
          </w:tcPr>
          <w:p w14:paraId="69EBA33D" w14:textId="77777777" w:rsidR="00E36553" w:rsidRPr="00135F6B" w:rsidRDefault="00497A1E"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289.</w:t>
            </w:r>
            <w:r w:rsidR="004E2EF9">
              <w:rPr>
                <w:rFonts w:ascii="Calibri" w:eastAsia="Calibri" w:hAnsi="Calibri" w:cs="Calibri"/>
                <w:b/>
                <w:sz w:val="20"/>
                <w:szCs w:val="20"/>
                <w:lang w:eastAsia="en-IE"/>
              </w:rPr>
              <w:t>8</w:t>
            </w:r>
          </w:p>
        </w:tc>
        <w:tc>
          <w:tcPr>
            <w:tcW w:w="1417" w:type="dxa"/>
            <w:shd w:val="clear" w:color="auto" w:fill="FFFFFF"/>
            <w:vAlign w:val="center"/>
            <w:hideMark/>
          </w:tcPr>
          <w:p w14:paraId="0FE249AF"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226.2</w:t>
            </w:r>
          </w:p>
        </w:tc>
        <w:tc>
          <w:tcPr>
            <w:tcW w:w="1278" w:type="dxa"/>
            <w:shd w:val="clear" w:color="auto" w:fill="FFFFFF"/>
            <w:vAlign w:val="center"/>
            <w:hideMark/>
          </w:tcPr>
          <w:p w14:paraId="77316EFA"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226.2</w:t>
            </w:r>
          </w:p>
        </w:tc>
      </w:tr>
      <w:tr w:rsidR="00E36553" w:rsidRPr="00135F6B" w14:paraId="41941C88" w14:textId="77777777" w:rsidTr="00013C6F">
        <w:trPr>
          <w:trHeight w:val="232"/>
        </w:trPr>
        <w:tc>
          <w:tcPr>
            <w:tcW w:w="4820" w:type="dxa"/>
            <w:shd w:val="clear" w:color="auto" w:fill="FFFFFF"/>
            <w:vAlign w:val="center"/>
          </w:tcPr>
          <w:p w14:paraId="1C46BCA4"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Jet fuel options</w:t>
            </w:r>
          </w:p>
        </w:tc>
        <w:tc>
          <w:tcPr>
            <w:tcW w:w="1417" w:type="dxa"/>
            <w:tcBorders>
              <w:top w:val="nil"/>
              <w:left w:val="nil"/>
              <w:right w:val="nil"/>
            </w:tcBorders>
            <w:shd w:val="clear" w:color="auto" w:fill="FFFF00"/>
            <w:vAlign w:val="center"/>
          </w:tcPr>
          <w:p w14:paraId="60BFA569" w14:textId="77777777" w:rsidR="00E36553" w:rsidRPr="00135F6B" w:rsidRDefault="00497A1E"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34.1</w:t>
            </w:r>
          </w:p>
        </w:tc>
        <w:tc>
          <w:tcPr>
            <w:tcW w:w="1417" w:type="dxa"/>
            <w:tcBorders>
              <w:top w:val="nil"/>
              <w:left w:val="nil"/>
              <w:right w:val="nil"/>
            </w:tcBorders>
            <w:shd w:val="clear" w:color="auto" w:fill="FFFF00"/>
            <w:vAlign w:val="center"/>
          </w:tcPr>
          <w:p w14:paraId="33399213" w14:textId="77777777" w:rsidR="00E36553" w:rsidRPr="00135F6B" w:rsidRDefault="00497A1E"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34.1</w:t>
            </w:r>
          </w:p>
        </w:tc>
        <w:tc>
          <w:tcPr>
            <w:tcW w:w="1417" w:type="dxa"/>
            <w:tcBorders>
              <w:top w:val="nil"/>
              <w:left w:val="nil"/>
              <w:right w:val="nil"/>
            </w:tcBorders>
            <w:shd w:val="clear" w:color="auto" w:fill="FFFFFF"/>
            <w:vAlign w:val="center"/>
          </w:tcPr>
          <w:p w14:paraId="42A5B014"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14.1</w:t>
            </w:r>
          </w:p>
        </w:tc>
        <w:tc>
          <w:tcPr>
            <w:tcW w:w="1278" w:type="dxa"/>
            <w:tcBorders>
              <w:top w:val="nil"/>
              <w:left w:val="nil"/>
              <w:right w:val="nil"/>
            </w:tcBorders>
            <w:shd w:val="clear" w:color="auto" w:fill="FFFFFF"/>
            <w:vAlign w:val="center"/>
          </w:tcPr>
          <w:p w14:paraId="6960CC8D" w14:textId="77777777" w:rsidR="00E36553" w:rsidRPr="00AD66EB" w:rsidRDefault="00E36553" w:rsidP="00013C6F">
            <w:pPr>
              <w:ind w:left="-284" w:right="-2"/>
              <w:jc w:val="right"/>
              <w:rPr>
                <w:rFonts w:ascii="Calibri" w:eastAsia="Calibri" w:hAnsi="Calibri" w:cs="Calibri"/>
                <w:bCs/>
                <w:sz w:val="20"/>
                <w:szCs w:val="20"/>
                <w:lang w:eastAsia="en-IE"/>
              </w:rPr>
            </w:pPr>
            <w:r w:rsidRPr="00AD66EB">
              <w:rPr>
                <w:rFonts w:ascii="Calibri" w:eastAsia="Calibri" w:hAnsi="Calibri" w:cs="Calibri"/>
                <w:bCs/>
                <w:sz w:val="20"/>
                <w:szCs w:val="20"/>
                <w:lang w:eastAsia="en-IE"/>
              </w:rPr>
              <w:t>14.1</w:t>
            </w:r>
          </w:p>
        </w:tc>
      </w:tr>
      <w:tr w:rsidR="00E36553" w:rsidRPr="00135F6B" w14:paraId="3A412B16" w14:textId="77777777" w:rsidTr="00013C6F">
        <w:trPr>
          <w:trHeight w:val="232"/>
        </w:trPr>
        <w:tc>
          <w:tcPr>
            <w:tcW w:w="4820" w:type="dxa"/>
            <w:shd w:val="clear" w:color="auto" w:fill="FFFFFF"/>
            <w:vAlign w:val="center"/>
          </w:tcPr>
          <w:p w14:paraId="6A17690B"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Jet fuel &amp; carbon derivative forward contracts</w:t>
            </w:r>
          </w:p>
        </w:tc>
        <w:tc>
          <w:tcPr>
            <w:tcW w:w="1417" w:type="dxa"/>
            <w:tcBorders>
              <w:top w:val="nil"/>
              <w:left w:val="nil"/>
              <w:right w:val="nil"/>
            </w:tcBorders>
            <w:shd w:val="clear" w:color="auto" w:fill="FFFF00"/>
            <w:vAlign w:val="center"/>
          </w:tcPr>
          <w:p w14:paraId="1F25AA75" w14:textId="77777777" w:rsidR="00E36553" w:rsidRPr="00135F6B" w:rsidRDefault="00497A1E"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281.5</w:t>
            </w:r>
          </w:p>
        </w:tc>
        <w:tc>
          <w:tcPr>
            <w:tcW w:w="1417" w:type="dxa"/>
            <w:tcBorders>
              <w:top w:val="nil"/>
              <w:left w:val="nil"/>
              <w:right w:val="nil"/>
            </w:tcBorders>
            <w:shd w:val="clear" w:color="auto" w:fill="FFFF00"/>
            <w:vAlign w:val="center"/>
          </w:tcPr>
          <w:p w14:paraId="03090DB8" w14:textId="77777777" w:rsidR="00E36553" w:rsidRPr="00135F6B" w:rsidRDefault="00497A1E"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281.5</w:t>
            </w:r>
          </w:p>
        </w:tc>
        <w:tc>
          <w:tcPr>
            <w:tcW w:w="1417" w:type="dxa"/>
            <w:tcBorders>
              <w:top w:val="nil"/>
              <w:left w:val="nil"/>
              <w:right w:val="nil"/>
            </w:tcBorders>
            <w:shd w:val="clear" w:color="auto" w:fill="FFFFFF"/>
            <w:vAlign w:val="center"/>
          </w:tcPr>
          <w:p w14:paraId="0D5FFCB3"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49.6</w:t>
            </w:r>
          </w:p>
        </w:tc>
        <w:tc>
          <w:tcPr>
            <w:tcW w:w="1278" w:type="dxa"/>
            <w:tcBorders>
              <w:top w:val="nil"/>
              <w:left w:val="nil"/>
              <w:right w:val="nil"/>
            </w:tcBorders>
            <w:shd w:val="clear" w:color="auto" w:fill="FFFFFF"/>
            <w:vAlign w:val="center"/>
          </w:tcPr>
          <w:p w14:paraId="366E22FE" w14:textId="77777777" w:rsidR="00E36553" w:rsidRPr="00AD66EB" w:rsidRDefault="00E36553" w:rsidP="00013C6F">
            <w:pPr>
              <w:ind w:left="-284" w:right="-2"/>
              <w:jc w:val="right"/>
              <w:rPr>
                <w:rFonts w:ascii="Calibri" w:eastAsia="Calibri" w:hAnsi="Calibri" w:cs="Calibri"/>
                <w:bCs/>
                <w:sz w:val="20"/>
                <w:szCs w:val="20"/>
                <w:lang w:eastAsia="en-IE"/>
              </w:rPr>
            </w:pPr>
            <w:r w:rsidRPr="00AD66EB">
              <w:rPr>
                <w:rFonts w:ascii="Calibri" w:eastAsia="Calibri" w:hAnsi="Calibri" w:cs="Calibri"/>
                <w:bCs/>
                <w:sz w:val="20"/>
                <w:szCs w:val="20"/>
                <w:lang w:eastAsia="en-IE"/>
              </w:rPr>
              <w:t>49.6</w:t>
            </w:r>
          </w:p>
        </w:tc>
      </w:tr>
      <w:tr w:rsidR="00E36553" w:rsidRPr="00135F6B" w14:paraId="50D4DBB1" w14:textId="77777777" w:rsidTr="00013C6F">
        <w:trPr>
          <w:trHeight w:val="232"/>
        </w:trPr>
        <w:tc>
          <w:tcPr>
            <w:tcW w:w="4820" w:type="dxa"/>
            <w:shd w:val="clear" w:color="auto" w:fill="FFFFFF"/>
            <w:vAlign w:val="center"/>
            <w:hideMark/>
          </w:tcPr>
          <w:p w14:paraId="711EC966"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Interest rate swaps</w:t>
            </w:r>
          </w:p>
        </w:tc>
        <w:tc>
          <w:tcPr>
            <w:tcW w:w="1417" w:type="dxa"/>
            <w:tcBorders>
              <w:left w:val="nil"/>
              <w:bottom w:val="single" w:sz="8" w:space="0" w:color="auto"/>
              <w:right w:val="nil"/>
            </w:tcBorders>
            <w:shd w:val="clear" w:color="auto" w:fill="FFFF00"/>
            <w:vAlign w:val="center"/>
          </w:tcPr>
          <w:p w14:paraId="45214929" w14:textId="77777777" w:rsidR="00E36553" w:rsidRPr="00135F6B" w:rsidRDefault="00497A1E"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w:t>
            </w:r>
          </w:p>
        </w:tc>
        <w:tc>
          <w:tcPr>
            <w:tcW w:w="1417" w:type="dxa"/>
            <w:tcBorders>
              <w:left w:val="nil"/>
              <w:bottom w:val="single" w:sz="8" w:space="0" w:color="auto"/>
              <w:right w:val="nil"/>
            </w:tcBorders>
            <w:shd w:val="clear" w:color="auto" w:fill="FFFF00"/>
            <w:vAlign w:val="center"/>
          </w:tcPr>
          <w:p w14:paraId="29009485" w14:textId="77777777" w:rsidR="00E36553" w:rsidRPr="00135F6B" w:rsidRDefault="00497A1E"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w:t>
            </w:r>
          </w:p>
        </w:tc>
        <w:tc>
          <w:tcPr>
            <w:tcW w:w="1417" w:type="dxa"/>
            <w:tcBorders>
              <w:left w:val="nil"/>
              <w:bottom w:val="single" w:sz="8" w:space="0" w:color="auto"/>
              <w:right w:val="nil"/>
            </w:tcBorders>
            <w:shd w:val="clear" w:color="auto" w:fill="FFFFFF"/>
            <w:vAlign w:val="center"/>
            <w:hideMark/>
          </w:tcPr>
          <w:p w14:paraId="164E7801"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2.2</w:t>
            </w:r>
          </w:p>
        </w:tc>
        <w:tc>
          <w:tcPr>
            <w:tcW w:w="1278" w:type="dxa"/>
            <w:tcBorders>
              <w:left w:val="nil"/>
              <w:bottom w:val="single" w:sz="8" w:space="0" w:color="auto"/>
              <w:right w:val="nil"/>
            </w:tcBorders>
            <w:shd w:val="clear" w:color="auto" w:fill="FFFFFF"/>
            <w:vAlign w:val="center"/>
            <w:hideMark/>
          </w:tcPr>
          <w:p w14:paraId="5B5E6EFE"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2.2</w:t>
            </w:r>
          </w:p>
        </w:tc>
      </w:tr>
      <w:tr w:rsidR="00E36553" w:rsidRPr="00135F6B" w14:paraId="33FD31F7" w14:textId="77777777" w:rsidTr="00013C6F">
        <w:trPr>
          <w:trHeight w:val="232"/>
        </w:trPr>
        <w:tc>
          <w:tcPr>
            <w:tcW w:w="4820" w:type="dxa"/>
            <w:shd w:val="clear" w:color="auto" w:fill="FFFFFF"/>
            <w:vAlign w:val="center"/>
            <w:hideMark/>
          </w:tcPr>
          <w:p w14:paraId="10FCF1D7"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shd w:val="clear" w:color="auto" w:fill="FFFF00"/>
            <w:vAlign w:val="center"/>
          </w:tcPr>
          <w:p w14:paraId="52D68518" w14:textId="77777777" w:rsidR="00E36553" w:rsidRPr="00135F6B" w:rsidRDefault="00497A1E"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605.</w:t>
            </w:r>
            <w:r w:rsidR="004E2EF9">
              <w:rPr>
                <w:rFonts w:ascii="Calibri" w:hAnsi="Calibri" w:cs="Calibri"/>
                <w:b/>
                <w:bCs/>
                <w:color w:val="000000"/>
                <w:sz w:val="20"/>
                <w:szCs w:val="20"/>
                <w:lang w:eastAsia="en-IE"/>
              </w:rPr>
              <w:t>4</w:t>
            </w:r>
          </w:p>
        </w:tc>
        <w:tc>
          <w:tcPr>
            <w:tcW w:w="1417" w:type="dxa"/>
            <w:shd w:val="clear" w:color="auto" w:fill="FFFF00"/>
            <w:vAlign w:val="center"/>
          </w:tcPr>
          <w:p w14:paraId="0ABCC835" w14:textId="77777777" w:rsidR="00E36553" w:rsidRPr="00135F6B" w:rsidRDefault="00497A1E"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605.</w:t>
            </w:r>
            <w:r w:rsidR="004E2EF9">
              <w:rPr>
                <w:rFonts w:ascii="Calibri" w:hAnsi="Calibri" w:cs="Calibri"/>
                <w:b/>
                <w:bCs/>
                <w:color w:val="000000"/>
                <w:sz w:val="20"/>
                <w:szCs w:val="20"/>
                <w:lang w:eastAsia="en-IE"/>
              </w:rPr>
              <w:t>4</w:t>
            </w:r>
          </w:p>
        </w:tc>
        <w:tc>
          <w:tcPr>
            <w:tcW w:w="1417" w:type="dxa"/>
            <w:shd w:val="clear" w:color="auto" w:fill="FFFFFF"/>
            <w:vAlign w:val="center"/>
            <w:hideMark/>
          </w:tcPr>
          <w:p w14:paraId="07594E9B"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292.1</w:t>
            </w:r>
          </w:p>
        </w:tc>
        <w:tc>
          <w:tcPr>
            <w:tcW w:w="1278" w:type="dxa"/>
            <w:shd w:val="clear" w:color="auto" w:fill="FFFFFF"/>
            <w:vAlign w:val="center"/>
            <w:hideMark/>
          </w:tcPr>
          <w:p w14:paraId="08295060"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292.1</w:t>
            </w:r>
          </w:p>
        </w:tc>
      </w:tr>
      <w:tr w:rsidR="00E36553" w:rsidRPr="00135F6B" w14:paraId="190CFEB8" w14:textId="77777777" w:rsidTr="00013C6F">
        <w:trPr>
          <w:trHeight w:val="232"/>
        </w:trPr>
        <w:tc>
          <w:tcPr>
            <w:tcW w:w="4820" w:type="dxa"/>
            <w:shd w:val="clear" w:color="auto" w:fill="FFFFFF"/>
            <w:vAlign w:val="center"/>
            <w:hideMark/>
          </w:tcPr>
          <w:p w14:paraId="1372A853"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Trade receivables*</w:t>
            </w:r>
          </w:p>
        </w:tc>
        <w:tc>
          <w:tcPr>
            <w:tcW w:w="1417" w:type="dxa"/>
            <w:shd w:val="clear" w:color="auto" w:fill="FFFF00"/>
            <w:vAlign w:val="center"/>
          </w:tcPr>
          <w:p w14:paraId="30B03898" w14:textId="77777777" w:rsidR="00E36553" w:rsidRPr="00957A6F" w:rsidRDefault="001B7BE0" w:rsidP="00013C6F">
            <w:pPr>
              <w:ind w:left="-284" w:right="-2"/>
              <w:jc w:val="right"/>
              <w:rPr>
                <w:rFonts w:ascii="Calibri" w:hAnsi="Calibri" w:cs="Calibri"/>
                <w:b/>
                <w:color w:val="000000"/>
                <w:sz w:val="20"/>
                <w:szCs w:val="20"/>
                <w:highlight w:val="green"/>
                <w:lang w:eastAsia="en-IE"/>
              </w:rPr>
            </w:pPr>
            <w:r w:rsidRPr="001B7BE0">
              <w:rPr>
                <w:rFonts w:ascii="Calibri" w:hAnsi="Calibri" w:cs="Calibri"/>
                <w:b/>
                <w:color w:val="000000"/>
                <w:sz w:val="20"/>
                <w:szCs w:val="20"/>
                <w:lang w:eastAsia="en-IE"/>
              </w:rPr>
              <w:t>68.3</w:t>
            </w:r>
          </w:p>
        </w:tc>
        <w:tc>
          <w:tcPr>
            <w:tcW w:w="1417" w:type="dxa"/>
            <w:shd w:val="clear" w:color="auto" w:fill="FFFF00"/>
            <w:vAlign w:val="center"/>
          </w:tcPr>
          <w:p w14:paraId="7377DAC9"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hideMark/>
          </w:tcPr>
          <w:p w14:paraId="58113A5E"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59.7</w:t>
            </w:r>
          </w:p>
        </w:tc>
        <w:tc>
          <w:tcPr>
            <w:tcW w:w="1278" w:type="dxa"/>
            <w:shd w:val="clear" w:color="auto" w:fill="FFFFFF"/>
            <w:vAlign w:val="center"/>
            <w:hideMark/>
          </w:tcPr>
          <w:p w14:paraId="27F910FA" w14:textId="77777777" w:rsidR="00E36553" w:rsidRPr="00AD66EB" w:rsidRDefault="00E36553" w:rsidP="00013C6F">
            <w:pPr>
              <w:ind w:left="-284" w:right="-2"/>
              <w:jc w:val="right"/>
              <w:rPr>
                <w:rFonts w:ascii="Calibri" w:hAnsi="Calibri" w:cs="Calibri"/>
                <w:bCs/>
                <w:color w:val="000000"/>
                <w:sz w:val="20"/>
                <w:szCs w:val="20"/>
                <w:lang w:eastAsia="en-IE"/>
              </w:rPr>
            </w:pPr>
          </w:p>
        </w:tc>
      </w:tr>
      <w:tr w:rsidR="00E36553" w:rsidRPr="00135F6B" w14:paraId="20B982C8" w14:textId="77777777" w:rsidTr="00013C6F">
        <w:trPr>
          <w:trHeight w:val="232"/>
        </w:trPr>
        <w:tc>
          <w:tcPr>
            <w:tcW w:w="4820" w:type="dxa"/>
            <w:shd w:val="clear" w:color="auto" w:fill="FFFFFF"/>
            <w:vAlign w:val="center"/>
            <w:hideMark/>
          </w:tcPr>
          <w:p w14:paraId="22949FA7"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Cash and cash equivalents*</w:t>
            </w:r>
          </w:p>
        </w:tc>
        <w:tc>
          <w:tcPr>
            <w:tcW w:w="1417" w:type="dxa"/>
            <w:shd w:val="clear" w:color="auto" w:fill="FFFF00"/>
            <w:vAlign w:val="center"/>
          </w:tcPr>
          <w:p w14:paraId="3ABD9618" w14:textId="77777777" w:rsidR="00E36553" w:rsidRPr="00497A1E" w:rsidRDefault="00497A1E" w:rsidP="00013C6F">
            <w:pPr>
              <w:ind w:left="-284" w:right="-2"/>
              <w:jc w:val="right"/>
              <w:rPr>
                <w:rFonts w:ascii="Calibri" w:hAnsi="Calibri" w:cs="Calibri"/>
                <w:b/>
                <w:color w:val="000000"/>
                <w:sz w:val="20"/>
                <w:szCs w:val="20"/>
                <w:lang w:eastAsia="en-IE"/>
              </w:rPr>
            </w:pPr>
            <w:r w:rsidRPr="00497A1E">
              <w:rPr>
                <w:rFonts w:ascii="Calibri" w:hAnsi="Calibri" w:cs="Calibri"/>
                <w:b/>
                <w:color w:val="000000"/>
                <w:sz w:val="20"/>
                <w:szCs w:val="20"/>
                <w:lang w:eastAsia="en-IE"/>
              </w:rPr>
              <w:t>3,260.</w:t>
            </w:r>
            <w:r w:rsidR="0058230A">
              <w:rPr>
                <w:rFonts w:ascii="Calibri" w:hAnsi="Calibri" w:cs="Calibri"/>
                <w:b/>
                <w:color w:val="000000"/>
                <w:sz w:val="20"/>
                <w:szCs w:val="20"/>
                <w:lang w:eastAsia="en-IE"/>
              </w:rPr>
              <w:t>5</w:t>
            </w:r>
          </w:p>
        </w:tc>
        <w:tc>
          <w:tcPr>
            <w:tcW w:w="1417" w:type="dxa"/>
            <w:shd w:val="clear" w:color="auto" w:fill="FFFF00"/>
            <w:vAlign w:val="center"/>
          </w:tcPr>
          <w:p w14:paraId="1633FB0D"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hideMark/>
          </w:tcPr>
          <w:p w14:paraId="6332DD83"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3,599.3</w:t>
            </w:r>
          </w:p>
        </w:tc>
        <w:tc>
          <w:tcPr>
            <w:tcW w:w="1278" w:type="dxa"/>
            <w:shd w:val="clear" w:color="auto" w:fill="FFFFFF"/>
            <w:vAlign w:val="center"/>
            <w:hideMark/>
          </w:tcPr>
          <w:p w14:paraId="3168E8D8" w14:textId="77777777" w:rsidR="00E36553" w:rsidRPr="00AD66EB" w:rsidRDefault="00E36553" w:rsidP="00013C6F">
            <w:pPr>
              <w:ind w:left="-284" w:right="-2"/>
              <w:jc w:val="right"/>
              <w:rPr>
                <w:rFonts w:ascii="Calibri" w:hAnsi="Calibri" w:cs="Calibri"/>
                <w:bCs/>
                <w:color w:val="000000"/>
                <w:sz w:val="20"/>
                <w:szCs w:val="20"/>
                <w:lang w:eastAsia="en-IE"/>
              </w:rPr>
            </w:pPr>
          </w:p>
        </w:tc>
      </w:tr>
      <w:tr w:rsidR="00E36553" w:rsidRPr="00135F6B" w14:paraId="7F2EEEF2" w14:textId="77777777" w:rsidTr="00013C6F">
        <w:trPr>
          <w:trHeight w:val="232"/>
        </w:trPr>
        <w:tc>
          <w:tcPr>
            <w:tcW w:w="4820" w:type="dxa"/>
            <w:shd w:val="clear" w:color="auto" w:fill="FFFFFF"/>
            <w:vAlign w:val="center"/>
            <w:hideMark/>
          </w:tcPr>
          <w:p w14:paraId="07DB041B"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Financial asset: cash &gt; 3 months*</w:t>
            </w:r>
          </w:p>
        </w:tc>
        <w:tc>
          <w:tcPr>
            <w:tcW w:w="1417" w:type="dxa"/>
            <w:shd w:val="clear" w:color="auto" w:fill="FFFF00"/>
            <w:vAlign w:val="center"/>
          </w:tcPr>
          <w:p w14:paraId="7839444A" w14:textId="77777777" w:rsidR="00E36553" w:rsidRPr="00135F6B" w:rsidRDefault="00497A1E" w:rsidP="00013C6F">
            <w:pPr>
              <w:ind w:left="-284" w:right="-2"/>
              <w:jc w:val="right"/>
              <w:rPr>
                <w:rFonts w:ascii="Calibri" w:hAnsi="Calibri" w:cs="Calibri"/>
                <w:b/>
                <w:color w:val="000000"/>
                <w:sz w:val="20"/>
                <w:szCs w:val="20"/>
                <w:highlight w:val="yellow"/>
                <w:lang w:eastAsia="en-IE"/>
              </w:rPr>
            </w:pPr>
            <w:r>
              <w:rPr>
                <w:rFonts w:ascii="Calibri" w:hAnsi="Calibri" w:cs="Calibri"/>
                <w:b/>
                <w:color w:val="000000"/>
                <w:sz w:val="20"/>
                <w:szCs w:val="20"/>
                <w:highlight w:val="yellow"/>
                <w:lang w:eastAsia="en-IE"/>
              </w:rPr>
              <w:t>364.9</w:t>
            </w:r>
          </w:p>
        </w:tc>
        <w:tc>
          <w:tcPr>
            <w:tcW w:w="1417" w:type="dxa"/>
            <w:shd w:val="clear" w:color="auto" w:fill="FFFF00"/>
            <w:vAlign w:val="center"/>
          </w:tcPr>
          <w:p w14:paraId="47FDCBD6" w14:textId="77777777" w:rsidR="00E36553" w:rsidRPr="00135F6B" w:rsidRDefault="00E36553" w:rsidP="00013C6F">
            <w:pPr>
              <w:ind w:left="-284" w:right="-2"/>
              <w:jc w:val="right"/>
              <w:rPr>
                <w:rFonts w:ascii="Calibri" w:eastAsia="Calibri" w:hAnsi="Calibri" w:cs="Calibri"/>
                <w:b/>
                <w:sz w:val="20"/>
                <w:szCs w:val="20"/>
                <w:highlight w:val="yellow"/>
                <w:lang w:eastAsia="en-IE"/>
              </w:rPr>
            </w:pPr>
          </w:p>
        </w:tc>
        <w:tc>
          <w:tcPr>
            <w:tcW w:w="1417" w:type="dxa"/>
            <w:shd w:val="clear" w:color="auto" w:fill="FFFFFF"/>
            <w:vAlign w:val="center"/>
            <w:hideMark/>
          </w:tcPr>
          <w:p w14:paraId="6E819B71"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1,056.2</w:t>
            </w:r>
          </w:p>
        </w:tc>
        <w:tc>
          <w:tcPr>
            <w:tcW w:w="1278" w:type="dxa"/>
            <w:shd w:val="clear" w:color="auto" w:fill="FFFFFF"/>
            <w:vAlign w:val="center"/>
            <w:hideMark/>
          </w:tcPr>
          <w:p w14:paraId="7D3541EC" w14:textId="77777777" w:rsidR="00E36553" w:rsidRPr="00AD66EB" w:rsidRDefault="00E36553" w:rsidP="00013C6F">
            <w:pPr>
              <w:ind w:left="-284" w:right="-2"/>
              <w:jc w:val="right"/>
              <w:rPr>
                <w:rFonts w:ascii="Calibri" w:hAnsi="Calibri" w:cs="Calibri"/>
                <w:bCs/>
                <w:color w:val="000000"/>
                <w:sz w:val="20"/>
                <w:szCs w:val="20"/>
                <w:lang w:eastAsia="en-IE"/>
              </w:rPr>
            </w:pPr>
          </w:p>
        </w:tc>
      </w:tr>
      <w:tr w:rsidR="00E36553" w:rsidRPr="00135F6B" w14:paraId="440E6B31" w14:textId="77777777" w:rsidTr="00013C6F">
        <w:trPr>
          <w:trHeight w:val="232"/>
        </w:trPr>
        <w:tc>
          <w:tcPr>
            <w:tcW w:w="4820" w:type="dxa"/>
            <w:shd w:val="clear" w:color="auto" w:fill="FFFFFF"/>
            <w:vAlign w:val="center"/>
            <w:hideMark/>
          </w:tcPr>
          <w:p w14:paraId="4691AFA0"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Restricted cash*</w:t>
            </w:r>
          </w:p>
        </w:tc>
        <w:tc>
          <w:tcPr>
            <w:tcW w:w="1417" w:type="dxa"/>
            <w:tcBorders>
              <w:bottom w:val="single" w:sz="8" w:space="0" w:color="auto"/>
            </w:tcBorders>
            <w:shd w:val="clear" w:color="auto" w:fill="FFFF00"/>
            <w:vAlign w:val="center"/>
          </w:tcPr>
          <w:p w14:paraId="5E0B74C0" w14:textId="77777777" w:rsidR="00E36553" w:rsidRPr="00135F6B" w:rsidRDefault="00497A1E" w:rsidP="00013C6F">
            <w:pPr>
              <w:ind w:left="-284" w:right="-2"/>
              <w:jc w:val="right"/>
              <w:rPr>
                <w:rFonts w:ascii="Calibri" w:hAnsi="Calibri" w:cs="Calibri"/>
                <w:b/>
                <w:color w:val="000000"/>
                <w:sz w:val="20"/>
                <w:szCs w:val="20"/>
                <w:highlight w:val="yellow"/>
                <w:lang w:eastAsia="en-IE"/>
              </w:rPr>
            </w:pPr>
            <w:r>
              <w:rPr>
                <w:rFonts w:ascii="Calibri" w:hAnsi="Calibri" w:cs="Calibri"/>
                <w:b/>
                <w:color w:val="000000"/>
                <w:sz w:val="20"/>
                <w:szCs w:val="20"/>
                <w:highlight w:val="yellow"/>
                <w:lang w:eastAsia="en-IE"/>
              </w:rPr>
              <w:t>19.5</w:t>
            </w:r>
          </w:p>
        </w:tc>
        <w:tc>
          <w:tcPr>
            <w:tcW w:w="1417" w:type="dxa"/>
            <w:tcBorders>
              <w:bottom w:val="single" w:sz="8" w:space="0" w:color="auto"/>
            </w:tcBorders>
            <w:shd w:val="clear" w:color="auto" w:fill="FFFF00"/>
            <w:vAlign w:val="center"/>
          </w:tcPr>
          <w:p w14:paraId="788ACB9A" w14:textId="77777777" w:rsidR="00E36553" w:rsidRPr="00135F6B" w:rsidRDefault="00E36553" w:rsidP="00013C6F">
            <w:pPr>
              <w:ind w:left="-284" w:right="-2"/>
              <w:jc w:val="right"/>
              <w:rPr>
                <w:rFonts w:ascii="Calibri" w:eastAsia="Calibri" w:hAnsi="Calibri" w:cs="Calibri"/>
                <w:b/>
                <w:sz w:val="20"/>
                <w:szCs w:val="20"/>
                <w:highlight w:val="yellow"/>
                <w:lang w:eastAsia="en-IE"/>
              </w:rPr>
            </w:pPr>
          </w:p>
        </w:tc>
        <w:tc>
          <w:tcPr>
            <w:tcW w:w="1417" w:type="dxa"/>
            <w:tcBorders>
              <w:bottom w:val="single" w:sz="8" w:space="0" w:color="auto"/>
            </w:tcBorders>
            <w:shd w:val="clear" w:color="auto" w:fill="FFFFFF"/>
            <w:vAlign w:val="center"/>
            <w:hideMark/>
          </w:tcPr>
          <w:p w14:paraId="7FB1DBB0"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19.5</w:t>
            </w:r>
          </w:p>
        </w:tc>
        <w:tc>
          <w:tcPr>
            <w:tcW w:w="1278" w:type="dxa"/>
            <w:tcBorders>
              <w:bottom w:val="single" w:sz="8" w:space="0" w:color="auto"/>
            </w:tcBorders>
            <w:shd w:val="clear" w:color="auto" w:fill="FFFFFF"/>
            <w:vAlign w:val="center"/>
            <w:hideMark/>
          </w:tcPr>
          <w:p w14:paraId="6545DBCE" w14:textId="77777777" w:rsidR="00E36553" w:rsidRPr="00AD66EB" w:rsidRDefault="00E36553" w:rsidP="00013C6F">
            <w:pPr>
              <w:ind w:left="-284" w:right="-2"/>
              <w:jc w:val="right"/>
              <w:rPr>
                <w:rFonts w:ascii="Calibri" w:hAnsi="Calibri" w:cs="Calibri"/>
                <w:bCs/>
                <w:color w:val="000000"/>
                <w:sz w:val="20"/>
                <w:szCs w:val="20"/>
                <w:lang w:eastAsia="en-IE"/>
              </w:rPr>
            </w:pPr>
          </w:p>
        </w:tc>
      </w:tr>
      <w:tr w:rsidR="00E36553" w:rsidRPr="00CB4DD8" w14:paraId="6C0DB18E" w14:textId="77777777" w:rsidTr="00013C6F">
        <w:trPr>
          <w:trHeight w:val="232"/>
        </w:trPr>
        <w:tc>
          <w:tcPr>
            <w:tcW w:w="4820" w:type="dxa"/>
            <w:shd w:val="clear" w:color="auto" w:fill="FFFFFF"/>
            <w:vAlign w:val="center"/>
            <w:hideMark/>
          </w:tcPr>
          <w:p w14:paraId="78330C37"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tcBorders>
              <w:top w:val="single" w:sz="8" w:space="0" w:color="auto"/>
              <w:left w:val="nil"/>
              <w:bottom w:val="single" w:sz="8" w:space="0" w:color="auto"/>
              <w:right w:val="nil"/>
            </w:tcBorders>
            <w:shd w:val="clear" w:color="auto" w:fill="FFFF00"/>
            <w:vAlign w:val="center"/>
          </w:tcPr>
          <w:p w14:paraId="59689CE1" w14:textId="77777777" w:rsidR="00E36553" w:rsidRPr="004E4E6E" w:rsidRDefault="006234BA"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4,3</w:t>
            </w:r>
            <w:r w:rsidR="001B7BE0">
              <w:rPr>
                <w:rFonts w:ascii="Calibri" w:hAnsi="Calibri" w:cs="Calibri"/>
                <w:b/>
                <w:bCs/>
                <w:color w:val="000000"/>
                <w:sz w:val="20"/>
                <w:szCs w:val="20"/>
                <w:lang w:eastAsia="en-IE"/>
              </w:rPr>
              <w:t>18</w:t>
            </w:r>
            <w:r>
              <w:rPr>
                <w:rFonts w:ascii="Calibri" w:hAnsi="Calibri" w:cs="Calibri"/>
                <w:b/>
                <w:bCs/>
                <w:color w:val="000000"/>
                <w:sz w:val="20"/>
                <w:szCs w:val="20"/>
                <w:lang w:eastAsia="en-IE"/>
              </w:rPr>
              <w:t>.</w:t>
            </w:r>
            <w:r w:rsidR="001B7BE0">
              <w:rPr>
                <w:rFonts w:ascii="Calibri" w:hAnsi="Calibri" w:cs="Calibri"/>
                <w:b/>
                <w:bCs/>
                <w:color w:val="000000"/>
                <w:sz w:val="20"/>
                <w:szCs w:val="20"/>
                <w:lang w:eastAsia="en-IE"/>
              </w:rPr>
              <w:t>6</w:t>
            </w:r>
          </w:p>
        </w:tc>
        <w:tc>
          <w:tcPr>
            <w:tcW w:w="1417" w:type="dxa"/>
            <w:tcBorders>
              <w:top w:val="single" w:sz="8" w:space="0" w:color="auto"/>
              <w:left w:val="nil"/>
              <w:bottom w:val="single" w:sz="8" w:space="0" w:color="auto"/>
              <w:right w:val="nil"/>
            </w:tcBorders>
            <w:shd w:val="clear" w:color="auto" w:fill="FFFF00"/>
            <w:vAlign w:val="center"/>
          </w:tcPr>
          <w:p w14:paraId="1D574A2B" w14:textId="77777777" w:rsidR="00E36553" w:rsidRPr="004E4E6E" w:rsidRDefault="00237937"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605.</w:t>
            </w:r>
            <w:r w:rsidR="004E2EF9">
              <w:rPr>
                <w:rFonts w:ascii="Calibri" w:hAnsi="Calibri" w:cs="Calibri"/>
                <w:b/>
                <w:bCs/>
                <w:color w:val="000000"/>
                <w:sz w:val="20"/>
                <w:szCs w:val="20"/>
                <w:lang w:eastAsia="en-IE"/>
              </w:rPr>
              <w:t>4</w:t>
            </w:r>
          </w:p>
        </w:tc>
        <w:tc>
          <w:tcPr>
            <w:tcW w:w="1417" w:type="dxa"/>
            <w:tcBorders>
              <w:top w:val="single" w:sz="8" w:space="0" w:color="auto"/>
              <w:left w:val="nil"/>
              <w:bottom w:val="single" w:sz="8" w:space="0" w:color="auto"/>
              <w:right w:val="nil"/>
            </w:tcBorders>
            <w:shd w:val="clear" w:color="auto" w:fill="FFFFFF"/>
            <w:vAlign w:val="center"/>
            <w:hideMark/>
          </w:tcPr>
          <w:p w14:paraId="38C512B6"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5,026.8</w:t>
            </w:r>
          </w:p>
        </w:tc>
        <w:tc>
          <w:tcPr>
            <w:tcW w:w="1278" w:type="dxa"/>
            <w:tcBorders>
              <w:top w:val="single" w:sz="8" w:space="0" w:color="auto"/>
              <w:left w:val="nil"/>
              <w:bottom w:val="single" w:sz="8" w:space="0" w:color="auto"/>
              <w:right w:val="nil"/>
            </w:tcBorders>
            <w:shd w:val="clear" w:color="auto" w:fill="FFFFFF"/>
            <w:vAlign w:val="center"/>
            <w:hideMark/>
          </w:tcPr>
          <w:p w14:paraId="7B6BA7B4"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292.1</w:t>
            </w:r>
          </w:p>
        </w:tc>
      </w:tr>
      <w:tr w:rsidR="00E36553" w:rsidRPr="00CB4DD8" w14:paraId="25824D2E" w14:textId="77777777" w:rsidTr="00013C6F">
        <w:trPr>
          <w:trHeight w:val="232"/>
        </w:trPr>
        <w:tc>
          <w:tcPr>
            <w:tcW w:w="4820" w:type="dxa"/>
            <w:shd w:val="clear" w:color="auto" w:fill="FFFFFF"/>
            <w:vAlign w:val="center"/>
            <w:hideMark/>
          </w:tcPr>
          <w:p w14:paraId="64617684"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Total financial assets</w:t>
            </w:r>
          </w:p>
        </w:tc>
        <w:tc>
          <w:tcPr>
            <w:tcW w:w="1417" w:type="dxa"/>
            <w:tcBorders>
              <w:top w:val="single" w:sz="8" w:space="0" w:color="auto"/>
              <w:left w:val="nil"/>
              <w:bottom w:val="single" w:sz="12" w:space="0" w:color="auto"/>
              <w:right w:val="nil"/>
            </w:tcBorders>
            <w:shd w:val="clear" w:color="auto" w:fill="FFFF00"/>
            <w:vAlign w:val="center"/>
          </w:tcPr>
          <w:p w14:paraId="0A0C8F61" w14:textId="77777777" w:rsidR="00E36553" w:rsidRPr="00957A6F" w:rsidRDefault="006234BA" w:rsidP="00013C6F">
            <w:pPr>
              <w:ind w:left="-284" w:right="-2"/>
              <w:jc w:val="right"/>
              <w:rPr>
                <w:rFonts w:ascii="Calibri" w:hAnsi="Calibri" w:cs="Calibri"/>
                <w:b/>
                <w:bCs/>
                <w:color w:val="000000"/>
                <w:sz w:val="20"/>
                <w:szCs w:val="20"/>
                <w:highlight w:val="green"/>
                <w:lang w:eastAsia="en-IE"/>
              </w:rPr>
            </w:pPr>
            <w:r w:rsidRPr="006234BA">
              <w:rPr>
                <w:rFonts w:ascii="Calibri" w:hAnsi="Calibri" w:cs="Calibri"/>
                <w:b/>
                <w:bCs/>
                <w:color w:val="000000"/>
                <w:sz w:val="20"/>
                <w:szCs w:val="20"/>
                <w:lang w:eastAsia="en-IE"/>
              </w:rPr>
              <w:t>4,4</w:t>
            </w:r>
            <w:r w:rsidR="001B7BE0">
              <w:rPr>
                <w:rFonts w:ascii="Calibri" w:hAnsi="Calibri" w:cs="Calibri"/>
                <w:b/>
                <w:bCs/>
                <w:color w:val="000000"/>
                <w:sz w:val="20"/>
                <w:szCs w:val="20"/>
                <w:lang w:eastAsia="en-IE"/>
              </w:rPr>
              <w:t>28</w:t>
            </w:r>
            <w:r w:rsidRPr="006234BA">
              <w:rPr>
                <w:rFonts w:ascii="Calibri" w:hAnsi="Calibri" w:cs="Calibri"/>
                <w:b/>
                <w:bCs/>
                <w:color w:val="000000"/>
                <w:sz w:val="20"/>
                <w:szCs w:val="20"/>
                <w:lang w:eastAsia="en-IE"/>
              </w:rPr>
              <w:t>.</w:t>
            </w:r>
            <w:r w:rsidR="001B7BE0">
              <w:rPr>
                <w:rFonts w:ascii="Calibri" w:hAnsi="Calibri" w:cs="Calibri"/>
                <w:b/>
                <w:bCs/>
                <w:color w:val="000000"/>
                <w:sz w:val="20"/>
                <w:szCs w:val="20"/>
                <w:lang w:eastAsia="en-IE"/>
              </w:rPr>
              <w:t>7</w:t>
            </w:r>
          </w:p>
        </w:tc>
        <w:tc>
          <w:tcPr>
            <w:tcW w:w="1417" w:type="dxa"/>
            <w:tcBorders>
              <w:top w:val="single" w:sz="8" w:space="0" w:color="auto"/>
              <w:left w:val="nil"/>
              <w:bottom w:val="single" w:sz="12" w:space="0" w:color="auto"/>
              <w:right w:val="nil"/>
            </w:tcBorders>
            <w:shd w:val="clear" w:color="auto" w:fill="FFFF00"/>
            <w:vAlign w:val="center"/>
          </w:tcPr>
          <w:p w14:paraId="1EE54585" w14:textId="77777777" w:rsidR="00E36553" w:rsidRPr="00135F6B" w:rsidRDefault="00237937" w:rsidP="00013C6F">
            <w:pPr>
              <w:ind w:left="-284" w:right="-2"/>
              <w:jc w:val="right"/>
              <w:rPr>
                <w:rFonts w:ascii="Calibri" w:hAnsi="Calibri" w:cs="Calibri"/>
                <w:b/>
                <w:bCs/>
                <w:color w:val="000000"/>
                <w:sz w:val="20"/>
                <w:szCs w:val="20"/>
                <w:highlight w:val="yellow"/>
                <w:lang w:eastAsia="en-IE"/>
              </w:rPr>
            </w:pPr>
            <w:r>
              <w:rPr>
                <w:rFonts w:ascii="Calibri" w:hAnsi="Calibri" w:cs="Calibri"/>
                <w:b/>
                <w:bCs/>
                <w:color w:val="000000"/>
                <w:sz w:val="20"/>
                <w:szCs w:val="20"/>
                <w:highlight w:val="yellow"/>
                <w:lang w:eastAsia="en-IE"/>
              </w:rPr>
              <w:t>715.</w:t>
            </w:r>
            <w:r w:rsidR="004E2EF9">
              <w:rPr>
                <w:rFonts w:ascii="Calibri" w:hAnsi="Calibri" w:cs="Calibri"/>
                <w:b/>
                <w:bCs/>
                <w:color w:val="000000"/>
                <w:sz w:val="20"/>
                <w:szCs w:val="20"/>
                <w:highlight w:val="yellow"/>
                <w:lang w:eastAsia="en-IE"/>
              </w:rPr>
              <w:t>5</w:t>
            </w:r>
          </w:p>
        </w:tc>
        <w:tc>
          <w:tcPr>
            <w:tcW w:w="1417" w:type="dxa"/>
            <w:tcBorders>
              <w:top w:val="single" w:sz="8" w:space="0" w:color="auto"/>
              <w:left w:val="nil"/>
              <w:bottom w:val="single" w:sz="12" w:space="0" w:color="auto"/>
              <w:right w:val="nil"/>
            </w:tcBorders>
            <w:shd w:val="clear" w:color="auto" w:fill="FFFFFF"/>
            <w:vAlign w:val="center"/>
            <w:hideMark/>
          </w:tcPr>
          <w:p w14:paraId="5CA8CB84"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5,081.4</w:t>
            </w:r>
          </w:p>
        </w:tc>
        <w:tc>
          <w:tcPr>
            <w:tcW w:w="1278" w:type="dxa"/>
            <w:tcBorders>
              <w:top w:val="single" w:sz="8" w:space="0" w:color="auto"/>
              <w:left w:val="nil"/>
              <w:bottom w:val="single" w:sz="12" w:space="0" w:color="auto"/>
              <w:right w:val="nil"/>
            </w:tcBorders>
            <w:shd w:val="clear" w:color="auto" w:fill="FFFFFF"/>
            <w:vAlign w:val="center"/>
            <w:hideMark/>
          </w:tcPr>
          <w:p w14:paraId="52947CBD"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346.7</w:t>
            </w:r>
          </w:p>
        </w:tc>
      </w:tr>
      <w:tr w:rsidR="00E36553" w:rsidRPr="00135F6B" w14:paraId="3054973F" w14:textId="77777777" w:rsidTr="00013C6F">
        <w:trPr>
          <w:trHeight w:val="232"/>
        </w:trPr>
        <w:tc>
          <w:tcPr>
            <w:tcW w:w="4820" w:type="dxa"/>
            <w:shd w:val="clear" w:color="auto" w:fill="FFFFFF"/>
            <w:vAlign w:val="center"/>
          </w:tcPr>
          <w:p w14:paraId="12D7B47B" w14:textId="77777777" w:rsidR="00E36553" w:rsidRPr="00156BD0" w:rsidRDefault="00E36553" w:rsidP="00013C6F">
            <w:pPr>
              <w:ind w:right="-2"/>
              <w:rPr>
                <w:rFonts w:ascii="Calibri" w:hAnsi="Calibri" w:cs="Calibri"/>
                <w:color w:val="000000"/>
                <w:sz w:val="20"/>
                <w:szCs w:val="20"/>
                <w:lang w:eastAsia="en-IE"/>
              </w:rPr>
            </w:pPr>
          </w:p>
        </w:tc>
        <w:tc>
          <w:tcPr>
            <w:tcW w:w="1417" w:type="dxa"/>
            <w:tcBorders>
              <w:top w:val="single" w:sz="12" w:space="0" w:color="auto"/>
            </w:tcBorders>
            <w:shd w:val="clear" w:color="auto" w:fill="FFFF00"/>
            <w:vAlign w:val="center"/>
          </w:tcPr>
          <w:p w14:paraId="78339332" w14:textId="77777777" w:rsidR="00E36553" w:rsidRPr="00135F6B" w:rsidRDefault="00E36553" w:rsidP="00013C6F">
            <w:pPr>
              <w:ind w:left="-284" w:right="-2"/>
              <w:jc w:val="right"/>
              <w:rPr>
                <w:rFonts w:ascii="Calibri" w:hAnsi="Calibri" w:cs="Calibri"/>
                <w:b/>
                <w:color w:val="000000"/>
                <w:sz w:val="20"/>
                <w:szCs w:val="20"/>
                <w:highlight w:val="yellow"/>
                <w:lang w:eastAsia="en-IE"/>
              </w:rPr>
            </w:pPr>
          </w:p>
        </w:tc>
        <w:tc>
          <w:tcPr>
            <w:tcW w:w="1417" w:type="dxa"/>
            <w:tcBorders>
              <w:top w:val="single" w:sz="12" w:space="0" w:color="auto"/>
            </w:tcBorders>
            <w:shd w:val="clear" w:color="auto" w:fill="FFFF00"/>
            <w:vAlign w:val="center"/>
          </w:tcPr>
          <w:p w14:paraId="6DA2CE10" w14:textId="77777777" w:rsidR="00E36553" w:rsidRPr="00135F6B" w:rsidRDefault="00E36553" w:rsidP="00013C6F">
            <w:pPr>
              <w:ind w:left="-284" w:right="-2"/>
              <w:jc w:val="right"/>
              <w:rPr>
                <w:rFonts w:ascii="Calibri" w:eastAsia="Calibri" w:hAnsi="Calibri" w:cs="Calibri"/>
                <w:b/>
                <w:sz w:val="20"/>
                <w:szCs w:val="20"/>
                <w:highlight w:val="yellow"/>
                <w:lang w:eastAsia="en-IE"/>
              </w:rPr>
            </w:pPr>
          </w:p>
        </w:tc>
        <w:tc>
          <w:tcPr>
            <w:tcW w:w="1417" w:type="dxa"/>
            <w:tcBorders>
              <w:top w:val="single" w:sz="12" w:space="0" w:color="auto"/>
            </w:tcBorders>
            <w:shd w:val="clear" w:color="auto" w:fill="FFFFFF"/>
            <w:vAlign w:val="center"/>
          </w:tcPr>
          <w:p w14:paraId="19C8210B" w14:textId="77777777" w:rsidR="00E36553" w:rsidRPr="00135F6B" w:rsidRDefault="00E36553" w:rsidP="00013C6F">
            <w:pPr>
              <w:ind w:left="-284" w:right="-2"/>
              <w:jc w:val="right"/>
              <w:rPr>
                <w:rFonts w:ascii="Calibri" w:eastAsia="Calibri" w:hAnsi="Calibri" w:cs="Calibri"/>
                <w:sz w:val="20"/>
                <w:szCs w:val="20"/>
                <w:lang w:eastAsia="en-IE"/>
              </w:rPr>
            </w:pPr>
          </w:p>
        </w:tc>
        <w:tc>
          <w:tcPr>
            <w:tcW w:w="1278" w:type="dxa"/>
            <w:tcBorders>
              <w:top w:val="single" w:sz="12" w:space="0" w:color="auto"/>
            </w:tcBorders>
            <w:shd w:val="clear" w:color="auto" w:fill="FFFFFF"/>
            <w:vAlign w:val="center"/>
          </w:tcPr>
          <w:p w14:paraId="2DA865C2" w14:textId="77777777" w:rsidR="00E36553" w:rsidRPr="00135F6B" w:rsidRDefault="00E36553" w:rsidP="00013C6F">
            <w:pPr>
              <w:ind w:left="-284" w:right="-2"/>
              <w:jc w:val="right"/>
              <w:rPr>
                <w:rFonts w:ascii="Calibri" w:eastAsia="Calibri" w:hAnsi="Calibri" w:cs="Calibri"/>
                <w:sz w:val="20"/>
                <w:szCs w:val="20"/>
                <w:lang w:eastAsia="en-IE"/>
              </w:rPr>
            </w:pPr>
          </w:p>
        </w:tc>
      </w:tr>
      <w:tr w:rsidR="00E36553" w:rsidRPr="00135F6B" w14:paraId="796C68B7" w14:textId="77777777" w:rsidTr="00013C6F">
        <w:trPr>
          <w:trHeight w:val="232"/>
        </w:trPr>
        <w:tc>
          <w:tcPr>
            <w:tcW w:w="4820" w:type="dxa"/>
            <w:shd w:val="clear" w:color="auto" w:fill="FFFFFF"/>
            <w:vAlign w:val="center"/>
            <w:hideMark/>
          </w:tcPr>
          <w:p w14:paraId="383B2893" w14:textId="77777777" w:rsidR="00E36553" w:rsidRPr="00156BD0" w:rsidRDefault="00E36553" w:rsidP="00013C6F">
            <w:pPr>
              <w:ind w:right="-2"/>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shd w:val="clear" w:color="auto" w:fill="FFFF00"/>
            <w:vAlign w:val="center"/>
            <w:hideMark/>
          </w:tcPr>
          <w:p w14:paraId="50905D54" w14:textId="77777777" w:rsidR="00E36553" w:rsidRPr="00135F6B" w:rsidRDefault="00E36553" w:rsidP="00013C6F">
            <w:pPr>
              <w:ind w:left="-284" w:right="-2"/>
              <w:jc w:val="right"/>
              <w:rPr>
                <w:rFonts w:ascii="Calibri" w:hAnsi="Calibri" w:cs="Calibri"/>
                <w:b/>
                <w:color w:val="000000"/>
                <w:sz w:val="20"/>
                <w:szCs w:val="20"/>
                <w:highlight w:val="yellow"/>
                <w:lang w:eastAsia="en-IE"/>
              </w:rPr>
            </w:pPr>
            <w:r w:rsidRPr="00135F6B">
              <w:rPr>
                <w:rFonts w:ascii="Calibri" w:hAnsi="Calibri" w:cs="Calibri"/>
                <w:b/>
                <w:bCs/>
                <w:color w:val="000000"/>
                <w:sz w:val="20"/>
                <w:szCs w:val="20"/>
                <w:highlight w:val="yellow"/>
                <w:lang w:eastAsia="en-IE"/>
              </w:rPr>
              <w:t xml:space="preserve">At </w:t>
            </w:r>
            <w:r>
              <w:rPr>
                <w:rFonts w:ascii="Calibri" w:hAnsi="Calibri" w:cs="Calibri"/>
                <w:b/>
                <w:bCs/>
                <w:color w:val="000000"/>
                <w:sz w:val="20"/>
                <w:szCs w:val="20"/>
                <w:highlight w:val="yellow"/>
                <w:lang w:eastAsia="en-IE"/>
              </w:rPr>
              <w:t>Sep 30</w:t>
            </w:r>
            <w:r w:rsidRPr="00135F6B">
              <w:rPr>
                <w:rFonts w:ascii="Calibri" w:hAnsi="Calibri" w:cs="Calibri"/>
                <w:b/>
                <w:bCs/>
                <w:color w:val="000000"/>
                <w:sz w:val="20"/>
                <w:szCs w:val="20"/>
                <w:highlight w:val="yellow"/>
                <w:lang w:eastAsia="en-IE"/>
              </w:rPr>
              <w:t>,</w:t>
            </w:r>
          </w:p>
        </w:tc>
        <w:tc>
          <w:tcPr>
            <w:tcW w:w="1417" w:type="dxa"/>
            <w:shd w:val="clear" w:color="auto" w:fill="FFFF00"/>
            <w:vAlign w:val="center"/>
            <w:hideMark/>
          </w:tcPr>
          <w:p w14:paraId="4D5935C2" w14:textId="77777777" w:rsidR="00E36553" w:rsidRPr="00135F6B" w:rsidRDefault="00E36553" w:rsidP="00013C6F">
            <w:pPr>
              <w:ind w:left="-284" w:right="-2"/>
              <w:jc w:val="right"/>
              <w:rPr>
                <w:rFonts w:ascii="Calibri" w:eastAsia="Calibri" w:hAnsi="Calibri" w:cs="Calibri"/>
                <w:b/>
                <w:sz w:val="20"/>
                <w:szCs w:val="20"/>
                <w:highlight w:val="yellow"/>
                <w:lang w:eastAsia="en-IE"/>
              </w:rPr>
            </w:pPr>
            <w:r w:rsidRPr="00135F6B">
              <w:rPr>
                <w:rFonts w:ascii="Calibri" w:hAnsi="Calibri" w:cs="Calibri"/>
                <w:b/>
                <w:bCs/>
                <w:color w:val="000000"/>
                <w:sz w:val="20"/>
                <w:szCs w:val="20"/>
                <w:highlight w:val="yellow"/>
                <w:lang w:eastAsia="en-IE"/>
              </w:rPr>
              <w:t xml:space="preserve">At </w:t>
            </w:r>
            <w:r>
              <w:rPr>
                <w:rFonts w:ascii="Calibri" w:hAnsi="Calibri" w:cs="Calibri"/>
                <w:b/>
                <w:bCs/>
                <w:color w:val="000000"/>
                <w:sz w:val="20"/>
                <w:szCs w:val="20"/>
                <w:highlight w:val="yellow"/>
                <w:lang w:eastAsia="en-IE"/>
              </w:rPr>
              <w:t>Sept</w:t>
            </w:r>
            <w:r w:rsidR="00991094">
              <w:rPr>
                <w:rFonts w:ascii="Calibri" w:hAnsi="Calibri" w:cs="Calibri"/>
                <w:b/>
                <w:bCs/>
                <w:color w:val="000000"/>
                <w:sz w:val="20"/>
                <w:szCs w:val="20"/>
                <w:highlight w:val="yellow"/>
                <w:lang w:eastAsia="en-IE"/>
              </w:rPr>
              <w:t xml:space="preserve"> </w:t>
            </w:r>
            <w:r>
              <w:rPr>
                <w:rFonts w:ascii="Calibri" w:hAnsi="Calibri" w:cs="Calibri"/>
                <w:b/>
                <w:bCs/>
                <w:color w:val="000000"/>
                <w:sz w:val="20"/>
                <w:szCs w:val="20"/>
                <w:highlight w:val="yellow"/>
                <w:lang w:eastAsia="en-IE"/>
              </w:rPr>
              <w:t>30</w:t>
            </w:r>
            <w:r w:rsidRPr="00135F6B">
              <w:rPr>
                <w:rFonts w:ascii="Calibri" w:hAnsi="Calibri" w:cs="Calibri"/>
                <w:b/>
                <w:bCs/>
                <w:color w:val="000000"/>
                <w:sz w:val="20"/>
                <w:szCs w:val="20"/>
                <w:highlight w:val="yellow"/>
                <w:lang w:eastAsia="en-IE"/>
              </w:rPr>
              <w:t>,</w:t>
            </w:r>
          </w:p>
        </w:tc>
        <w:tc>
          <w:tcPr>
            <w:tcW w:w="1417" w:type="dxa"/>
            <w:shd w:val="clear" w:color="auto" w:fill="FFFFFF"/>
            <w:vAlign w:val="center"/>
            <w:hideMark/>
          </w:tcPr>
          <w:p w14:paraId="72702FEF" w14:textId="77777777" w:rsidR="00E36553" w:rsidRPr="00135F6B" w:rsidRDefault="00E36553" w:rsidP="00013C6F">
            <w:pPr>
              <w:ind w:left="-284" w:right="-2"/>
              <w:jc w:val="right"/>
              <w:rPr>
                <w:rFonts w:ascii="Calibri" w:eastAsia="Calibri" w:hAnsi="Calibri" w:cs="Calibri"/>
                <w:sz w:val="20"/>
                <w:szCs w:val="20"/>
                <w:lang w:eastAsia="en-IE"/>
              </w:rPr>
            </w:pPr>
            <w:proofErr w:type="gramStart"/>
            <w:r w:rsidRPr="00135F6B">
              <w:rPr>
                <w:rFonts w:ascii="Calibri" w:hAnsi="Calibri" w:cs="Calibri"/>
                <w:b/>
                <w:bCs/>
                <w:color w:val="000000"/>
                <w:sz w:val="20"/>
                <w:szCs w:val="20"/>
                <w:lang w:eastAsia="en-IE"/>
              </w:rPr>
              <w:t>At</w:t>
            </w:r>
            <w:proofErr w:type="gramEnd"/>
            <w:r w:rsidRPr="00135F6B">
              <w:rPr>
                <w:rFonts w:ascii="Calibri" w:hAnsi="Calibri" w:cs="Calibri"/>
                <w:b/>
                <w:bCs/>
                <w:color w:val="000000"/>
                <w:sz w:val="20"/>
                <w:szCs w:val="20"/>
                <w:lang w:eastAsia="en-IE"/>
              </w:rPr>
              <w:t xml:space="preserve"> Mar 31,</w:t>
            </w:r>
          </w:p>
        </w:tc>
        <w:tc>
          <w:tcPr>
            <w:tcW w:w="1278" w:type="dxa"/>
            <w:shd w:val="clear" w:color="auto" w:fill="FFFFFF"/>
            <w:vAlign w:val="center"/>
            <w:hideMark/>
          </w:tcPr>
          <w:p w14:paraId="54EBE992" w14:textId="77777777" w:rsidR="00E36553" w:rsidRPr="00135F6B" w:rsidRDefault="00E36553" w:rsidP="00013C6F">
            <w:pPr>
              <w:ind w:left="-284" w:right="-2"/>
              <w:jc w:val="right"/>
              <w:rPr>
                <w:rFonts w:ascii="Calibri" w:eastAsia="Calibri" w:hAnsi="Calibri" w:cs="Calibri"/>
                <w:sz w:val="20"/>
                <w:szCs w:val="20"/>
                <w:lang w:eastAsia="en-IE"/>
              </w:rPr>
            </w:pPr>
            <w:proofErr w:type="gramStart"/>
            <w:r w:rsidRPr="00135F6B">
              <w:rPr>
                <w:rFonts w:ascii="Calibri" w:hAnsi="Calibri" w:cs="Calibri"/>
                <w:b/>
                <w:bCs/>
                <w:color w:val="000000"/>
                <w:sz w:val="20"/>
                <w:szCs w:val="20"/>
                <w:lang w:eastAsia="en-IE"/>
              </w:rPr>
              <w:t>At</w:t>
            </w:r>
            <w:proofErr w:type="gramEnd"/>
            <w:r w:rsidRPr="00135F6B">
              <w:rPr>
                <w:rFonts w:ascii="Calibri" w:hAnsi="Calibri" w:cs="Calibri"/>
                <w:b/>
                <w:bCs/>
                <w:color w:val="000000"/>
                <w:sz w:val="20"/>
                <w:szCs w:val="20"/>
                <w:lang w:eastAsia="en-IE"/>
              </w:rPr>
              <w:t xml:space="preserve"> Mar 31,</w:t>
            </w:r>
          </w:p>
        </w:tc>
      </w:tr>
      <w:tr w:rsidR="00E36553" w:rsidRPr="00135F6B" w14:paraId="49547B2C" w14:textId="77777777" w:rsidTr="00013C6F">
        <w:trPr>
          <w:trHeight w:val="232"/>
        </w:trPr>
        <w:tc>
          <w:tcPr>
            <w:tcW w:w="4820" w:type="dxa"/>
            <w:shd w:val="clear" w:color="auto" w:fill="FFFFFF"/>
            <w:vAlign w:val="center"/>
            <w:hideMark/>
          </w:tcPr>
          <w:p w14:paraId="4EFA3D26" w14:textId="77777777" w:rsidR="00E36553" w:rsidRPr="00156BD0" w:rsidRDefault="00E36553" w:rsidP="00013C6F">
            <w:pPr>
              <w:ind w:right="-2"/>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shd w:val="clear" w:color="auto" w:fill="FFFF00"/>
            <w:vAlign w:val="center"/>
          </w:tcPr>
          <w:p w14:paraId="7108C0A1" w14:textId="77777777" w:rsidR="00E36553" w:rsidRPr="00135F6B" w:rsidRDefault="00E36553" w:rsidP="00013C6F">
            <w:pPr>
              <w:ind w:left="-284" w:right="-2"/>
              <w:jc w:val="right"/>
              <w:rPr>
                <w:rFonts w:ascii="Calibri" w:hAnsi="Calibri" w:cs="Calibri"/>
                <w:b/>
                <w:bCs/>
                <w:color w:val="000000"/>
                <w:sz w:val="20"/>
                <w:szCs w:val="20"/>
                <w:highlight w:val="yellow"/>
                <w:lang w:eastAsia="en-IE"/>
              </w:rPr>
            </w:pPr>
            <w:r w:rsidRPr="00135F6B">
              <w:rPr>
                <w:rFonts w:ascii="Calibri" w:hAnsi="Calibri" w:cs="Calibri"/>
                <w:b/>
                <w:bCs/>
                <w:color w:val="000000"/>
                <w:sz w:val="20"/>
                <w:szCs w:val="20"/>
                <w:highlight w:val="yellow"/>
                <w:lang w:eastAsia="en-IE"/>
              </w:rPr>
              <w:t>202</w:t>
            </w:r>
            <w:r>
              <w:rPr>
                <w:rFonts w:ascii="Calibri" w:hAnsi="Calibri" w:cs="Calibri"/>
                <w:b/>
                <w:bCs/>
                <w:color w:val="000000"/>
                <w:sz w:val="20"/>
                <w:szCs w:val="20"/>
                <w:highlight w:val="yellow"/>
                <w:lang w:eastAsia="en-IE"/>
              </w:rPr>
              <w:t>3</w:t>
            </w:r>
          </w:p>
        </w:tc>
        <w:tc>
          <w:tcPr>
            <w:tcW w:w="1417" w:type="dxa"/>
            <w:shd w:val="clear" w:color="auto" w:fill="FFFF00"/>
            <w:vAlign w:val="center"/>
          </w:tcPr>
          <w:p w14:paraId="77D2DAEB" w14:textId="77777777" w:rsidR="00E36553" w:rsidRPr="00135F6B" w:rsidRDefault="00E36553" w:rsidP="00013C6F">
            <w:pPr>
              <w:ind w:left="-284" w:right="-2"/>
              <w:jc w:val="right"/>
              <w:rPr>
                <w:rFonts w:ascii="Calibri" w:hAnsi="Calibri" w:cs="Calibri"/>
                <w:b/>
                <w:bCs/>
                <w:color w:val="000000"/>
                <w:sz w:val="20"/>
                <w:szCs w:val="20"/>
                <w:highlight w:val="yellow"/>
                <w:lang w:eastAsia="en-IE"/>
              </w:rPr>
            </w:pPr>
            <w:r w:rsidRPr="00135F6B">
              <w:rPr>
                <w:rFonts w:ascii="Calibri" w:hAnsi="Calibri" w:cs="Calibri"/>
                <w:b/>
                <w:bCs/>
                <w:color w:val="000000"/>
                <w:sz w:val="20"/>
                <w:szCs w:val="20"/>
                <w:highlight w:val="yellow"/>
                <w:lang w:eastAsia="en-IE"/>
              </w:rPr>
              <w:t>202</w:t>
            </w:r>
            <w:r>
              <w:rPr>
                <w:rFonts w:ascii="Calibri" w:hAnsi="Calibri" w:cs="Calibri"/>
                <w:b/>
                <w:bCs/>
                <w:color w:val="000000"/>
                <w:sz w:val="20"/>
                <w:szCs w:val="20"/>
                <w:highlight w:val="yellow"/>
                <w:lang w:eastAsia="en-IE"/>
              </w:rPr>
              <w:t>3</w:t>
            </w:r>
          </w:p>
        </w:tc>
        <w:tc>
          <w:tcPr>
            <w:tcW w:w="1417" w:type="dxa"/>
            <w:shd w:val="clear" w:color="auto" w:fill="FFFFFF"/>
            <w:vAlign w:val="center"/>
          </w:tcPr>
          <w:p w14:paraId="6F256214"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278" w:type="dxa"/>
            <w:shd w:val="clear" w:color="auto" w:fill="FFFFFF"/>
            <w:vAlign w:val="center"/>
          </w:tcPr>
          <w:p w14:paraId="08308B16"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r>
      <w:tr w:rsidR="00E36553" w:rsidRPr="00135F6B" w14:paraId="289BDB2C" w14:textId="77777777" w:rsidTr="00013C6F">
        <w:trPr>
          <w:trHeight w:val="232"/>
        </w:trPr>
        <w:tc>
          <w:tcPr>
            <w:tcW w:w="4820" w:type="dxa"/>
            <w:shd w:val="clear" w:color="auto" w:fill="FFFFFF"/>
            <w:vAlign w:val="center"/>
            <w:hideMark/>
          </w:tcPr>
          <w:p w14:paraId="490618F5" w14:textId="77777777" w:rsidR="00E36553" w:rsidRPr="00156BD0" w:rsidRDefault="00E36553" w:rsidP="00013C6F">
            <w:pPr>
              <w:ind w:right="-2"/>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shd w:val="clear" w:color="auto" w:fill="FFFF00"/>
            <w:vAlign w:val="center"/>
          </w:tcPr>
          <w:p w14:paraId="09F83DE8" w14:textId="77777777" w:rsidR="00E36553" w:rsidRPr="00135F6B" w:rsidRDefault="00E36553" w:rsidP="00013C6F">
            <w:pPr>
              <w:ind w:left="-284" w:right="-2"/>
              <w:jc w:val="right"/>
              <w:rPr>
                <w:rFonts w:ascii="Calibri" w:hAnsi="Calibri" w:cs="Calibri"/>
                <w:b/>
                <w:bCs/>
                <w:color w:val="000000"/>
                <w:sz w:val="20"/>
                <w:szCs w:val="20"/>
                <w:highlight w:val="yellow"/>
                <w:lang w:eastAsia="en-IE"/>
              </w:rPr>
            </w:pPr>
            <w:r w:rsidRPr="00135F6B">
              <w:rPr>
                <w:rFonts w:ascii="Calibri" w:hAnsi="Calibri" w:cs="Calibri"/>
                <w:b/>
                <w:bCs/>
                <w:color w:val="000000"/>
                <w:sz w:val="20"/>
                <w:szCs w:val="20"/>
                <w:highlight w:val="yellow"/>
                <w:lang w:eastAsia="en-IE"/>
              </w:rPr>
              <w:t>Carrying</w:t>
            </w:r>
          </w:p>
        </w:tc>
        <w:tc>
          <w:tcPr>
            <w:tcW w:w="1417" w:type="dxa"/>
            <w:shd w:val="clear" w:color="auto" w:fill="FFFF00"/>
            <w:vAlign w:val="center"/>
          </w:tcPr>
          <w:p w14:paraId="136BAB06" w14:textId="77777777" w:rsidR="00E36553" w:rsidRPr="00135F6B" w:rsidRDefault="00E36553" w:rsidP="00013C6F">
            <w:pPr>
              <w:ind w:left="-284" w:right="-2"/>
              <w:jc w:val="right"/>
              <w:rPr>
                <w:rFonts w:ascii="Calibri" w:hAnsi="Calibri" w:cs="Calibri"/>
                <w:b/>
                <w:bCs/>
                <w:color w:val="000000"/>
                <w:sz w:val="20"/>
                <w:szCs w:val="20"/>
                <w:highlight w:val="yellow"/>
                <w:lang w:eastAsia="en-IE"/>
              </w:rPr>
            </w:pPr>
            <w:r w:rsidRPr="00135F6B">
              <w:rPr>
                <w:rFonts w:ascii="Calibri" w:hAnsi="Calibri" w:cs="Calibri"/>
                <w:b/>
                <w:bCs/>
                <w:color w:val="000000"/>
                <w:sz w:val="20"/>
                <w:szCs w:val="20"/>
                <w:highlight w:val="yellow"/>
                <w:lang w:eastAsia="en-IE"/>
              </w:rPr>
              <w:t>Fair</w:t>
            </w:r>
          </w:p>
        </w:tc>
        <w:tc>
          <w:tcPr>
            <w:tcW w:w="1417" w:type="dxa"/>
            <w:shd w:val="clear" w:color="auto" w:fill="FFFFFF"/>
            <w:vAlign w:val="center"/>
          </w:tcPr>
          <w:p w14:paraId="248CD26F"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Carrying</w:t>
            </w:r>
          </w:p>
        </w:tc>
        <w:tc>
          <w:tcPr>
            <w:tcW w:w="1278" w:type="dxa"/>
            <w:shd w:val="clear" w:color="auto" w:fill="FFFFFF"/>
            <w:vAlign w:val="center"/>
          </w:tcPr>
          <w:p w14:paraId="4971AA37"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Fair</w:t>
            </w:r>
          </w:p>
        </w:tc>
      </w:tr>
      <w:tr w:rsidR="00E36553" w:rsidRPr="00135F6B" w14:paraId="70E7807A" w14:textId="77777777" w:rsidTr="00013C6F">
        <w:trPr>
          <w:trHeight w:val="232"/>
        </w:trPr>
        <w:tc>
          <w:tcPr>
            <w:tcW w:w="4820" w:type="dxa"/>
            <w:shd w:val="clear" w:color="auto" w:fill="FFFFFF"/>
            <w:vAlign w:val="center"/>
            <w:hideMark/>
          </w:tcPr>
          <w:p w14:paraId="7E33DCA1" w14:textId="77777777" w:rsidR="00E36553" w:rsidRPr="00156BD0" w:rsidRDefault="00E36553" w:rsidP="00013C6F">
            <w:pPr>
              <w:ind w:right="-2"/>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tcBorders>
              <w:bottom w:val="single" w:sz="8" w:space="0" w:color="auto"/>
            </w:tcBorders>
            <w:shd w:val="clear" w:color="auto" w:fill="FFFF00"/>
            <w:vAlign w:val="center"/>
          </w:tcPr>
          <w:p w14:paraId="26A40ECA" w14:textId="77777777" w:rsidR="00E36553" w:rsidRPr="00135F6B" w:rsidRDefault="00E36553" w:rsidP="00013C6F">
            <w:pPr>
              <w:ind w:left="-284" w:right="-2"/>
              <w:jc w:val="right"/>
              <w:rPr>
                <w:rFonts w:ascii="Calibri" w:hAnsi="Calibri" w:cs="Calibri"/>
                <w:b/>
                <w:bCs/>
                <w:color w:val="000000"/>
                <w:sz w:val="20"/>
                <w:szCs w:val="20"/>
                <w:highlight w:val="yellow"/>
                <w:lang w:eastAsia="en-IE"/>
              </w:rPr>
            </w:pPr>
            <w:r w:rsidRPr="00135F6B">
              <w:rPr>
                <w:rFonts w:ascii="Calibri" w:hAnsi="Calibri" w:cs="Calibri"/>
                <w:b/>
                <w:bCs/>
                <w:color w:val="000000"/>
                <w:sz w:val="20"/>
                <w:szCs w:val="20"/>
                <w:highlight w:val="yellow"/>
                <w:lang w:eastAsia="en-IE"/>
              </w:rPr>
              <w:t>Amount</w:t>
            </w:r>
          </w:p>
        </w:tc>
        <w:tc>
          <w:tcPr>
            <w:tcW w:w="1417" w:type="dxa"/>
            <w:tcBorders>
              <w:bottom w:val="single" w:sz="8" w:space="0" w:color="auto"/>
            </w:tcBorders>
            <w:shd w:val="clear" w:color="auto" w:fill="FFFF00"/>
            <w:vAlign w:val="center"/>
          </w:tcPr>
          <w:p w14:paraId="7ED8306C" w14:textId="77777777" w:rsidR="00E36553" w:rsidRPr="00135F6B" w:rsidRDefault="00E36553" w:rsidP="00013C6F">
            <w:pPr>
              <w:ind w:left="-284" w:right="-2"/>
              <w:jc w:val="right"/>
              <w:rPr>
                <w:rFonts w:ascii="Calibri" w:hAnsi="Calibri" w:cs="Calibri"/>
                <w:b/>
                <w:bCs/>
                <w:color w:val="000000"/>
                <w:sz w:val="20"/>
                <w:szCs w:val="20"/>
                <w:highlight w:val="yellow"/>
                <w:lang w:eastAsia="en-IE"/>
              </w:rPr>
            </w:pPr>
            <w:r w:rsidRPr="00135F6B">
              <w:rPr>
                <w:rFonts w:ascii="Calibri" w:hAnsi="Calibri" w:cs="Calibri"/>
                <w:b/>
                <w:bCs/>
                <w:color w:val="000000"/>
                <w:sz w:val="20"/>
                <w:szCs w:val="20"/>
                <w:highlight w:val="yellow"/>
                <w:lang w:eastAsia="en-IE"/>
              </w:rPr>
              <w:t>Value</w:t>
            </w:r>
          </w:p>
        </w:tc>
        <w:tc>
          <w:tcPr>
            <w:tcW w:w="1417" w:type="dxa"/>
            <w:tcBorders>
              <w:bottom w:val="single" w:sz="8" w:space="0" w:color="auto"/>
            </w:tcBorders>
            <w:shd w:val="clear" w:color="auto" w:fill="FFFFFF"/>
            <w:vAlign w:val="center"/>
          </w:tcPr>
          <w:p w14:paraId="46C6A5A8"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Amount</w:t>
            </w:r>
          </w:p>
        </w:tc>
        <w:tc>
          <w:tcPr>
            <w:tcW w:w="1278" w:type="dxa"/>
            <w:tcBorders>
              <w:bottom w:val="single" w:sz="8" w:space="0" w:color="auto"/>
            </w:tcBorders>
            <w:shd w:val="clear" w:color="auto" w:fill="FFFFFF"/>
            <w:vAlign w:val="center"/>
          </w:tcPr>
          <w:p w14:paraId="4DCDF2C6"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Value</w:t>
            </w:r>
          </w:p>
        </w:tc>
      </w:tr>
      <w:tr w:rsidR="00E36553" w:rsidRPr="00135F6B" w14:paraId="0B968C94" w14:textId="77777777" w:rsidTr="00013C6F">
        <w:trPr>
          <w:trHeight w:val="232"/>
        </w:trPr>
        <w:tc>
          <w:tcPr>
            <w:tcW w:w="4820" w:type="dxa"/>
            <w:shd w:val="clear" w:color="auto" w:fill="FFFFFF"/>
            <w:vAlign w:val="center"/>
            <w:hideMark/>
          </w:tcPr>
          <w:p w14:paraId="7C38AD65" w14:textId="77777777" w:rsidR="00E36553" w:rsidRPr="00156BD0" w:rsidRDefault="00E36553" w:rsidP="00013C6F">
            <w:pPr>
              <w:ind w:right="-2" w:hanging="105"/>
              <w:rPr>
                <w:rFonts w:ascii="Calibri" w:hAnsi="Calibri" w:cs="Calibri"/>
                <w:b/>
                <w:bCs/>
                <w:color w:val="000000"/>
                <w:sz w:val="20"/>
                <w:szCs w:val="20"/>
                <w:lang w:eastAsia="en-IE"/>
              </w:rPr>
            </w:pPr>
            <w:r w:rsidRPr="00156BD0">
              <w:rPr>
                <w:rFonts w:ascii="Calibri" w:hAnsi="Calibri" w:cs="Calibri"/>
                <w:b/>
                <w:bCs/>
                <w:color w:val="000000"/>
                <w:sz w:val="20"/>
                <w:szCs w:val="20"/>
                <w:lang w:eastAsia="en-IE"/>
              </w:rPr>
              <w:t>Non-current financial liabilities</w:t>
            </w:r>
          </w:p>
        </w:tc>
        <w:tc>
          <w:tcPr>
            <w:tcW w:w="1417" w:type="dxa"/>
            <w:tcBorders>
              <w:top w:val="single" w:sz="8" w:space="0" w:color="auto"/>
              <w:left w:val="nil"/>
              <w:right w:val="nil"/>
            </w:tcBorders>
            <w:shd w:val="clear" w:color="auto" w:fill="FFFF00"/>
            <w:vAlign w:val="center"/>
          </w:tcPr>
          <w:p w14:paraId="2560FD3F" w14:textId="77777777" w:rsidR="00E36553" w:rsidRPr="00135F6B" w:rsidRDefault="00E36553" w:rsidP="00013C6F">
            <w:pPr>
              <w:ind w:left="-284" w:right="-2"/>
              <w:jc w:val="right"/>
              <w:rPr>
                <w:rFonts w:ascii="Calibri" w:hAnsi="Calibri" w:cs="Calibri"/>
                <w:b/>
                <w:bCs/>
                <w:color w:val="000000"/>
                <w:sz w:val="20"/>
                <w:szCs w:val="20"/>
                <w:highlight w:val="yellow"/>
                <w:lang w:eastAsia="en-IE"/>
              </w:rPr>
            </w:pPr>
            <w:r w:rsidRPr="00135F6B">
              <w:rPr>
                <w:rFonts w:ascii="Calibri" w:hAnsi="Calibri" w:cs="Calibri"/>
                <w:b/>
                <w:bCs/>
                <w:color w:val="000000"/>
                <w:sz w:val="20"/>
                <w:szCs w:val="20"/>
                <w:u w:val="single"/>
                <w:lang w:eastAsia="en-IE"/>
              </w:rPr>
              <w:t>€M</w:t>
            </w:r>
          </w:p>
        </w:tc>
        <w:tc>
          <w:tcPr>
            <w:tcW w:w="1417" w:type="dxa"/>
            <w:tcBorders>
              <w:top w:val="single" w:sz="8" w:space="0" w:color="auto"/>
              <w:left w:val="nil"/>
              <w:right w:val="nil"/>
            </w:tcBorders>
            <w:shd w:val="clear" w:color="auto" w:fill="FFFF00"/>
            <w:vAlign w:val="center"/>
          </w:tcPr>
          <w:p w14:paraId="14E00F9D" w14:textId="77777777" w:rsidR="00E36553" w:rsidRPr="00135F6B" w:rsidRDefault="00E36553" w:rsidP="00013C6F">
            <w:pPr>
              <w:ind w:left="-284" w:right="-2"/>
              <w:jc w:val="right"/>
              <w:rPr>
                <w:rFonts w:ascii="Calibri" w:hAnsi="Calibri" w:cs="Calibri"/>
                <w:b/>
                <w:bCs/>
                <w:color w:val="000000"/>
                <w:sz w:val="20"/>
                <w:szCs w:val="20"/>
                <w:highlight w:val="yellow"/>
                <w:lang w:eastAsia="en-IE"/>
              </w:rPr>
            </w:pPr>
            <w:r w:rsidRPr="00135F6B">
              <w:rPr>
                <w:rFonts w:ascii="Calibri" w:hAnsi="Calibri" w:cs="Calibri"/>
                <w:b/>
                <w:bCs/>
                <w:color w:val="000000"/>
                <w:sz w:val="20"/>
                <w:szCs w:val="20"/>
                <w:u w:val="single"/>
                <w:lang w:eastAsia="en-IE"/>
              </w:rPr>
              <w:t>€M</w:t>
            </w:r>
          </w:p>
        </w:tc>
        <w:tc>
          <w:tcPr>
            <w:tcW w:w="1417" w:type="dxa"/>
            <w:tcBorders>
              <w:top w:val="single" w:sz="8" w:space="0" w:color="auto"/>
              <w:left w:val="nil"/>
              <w:right w:val="nil"/>
            </w:tcBorders>
            <w:shd w:val="clear" w:color="auto" w:fill="FFFFFF"/>
            <w:vAlign w:val="center"/>
          </w:tcPr>
          <w:p w14:paraId="72C3B693" w14:textId="77777777" w:rsidR="00E36553" w:rsidRPr="00AD66EB" w:rsidRDefault="00E36553" w:rsidP="00013C6F">
            <w:pPr>
              <w:ind w:left="-284" w:right="-2"/>
              <w:jc w:val="right"/>
              <w:rPr>
                <w:rFonts w:ascii="Calibri" w:hAnsi="Calibri" w:cs="Calibri"/>
                <w:b/>
                <w:bCs/>
                <w:color w:val="000000"/>
                <w:sz w:val="20"/>
                <w:szCs w:val="20"/>
                <w:lang w:eastAsia="en-IE"/>
              </w:rPr>
            </w:pPr>
            <w:r w:rsidRPr="00AD66EB">
              <w:rPr>
                <w:rFonts w:ascii="Calibri" w:hAnsi="Calibri" w:cs="Calibri"/>
                <w:b/>
                <w:bCs/>
                <w:color w:val="000000"/>
                <w:sz w:val="20"/>
                <w:szCs w:val="20"/>
                <w:u w:val="single"/>
                <w:lang w:eastAsia="en-IE"/>
              </w:rPr>
              <w:t>€M</w:t>
            </w:r>
          </w:p>
        </w:tc>
        <w:tc>
          <w:tcPr>
            <w:tcW w:w="1278" w:type="dxa"/>
            <w:tcBorders>
              <w:top w:val="single" w:sz="8" w:space="0" w:color="auto"/>
              <w:left w:val="nil"/>
              <w:right w:val="nil"/>
            </w:tcBorders>
            <w:shd w:val="clear" w:color="auto" w:fill="FFFFFF"/>
            <w:vAlign w:val="center"/>
          </w:tcPr>
          <w:p w14:paraId="59401C9D" w14:textId="77777777" w:rsidR="00E36553" w:rsidRPr="00AD66EB" w:rsidRDefault="00E36553" w:rsidP="00013C6F">
            <w:pPr>
              <w:ind w:left="-284" w:right="-2"/>
              <w:jc w:val="right"/>
              <w:rPr>
                <w:rFonts w:ascii="Calibri" w:hAnsi="Calibri" w:cs="Calibri"/>
                <w:b/>
                <w:bCs/>
                <w:color w:val="000000"/>
                <w:sz w:val="20"/>
                <w:szCs w:val="20"/>
                <w:lang w:eastAsia="en-IE"/>
              </w:rPr>
            </w:pPr>
            <w:r w:rsidRPr="00AD66EB">
              <w:rPr>
                <w:rFonts w:ascii="Calibri" w:hAnsi="Calibri" w:cs="Calibri"/>
                <w:b/>
                <w:bCs/>
                <w:color w:val="000000"/>
                <w:sz w:val="20"/>
                <w:szCs w:val="20"/>
                <w:u w:val="single"/>
                <w:lang w:eastAsia="en-IE"/>
              </w:rPr>
              <w:t>€M</w:t>
            </w:r>
          </w:p>
        </w:tc>
      </w:tr>
      <w:tr w:rsidR="00E36553" w:rsidRPr="00135F6B" w14:paraId="6409C980" w14:textId="77777777" w:rsidTr="00013C6F">
        <w:trPr>
          <w:trHeight w:val="232"/>
        </w:trPr>
        <w:tc>
          <w:tcPr>
            <w:tcW w:w="4820" w:type="dxa"/>
            <w:shd w:val="clear" w:color="auto" w:fill="FFFFFF"/>
            <w:vAlign w:val="center"/>
            <w:hideMark/>
          </w:tcPr>
          <w:p w14:paraId="299BBF91"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Derivative financial instruments:</w:t>
            </w:r>
          </w:p>
        </w:tc>
        <w:tc>
          <w:tcPr>
            <w:tcW w:w="1417" w:type="dxa"/>
            <w:shd w:val="clear" w:color="auto" w:fill="FFFF00"/>
            <w:vAlign w:val="center"/>
            <w:hideMark/>
          </w:tcPr>
          <w:p w14:paraId="5710E12F" w14:textId="77777777" w:rsidR="00E36553" w:rsidRPr="00135F6B" w:rsidRDefault="00E36553" w:rsidP="00013C6F">
            <w:pPr>
              <w:ind w:left="-284" w:right="-2"/>
              <w:jc w:val="right"/>
              <w:rPr>
                <w:rFonts w:ascii="Calibri" w:hAnsi="Calibri" w:cs="Calibri"/>
                <w:b/>
                <w:color w:val="000000"/>
                <w:sz w:val="20"/>
                <w:szCs w:val="20"/>
                <w:lang w:eastAsia="en-IE"/>
              </w:rPr>
            </w:pPr>
          </w:p>
        </w:tc>
        <w:tc>
          <w:tcPr>
            <w:tcW w:w="1417" w:type="dxa"/>
            <w:shd w:val="clear" w:color="auto" w:fill="FFFF00"/>
            <w:vAlign w:val="center"/>
            <w:hideMark/>
          </w:tcPr>
          <w:p w14:paraId="3D9BBB2A"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hideMark/>
          </w:tcPr>
          <w:p w14:paraId="1A681419" w14:textId="77777777" w:rsidR="00E36553" w:rsidRPr="00135F6B" w:rsidRDefault="00E36553" w:rsidP="00013C6F">
            <w:pPr>
              <w:ind w:left="-284" w:right="-2"/>
              <w:jc w:val="right"/>
              <w:rPr>
                <w:rFonts w:ascii="Calibri" w:eastAsia="Calibri" w:hAnsi="Calibri" w:cs="Calibri"/>
                <w:sz w:val="20"/>
                <w:szCs w:val="20"/>
                <w:lang w:eastAsia="en-IE"/>
              </w:rPr>
            </w:pPr>
          </w:p>
        </w:tc>
        <w:tc>
          <w:tcPr>
            <w:tcW w:w="1278" w:type="dxa"/>
            <w:shd w:val="clear" w:color="auto" w:fill="FFFFFF"/>
            <w:vAlign w:val="center"/>
            <w:hideMark/>
          </w:tcPr>
          <w:p w14:paraId="25D7D4C1" w14:textId="77777777" w:rsidR="00E36553" w:rsidRPr="00135F6B" w:rsidRDefault="00E36553" w:rsidP="00013C6F">
            <w:pPr>
              <w:ind w:left="-284" w:right="-2"/>
              <w:jc w:val="right"/>
              <w:rPr>
                <w:rFonts w:ascii="Calibri" w:eastAsia="Calibri" w:hAnsi="Calibri" w:cs="Calibri"/>
                <w:sz w:val="20"/>
                <w:szCs w:val="20"/>
                <w:lang w:eastAsia="en-IE"/>
              </w:rPr>
            </w:pPr>
          </w:p>
        </w:tc>
      </w:tr>
      <w:tr w:rsidR="00E36553" w:rsidRPr="00135F6B" w14:paraId="3AB253EE" w14:textId="77777777" w:rsidTr="00013C6F">
        <w:trPr>
          <w:trHeight w:val="232"/>
        </w:trPr>
        <w:tc>
          <w:tcPr>
            <w:tcW w:w="4820" w:type="dxa"/>
            <w:shd w:val="clear" w:color="auto" w:fill="FFFFFF"/>
            <w:vAlign w:val="center"/>
          </w:tcPr>
          <w:p w14:paraId="66842816"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Jet fuel &amp; carbon derivative contracts</w:t>
            </w:r>
          </w:p>
        </w:tc>
        <w:tc>
          <w:tcPr>
            <w:tcW w:w="1417" w:type="dxa"/>
            <w:shd w:val="clear" w:color="auto" w:fill="FFFF00"/>
            <w:vAlign w:val="center"/>
          </w:tcPr>
          <w:p w14:paraId="7702C61B" w14:textId="77777777" w:rsidR="00E36553" w:rsidRPr="00135F6B" w:rsidRDefault="00237937"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0.7</w:t>
            </w:r>
          </w:p>
        </w:tc>
        <w:tc>
          <w:tcPr>
            <w:tcW w:w="1417" w:type="dxa"/>
            <w:shd w:val="clear" w:color="auto" w:fill="FFFF00"/>
            <w:vAlign w:val="center"/>
          </w:tcPr>
          <w:p w14:paraId="4076EC26" w14:textId="77777777" w:rsidR="00E36553" w:rsidRPr="00135F6B" w:rsidRDefault="00237937"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0.7</w:t>
            </w:r>
          </w:p>
        </w:tc>
        <w:tc>
          <w:tcPr>
            <w:tcW w:w="1417" w:type="dxa"/>
            <w:shd w:val="clear" w:color="auto" w:fill="FFFFFF"/>
            <w:vAlign w:val="center"/>
          </w:tcPr>
          <w:p w14:paraId="2D4E4ED7" w14:textId="77777777" w:rsidR="00E36553" w:rsidRPr="00AD66EB" w:rsidRDefault="00E36553" w:rsidP="00013C6F">
            <w:pPr>
              <w:ind w:left="-284" w:right="-2"/>
              <w:jc w:val="right"/>
              <w:rPr>
                <w:rFonts w:ascii="Calibri" w:eastAsia="Calibri" w:hAnsi="Calibri" w:cs="Calibri"/>
                <w:bCs/>
                <w:sz w:val="20"/>
                <w:szCs w:val="20"/>
                <w:lang w:eastAsia="en-IE"/>
              </w:rPr>
            </w:pPr>
            <w:r w:rsidRPr="00AD66EB">
              <w:rPr>
                <w:rFonts w:ascii="Calibri" w:hAnsi="Calibri" w:cs="Calibri"/>
                <w:bCs/>
                <w:color w:val="000000"/>
                <w:sz w:val="20"/>
                <w:szCs w:val="20"/>
                <w:lang w:eastAsia="en-IE"/>
              </w:rPr>
              <w:t>8.1</w:t>
            </w:r>
          </w:p>
        </w:tc>
        <w:tc>
          <w:tcPr>
            <w:tcW w:w="1278" w:type="dxa"/>
            <w:shd w:val="clear" w:color="auto" w:fill="FFFFFF"/>
            <w:vAlign w:val="center"/>
          </w:tcPr>
          <w:p w14:paraId="30334A33" w14:textId="77777777" w:rsidR="00E36553" w:rsidRPr="00AD66EB" w:rsidRDefault="00E36553" w:rsidP="00013C6F">
            <w:pPr>
              <w:ind w:left="-284" w:right="-2"/>
              <w:jc w:val="right"/>
              <w:rPr>
                <w:rFonts w:ascii="Calibri" w:eastAsia="Calibri" w:hAnsi="Calibri" w:cs="Calibri"/>
                <w:bCs/>
                <w:sz w:val="20"/>
                <w:szCs w:val="20"/>
                <w:lang w:eastAsia="en-IE"/>
              </w:rPr>
            </w:pPr>
            <w:r w:rsidRPr="00AD66EB">
              <w:rPr>
                <w:rFonts w:ascii="Calibri" w:eastAsia="Calibri" w:hAnsi="Calibri" w:cs="Calibri"/>
                <w:bCs/>
                <w:sz w:val="20"/>
                <w:szCs w:val="20"/>
                <w:lang w:eastAsia="en-IE"/>
              </w:rPr>
              <w:t>8.1</w:t>
            </w:r>
          </w:p>
        </w:tc>
      </w:tr>
      <w:tr w:rsidR="00E36553" w:rsidRPr="00135F6B" w14:paraId="7EEC37C8" w14:textId="77777777" w:rsidTr="00013C6F">
        <w:trPr>
          <w:trHeight w:val="232"/>
        </w:trPr>
        <w:tc>
          <w:tcPr>
            <w:tcW w:w="4820" w:type="dxa"/>
            <w:shd w:val="clear" w:color="auto" w:fill="FFFFFF"/>
            <w:vAlign w:val="center"/>
            <w:hideMark/>
          </w:tcPr>
          <w:p w14:paraId="664A9D49"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U.S. dollar currency forward contracts</w:t>
            </w:r>
          </w:p>
        </w:tc>
        <w:tc>
          <w:tcPr>
            <w:tcW w:w="1417" w:type="dxa"/>
            <w:tcBorders>
              <w:bottom w:val="single" w:sz="8" w:space="0" w:color="auto"/>
            </w:tcBorders>
            <w:shd w:val="clear" w:color="auto" w:fill="FFFF00"/>
            <w:vAlign w:val="center"/>
          </w:tcPr>
          <w:p w14:paraId="5780F2D4" w14:textId="77777777" w:rsidR="00E36553" w:rsidRPr="00135F6B" w:rsidRDefault="00237937"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0.4</w:t>
            </w:r>
          </w:p>
        </w:tc>
        <w:tc>
          <w:tcPr>
            <w:tcW w:w="1417" w:type="dxa"/>
            <w:tcBorders>
              <w:bottom w:val="single" w:sz="8" w:space="0" w:color="auto"/>
            </w:tcBorders>
            <w:shd w:val="clear" w:color="auto" w:fill="FFFF00"/>
            <w:vAlign w:val="center"/>
          </w:tcPr>
          <w:p w14:paraId="08F08BC8" w14:textId="77777777" w:rsidR="00E36553" w:rsidRPr="00135F6B" w:rsidRDefault="00237937"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0.4</w:t>
            </w:r>
          </w:p>
        </w:tc>
        <w:tc>
          <w:tcPr>
            <w:tcW w:w="1417" w:type="dxa"/>
            <w:tcBorders>
              <w:bottom w:val="single" w:sz="8" w:space="0" w:color="auto"/>
            </w:tcBorders>
            <w:shd w:val="clear" w:color="auto" w:fill="FFFFFF"/>
            <w:vAlign w:val="center"/>
          </w:tcPr>
          <w:p w14:paraId="0F2F2631"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3.1</w:t>
            </w:r>
          </w:p>
        </w:tc>
        <w:tc>
          <w:tcPr>
            <w:tcW w:w="1278" w:type="dxa"/>
            <w:tcBorders>
              <w:bottom w:val="single" w:sz="8" w:space="0" w:color="auto"/>
            </w:tcBorders>
            <w:shd w:val="clear" w:color="auto" w:fill="FFFFFF"/>
            <w:vAlign w:val="center"/>
          </w:tcPr>
          <w:p w14:paraId="1ED8D190"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3.1</w:t>
            </w:r>
          </w:p>
        </w:tc>
      </w:tr>
      <w:tr w:rsidR="00E36553" w:rsidRPr="00135F6B" w14:paraId="05C6D8AC" w14:textId="77777777" w:rsidTr="00013C6F">
        <w:trPr>
          <w:trHeight w:val="232"/>
        </w:trPr>
        <w:tc>
          <w:tcPr>
            <w:tcW w:w="4820" w:type="dxa"/>
            <w:shd w:val="clear" w:color="auto" w:fill="FFFFFF"/>
            <w:vAlign w:val="center"/>
            <w:hideMark/>
          </w:tcPr>
          <w:p w14:paraId="4724F5E2"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tcBorders>
              <w:top w:val="single" w:sz="8" w:space="0" w:color="auto"/>
              <w:left w:val="nil"/>
              <w:bottom w:val="single" w:sz="8" w:space="0" w:color="auto"/>
              <w:right w:val="nil"/>
            </w:tcBorders>
            <w:shd w:val="clear" w:color="auto" w:fill="FFFF00"/>
            <w:vAlign w:val="center"/>
          </w:tcPr>
          <w:p w14:paraId="6FF9AD40" w14:textId="77777777" w:rsidR="00E36553" w:rsidRPr="00135F6B" w:rsidRDefault="00DA1339"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1.1</w:t>
            </w:r>
          </w:p>
        </w:tc>
        <w:tc>
          <w:tcPr>
            <w:tcW w:w="1417" w:type="dxa"/>
            <w:tcBorders>
              <w:top w:val="single" w:sz="8" w:space="0" w:color="auto"/>
              <w:left w:val="nil"/>
              <w:bottom w:val="single" w:sz="8" w:space="0" w:color="auto"/>
              <w:right w:val="nil"/>
            </w:tcBorders>
            <w:shd w:val="clear" w:color="auto" w:fill="FFFF00"/>
            <w:vAlign w:val="center"/>
          </w:tcPr>
          <w:p w14:paraId="58785B65" w14:textId="77777777" w:rsidR="00E36553" w:rsidRPr="00135F6B" w:rsidRDefault="00DA1339"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1.1</w:t>
            </w:r>
          </w:p>
        </w:tc>
        <w:tc>
          <w:tcPr>
            <w:tcW w:w="1417" w:type="dxa"/>
            <w:tcBorders>
              <w:top w:val="single" w:sz="8" w:space="0" w:color="auto"/>
              <w:left w:val="nil"/>
              <w:bottom w:val="single" w:sz="8" w:space="0" w:color="auto"/>
              <w:right w:val="nil"/>
            </w:tcBorders>
            <w:shd w:val="clear" w:color="auto" w:fill="FFFFFF"/>
            <w:vAlign w:val="center"/>
          </w:tcPr>
          <w:p w14:paraId="1C57284E"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11.2</w:t>
            </w:r>
          </w:p>
        </w:tc>
        <w:tc>
          <w:tcPr>
            <w:tcW w:w="1278" w:type="dxa"/>
            <w:tcBorders>
              <w:top w:val="single" w:sz="8" w:space="0" w:color="auto"/>
              <w:left w:val="nil"/>
              <w:bottom w:val="single" w:sz="8" w:space="0" w:color="auto"/>
              <w:right w:val="nil"/>
            </w:tcBorders>
            <w:shd w:val="clear" w:color="auto" w:fill="FFFFFF"/>
            <w:vAlign w:val="center"/>
          </w:tcPr>
          <w:p w14:paraId="56B2006A"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11.2</w:t>
            </w:r>
          </w:p>
        </w:tc>
      </w:tr>
      <w:tr w:rsidR="00E36553" w:rsidRPr="00135F6B" w14:paraId="38275731" w14:textId="77777777" w:rsidTr="00013C6F">
        <w:trPr>
          <w:trHeight w:val="232"/>
        </w:trPr>
        <w:tc>
          <w:tcPr>
            <w:tcW w:w="4820" w:type="dxa"/>
            <w:shd w:val="clear" w:color="auto" w:fill="FFFFFF"/>
            <w:vAlign w:val="center"/>
          </w:tcPr>
          <w:p w14:paraId="3873031F"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Non-current maturities of debt</w:t>
            </w:r>
          </w:p>
        </w:tc>
        <w:tc>
          <w:tcPr>
            <w:tcW w:w="1417" w:type="dxa"/>
            <w:shd w:val="clear" w:color="auto" w:fill="FFFF00"/>
            <w:vAlign w:val="center"/>
          </w:tcPr>
          <w:p w14:paraId="2F4B7E6D" w14:textId="77777777" w:rsidR="00E36553" w:rsidRPr="00135F6B" w:rsidRDefault="00E36553" w:rsidP="00013C6F">
            <w:pPr>
              <w:ind w:left="-284" w:right="-2"/>
              <w:jc w:val="right"/>
              <w:rPr>
                <w:rFonts w:ascii="Calibri" w:hAnsi="Calibri" w:cs="Calibri"/>
                <w:b/>
                <w:color w:val="000000"/>
                <w:sz w:val="20"/>
                <w:szCs w:val="20"/>
                <w:lang w:eastAsia="en-IE"/>
              </w:rPr>
            </w:pPr>
          </w:p>
        </w:tc>
        <w:tc>
          <w:tcPr>
            <w:tcW w:w="1417" w:type="dxa"/>
            <w:shd w:val="clear" w:color="auto" w:fill="FFFF00"/>
            <w:vAlign w:val="center"/>
          </w:tcPr>
          <w:p w14:paraId="7E3DDDFB"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tcPr>
          <w:p w14:paraId="2679E3D7" w14:textId="77777777" w:rsidR="00E36553" w:rsidRPr="00AD66EB" w:rsidRDefault="00E36553" w:rsidP="00013C6F">
            <w:pPr>
              <w:ind w:left="-284" w:right="-2"/>
              <w:jc w:val="right"/>
              <w:rPr>
                <w:rFonts w:ascii="Calibri" w:hAnsi="Calibri" w:cs="Calibri"/>
                <w:bCs/>
                <w:color w:val="000000"/>
                <w:sz w:val="20"/>
                <w:szCs w:val="20"/>
                <w:lang w:eastAsia="en-IE"/>
              </w:rPr>
            </w:pPr>
          </w:p>
        </w:tc>
        <w:tc>
          <w:tcPr>
            <w:tcW w:w="1278" w:type="dxa"/>
            <w:shd w:val="clear" w:color="auto" w:fill="FFFFFF"/>
            <w:vAlign w:val="center"/>
          </w:tcPr>
          <w:p w14:paraId="2D267A1C" w14:textId="77777777" w:rsidR="00E36553" w:rsidRPr="00AD66EB" w:rsidRDefault="00E36553" w:rsidP="00013C6F">
            <w:pPr>
              <w:ind w:left="-284" w:right="-2"/>
              <w:jc w:val="right"/>
              <w:rPr>
                <w:rFonts w:ascii="Calibri" w:eastAsia="Calibri" w:hAnsi="Calibri" w:cs="Calibri"/>
                <w:bCs/>
                <w:sz w:val="20"/>
                <w:szCs w:val="20"/>
                <w:lang w:eastAsia="en-IE"/>
              </w:rPr>
            </w:pPr>
          </w:p>
        </w:tc>
      </w:tr>
      <w:tr w:rsidR="00E36553" w:rsidRPr="00135F6B" w14:paraId="0D82C261" w14:textId="77777777" w:rsidTr="00013C6F">
        <w:trPr>
          <w:trHeight w:val="232"/>
        </w:trPr>
        <w:tc>
          <w:tcPr>
            <w:tcW w:w="4820" w:type="dxa"/>
            <w:shd w:val="clear" w:color="auto" w:fill="FFFFFF"/>
            <w:vAlign w:val="center"/>
            <w:hideMark/>
          </w:tcPr>
          <w:p w14:paraId="5848D687"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Long-term debt</w:t>
            </w:r>
          </w:p>
        </w:tc>
        <w:tc>
          <w:tcPr>
            <w:tcW w:w="1417" w:type="dxa"/>
            <w:shd w:val="clear" w:color="auto" w:fill="FFFF00"/>
            <w:vAlign w:val="center"/>
          </w:tcPr>
          <w:p w14:paraId="7D5AF02D" w14:textId="77777777" w:rsidR="00E36553" w:rsidRPr="00032915" w:rsidRDefault="00FA26A4"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533.6</w:t>
            </w:r>
          </w:p>
        </w:tc>
        <w:tc>
          <w:tcPr>
            <w:tcW w:w="1417" w:type="dxa"/>
            <w:shd w:val="clear" w:color="auto" w:fill="FFFF00"/>
            <w:vAlign w:val="center"/>
          </w:tcPr>
          <w:p w14:paraId="24BCE736" w14:textId="77777777" w:rsidR="00E36553" w:rsidRPr="00032915" w:rsidRDefault="00FA26A4"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533.6</w:t>
            </w:r>
          </w:p>
        </w:tc>
        <w:tc>
          <w:tcPr>
            <w:tcW w:w="1417" w:type="dxa"/>
            <w:shd w:val="clear" w:color="auto" w:fill="FFFFFF"/>
            <w:vAlign w:val="center"/>
            <w:hideMark/>
          </w:tcPr>
          <w:p w14:paraId="7DFEB5A4"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812.3</w:t>
            </w:r>
          </w:p>
        </w:tc>
        <w:tc>
          <w:tcPr>
            <w:tcW w:w="1278" w:type="dxa"/>
            <w:shd w:val="clear" w:color="auto" w:fill="FFFFFF"/>
            <w:vAlign w:val="center"/>
            <w:hideMark/>
          </w:tcPr>
          <w:p w14:paraId="2F8B492B"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812.3</w:t>
            </w:r>
          </w:p>
        </w:tc>
      </w:tr>
      <w:tr w:rsidR="00E36553" w:rsidRPr="00135F6B" w14:paraId="3C5676EF" w14:textId="77777777" w:rsidTr="00D1667B">
        <w:trPr>
          <w:trHeight w:val="232"/>
        </w:trPr>
        <w:tc>
          <w:tcPr>
            <w:tcW w:w="4820" w:type="dxa"/>
            <w:shd w:val="clear" w:color="auto" w:fill="FFFFFF"/>
            <w:vAlign w:val="center"/>
            <w:hideMark/>
          </w:tcPr>
          <w:p w14:paraId="6C67A8DA"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Bonds</w:t>
            </w:r>
          </w:p>
        </w:tc>
        <w:tc>
          <w:tcPr>
            <w:tcW w:w="1417" w:type="dxa"/>
            <w:tcBorders>
              <w:top w:val="nil"/>
              <w:left w:val="nil"/>
              <w:bottom w:val="single" w:sz="8" w:space="0" w:color="auto"/>
              <w:right w:val="nil"/>
            </w:tcBorders>
            <w:shd w:val="clear" w:color="auto" w:fill="FFFF00"/>
            <w:vAlign w:val="center"/>
          </w:tcPr>
          <w:p w14:paraId="5FC59413" w14:textId="77777777" w:rsidR="00E36553" w:rsidRPr="00032915" w:rsidRDefault="00FA26A4"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2,043.2</w:t>
            </w:r>
          </w:p>
        </w:tc>
        <w:tc>
          <w:tcPr>
            <w:tcW w:w="1417" w:type="dxa"/>
            <w:tcBorders>
              <w:top w:val="nil"/>
              <w:left w:val="nil"/>
              <w:bottom w:val="single" w:sz="8" w:space="0" w:color="auto"/>
              <w:right w:val="nil"/>
            </w:tcBorders>
            <w:shd w:val="clear" w:color="auto" w:fill="FFFF00"/>
            <w:vAlign w:val="center"/>
          </w:tcPr>
          <w:p w14:paraId="39CE97DC" w14:textId="77777777" w:rsidR="00E36553" w:rsidRPr="00032915" w:rsidRDefault="00FA26A4"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1,931.9</w:t>
            </w:r>
          </w:p>
        </w:tc>
        <w:tc>
          <w:tcPr>
            <w:tcW w:w="1417" w:type="dxa"/>
            <w:tcBorders>
              <w:top w:val="nil"/>
              <w:left w:val="nil"/>
              <w:bottom w:val="single" w:sz="8" w:space="0" w:color="auto"/>
              <w:right w:val="nil"/>
            </w:tcBorders>
            <w:shd w:val="clear" w:color="auto" w:fill="FFFFFF"/>
            <w:vAlign w:val="center"/>
            <w:hideMark/>
          </w:tcPr>
          <w:p w14:paraId="45A4AF89"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2,040.9</w:t>
            </w:r>
          </w:p>
        </w:tc>
        <w:tc>
          <w:tcPr>
            <w:tcW w:w="1278" w:type="dxa"/>
            <w:tcBorders>
              <w:top w:val="nil"/>
              <w:left w:val="nil"/>
              <w:bottom w:val="single" w:sz="8" w:space="0" w:color="auto"/>
              <w:right w:val="nil"/>
            </w:tcBorders>
            <w:shd w:val="clear" w:color="auto" w:fill="FFFFFF"/>
            <w:vAlign w:val="center"/>
            <w:hideMark/>
          </w:tcPr>
          <w:p w14:paraId="59EEE1BA"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1,928.4</w:t>
            </w:r>
          </w:p>
        </w:tc>
      </w:tr>
      <w:tr w:rsidR="00E36553" w:rsidRPr="00135F6B" w14:paraId="4CDE9379" w14:textId="77777777" w:rsidTr="00D1667B">
        <w:trPr>
          <w:trHeight w:val="232"/>
        </w:trPr>
        <w:tc>
          <w:tcPr>
            <w:tcW w:w="4820" w:type="dxa"/>
            <w:shd w:val="clear" w:color="auto" w:fill="FFFFFF"/>
            <w:vAlign w:val="center"/>
          </w:tcPr>
          <w:p w14:paraId="5C1D8AE9" w14:textId="77777777" w:rsidR="00E36553" w:rsidRPr="00156BD0" w:rsidRDefault="00E36553" w:rsidP="00013C6F">
            <w:pPr>
              <w:ind w:right="-2" w:hanging="105"/>
              <w:rPr>
                <w:rFonts w:ascii="Calibri" w:hAnsi="Calibri" w:cs="Calibri"/>
                <w:color w:val="000000"/>
                <w:sz w:val="20"/>
                <w:szCs w:val="20"/>
                <w:lang w:eastAsia="en-IE"/>
              </w:rPr>
            </w:pPr>
          </w:p>
        </w:tc>
        <w:tc>
          <w:tcPr>
            <w:tcW w:w="1417" w:type="dxa"/>
            <w:tcBorders>
              <w:top w:val="single" w:sz="8" w:space="0" w:color="auto"/>
              <w:left w:val="nil"/>
              <w:bottom w:val="single" w:sz="4" w:space="0" w:color="auto"/>
              <w:right w:val="nil"/>
            </w:tcBorders>
            <w:shd w:val="clear" w:color="auto" w:fill="FFFF00"/>
            <w:vAlign w:val="center"/>
          </w:tcPr>
          <w:p w14:paraId="7466EF8C" w14:textId="77777777" w:rsidR="00E36553" w:rsidRPr="004370DF" w:rsidRDefault="00FA26A4"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2,576.8</w:t>
            </w:r>
          </w:p>
        </w:tc>
        <w:tc>
          <w:tcPr>
            <w:tcW w:w="1417" w:type="dxa"/>
            <w:tcBorders>
              <w:top w:val="single" w:sz="8" w:space="0" w:color="auto"/>
              <w:left w:val="nil"/>
              <w:bottom w:val="single" w:sz="4" w:space="0" w:color="auto"/>
              <w:right w:val="nil"/>
            </w:tcBorders>
            <w:shd w:val="clear" w:color="auto" w:fill="FFFF00"/>
            <w:vAlign w:val="center"/>
          </w:tcPr>
          <w:p w14:paraId="2C00C512" w14:textId="77777777" w:rsidR="00E36553" w:rsidRPr="00C71C28" w:rsidRDefault="00FA26A4"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2,465.5</w:t>
            </w:r>
          </w:p>
        </w:tc>
        <w:tc>
          <w:tcPr>
            <w:tcW w:w="1417" w:type="dxa"/>
            <w:tcBorders>
              <w:top w:val="single" w:sz="8" w:space="0" w:color="auto"/>
              <w:left w:val="nil"/>
              <w:bottom w:val="single" w:sz="4" w:space="0" w:color="auto"/>
              <w:right w:val="nil"/>
            </w:tcBorders>
            <w:shd w:val="clear" w:color="auto" w:fill="FFFFFF"/>
            <w:vAlign w:val="center"/>
          </w:tcPr>
          <w:p w14:paraId="34951D14"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2,853.2</w:t>
            </w:r>
          </w:p>
        </w:tc>
        <w:tc>
          <w:tcPr>
            <w:tcW w:w="1278" w:type="dxa"/>
            <w:tcBorders>
              <w:top w:val="single" w:sz="8" w:space="0" w:color="auto"/>
              <w:left w:val="nil"/>
              <w:bottom w:val="single" w:sz="4" w:space="0" w:color="auto"/>
              <w:right w:val="nil"/>
            </w:tcBorders>
            <w:shd w:val="clear" w:color="auto" w:fill="FFFFFF"/>
            <w:vAlign w:val="center"/>
          </w:tcPr>
          <w:p w14:paraId="5789646D" w14:textId="77777777" w:rsidR="00E36553" w:rsidRPr="00AD66EB" w:rsidRDefault="00E36553" w:rsidP="00013C6F">
            <w:pPr>
              <w:ind w:left="-284" w:right="-2"/>
              <w:jc w:val="right"/>
              <w:rPr>
                <w:rFonts w:ascii="Calibri" w:eastAsia="Calibri" w:hAnsi="Calibri" w:cs="Calibri"/>
                <w:bCs/>
                <w:sz w:val="20"/>
                <w:szCs w:val="20"/>
                <w:lang w:eastAsia="en-IE"/>
              </w:rPr>
            </w:pPr>
            <w:r w:rsidRPr="00AD66EB">
              <w:rPr>
                <w:rFonts w:ascii="Calibri" w:eastAsia="Calibri" w:hAnsi="Calibri" w:cs="Calibri"/>
                <w:bCs/>
                <w:sz w:val="20"/>
                <w:szCs w:val="20"/>
                <w:lang w:eastAsia="en-IE"/>
              </w:rPr>
              <w:t>2,740.7</w:t>
            </w:r>
          </w:p>
        </w:tc>
      </w:tr>
      <w:tr w:rsidR="00E36553" w:rsidRPr="00135F6B" w14:paraId="64E17F3C" w14:textId="77777777" w:rsidTr="00D1667B">
        <w:trPr>
          <w:trHeight w:val="232"/>
        </w:trPr>
        <w:tc>
          <w:tcPr>
            <w:tcW w:w="4820" w:type="dxa"/>
            <w:shd w:val="clear" w:color="auto" w:fill="FFFFFF"/>
            <w:vAlign w:val="bottom"/>
            <w:hideMark/>
          </w:tcPr>
          <w:p w14:paraId="11CC55B0"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tcBorders>
              <w:top w:val="single" w:sz="4" w:space="0" w:color="auto"/>
              <w:left w:val="nil"/>
              <w:bottom w:val="single" w:sz="8" w:space="0" w:color="auto"/>
              <w:right w:val="nil"/>
            </w:tcBorders>
            <w:shd w:val="clear" w:color="auto" w:fill="FFFF00"/>
            <w:vAlign w:val="center"/>
          </w:tcPr>
          <w:p w14:paraId="66FFF469" w14:textId="77777777" w:rsidR="00E36553" w:rsidRPr="00957A6F" w:rsidRDefault="00FA26A4"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2,577.9</w:t>
            </w:r>
          </w:p>
        </w:tc>
        <w:tc>
          <w:tcPr>
            <w:tcW w:w="1417" w:type="dxa"/>
            <w:tcBorders>
              <w:top w:val="single" w:sz="4" w:space="0" w:color="auto"/>
              <w:left w:val="nil"/>
              <w:bottom w:val="single" w:sz="8" w:space="0" w:color="auto"/>
              <w:right w:val="nil"/>
            </w:tcBorders>
            <w:shd w:val="clear" w:color="auto" w:fill="FFFF00"/>
            <w:vAlign w:val="center"/>
          </w:tcPr>
          <w:p w14:paraId="0450582F" w14:textId="77777777" w:rsidR="00E36553" w:rsidRPr="00957A6F" w:rsidRDefault="00FA26A4"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2,466.6</w:t>
            </w:r>
          </w:p>
        </w:tc>
        <w:tc>
          <w:tcPr>
            <w:tcW w:w="1417" w:type="dxa"/>
            <w:tcBorders>
              <w:top w:val="single" w:sz="4" w:space="0" w:color="auto"/>
              <w:left w:val="nil"/>
              <w:bottom w:val="single" w:sz="8" w:space="0" w:color="auto"/>
              <w:right w:val="nil"/>
            </w:tcBorders>
            <w:shd w:val="clear" w:color="auto" w:fill="FFFFFF"/>
            <w:vAlign w:val="center"/>
            <w:hideMark/>
          </w:tcPr>
          <w:p w14:paraId="1953B61A"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2,864.4</w:t>
            </w:r>
          </w:p>
        </w:tc>
        <w:tc>
          <w:tcPr>
            <w:tcW w:w="1278" w:type="dxa"/>
            <w:tcBorders>
              <w:top w:val="single" w:sz="4" w:space="0" w:color="auto"/>
              <w:left w:val="nil"/>
              <w:bottom w:val="single" w:sz="8" w:space="0" w:color="auto"/>
              <w:right w:val="nil"/>
            </w:tcBorders>
            <w:shd w:val="clear" w:color="auto" w:fill="FFFFFF"/>
            <w:vAlign w:val="center"/>
            <w:hideMark/>
          </w:tcPr>
          <w:p w14:paraId="3B7DD1AC"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2,751.9</w:t>
            </w:r>
          </w:p>
        </w:tc>
      </w:tr>
      <w:tr w:rsidR="00E36553" w:rsidRPr="00135F6B" w14:paraId="75920841" w14:textId="77777777" w:rsidTr="00E36553">
        <w:trPr>
          <w:trHeight w:val="232"/>
        </w:trPr>
        <w:tc>
          <w:tcPr>
            <w:tcW w:w="4820" w:type="dxa"/>
            <w:shd w:val="clear" w:color="auto" w:fill="FFFFFF"/>
            <w:vAlign w:val="center"/>
            <w:hideMark/>
          </w:tcPr>
          <w:p w14:paraId="39DB1323" w14:textId="77777777" w:rsidR="00E36553" w:rsidRPr="00156BD0" w:rsidRDefault="00E36553" w:rsidP="00013C6F">
            <w:pPr>
              <w:ind w:right="-2" w:hanging="105"/>
              <w:rPr>
                <w:rFonts w:ascii="Calibri" w:hAnsi="Calibri" w:cs="Calibri"/>
                <w:b/>
                <w:bCs/>
                <w:color w:val="000000"/>
                <w:sz w:val="20"/>
                <w:szCs w:val="20"/>
                <w:lang w:eastAsia="en-IE"/>
              </w:rPr>
            </w:pPr>
            <w:r w:rsidRPr="00156BD0">
              <w:rPr>
                <w:rFonts w:ascii="Calibri" w:hAnsi="Calibri" w:cs="Calibri"/>
                <w:b/>
                <w:bCs/>
                <w:color w:val="000000"/>
                <w:sz w:val="20"/>
                <w:szCs w:val="20"/>
                <w:lang w:eastAsia="en-IE"/>
              </w:rPr>
              <w:t>Current financial liabilities</w:t>
            </w:r>
          </w:p>
        </w:tc>
        <w:tc>
          <w:tcPr>
            <w:tcW w:w="1417" w:type="dxa"/>
            <w:shd w:val="clear" w:color="auto" w:fill="FFFF00"/>
            <w:vAlign w:val="center"/>
          </w:tcPr>
          <w:p w14:paraId="247A0699" w14:textId="77777777" w:rsidR="00E36553" w:rsidRPr="00135F6B" w:rsidRDefault="00E36553" w:rsidP="00013C6F">
            <w:pPr>
              <w:ind w:left="-284" w:right="-2"/>
              <w:jc w:val="right"/>
              <w:rPr>
                <w:rFonts w:ascii="Calibri" w:hAnsi="Calibri" w:cs="Calibri"/>
                <w:b/>
                <w:bCs/>
                <w:color w:val="000000"/>
                <w:sz w:val="20"/>
                <w:szCs w:val="20"/>
                <w:lang w:eastAsia="en-IE"/>
              </w:rPr>
            </w:pPr>
          </w:p>
        </w:tc>
        <w:tc>
          <w:tcPr>
            <w:tcW w:w="1417" w:type="dxa"/>
            <w:shd w:val="clear" w:color="auto" w:fill="FFFF00"/>
            <w:vAlign w:val="center"/>
          </w:tcPr>
          <w:p w14:paraId="785BF019"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hideMark/>
          </w:tcPr>
          <w:p w14:paraId="7A16EB16" w14:textId="77777777" w:rsidR="00E36553" w:rsidRPr="00AD66EB" w:rsidRDefault="00E36553" w:rsidP="00013C6F">
            <w:pPr>
              <w:ind w:left="-284" w:right="-2"/>
              <w:jc w:val="right"/>
              <w:rPr>
                <w:rFonts w:ascii="Calibri" w:eastAsia="Calibri" w:hAnsi="Calibri" w:cs="Calibri"/>
                <w:bCs/>
                <w:sz w:val="20"/>
                <w:szCs w:val="20"/>
                <w:lang w:eastAsia="en-IE"/>
              </w:rPr>
            </w:pPr>
          </w:p>
        </w:tc>
        <w:tc>
          <w:tcPr>
            <w:tcW w:w="1278" w:type="dxa"/>
            <w:shd w:val="clear" w:color="auto" w:fill="FFFFFF"/>
            <w:vAlign w:val="center"/>
            <w:hideMark/>
          </w:tcPr>
          <w:p w14:paraId="5C459C82" w14:textId="77777777" w:rsidR="00E36553" w:rsidRPr="00AD66EB" w:rsidRDefault="00E36553" w:rsidP="00013C6F">
            <w:pPr>
              <w:ind w:left="-284" w:right="-2"/>
              <w:jc w:val="right"/>
              <w:rPr>
                <w:rFonts w:ascii="Calibri" w:eastAsia="Calibri" w:hAnsi="Calibri" w:cs="Calibri"/>
                <w:bCs/>
                <w:sz w:val="20"/>
                <w:szCs w:val="20"/>
                <w:lang w:eastAsia="en-IE"/>
              </w:rPr>
            </w:pPr>
          </w:p>
        </w:tc>
      </w:tr>
      <w:tr w:rsidR="00E36553" w:rsidRPr="00135F6B" w14:paraId="08646AB8" w14:textId="77777777" w:rsidTr="00E36553">
        <w:trPr>
          <w:trHeight w:val="232"/>
        </w:trPr>
        <w:tc>
          <w:tcPr>
            <w:tcW w:w="4820" w:type="dxa"/>
            <w:shd w:val="clear" w:color="auto" w:fill="FFFFFF"/>
            <w:vAlign w:val="center"/>
            <w:hideMark/>
          </w:tcPr>
          <w:p w14:paraId="7E53AE6E"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Derivative financial instruments:</w:t>
            </w:r>
          </w:p>
        </w:tc>
        <w:tc>
          <w:tcPr>
            <w:tcW w:w="1417" w:type="dxa"/>
            <w:shd w:val="clear" w:color="auto" w:fill="FFFF00"/>
            <w:vAlign w:val="center"/>
          </w:tcPr>
          <w:p w14:paraId="6B57A5DF" w14:textId="77777777" w:rsidR="00E36553" w:rsidRPr="00135F6B" w:rsidRDefault="00E36553" w:rsidP="00013C6F">
            <w:pPr>
              <w:ind w:left="-284" w:right="-2"/>
              <w:jc w:val="right"/>
              <w:rPr>
                <w:rFonts w:ascii="Calibri" w:hAnsi="Calibri" w:cs="Calibri"/>
                <w:b/>
                <w:color w:val="000000"/>
                <w:sz w:val="20"/>
                <w:szCs w:val="20"/>
                <w:lang w:eastAsia="en-IE"/>
              </w:rPr>
            </w:pPr>
          </w:p>
        </w:tc>
        <w:tc>
          <w:tcPr>
            <w:tcW w:w="1417" w:type="dxa"/>
            <w:shd w:val="clear" w:color="auto" w:fill="FFFF00"/>
            <w:vAlign w:val="center"/>
          </w:tcPr>
          <w:p w14:paraId="1C835C37"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hideMark/>
          </w:tcPr>
          <w:p w14:paraId="76757BB9" w14:textId="77777777" w:rsidR="00E36553" w:rsidRPr="00AD66EB" w:rsidRDefault="00E36553" w:rsidP="00013C6F">
            <w:pPr>
              <w:ind w:left="-284" w:right="-2"/>
              <w:jc w:val="right"/>
              <w:rPr>
                <w:rFonts w:ascii="Calibri" w:eastAsia="Calibri" w:hAnsi="Calibri" w:cs="Calibri"/>
                <w:bCs/>
                <w:sz w:val="20"/>
                <w:szCs w:val="20"/>
                <w:lang w:eastAsia="en-IE"/>
              </w:rPr>
            </w:pPr>
          </w:p>
        </w:tc>
        <w:tc>
          <w:tcPr>
            <w:tcW w:w="1278" w:type="dxa"/>
            <w:shd w:val="clear" w:color="auto" w:fill="FFFFFF"/>
            <w:vAlign w:val="center"/>
            <w:hideMark/>
          </w:tcPr>
          <w:p w14:paraId="14186EEE" w14:textId="77777777" w:rsidR="00E36553" w:rsidRPr="00AD66EB" w:rsidRDefault="00E36553" w:rsidP="00013C6F">
            <w:pPr>
              <w:ind w:left="-284" w:right="-2"/>
              <w:jc w:val="right"/>
              <w:rPr>
                <w:rFonts w:ascii="Calibri" w:eastAsia="Calibri" w:hAnsi="Calibri" w:cs="Calibri"/>
                <w:bCs/>
                <w:sz w:val="20"/>
                <w:szCs w:val="20"/>
                <w:lang w:eastAsia="en-IE"/>
              </w:rPr>
            </w:pPr>
          </w:p>
        </w:tc>
      </w:tr>
      <w:tr w:rsidR="00E36553" w:rsidRPr="00135F6B" w14:paraId="062669A4" w14:textId="77777777" w:rsidTr="00013C6F">
        <w:trPr>
          <w:trHeight w:val="232"/>
        </w:trPr>
        <w:tc>
          <w:tcPr>
            <w:tcW w:w="4820" w:type="dxa"/>
            <w:shd w:val="clear" w:color="auto" w:fill="FFFFFF"/>
            <w:vAlign w:val="center"/>
            <w:hideMark/>
          </w:tcPr>
          <w:p w14:paraId="0F5EC88C"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Jet fuel &amp; carbon derivative contracts</w:t>
            </w:r>
          </w:p>
        </w:tc>
        <w:tc>
          <w:tcPr>
            <w:tcW w:w="1417" w:type="dxa"/>
            <w:shd w:val="clear" w:color="auto" w:fill="FFFF00"/>
            <w:vAlign w:val="center"/>
          </w:tcPr>
          <w:p w14:paraId="42406313" w14:textId="77777777" w:rsidR="00E36553" w:rsidRPr="00135F6B" w:rsidRDefault="004E2EF9"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64.8</w:t>
            </w:r>
          </w:p>
        </w:tc>
        <w:tc>
          <w:tcPr>
            <w:tcW w:w="1417" w:type="dxa"/>
            <w:shd w:val="clear" w:color="auto" w:fill="FFFF00"/>
            <w:vAlign w:val="center"/>
          </w:tcPr>
          <w:p w14:paraId="3B259CEE" w14:textId="77777777" w:rsidR="00E36553" w:rsidRPr="00135F6B" w:rsidRDefault="004E2EF9"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64.8</w:t>
            </w:r>
          </w:p>
        </w:tc>
        <w:tc>
          <w:tcPr>
            <w:tcW w:w="1417" w:type="dxa"/>
            <w:shd w:val="clear" w:color="auto" w:fill="FFFFFF"/>
            <w:vAlign w:val="center"/>
            <w:hideMark/>
          </w:tcPr>
          <w:p w14:paraId="2D0225D0"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341.7</w:t>
            </w:r>
          </w:p>
        </w:tc>
        <w:tc>
          <w:tcPr>
            <w:tcW w:w="1278" w:type="dxa"/>
            <w:shd w:val="clear" w:color="auto" w:fill="FFFFFF"/>
            <w:vAlign w:val="center"/>
            <w:hideMark/>
          </w:tcPr>
          <w:p w14:paraId="46715DC0"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341.7</w:t>
            </w:r>
          </w:p>
        </w:tc>
      </w:tr>
      <w:tr w:rsidR="00E36553" w:rsidRPr="00135F6B" w14:paraId="60265119" w14:textId="77777777" w:rsidTr="00013C6F">
        <w:trPr>
          <w:trHeight w:val="232"/>
        </w:trPr>
        <w:tc>
          <w:tcPr>
            <w:tcW w:w="4820" w:type="dxa"/>
            <w:shd w:val="clear" w:color="auto" w:fill="FFFFFF"/>
            <w:vAlign w:val="center"/>
            <w:hideMark/>
          </w:tcPr>
          <w:p w14:paraId="0AAF78B8"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U.S. dollar currency forward contracts</w:t>
            </w:r>
          </w:p>
        </w:tc>
        <w:tc>
          <w:tcPr>
            <w:tcW w:w="1417" w:type="dxa"/>
            <w:shd w:val="clear" w:color="auto" w:fill="FFFF00"/>
            <w:vAlign w:val="center"/>
          </w:tcPr>
          <w:p w14:paraId="08B6F0E8" w14:textId="77777777" w:rsidR="00E36553" w:rsidRPr="00135F6B" w:rsidRDefault="004E2EF9"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w:t>
            </w:r>
          </w:p>
        </w:tc>
        <w:tc>
          <w:tcPr>
            <w:tcW w:w="1417" w:type="dxa"/>
            <w:shd w:val="clear" w:color="auto" w:fill="FFFF00"/>
            <w:vAlign w:val="center"/>
          </w:tcPr>
          <w:p w14:paraId="6D44A163" w14:textId="77777777" w:rsidR="00E36553" w:rsidRPr="00135F6B" w:rsidRDefault="004E2EF9"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w:t>
            </w:r>
          </w:p>
        </w:tc>
        <w:tc>
          <w:tcPr>
            <w:tcW w:w="1417" w:type="dxa"/>
            <w:shd w:val="clear" w:color="auto" w:fill="FFFFFF"/>
            <w:vAlign w:val="center"/>
            <w:hideMark/>
          </w:tcPr>
          <w:p w14:paraId="7CF03A23"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44.9</w:t>
            </w:r>
          </w:p>
        </w:tc>
        <w:tc>
          <w:tcPr>
            <w:tcW w:w="1278" w:type="dxa"/>
            <w:shd w:val="clear" w:color="auto" w:fill="FFFFFF"/>
            <w:vAlign w:val="center"/>
            <w:hideMark/>
          </w:tcPr>
          <w:p w14:paraId="26F35591"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44.9</w:t>
            </w:r>
          </w:p>
        </w:tc>
      </w:tr>
      <w:tr w:rsidR="00E36553" w:rsidRPr="00135F6B" w14:paraId="633EF711" w14:textId="77777777" w:rsidTr="00013C6F">
        <w:trPr>
          <w:trHeight w:val="232"/>
        </w:trPr>
        <w:tc>
          <w:tcPr>
            <w:tcW w:w="4820" w:type="dxa"/>
            <w:shd w:val="clear" w:color="auto" w:fill="FFFFFF"/>
            <w:vAlign w:val="center"/>
            <w:hideMark/>
          </w:tcPr>
          <w:p w14:paraId="3902197A"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tcBorders>
              <w:top w:val="single" w:sz="8" w:space="0" w:color="auto"/>
              <w:left w:val="nil"/>
              <w:bottom w:val="nil"/>
              <w:right w:val="nil"/>
            </w:tcBorders>
            <w:shd w:val="clear" w:color="auto" w:fill="FFFF00"/>
            <w:vAlign w:val="center"/>
          </w:tcPr>
          <w:p w14:paraId="20983EA8" w14:textId="77777777" w:rsidR="00E36553" w:rsidRPr="00135F6B" w:rsidRDefault="004E2EF9"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64.8</w:t>
            </w:r>
          </w:p>
        </w:tc>
        <w:tc>
          <w:tcPr>
            <w:tcW w:w="1417" w:type="dxa"/>
            <w:tcBorders>
              <w:top w:val="single" w:sz="8" w:space="0" w:color="auto"/>
              <w:left w:val="nil"/>
              <w:bottom w:val="nil"/>
              <w:right w:val="nil"/>
            </w:tcBorders>
            <w:shd w:val="clear" w:color="auto" w:fill="FFFF00"/>
            <w:vAlign w:val="center"/>
          </w:tcPr>
          <w:p w14:paraId="0BA864A3" w14:textId="77777777" w:rsidR="00E36553" w:rsidRPr="00135F6B" w:rsidRDefault="004E2EF9"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64.8</w:t>
            </w:r>
          </w:p>
        </w:tc>
        <w:tc>
          <w:tcPr>
            <w:tcW w:w="1417" w:type="dxa"/>
            <w:tcBorders>
              <w:top w:val="single" w:sz="8" w:space="0" w:color="auto"/>
              <w:left w:val="nil"/>
              <w:bottom w:val="nil"/>
              <w:right w:val="nil"/>
            </w:tcBorders>
            <w:shd w:val="clear" w:color="auto" w:fill="FFFFFF"/>
            <w:vAlign w:val="center"/>
            <w:hideMark/>
          </w:tcPr>
          <w:p w14:paraId="56297E21"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386.6</w:t>
            </w:r>
          </w:p>
        </w:tc>
        <w:tc>
          <w:tcPr>
            <w:tcW w:w="1278" w:type="dxa"/>
            <w:tcBorders>
              <w:top w:val="single" w:sz="8" w:space="0" w:color="auto"/>
              <w:left w:val="nil"/>
              <w:bottom w:val="nil"/>
              <w:right w:val="nil"/>
            </w:tcBorders>
            <w:shd w:val="clear" w:color="auto" w:fill="FFFFFF"/>
            <w:vAlign w:val="center"/>
            <w:hideMark/>
          </w:tcPr>
          <w:p w14:paraId="10D8ABAE"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386.6</w:t>
            </w:r>
          </w:p>
        </w:tc>
      </w:tr>
      <w:tr w:rsidR="00E36553" w:rsidRPr="00135F6B" w14:paraId="6D332D4C" w14:textId="77777777" w:rsidTr="00013C6F">
        <w:trPr>
          <w:trHeight w:val="232"/>
        </w:trPr>
        <w:tc>
          <w:tcPr>
            <w:tcW w:w="4820" w:type="dxa"/>
            <w:shd w:val="clear" w:color="auto" w:fill="FFFFFF"/>
            <w:vAlign w:val="center"/>
            <w:hideMark/>
          </w:tcPr>
          <w:p w14:paraId="0199449C" w14:textId="77777777" w:rsidR="00E36553" w:rsidRPr="00156BD0" w:rsidRDefault="00E36553" w:rsidP="00013C6F">
            <w:pPr>
              <w:ind w:right="-2" w:hanging="105"/>
              <w:rPr>
                <w:rFonts w:ascii="Calibri" w:hAnsi="Calibri" w:cs="Calibri"/>
                <w:color w:val="000000"/>
                <w:sz w:val="20"/>
                <w:szCs w:val="20"/>
                <w:lang w:eastAsia="en-IE"/>
              </w:rPr>
            </w:pPr>
          </w:p>
        </w:tc>
        <w:tc>
          <w:tcPr>
            <w:tcW w:w="1417" w:type="dxa"/>
            <w:shd w:val="clear" w:color="auto" w:fill="FFFF00"/>
            <w:vAlign w:val="center"/>
          </w:tcPr>
          <w:p w14:paraId="6FE9CAB1" w14:textId="77777777" w:rsidR="00E36553" w:rsidRPr="00135F6B" w:rsidRDefault="00E36553" w:rsidP="00013C6F">
            <w:pPr>
              <w:ind w:left="-284" w:right="-2"/>
              <w:jc w:val="right"/>
              <w:rPr>
                <w:rFonts w:ascii="Calibri" w:hAnsi="Calibri" w:cs="Calibri"/>
                <w:b/>
                <w:color w:val="000000"/>
                <w:sz w:val="20"/>
                <w:szCs w:val="20"/>
                <w:lang w:eastAsia="en-IE"/>
              </w:rPr>
            </w:pPr>
          </w:p>
        </w:tc>
        <w:tc>
          <w:tcPr>
            <w:tcW w:w="1417" w:type="dxa"/>
            <w:shd w:val="clear" w:color="auto" w:fill="FFFF00"/>
            <w:vAlign w:val="center"/>
          </w:tcPr>
          <w:p w14:paraId="7711E714"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tcPr>
          <w:p w14:paraId="04DADC89" w14:textId="77777777" w:rsidR="00E36553" w:rsidRPr="00AD66EB" w:rsidRDefault="00E36553" w:rsidP="00013C6F">
            <w:pPr>
              <w:ind w:left="-284" w:right="-2"/>
              <w:jc w:val="right"/>
              <w:rPr>
                <w:rFonts w:ascii="Calibri" w:hAnsi="Calibri" w:cs="Calibri"/>
                <w:bCs/>
                <w:color w:val="000000"/>
                <w:sz w:val="20"/>
                <w:szCs w:val="20"/>
                <w:lang w:eastAsia="en-IE"/>
              </w:rPr>
            </w:pPr>
          </w:p>
        </w:tc>
        <w:tc>
          <w:tcPr>
            <w:tcW w:w="1278" w:type="dxa"/>
            <w:shd w:val="clear" w:color="auto" w:fill="FFFFFF"/>
            <w:vAlign w:val="center"/>
          </w:tcPr>
          <w:p w14:paraId="5B4B2765" w14:textId="77777777" w:rsidR="00E36553" w:rsidRPr="00AD66EB" w:rsidRDefault="00E36553" w:rsidP="00013C6F">
            <w:pPr>
              <w:ind w:left="-284" w:right="-2"/>
              <w:jc w:val="right"/>
              <w:rPr>
                <w:rFonts w:ascii="Calibri" w:hAnsi="Calibri" w:cs="Calibri"/>
                <w:bCs/>
                <w:color w:val="000000"/>
                <w:sz w:val="20"/>
                <w:szCs w:val="20"/>
                <w:lang w:eastAsia="en-IE"/>
              </w:rPr>
            </w:pPr>
          </w:p>
        </w:tc>
      </w:tr>
      <w:tr w:rsidR="00E36553" w:rsidRPr="00135F6B" w14:paraId="5B7707CA" w14:textId="77777777" w:rsidTr="00013C6F">
        <w:trPr>
          <w:trHeight w:val="232"/>
        </w:trPr>
        <w:tc>
          <w:tcPr>
            <w:tcW w:w="4820" w:type="dxa"/>
            <w:shd w:val="clear" w:color="auto" w:fill="FFFFFF"/>
            <w:vAlign w:val="center"/>
          </w:tcPr>
          <w:p w14:paraId="5F5DB41E"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Current maturities of debt:</w:t>
            </w:r>
          </w:p>
        </w:tc>
        <w:tc>
          <w:tcPr>
            <w:tcW w:w="1417" w:type="dxa"/>
            <w:shd w:val="clear" w:color="auto" w:fill="FFFF00"/>
            <w:vAlign w:val="center"/>
          </w:tcPr>
          <w:p w14:paraId="28D3D850" w14:textId="77777777" w:rsidR="00E36553" w:rsidRPr="00135F6B" w:rsidRDefault="00E36553" w:rsidP="00013C6F">
            <w:pPr>
              <w:ind w:left="-284" w:right="-2"/>
              <w:jc w:val="right"/>
              <w:rPr>
                <w:rFonts w:ascii="Calibri" w:hAnsi="Calibri" w:cs="Calibri"/>
                <w:b/>
                <w:color w:val="000000"/>
                <w:sz w:val="20"/>
                <w:szCs w:val="20"/>
                <w:lang w:eastAsia="en-IE"/>
              </w:rPr>
            </w:pPr>
          </w:p>
        </w:tc>
        <w:tc>
          <w:tcPr>
            <w:tcW w:w="1417" w:type="dxa"/>
            <w:shd w:val="clear" w:color="auto" w:fill="FFFF00"/>
            <w:vAlign w:val="center"/>
          </w:tcPr>
          <w:p w14:paraId="621E40BD"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tcPr>
          <w:p w14:paraId="3DA67E08" w14:textId="77777777" w:rsidR="00E36553" w:rsidRPr="00AD66EB" w:rsidRDefault="00E36553" w:rsidP="00013C6F">
            <w:pPr>
              <w:ind w:left="-284" w:right="-2"/>
              <w:jc w:val="right"/>
              <w:rPr>
                <w:rFonts w:ascii="Calibri" w:hAnsi="Calibri" w:cs="Calibri"/>
                <w:bCs/>
                <w:color w:val="000000"/>
                <w:sz w:val="20"/>
                <w:szCs w:val="20"/>
                <w:lang w:eastAsia="en-IE"/>
              </w:rPr>
            </w:pPr>
          </w:p>
        </w:tc>
        <w:tc>
          <w:tcPr>
            <w:tcW w:w="1278" w:type="dxa"/>
            <w:shd w:val="clear" w:color="auto" w:fill="FFFFFF"/>
            <w:vAlign w:val="center"/>
          </w:tcPr>
          <w:p w14:paraId="373DDDE9" w14:textId="77777777" w:rsidR="00E36553" w:rsidRPr="00AD66EB" w:rsidRDefault="00E36553" w:rsidP="00013C6F">
            <w:pPr>
              <w:ind w:left="-284" w:right="-2"/>
              <w:jc w:val="right"/>
              <w:rPr>
                <w:rFonts w:ascii="Calibri" w:eastAsia="Calibri" w:hAnsi="Calibri" w:cs="Calibri"/>
                <w:bCs/>
                <w:sz w:val="20"/>
                <w:szCs w:val="20"/>
                <w:lang w:eastAsia="en-IE"/>
              </w:rPr>
            </w:pPr>
          </w:p>
        </w:tc>
      </w:tr>
      <w:tr w:rsidR="00E36553" w:rsidRPr="00135F6B" w14:paraId="04C056E4" w14:textId="77777777" w:rsidTr="00013C6F">
        <w:trPr>
          <w:trHeight w:val="232"/>
        </w:trPr>
        <w:tc>
          <w:tcPr>
            <w:tcW w:w="4820" w:type="dxa"/>
            <w:shd w:val="clear" w:color="auto" w:fill="FFFFFF"/>
            <w:vAlign w:val="center"/>
          </w:tcPr>
          <w:p w14:paraId="0072A98D"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Short-term debt</w:t>
            </w:r>
          </w:p>
        </w:tc>
        <w:tc>
          <w:tcPr>
            <w:tcW w:w="1417" w:type="dxa"/>
            <w:shd w:val="clear" w:color="auto" w:fill="FFFF00"/>
            <w:vAlign w:val="center"/>
          </w:tcPr>
          <w:p w14:paraId="49DF3F8B" w14:textId="77777777" w:rsidR="00E36553" w:rsidRPr="00135F6B" w:rsidRDefault="004E2EF9"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35.3</w:t>
            </w:r>
          </w:p>
        </w:tc>
        <w:tc>
          <w:tcPr>
            <w:tcW w:w="1417" w:type="dxa"/>
            <w:shd w:val="clear" w:color="auto" w:fill="FFFF00"/>
            <w:vAlign w:val="center"/>
          </w:tcPr>
          <w:p w14:paraId="14958F9E" w14:textId="77777777" w:rsidR="00E36553" w:rsidRPr="00135F6B" w:rsidRDefault="00FA26A4"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35.3</w:t>
            </w:r>
          </w:p>
        </w:tc>
        <w:tc>
          <w:tcPr>
            <w:tcW w:w="1417" w:type="dxa"/>
            <w:shd w:val="clear" w:color="auto" w:fill="FFFFFF"/>
            <w:vAlign w:val="center"/>
          </w:tcPr>
          <w:p w14:paraId="48B3505A"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76.8</w:t>
            </w:r>
          </w:p>
        </w:tc>
        <w:tc>
          <w:tcPr>
            <w:tcW w:w="1278" w:type="dxa"/>
            <w:shd w:val="clear" w:color="auto" w:fill="FFFFFF"/>
            <w:vAlign w:val="center"/>
          </w:tcPr>
          <w:p w14:paraId="221E7021" w14:textId="77777777" w:rsidR="00E36553" w:rsidRPr="00AD66EB" w:rsidRDefault="00E36553" w:rsidP="00013C6F">
            <w:pPr>
              <w:ind w:left="-284" w:right="-2"/>
              <w:jc w:val="right"/>
              <w:rPr>
                <w:rFonts w:ascii="Calibri" w:eastAsia="Calibri" w:hAnsi="Calibri" w:cs="Calibri"/>
                <w:bCs/>
                <w:sz w:val="20"/>
                <w:szCs w:val="20"/>
                <w:lang w:eastAsia="en-IE"/>
              </w:rPr>
            </w:pPr>
            <w:r w:rsidRPr="00AD66EB">
              <w:rPr>
                <w:rFonts w:ascii="Calibri" w:eastAsia="Calibri" w:hAnsi="Calibri" w:cs="Calibri"/>
                <w:bCs/>
                <w:sz w:val="20"/>
                <w:szCs w:val="20"/>
                <w:lang w:eastAsia="en-IE"/>
              </w:rPr>
              <w:t>76.8</w:t>
            </w:r>
          </w:p>
        </w:tc>
      </w:tr>
      <w:tr w:rsidR="00E36553" w:rsidRPr="00135F6B" w14:paraId="456F139E" w14:textId="77777777" w:rsidTr="00013C6F">
        <w:trPr>
          <w:trHeight w:val="232"/>
        </w:trPr>
        <w:tc>
          <w:tcPr>
            <w:tcW w:w="4820" w:type="dxa"/>
            <w:shd w:val="clear" w:color="auto" w:fill="FFFFFF"/>
            <w:vAlign w:val="center"/>
          </w:tcPr>
          <w:p w14:paraId="61D22572"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Promissory notes</w:t>
            </w:r>
            <w:r>
              <w:rPr>
                <w:rFonts w:ascii="Calibri" w:hAnsi="Calibri" w:cs="Calibri"/>
                <w:color w:val="000000"/>
                <w:sz w:val="20"/>
                <w:szCs w:val="20"/>
                <w:lang w:eastAsia="en-IE"/>
              </w:rPr>
              <w:t>**</w:t>
            </w:r>
          </w:p>
        </w:tc>
        <w:tc>
          <w:tcPr>
            <w:tcW w:w="1417" w:type="dxa"/>
            <w:shd w:val="clear" w:color="auto" w:fill="FFFF00"/>
            <w:vAlign w:val="center"/>
          </w:tcPr>
          <w:p w14:paraId="55F35E3B" w14:textId="77777777" w:rsidR="00E36553" w:rsidRPr="00135F6B" w:rsidRDefault="004E2EF9"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w:t>
            </w:r>
          </w:p>
        </w:tc>
        <w:tc>
          <w:tcPr>
            <w:tcW w:w="1417" w:type="dxa"/>
            <w:shd w:val="clear" w:color="auto" w:fill="FFFF00"/>
            <w:vAlign w:val="center"/>
          </w:tcPr>
          <w:p w14:paraId="7472D2C6" w14:textId="77777777" w:rsidR="00E36553" w:rsidRPr="00DC4303" w:rsidRDefault="004E2EF9"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w:t>
            </w:r>
          </w:p>
        </w:tc>
        <w:tc>
          <w:tcPr>
            <w:tcW w:w="1417" w:type="dxa"/>
            <w:shd w:val="clear" w:color="auto" w:fill="FFFFFF"/>
            <w:vAlign w:val="center"/>
          </w:tcPr>
          <w:p w14:paraId="740CF1DC"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230.6</w:t>
            </w:r>
          </w:p>
        </w:tc>
        <w:tc>
          <w:tcPr>
            <w:tcW w:w="1278" w:type="dxa"/>
            <w:shd w:val="clear" w:color="auto" w:fill="FFFFFF"/>
            <w:vAlign w:val="center"/>
          </w:tcPr>
          <w:p w14:paraId="2FA76F8C" w14:textId="77777777" w:rsidR="00E36553" w:rsidRPr="00AD66EB" w:rsidRDefault="00E36553" w:rsidP="00013C6F">
            <w:pPr>
              <w:ind w:left="-284" w:right="-2"/>
              <w:jc w:val="right"/>
              <w:rPr>
                <w:rFonts w:ascii="Calibri" w:eastAsia="Calibri" w:hAnsi="Calibri" w:cs="Calibri"/>
                <w:bCs/>
                <w:sz w:val="20"/>
                <w:szCs w:val="20"/>
                <w:lang w:eastAsia="en-IE"/>
              </w:rPr>
            </w:pPr>
            <w:r w:rsidRPr="00AD66EB">
              <w:rPr>
                <w:rFonts w:ascii="Calibri" w:eastAsia="Calibri" w:hAnsi="Calibri" w:cs="Calibri"/>
                <w:bCs/>
                <w:sz w:val="20"/>
                <w:szCs w:val="20"/>
                <w:lang w:eastAsia="en-IE"/>
              </w:rPr>
              <w:t>230.6</w:t>
            </w:r>
          </w:p>
        </w:tc>
      </w:tr>
      <w:tr w:rsidR="00E36553" w:rsidRPr="00135F6B" w14:paraId="2E352F55" w14:textId="77777777" w:rsidTr="00013C6F">
        <w:trPr>
          <w:trHeight w:val="232"/>
        </w:trPr>
        <w:tc>
          <w:tcPr>
            <w:tcW w:w="4820" w:type="dxa"/>
            <w:shd w:val="clear" w:color="auto" w:fill="FFFFFF"/>
            <w:vAlign w:val="center"/>
            <w:hideMark/>
          </w:tcPr>
          <w:p w14:paraId="5150725C"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Bonds</w:t>
            </w:r>
          </w:p>
        </w:tc>
        <w:tc>
          <w:tcPr>
            <w:tcW w:w="1417" w:type="dxa"/>
            <w:tcBorders>
              <w:bottom w:val="single" w:sz="8" w:space="0" w:color="auto"/>
            </w:tcBorders>
            <w:shd w:val="clear" w:color="auto" w:fill="FFFF00"/>
            <w:vAlign w:val="center"/>
          </w:tcPr>
          <w:p w14:paraId="164004B9" w14:textId="77777777" w:rsidR="00E36553" w:rsidRPr="00135F6B" w:rsidRDefault="00FA26A4"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w:t>
            </w:r>
          </w:p>
        </w:tc>
        <w:tc>
          <w:tcPr>
            <w:tcW w:w="1417" w:type="dxa"/>
            <w:tcBorders>
              <w:bottom w:val="single" w:sz="8" w:space="0" w:color="auto"/>
            </w:tcBorders>
            <w:shd w:val="clear" w:color="auto" w:fill="FFFF00"/>
            <w:vAlign w:val="center"/>
          </w:tcPr>
          <w:p w14:paraId="3101E3C2" w14:textId="77777777" w:rsidR="00E36553" w:rsidRPr="00DC4303" w:rsidRDefault="00FA26A4"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w:t>
            </w:r>
          </w:p>
        </w:tc>
        <w:tc>
          <w:tcPr>
            <w:tcW w:w="1417" w:type="dxa"/>
            <w:tcBorders>
              <w:bottom w:val="single" w:sz="8" w:space="0" w:color="auto"/>
            </w:tcBorders>
            <w:shd w:val="clear" w:color="auto" w:fill="FFFFFF"/>
            <w:vAlign w:val="center"/>
            <w:hideMark/>
          </w:tcPr>
          <w:p w14:paraId="308B45F2"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749.3</w:t>
            </w:r>
          </w:p>
        </w:tc>
        <w:tc>
          <w:tcPr>
            <w:tcW w:w="1278" w:type="dxa"/>
            <w:tcBorders>
              <w:bottom w:val="single" w:sz="8" w:space="0" w:color="auto"/>
            </w:tcBorders>
            <w:shd w:val="clear" w:color="auto" w:fill="FFFFFF"/>
            <w:vAlign w:val="center"/>
            <w:hideMark/>
          </w:tcPr>
          <w:p w14:paraId="6A071ECB"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744.3</w:t>
            </w:r>
          </w:p>
        </w:tc>
      </w:tr>
      <w:tr w:rsidR="00E36553" w:rsidRPr="00135F6B" w14:paraId="1969B19F" w14:textId="77777777" w:rsidTr="00013C6F">
        <w:trPr>
          <w:trHeight w:val="232"/>
        </w:trPr>
        <w:tc>
          <w:tcPr>
            <w:tcW w:w="4820" w:type="dxa"/>
            <w:shd w:val="clear" w:color="auto" w:fill="FFFFFF"/>
            <w:vAlign w:val="center"/>
          </w:tcPr>
          <w:p w14:paraId="4965A4B3" w14:textId="77777777" w:rsidR="00E36553" w:rsidRPr="00156BD0" w:rsidRDefault="00E36553" w:rsidP="00013C6F">
            <w:pPr>
              <w:ind w:right="-2" w:hanging="105"/>
              <w:rPr>
                <w:rFonts w:ascii="Calibri" w:hAnsi="Calibri" w:cs="Calibri"/>
                <w:color w:val="000000"/>
                <w:sz w:val="20"/>
                <w:szCs w:val="20"/>
                <w:lang w:eastAsia="en-IE"/>
              </w:rPr>
            </w:pPr>
          </w:p>
        </w:tc>
        <w:tc>
          <w:tcPr>
            <w:tcW w:w="1417" w:type="dxa"/>
            <w:tcBorders>
              <w:top w:val="single" w:sz="8" w:space="0" w:color="auto"/>
            </w:tcBorders>
            <w:shd w:val="clear" w:color="auto" w:fill="FFFF00"/>
            <w:vAlign w:val="center"/>
          </w:tcPr>
          <w:p w14:paraId="5B6C322E" w14:textId="77777777" w:rsidR="00E36553" w:rsidRPr="00861CB3" w:rsidRDefault="004E2EF9" w:rsidP="00013C6F">
            <w:pPr>
              <w:ind w:left="-284" w:right="-2"/>
              <w:jc w:val="right"/>
              <w:rPr>
                <w:rFonts w:ascii="Calibri" w:hAnsi="Calibri" w:cs="Calibri"/>
                <w:b/>
                <w:color w:val="000000"/>
                <w:sz w:val="20"/>
                <w:szCs w:val="20"/>
                <w:highlight w:val="green"/>
                <w:lang w:eastAsia="en-IE"/>
              </w:rPr>
            </w:pPr>
            <w:r w:rsidRPr="004E2EF9">
              <w:rPr>
                <w:rFonts w:ascii="Calibri" w:hAnsi="Calibri" w:cs="Calibri"/>
                <w:b/>
                <w:color w:val="000000"/>
                <w:sz w:val="20"/>
                <w:szCs w:val="20"/>
                <w:lang w:eastAsia="en-IE"/>
              </w:rPr>
              <w:t>3</w:t>
            </w:r>
            <w:r w:rsidR="00FA26A4">
              <w:rPr>
                <w:rFonts w:ascii="Calibri" w:hAnsi="Calibri" w:cs="Calibri"/>
                <w:b/>
                <w:color w:val="000000"/>
                <w:sz w:val="20"/>
                <w:szCs w:val="20"/>
                <w:lang w:eastAsia="en-IE"/>
              </w:rPr>
              <w:t>5.3</w:t>
            </w:r>
          </w:p>
        </w:tc>
        <w:tc>
          <w:tcPr>
            <w:tcW w:w="1417" w:type="dxa"/>
            <w:tcBorders>
              <w:top w:val="single" w:sz="8" w:space="0" w:color="auto"/>
            </w:tcBorders>
            <w:shd w:val="clear" w:color="auto" w:fill="FFFF00"/>
            <w:vAlign w:val="center"/>
          </w:tcPr>
          <w:p w14:paraId="60CDEFAB" w14:textId="77777777" w:rsidR="00E36553" w:rsidRPr="00DC4303" w:rsidRDefault="00FA26A4"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35.3</w:t>
            </w:r>
          </w:p>
        </w:tc>
        <w:tc>
          <w:tcPr>
            <w:tcW w:w="1417" w:type="dxa"/>
            <w:tcBorders>
              <w:top w:val="single" w:sz="8" w:space="0" w:color="auto"/>
            </w:tcBorders>
            <w:shd w:val="clear" w:color="auto" w:fill="FFFFFF"/>
            <w:vAlign w:val="center"/>
          </w:tcPr>
          <w:p w14:paraId="57704E9C"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1,056.7</w:t>
            </w:r>
          </w:p>
        </w:tc>
        <w:tc>
          <w:tcPr>
            <w:tcW w:w="1278" w:type="dxa"/>
            <w:tcBorders>
              <w:top w:val="single" w:sz="8" w:space="0" w:color="auto"/>
            </w:tcBorders>
            <w:shd w:val="clear" w:color="auto" w:fill="FFFFFF"/>
            <w:vAlign w:val="center"/>
          </w:tcPr>
          <w:p w14:paraId="0A848833"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1,051.7</w:t>
            </w:r>
          </w:p>
        </w:tc>
      </w:tr>
      <w:tr w:rsidR="00E36553" w:rsidRPr="00135F6B" w14:paraId="501C7AB0" w14:textId="77777777" w:rsidTr="00013C6F">
        <w:trPr>
          <w:trHeight w:val="232"/>
        </w:trPr>
        <w:tc>
          <w:tcPr>
            <w:tcW w:w="4820" w:type="dxa"/>
            <w:shd w:val="clear" w:color="auto" w:fill="FFFFFF"/>
            <w:vAlign w:val="center"/>
            <w:hideMark/>
          </w:tcPr>
          <w:p w14:paraId="06CFD0DF"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Trade payables*</w:t>
            </w:r>
          </w:p>
        </w:tc>
        <w:tc>
          <w:tcPr>
            <w:tcW w:w="1417" w:type="dxa"/>
            <w:shd w:val="clear" w:color="auto" w:fill="FFFF00"/>
            <w:vAlign w:val="center"/>
          </w:tcPr>
          <w:p w14:paraId="6D8C9FA6" w14:textId="77777777" w:rsidR="00E36553" w:rsidRPr="00854ED6" w:rsidRDefault="00D1667B" w:rsidP="00013C6F">
            <w:pPr>
              <w:ind w:left="-284" w:right="-2"/>
              <w:jc w:val="right"/>
              <w:rPr>
                <w:rFonts w:ascii="Calibri" w:hAnsi="Calibri" w:cs="Calibri"/>
                <w:b/>
                <w:color w:val="000000"/>
                <w:sz w:val="20"/>
                <w:szCs w:val="20"/>
                <w:highlight w:val="green"/>
                <w:lang w:eastAsia="en-IE"/>
              </w:rPr>
            </w:pPr>
            <w:r w:rsidRPr="00682230">
              <w:rPr>
                <w:rFonts w:ascii="Calibri" w:hAnsi="Calibri" w:cs="Calibri"/>
                <w:b/>
                <w:color w:val="000000"/>
                <w:sz w:val="20"/>
                <w:szCs w:val="20"/>
                <w:lang w:eastAsia="en-IE"/>
              </w:rPr>
              <w:t>982.3</w:t>
            </w:r>
          </w:p>
        </w:tc>
        <w:tc>
          <w:tcPr>
            <w:tcW w:w="1417" w:type="dxa"/>
            <w:shd w:val="clear" w:color="auto" w:fill="FFFF00"/>
            <w:vAlign w:val="center"/>
          </w:tcPr>
          <w:p w14:paraId="46D59CB0"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hideMark/>
          </w:tcPr>
          <w:p w14:paraId="0BE8EFAC"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1,065.5</w:t>
            </w:r>
          </w:p>
        </w:tc>
        <w:tc>
          <w:tcPr>
            <w:tcW w:w="1278" w:type="dxa"/>
            <w:shd w:val="clear" w:color="auto" w:fill="FFFFFF"/>
            <w:vAlign w:val="center"/>
            <w:hideMark/>
          </w:tcPr>
          <w:p w14:paraId="023F43E6" w14:textId="77777777" w:rsidR="00E36553" w:rsidRPr="00AD66EB" w:rsidRDefault="00E36553" w:rsidP="00013C6F">
            <w:pPr>
              <w:ind w:left="-284" w:right="-2"/>
              <w:jc w:val="right"/>
              <w:rPr>
                <w:rFonts w:ascii="Calibri" w:hAnsi="Calibri" w:cs="Calibri"/>
                <w:bCs/>
                <w:color w:val="000000"/>
                <w:sz w:val="20"/>
                <w:szCs w:val="20"/>
                <w:lang w:eastAsia="en-IE"/>
              </w:rPr>
            </w:pPr>
          </w:p>
        </w:tc>
      </w:tr>
      <w:tr w:rsidR="00E36553" w:rsidRPr="00135F6B" w14:paraId="71F95251" w14:textId="77777777" w:rsidTr="00013C6F">
        <w:trPr>
          <w:trHeight w:val="232"/>
        </w:trPr>
        <w:tc>
          <w:tcPr>
            <w:tcW w:w="4820" w:type="dxa"/>
            <w:shd w:val="clear" w:color="auto" w:fill="FFFFFF"/>
            <w:vAlign w:val="center"/>
            <w:hideMark/>
          </w:tcPr>
          <w:p w14:paraId="6F9B8B40"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Accrued expenses*</w:t>
            </w:r>
          </w:p>
        </w:tc>
        <w:tc>
          <w:tcPr>
            <w:tcW w:w="1417" w:type="dxa"/>
            <w:tcBorders>
              <w:top w:val="nil"/>
              <w:left w:val="nil"/>
              <w:bottom w:val="single" w:sz="8" w:space="0" w:color="auto"/>
              <w:right w:val="nil"/>
            </w:tcBorders>
            <w:shd w:val="clear" w:color="auto" w:fill="FFFF00"/>
          </w:tcPr>
          <w:p w14:paraId="3D3A1AE0" w14:textId="77777777" w:rsidR="00E36553" w:rsidRPr="00854ED6" w:rsidRDefault="00BA6B0D" w:rsidP="00013C6F">
            <w:pPr>
              <w:ind w:left="-284" w:right="-2"/>
              <w:jc w:val="right"/>
              <w:rPr>
                <w:rFonts w:ascii="Calibri" w:hAnsi="Calibri" w:cs="Calibri"/>
                <w:b/>
                <w:color w:val="000000"/>
                <w:sz w:val="20"/>
                <w:szCs w:val="20"/>
                <w:highlight w:val="green"/>
                <w:lang w:eastAsia="en-IE"/>
              </w:rPr>
            </w:pPr>
            <w:r w:rsidRPr="00682230">
              <w:rPr>
                <w:rFonts w:ascii="Calibri" w:hAnsi="Calibri" w:cs="Calibri"/>
                <w:b/>
                <w:color w:val="000000"/>
                <w:sz w:val="20"/>
                <w:szCs w:val="20"/>
                <w:lang w:eastAsia="en-IE"/>
              </w:rPr>
              <w:t>1,3</w:t>
            </w:r>
            <w:r w:rsidR="00546032" w:rsidRPr="00682230">
              <w:rPr>
                <w:rFonts w:ascii="Calibri" w:hAnsi="Calibri" w:cs="Calibri"/>
                <w:b/>
                <w:color w:val="000000"/>
                <w:sz w:val="20"/>
                <w:szCs w:val="20"/>
                <w:lang w:eastAsia="en-IE"/>
              </w:rPr>
              <w:t>6</w:t>
            </w:r>
            <w:r w:rsidR="00682230" w:rsidRPr="00682230">
              <w:rPr>
                <w:rFonts w:ascii="Calibri" w:hAnsi="Calibri" w:cs="Calibri"/>
                <w:b/>
                <w:color w:val="000000"/>
                <w:sz w:val="20"/>
                <w:szCs w:val="20"/>
                <w:lang w:eastAsia="en-IE"/>
              </w:rPr>
              <w:t>6.4</w:t>
            </w:r>
          </w:p>
        </w:tc>
        <w:tc>
          <w:tcPr>
            <w:tcW w:w="1417" w:type="dxa"/>
            <w:tcBorders>
              <w:top w:val="nil"/>
              <w:left w:val="nil"/>
              <w:bottom w:val="single" w:sz="8" w:space="0" w:color="auto"/>
              <w:right w:val="nil"/>
            </w:tcBorders>
            <w:shd w:val="clear" w:color="auto" w:fill="FFFF00"/>
            <w:vAlign w:val="center"/>
          </w:tcPr>
          <w:p w14:paraId="7925CA54" w14:textId="77777777" w:rsidR="00E36553" w:rsidRPr="00861CB3" w:rsidRDefault="00E36553" w:rsidP="00013C6F">
            <w:pPr>
              <w:ind w:left="-284" w:right="-2"/>
              <w:jc w:val="right"/>
              <w:rPr>
                <w:rFonts w:ascii="Calibri" w:eastAsia="Calibri" w:hAnsi="Calibri" w:cs="Calibri"/>
                <w:b/>
                <w:sz w:val="20"/>
                <w:szCs w:val="20"/>
                <w:highlight w:val="green"/>
                <w:lang w:eastAsia="en-IE"/>
              </w:rPr>
            </w:pPr>
          </w:p>
        </w:tc>
        <w:tc>
          <w:tcPr>
            <w:tcW w:w="1417" w:type="dxa"/>
            <w:tcBorders>
              <w:top w:val="nil"/>
              <w:left w:val="nil"/>
              <w:bottom w:val="single" w:sz="8" w:space="0" w:color="auto"/>
              <w:right w:val="nil"/>
            </w:tcBorders>
            <w:shd w:val="clear" w:color="auto" w:fill="FFFFFF"/>
            <w:vAlign w:val="center"/>
            <w:hideMark/>
          </w:tcPr>
          <w:p w14:paraId="39CFF93E"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1,276.6</w:t>
            </w:r>
          </w:p>
        </w:tc>
        <w:tc>
          <w:tcPr>
            <w:tcW w:w="1278" w:type="dxa"/>
            <w:tcBorders>
              <w:top w:val="nil"/>
              <w:left w:val="nil"/>
              <w:bottom w:val="single" w:sz="8" w:space="0" w:color="auto"/>
              <w:right w:val="nil"/>
            </w:tcBorders>
            <w:shd w:val="clear" w:color="auto" w:fill="FFFFFF"/>
            <w:vAlign w:val="center"/>
            <w:hideMark/>
          </w:tcPr>
          <w:p w14:paraId="7A999BC2" w14:textId="77777777" w:rsidR="00E36553" w:rsidRPr="00AD66EB" w:rsidRDefault="00E36553" w:rsidP="00013C6F">
            <w:pPr>
              <w:ind w:left="-284" w:right="-2"/>
              <w:jc w:val="right"/>
              <w:rPr>
                <w:rFonts w:ascii="Calibri" w:hAnsi="Calibri" w:cs="Calibri"/>
                <w:bCs/>
                <w:color w:val="000000"/>
                <w:sz w:val="20"/>
                <w:szCs w:val="20"/>
                <w:lang w:eastAsia="en-IE"/>
              </w:rPr>
            </w:pPr>
          </w:p>
        </w:tc>
      </w:tr>
      <w:tr w:rsidR="00E36553" w:rsidRPr="00135F6B" w14:paraId="5BC06FC1" w14:textId="77777777" w:rsidTr="00013C6F">
        <w:trPr>
          <w:trHeight w:val="232"/>
        </w:trPr>
        <w:tc>
          <w:tcPr>
            <w:tcW w:w="4820" w:type="dxa"/>
            <w:shd w:val="clear" w:color="auto" w:fill="FFFFFF"/>
            <w:vAlign w:val="center"/>
            <w:hideMark/>
          </w:tcPr>
          <w:p w14:paraId="04D7DC8C"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tcBorders>
              <w:top w:val="nil"/>
              <w:left w:val="nil"/>
              <w:bottom w:val="single" w:sz="8" w:space="0" w:color="auto"/>
              <w:right w:val="nil"/>
            </w:tcBorders>
            <w:shd w:val="clear" w:color="auto" w:fill="FFFF00"/>
          </w:tcPr>
          <w:p w14:paraId="6834A8B8" w14:textId="77777777" w:rsidR="00E36553" w:rsidRPr="00BE580D" w:rsidRDefault="00BA6B0D" w:rsidP="00013C6F">
            <w:pPr>
              <w:ind w:left="-284" w:right="-2"/>
              <w:jc w:val="right"/>
              <w:rPr>
                <w:rFonts w:ascii="Calibri" w:hAnsi="Calibri" w:cs="Calibri"/>
                <w:b/>
                <w:bCs/>
                <w:color w:val="000000"/>
                <w:sz w:val="20"/>
                <w:szCs w:val="20"/>
                <w:lang w:eastAsia="en-IE"/>
              </w:rPr>
            </w:pPr>
            <w:r w:rsidRPr="00BE580D">
              <w:rPr>
                <w:rFonts w:ascii="Calibri" w:hAnsi="Calibri" w:cs="Calibri"/>
                <w:b/>
                <w:bCs/>
                <w:color w:val="000000"/>
                <w:sz w:val="20"/>
                <w:szCs w:val="20"/>
                <w:lang w:eastAsia="en-IE"/>
              </w:rPr>
              <w:t>2,</w:t>
            </w:r>
            <w:r w:rsidR="00546032" w:rsidRPr="00BE580D">
              <w:rPr>
                <w:rFonts w:ascii="Calibri" w:hAnsi="Calibri" w:cs="Calibri"/>
                <w:b/>
                <w:bCs/>
                <w:color w:val="000000"/>
                <w:sz w:val="20"/>
                <w:szCs w:val="20"/>
                <w:lang w:eastAsia="en-IE"/>
              </w:rPr>
              <w:t>44</w:t>
            </w:r>
            <w:r w:rsidR="00BE580D" w:rsidRPr="00BE580D">
              <w:rPr>
                <w:rFonts w:ascii="Calibri" w:hAnsi="Calibri" w:cs="Calibri"/>
                <w:b/>
                <w:bCs/>
                <w:color w:val="000000"/>
                <w:sz w:val="20"/>
                <w:szCs w:val="20"/>
                <w:lang w:eastAsia="en-IE"/>
              </w:rPr>
              <w:t>8.8</w:t>
            </w:r>
          </w:p>
        </w:tc>
        <w:tc>
          <w:tcPr>
            <w:tcW w:w="1417" w:type="dxa"/>
            <w:tcBorders>
              <w:top w:val="nil"/>
              <w:left w:val="nil"/>
              <w:bottom w:val="single" w:sz="8" w:space="0" w:color="auto"/>
              <w:right w:val="nil"/>
            </w:tcBorders>
            <w:shd w:val="clear" w:color="auto" w:fill="FFFF00"/>
            <w:vAlign w:val="center"/>
          </w:tcPr>
          <w:p w14:paraId="47398E15" w14:textId="77777777" w:rsidR="00E36553" w:rsidRPr="003F1464" w:rsidRDefault="00D1667B" w:rsidP="00013C6F">
            <w:pPr>
              <w:ind w:left="-284" w:right="-2"/>
              <w:jc w:val="right"/>
              <w:rPr>
                <w:rFonts w:ascii="Calibri" w:hAnsi="Calibri" w:cs="Calibri"/>
                <w:b/>
                <w:bCs/>
                <w:color w:val="000000"/>
                <w:sz w:val="20"/>
                <w:szCs w:val="20"/>
                <w:highlight w:val="green"/>
                <w:lang w:eastAsia="en-IE"/>
              </w:rPr>
            </w:pPr>
            <w:r w:rsidRPr="00D1667B">
              <w:rPr>
                <w:rFonts w:ascii="Calibri" w:hAnsi="Calibri" w:cs="Calibri"/>
                <w:b/>
                <w:bCs/>
                <w:color w:val="000000"/>
                <w:sz w:val="20"/>
                <w:szCs w:val="20"/>
                <w:lang w:eastAsia="en-IE"/>
              </w:rPr>
              <w:t>100.1</w:t>
            </w:r>
          </w:p>
        </w:tc>
        <w:tc>
          <w:tcPr>
            <w:tcW w:w="1417" w:type="dxa"/>
            <w:tcBorders>
              <w:top w:val="nil"/>
              <w:left w:val="nil"/>
              <w:bottom w:val="single" w:sz="8" w:space="0" w:color="auto"/>
              <w:right w:val="nil"/>
            </w:tcBorders>
            <w:shd w:val="clear" w:color="auto" w:fill="FFFFFF"/>
            <w:vAlign w:val="center"/>
            <w:hideMark/>
          </w:tcPr>
          <w:p w14:paraId="060CA369"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3,785.4</w:t>
            </w:r>
          </w:p>
        </w:tc>
        <w:tc>
          <w:tcPr>
            <w:tcW w:w="1278" w:type="dxa"/>
            <w:tcBorders>
              <w:top w:val="nil"/>
              <w:left w:val="nil"/>
              <w:bottom w:val="single" w:sz="8" w:space="0" w:color="auto"/>
              <w:right w:val="nil"/>
            </w:tcBorders>
            <w:shd w:val="clear" w:color="auto" w:fill="FFFFFF"/>
            <w:vAlign w:val="center"/>
            <w:hideMark/>
          </w:tcPr>
          <w:p w14:paraId="2DE59636"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1,438.3</w:t>
            </w:r>
          </w:p>
        </w:tc>
      </w:tr>
      <w:tr w:rsidR="00E36553" w:rsidRPr="00135F6B" w14:paraId="2B82E971" w14:textId="77777777" w:rsidTr="00013C6F">
        <w:trPr>
          <w:trHeight w:val="232"/>
        </w:trPr>
        <w:tc>
          <w:tcPr>
            <w:tcW w:w="4820" w:type="dxa"/>
            <w:shd w:val="clear" w:color="auto" w:fill="FFFFFF"/>
            <w:vAlign w:val="center"/>
            <w:hideMark/>
          </w:tcPr>
          <w:p w14:paraId="008C2CAA"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Total financial liabilities</w:t>
            </w:r>
          </w:p>
        </w:tc>
        <w:tc>
          <w:tcPr>
            <w:tcW w:w="1417" w:type="dxa"/>
            <w:tcBorders>
              <w:top w:val="single" w:sz="8" w:space="0" w:color="auto"/>
              <w:left w:val="nil"/>
              <w:bottom w:val="single" w:sz="12" w:space="0" w:color="auto"/>
              <w:right w:val="nil"/>
            </w:tcBorders>
            <w:shd w:val="clear" w:color="auto" w:fill="FFFF00"/>
          </w:tcPr>
          <w:p w14:paraId="1C9A184D" w14:textId="77777777" w:rsidR="00E36553" w:rsidRPr="00BE580D" w:rsidRDefault="00BA6B0D" w:rsidP="00013C6F">
            <w:pPr>
              <w:ind w:left="-284" w:right="-2"/>
              <w:jc w:val="right"/>
              <w:rPr>
                <w:rFonts w:ascii="Calibri" w:hAnsi="Calibri" w:cs="Calibri"/>
                <w:b/>
                <w:bCs/>
                <w:color w:val="000000"/>
                <w:sz w:val="20"/>
                <w:szCs w:val="20"/>
                <w:lang w:eastAsia="en-IE"/>
              </w:rPr>
            </w:pPr>
            <w:r w:rsidRPr="00BE580D">
              <w:rPr>
                <w:rFonts w:ascii="Calibri" w:hAnsi="Calibri" w:cs="Calibri"/>
                <w:b/>
                <w:bCs/>
                <w:color w:val="000000"/>
                <w:sz w:val="20"/>
                <w:szCs w:val="20"/>
                <w:lang w:eastAsia="en-IE"/>
              </w:rPr>
              <w:t>5,0</w:t>
            </w:r>
            <w:r w:rsidR="00546032" w:rsidRPr="00BE580D">
              <w:rPr>
                <w:rFonts w:ascii="Calibri" w:hAnsi="Calibri" w:cs="Calibri"/>
                <w:b/>
                <w:bCs/>
                <w:color w:val="000000"/>
                <w:sz w:val="20"/>
                <w:szCs w:val="20"/>
                <w:lang w:eastAsia="en-IE"/>
              </w:rPr>
              <w:t>2</w:t>
            </w:r>
            <w:r w:rsidR="00BE580D" w:rsidRPr="00BE580D">
              <w:rPr>
                <w:rFonts w:ascii="Calibri" w:hAnsi="Calibri" w:cs="Calibri"/>
                <w:b/>
                <w:bCs/>
                <w:color w:val="000000"/>
                <w:sz w:val="20"/>
                <w:szCs w:val="20"/>
                <w:lang w:eastAsia="en-IE"/>
              </w:rPr>
              <w:t>6.7</w:t>
            </w:r>
          </w:p>
        </w:tc>
        <w:tc>
          <w:tcPr>
            <w:tcW w:w="1417" w:type="dxa"/>
            <w:tcBorders>
              <w:top w:val="single" w:sz="8" w:space="0" w:color="auto"/>
              <w:left w:val="nil"/>
              <w:bottom w:val="single" w:sz="12" w:space="0" w:color="auto"/>
              <w:right w:val="nil"/>
            </w:tcBorders>
            <w:shd w:val="clear" w:color="auto" w:fill="FFFF00"/>
            <w:vAlign w:val="center"/>
          </w:tcPr>
          <w:p w14:paraId="5EA311B2" w14:textId="77777777" w:rsidR="00E36553" w:rsidRPr="003F1464" w:rsidRDefault="00D1667B" w:rsidP="00013C6F">
            <w:pPr>
              <w:ind w:left="-284" w:right="-2"/>
              <w:jc w:val="right"/>
              <w:rPr>
                <w:rFonts w:ascii="Calibri" w:hAnsi="Calibri" w:cs="Calibri"/>
                <w:b/>
                <w:bCs/>
                <w:color w:val="000000"/>
                <w:sz w:val="20"/>
                <w:szCs w:val="20"/>
                <w:highlight w:val="green"/>
                <w:lang w:eastAsia="en-IE"/>
              </w:rPr>
            </w:pPr>
            <w:r w:rsidRPr="00D1667B">
              <w:rPr>
                <w:rFonts w:ascii="Calibri" w:hAnsi="Calibri" w:cs="Calibri"/>
                <w:b/>
                <w:bCs/>
                <w:color w:val="000000"/>
                <w:sz w:val="20"/>
                <w:szCs w:val="20"/>
                <w:lang w:eastAsia="en-IE"/>
              </w:rPr>
              <w:t>2,566.7</w:t>
            </w:r>
          </w:p>
        </w:tc>
        <w:tc>
          <w:tcPr>
            <w:tcW w:w="1417" w:type="dxa"/>
            <w:tcBorders>
              <w:top w:val="single" w:sz="8" w:space="0" w:color="auto"/>
              <w:left w:val="nil"/>
              <w:bottom w:val="single" w:sz="12" w:space="0" w:color="auto"/>
              <w:right w:val="nil"/>
            </w:tcBorders>
            <w:shd w:val="clear" w:color="auto" w:fill="FFFFFF"/>
            <w:vAlign w:val="center"/>
            <w:hideMark/>
          </w:tcPr>
          <w:p w14:paraId="30EAC932"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6,649.8</w:t>
            </w:r>
          </w:p>
        </w:tc>
        <w:tc>
          <w:tcPr>
            <w:tcW w:w="1278" w:type="dxa"/>
            <w:tcBorders>
              <w:top w:val="single" w:sz="8" w:space="0" w:color="auto"/>
              <w:left w:val="nil"/>
              <w:bottom w:val="single" w:sz="12" w:space="0" w:color="auto"/>
              <w:right w:val="nil"/>
            </w:tcBorders>
            <w:shd w:val="clear" w:color="auto" w:fill="FFFFFF"/>
            <w:vAlign w:val="center"/>
            <w:hideMark/>
          </w:tcPr>
          <w:p w14:paraId="3A355822"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4,190.2</w:t>
            </w:r>
          </w:p>
        </w:tc>
      </w:tr>
      <w:bookmarkEnd w:id="20"/>
    </w:tbl>
    <w:p w14:paraId="58426CC4" w14:textId="77777777" w:rsidR="001B6BEE" w:rsidRPr="001B6BEE" w:rsidRDefault="001B6BEE">
      <w:pPr>
        <w:rPr>
          <w:sz w:val="8"/>
          <w:szCs w:val="8"/>
        </w:rPr>
      </w:pPr>
    </w:p>
    <w:p w14:paraId="07537772" w14:textId="77777777" w:rsidR="00D04268" w:rsidRPr="0081763F" w:rsidRDefault="00D04268" w:rsidP="00370D1D">
      <w:pPr>
        <w:spacing w:after="240" w:line="300" w:lineRule="exact"/>
        <w:ind w:right="-2"/>
        <w:jc w:val="both"/>
        <w:rPr>
          <w:rFonts w:ascii="Calibri" w:hAnsi="Calibri" w:cs="Calibri"/>
          <w:i/>
          <w:sz w:val="18"/>
          <w:szCs w:val="18"/>
        </w:rPr>
      </w:pPr>
      <w:r w:rsidRPr="0081763F">
        <w:rPr>
          <w:rFonts w:ascii="Calibri" w:hAnsi="Calibri" w:cs="Calibri"/>
          <w:i/>
          <w:sz w:val="18"/>
          <w:szCs w:val="18"/>
        </w:rPr>
        <w:t>*The fair value of each of these financial instruments approximate their carrying values due to the short-term nature of the instruments</w:t>
      </w:r>
      <w:r w:rsidR="00FC5F2C">
        <w:rPr>
          <w:rFonts w:ascii="Calibri" w:hAnsi="Calibri" w:cs="Calibri"/>
          <w:i/>
          <w:sz w:val="18"/>
          <w:szCs w:val="18"/>
        </w:rPr>
        <w:t>.</w:t>
      </w:r>
    </w:p>
    <w:p w14:paraId="2819F488" w14:textId="77777777" w:rsidR="00370D1D" w:rsidRPr="0081763F" w:rsidRDefault="00370D1D" w:rsidP="006B5B97">
      <w:pPr>
        <w:widowControl w:val="0"/>
        <w:ind w:left="-284" w:right="-428" w:firstLine="284"/>
        <w:jc w:val="both"/>
        <w:rPr>
          <w:rFonts w:ascii="Calibri" w:eastAsia="Calibri" w:hAnsi="Calibri" w:cs="Calibri"/>
          <w:sz w:val="18"/>
          <w:szCs w:val="18"/>
          <w:lang w:eastAsia="en-IE"/>
        </w:rPr>
      </w:pPr>
      <w:r w:rsidRPr="0081763F">
        <w:rPr>
          <w:rFonts w:ascii="Calibri" w:eastAsia="Calibri" w:hAnsi="Calibri" w:cs="Calibri"/>
          <w:sz w:val="18"/>
          <w:szCs w:val="18"/>
          <w:lang w:eastAsia="en-IE"/>
        </w:rPr>
        <w:t>**</w:t>
      </w:r>
      <w:r w:rsidRPr="0081763F">
        <w:rPr>
          <w:rFonts w:ascii="Calibri" w:hAnsi="Calibri" w:cs="Calibri"/>
          <w:i/>
          <w:iCs/>
          <w:color w:val="000000"/>
          <w:sz w:val="18"/>
          <w:szCs w:val="18"/>
        </w:rPr>
        <w:t xml:space="preserve">During the </w:t>
      </w:r>
      <w:r w:rsidR="00502376">
        <w:rPr>
          <w:rFonts w:ascii="Calibri" w:hAnsi="Calibri" w:cs="Calibri"/>
          <w:i/>
          <w:iCs/>
          <w:color w:val="000000"/>
          <w:sz w:val="18"/>
          <w:szCs w:val="18"/>
        </w:rPr>
        <w:t>half-year ended September 30, 2023,</w:t>
      </w:r>
      <w:r w:rsidRPr="0081763F">
        <w:rPr>
          <w:rFonts w:ascii="Calibri" w:hAnsi="Calibri" w:cs="Calibri"/>
          <w:i/>
          <w:iCs/>
          <w:color w:val="000000"/>
          <w:sz w:val="18"/>
          <w:szCs w:val="18"/>
        </w:rPr>
        <w:t xml:space="preserve"> €0.2BN promissory notes were settled.</w:t>
      </w:r>
    </w:p>
    <w:p w14:paraId="06C6CE04" w14:textId="77777777" w:rsidR="006B5B97" w:rsidRPr="0081763F" w:rsidRDefault="006B5B97" w:rsidP="006B5B97">
      <w:pPr>
        <w:pStyle w:val="Outline3L1"/>
        <w:numPr>
          <w:ilvl w:val="0"/>
          <w:numId w:val="0"/>
        </w:numPr>
        <w:spacing w:after="0"/>
        <w:rPr>
          <w:rFonts w:ascii="Calibri" w:hAnsi="Calibri" w:cs="Calibri"/>
          <w:sz w:val="22"/>
          <w:szCs w:val="18"/>
        </w:rPr>
      </w:pPr>
      <w:bookmarkStart w:id="21" w:name="_Hlk132204436"/>
    </w:p>
    <w:bookmarkEnd w:id="21"/>
    <w:p w14:paraId="13DA234E" w14:textId="77777777" w:rsidR="006B5B97" w:rsidRPr="0081763F" w:rsidRDefault="006B5B97" w:rsidP="00DB0428">
      <w:pPr>
        <w:ind w:right="-142"/>
        <w:jc w:val="both"/>
        <w:rPr>
          <w:rFonts w:ascii="Calibri" w:hAnsi="Calibri" w:cs="Calibri"/>
          <w:sz w:val="22"/>
          <w:szCs w:val="22"/>
          <w:lang w:val="en-US"/>
        </w:rPr>
      </w:pPr>
      <w:r w:rsidRPr="0081763F">
        <w:rPr>
          <w:rFonts w:ascii="Calibri" w:hAnsi="Calibri" w:cs="Calibri"/>
          <w:color w:val="333333"/>
          <w:sz w:val="22"/>
          <w:szCs w:val="22"/>
          <w:shd w:val="clear" w:color="auto" w:fill="FFFFFF"/>
        </w:rPr>
        <w:t xml:space="preserve">During </w:t>
      </w:r>
      <w:proofErr w:type="gramStart"/>
      <w:r w:rsidRPr="0081763F">
        <w:rPr>
          <w:rFonts w:ascii="Calibri" w:hAnsi="Calibri" w:cs="Calibri"/>
          <w:color w:val="333333"/>
          <w:sz w:val="22"/>
          <w:szCs w:val="22"/>
          <w:shd w:val="clear" w:color="auto" w:fill="FFFFFF"/>
        </w:rPr>
        <w:t>May 2023</w:t>
      </w:r>
      <w:proofErr w:type="gramEnd"/>
      <w:r w:rsidRPr="0081763F">
        <w:rPr>
          <w:rFonts w:ascii="Calibri" w:hAnsi="Calibri" w:cs="Calibri"/>
          <w:color w:val="333333"/>
          <w:sz w:val="22"/>
          <w:szCs w:val="22"/>
          <w:shd w:val="clear" w:color="auto" w:fill="FFFFFF"/>
        </w:rPr>
        <w:t xml:space="preserve"> the Group converted its unsecured €750m syndicated term loan into a revolving credit facility (at a lower margin) with an extended maturity to May 2028 (previously 2024). </w:t>
      </w:r>
      <w:r w:rsidRPr="0081763F">
        <w:rPr>
          <w:rFonts w:ascii="Calibri" w:hAnsi="Calibri" w:cs="Calibri"/>
          <w:sz w:val="22"/>
          <w:szCs w:val="22"/>
        </w:rPr>
        <w:t xml:space="preserve">During </w:t>
      </w:r>
      <w:proofErr w:type="gramStart"/>
      <w:r w:rsidRPr="0081763F">
        <w:rPr>
          <w:rFonts w:ascii="Calibri" w:hAnsi="Calibri" w:cs="Calibri"/>
          <w:sz w:val="22"/>
          <w:szCs w:val="22"/>
        </w:rPr>
        <w:t>August 2023</w:t>
      </w:r>
      <w:proofErr w:type="gramEnd"/>
      <w:r w:rsidRPr="0081763F">
        <w:rPr>
          <w:rFonts w:ascii="Calibri" w:hAnsi="Calibri" w:cs="Calibri"/>
          <w:sz w:val="22"/>
          <w:szCs w:val="22"/>
        </w:rPr>
        <w:t xml:space="preserve"> the Group repaid a maturing €750M </w:t>
      </w:r>
      <w:r w:rsidRPr="003B0423">
        <w:rPr>
          <w:rFonts w:ascii="Calibri" w:hAnsi="Calibri" w:cs="Calibri"/>
          <w:sz w:val="22"/>
          <w:szCs w:val="22"/>
        </w:rPr>
        <w:t>bond</w:t>
      </w:r>
      <w:r w:rsidR="00E94A24" w:rsidRPr="003B0423">
        <w:rPr>
          <w:rFonts w:ascii="Calibri" w:hAnsi="Calibri" w:cs="Calibri"/>
          <w:sz w:val="22"/>
          <w:szCs w:val="22"/>
        </w:rPr>
        <w:t xml:space="preserve"> and paid down €260M of its revolving credit facility</w:t>
      </w:r>
      <w:r w:rsidRPr="003B0423">
        <w:rPr>
          <w:rFonts w:ascii="Calibri" w:hAnsi="Calibri" w:cs="Calibri"/>
          <w:sz w:val="22"/>
          <w:szCs w:val="22"/>
        </w:rPr>
        <w:t>.</w:t>
      </w:r>
    </w:p>
    <w:p w14:paraId="3289357D" w14:textId="77777777" w:rsidR="006B5B97" w:rsidRPr="0081763F" w:rsidRDefault="006B5B97" w:rsidP="006B5B97">
      <w:pPr>
        <w:rPr>
          <w:lang w:val="en-US"/>
        </w:rPr>
      </w:pPr>
    </w:p>
    <w:p w14:paraId="54D5C132" w14:textId="77777777" w:rsidR="00554AC2" w:rsidRPr="0081763F" w:rsidRDefault="00097571" w:rsidP="009C5CA5">
      <w:pPr>
        <w:ind w:right="-143"/>
        <w:jc w:val="both"/>
        <w:rPr>
          <w:rFonts w:ascii="Calibri" w:hAnsi="Calibri" w:cs="Calibri"/>
          <w:b/>
          <w:sz w:val="22"/>
          <w:szCs w:val="22"/>
        </w:rPr>
      </w:pPr>
      <w:r w:rsidRPr="0081763F">
        <w:rPr>
          <w:rFonts w:ascii="Calibri" w:hAnsi="Calibri" w:cs="Calibri"/>
          <w:b/>
          <w:sz w:val="22"/>
          <w:szCs w:val="22"/>
        </w:rPr>
        <w:t>1</w:t>
      </w:r>
      <w:r w:rsidR="00AF34EE" w:rsidRPr="0081763F">
        <w:rPr>
          <w:rFonts w:ascii="Calibri" w:hAnsi="Calibri" w:cs="Calibri"/>
          <w:b/>
          <w:sz w:val="22"/>
          <w:szCs w:val="22"/>
        </w:rPr>
        <w:t>1</w:t>
      </w:r>
      <w:r w:rsidRPr="0081763F">
        <w:rPr>
          <w:rFonts w:ascii="Calibri" w:hAnsi="Calibri" w:cs="Calibri"/>
          <w:b/>
          <w:sz w:val="22"/>
          <w:szCs w:val="22"/>
        </w:rPr>
        <w:t xml:space="preserve">. </w:t>
      </w:r>
      <w:r w:rsidRPr="0081763F">
        <w:rPr>
          <w:rFonts w:ascii="Calibri" w:hAnsi="Calibri" w:cs="Calibri"/>
          <w:b/>
          <w:sz w:val="22"/>
          <w:szCs w:val="22"/>
        </w:rPr>
        <w:tab/>
      </w:r>
      <w:r w:rsidR="00AA6714" w:rsidRPr="0081763F">
        <w:rPr>
          <w:rFonts w:ascii="Calibri" w:hAnsi="Calibri" w:cs="Calibri"/>
          <w:b/>
          <w:sz w:val="22"/>
          <w:szCs w:val="22"/>
        </w:rPr>
        <w:t>Shareholders</w:t>
      </w:r>
      <w:r w:rsidR="008519CB" w:rsidRPr="0081763F">
        <w:rPr>
          <w:rFonts w:ascii="Calibri" w:hAnsi="Calibri" w:cs="Calibri"/>
          <w:b/>
          <w:sz w:val="22"/>
          <w:szCs w:val="22"/>
        </w:rPr>
        <w:t>’</w:t>
      </w:r>
      <w:r w:rsidR="00AA6714" w:rsidRPr="0081763F">
        <w:rPr>
          <w:rFonts w:ascii="Calibri" w:hAnsi="Calibri" w:cs="Calibri"/>
          <w:b/>
          <w:sz w:val="22"/>
          <w:szCs w:val="22"/>
        </w:rPr>
        <w:t xml:space="preserve"> equity and shareholder</w:t>
      </w:r>
      <w:r w:rsidR="00264E71" w:rsidRPr="0081763F">
        <w:rPr>
          <w:rFonts w:ascii="Calibri" w:hAnsi="Calibri" w:cs="Calibri"/>
          <w:b/>
          <w:sz w:val="22"/>
          <w:szCs w:val="22"/>
        </w:rPr>
        <w:t>s’</w:t>
      </w:r>
      <w:r w:rsidR="00AA6714" w:rsidRPr="0081763F">
        <w:rPr>
          <w:rFonts w:ascii="Calibri" w:hAnsi="Calibri" w:cs="Calibri"/>
          <w:b/>
          <w:sz w:val="22"/>
          <w:szCs w:val="22"/>
        </w:rPr>
        <w:t xml:space="preserve"> returns</w:t>
      </w:r>
    </w:p>
    <w:p w14:paraId="27616B44" w14:textId="77777777" w:rsidR="00984744" w:rsidRPr="0081763F" w:rsidRDefault="00984744" w:rsidP="009C5CA5">
      <w:pPr>
        <w:pStyle w:val="NormalWeb"/>
        <w:spacing w:before="0" w:beforeAutospacing="0" w:after="0" w:afterAutospacing="0"/>
        <w:ind w:right="-143"/>
        <w:jc w:val="both"/>
        <w:rPr>
          <w:rFonts w:ascii="Calibri" w:hAnsi="Calibri" w:cs="Calibri"/>
          <w:color w:val="000000"/>
          <w:sz w:val="22"/>
          <w:szCs w:val="22"/>
        </w:rPr>
      </w:pPr>
    </w:p>
    <w:p w14:paraId="5F5CC9D9" w14:textId="77777777" w:rsidR="00097571" w:rsidRPr="0081763F" w:rsidRDefault="00717D05" w:rsidP="009C5CA5">
      <w:pPr>
        <w:pStyle w:val="NormalWeb"/>
        <w:spacing w:before="0" w:beforeAutospacing="0" w:after="0" w:afterAutospacing="0"/>
        <w:ind w:right="-143"/>
        <w:jc w:val="both"/>
        <w:rPr>
          <w:rFonts w:ascii="Calibri" w:hAnsi="Calibri" w:cs="Calibri"/>
          <w:color w:val="000000"/>
          <w:sz w:val="22"/>
          <w:szCs w:val="22"/>
        </w:rPr>
      </w:pPr>
      <w:r w:rsidRPr="00F31EF1">
        <w:rPr>
          <w:rFonts w:ascii="Calibri" w:hAnsi="Calibri" w:cs="Calibri"/>
          <w:color w:val="000000"/>
          <w:sz w:val="22"/>
          <w:szCs w:val="22"/>
        </w:rPr>
        <w:t xml:space="preserve">During the </w:t>
      </w:r>
      <w:r w:rsidR="003262C4" w:rsidRPr="00F31EF1">
        <w:rPr>
          <w:rFonts w:ascii="Calibri" w:hAnsi="Calibri" w:cs="Calibri"/>
          <w:color w:val="000000"/>
          <w:sz w:val="22"/>
          <w:szCs w:val="22"/>
        </w:rPr>
        <w:t>half-year ended September 30, 202</w:t>
      </w:r>
      <w:r w:rsidR="00AF34EE" w:rsidRPr="00F31EF1">
        <w:rPr>
          <w:rFonts w:ascii="Calibri" w:hAnsi="Calibri" w:cs="Calibri"/>
          <w:color w:val="000000"/>
          <w:sz w:val="22"/>
          <w:szCs w:val="22"/>
        </w:rPr>
        <w:t>3</w:t>
      </w:r>
      <w:r w:rsidR="0058230A">
        <w:rPr>
          <w:rFonts w:ascii="Calibri" w:hAnsi="Calibri" w:cs="Calibri"/>
          <w:color w:val="000000"/>
          <w:sz w:val="22"/>
          <w:szCs w:val="22"/>
        </w:rPr>
        <w:t>,</w:t>
      </w:r>
      <w:r w:rsidRPr="00F31EF1">
        <w:rPr>
          <w:rFonts w:ascii="Calibri" w:hAnsi="Calibri" w:cs="Calibri"/>
          <w:color w:val="000000"/>
          <w:sz w:val="22"/>
          <w:szCs w:val="22"/>
        </w:rPr>
        <w:t xml:space="preserve"> </w:t>
      </w:r>
      <w:r w:rsidR="0084083C" w:rsidRPr="00F31EF1">
        <w:rPr>
          <w:rFonts w:ascii="Calibri" w:hAnsi="Calibri" w:cs="Calibri"/>
          <w:color w:val="000000"/>
          <w:sz w:val="22"/>
          <w:szCs w:val="22"/>
        </w:rPr>
        <w:t>0.3</w:t>
      </w:r>
      <w:r w:rsidRPr="00F31EF1">
        <w:rPr>
          <w:rFonts w:ascii="Calibri" w:hAnsi="Calibri" w:cs="Calibri"/>
          <w:color w:val="000000"/>
          <w:sz w:val="22"/>
          <w:szCs w:val="22"/>
        </w:rPr>
        <w:t xml:space="preserve">M ordinary shares were issued at </w:t>
      </w:r>
      <w:r w:rsidR="0084083C" w:rsidRPr="00F31EF1">
        <w:rPr>
          <w:rFonts w:ascii="Calibri" w:hAnsi="Calibri" w:cs="Calibri"/>
          <w:color w:val="000000"/>
          <w:sz w:val="22"/>
          <w:szCs w:val="22"/>
        </w:rPr>
        <w:t xml:space="preserve">a </w:t>
      </w:r>
      <w:r w:rsidRPr="00F31EF1">
        <w:rPr>
          <w:rFonts w:ascii="Calibri" w:hAnsi="Calibri" w:cs="Calibri"/>
          <w:color w:val="000000"/>
          <w:sz w:val="22"/>
          <w:szCs w:val="22"/>
        </w:rPr>
        <w:t>strike price</w:t>
      </w:r>
      <w:r w:rsidR="0084083C" w:rsidRPr="00F31EF1">
        <w:rPr>
          <w:rFonts w:ascii="Calibri" w:hAnsi="Calibri" w:cs="Calibri"/>
          <w:color w:val="000000"/>
          <w:sz w:val="22"/>
          <w:szCs w:val="22"/>
        </w:rPr>
        <w:t xml:space="preserve"> of</w:t>
      </w:r>
      <w:r w:rsidRPr="00F31EF1">
        <w:rPr>
          <w:rFonts w:ascii="Calibri" w:hAnsi="Calibri" w:cs="Calibri"/>
          <w:color w:val="000000"/>
          <w:sz w:val="22"/>
          <w:szCs w:val="22"/>
        </w:rPr>
        <w:t xml:space="preserve"> </w:t>
      </w:r>
      <w:r w:rsidR="003A4569" w:rsidRPr="00F31EF1">
        <w:rPr>
          <w:rFonts w:ascii="Calibri" w:hAnsi="Calibri" w:cs="Calibri"/>
          <w:color w:val="000000"/>
          <w:sz w:val="22"/>
          <w:szCs w:val="22"/>
        </w:rPr>
        <w:t>€</w:t>
      </w:r>
      <w:r w:rsidR="0084083C" w:rsidRPr="00F31EF1">
        <w:rPr>
          <w:rFonts w:ascii="Calibri" w:hAnsi="Calibri" w:cs="Calibri"/>
          <w:color w:val="000000"/>
          <w:sz w:val="22"/>
          <w:szCs w:val="22"/>
        </w:rPr>
        <w:t>12</w:t>
      </w:r>
      <w:r w:rsidR="003A4569" w:rsidRPr="00F31EF1">
        <w:rPr>
          <w:rFonts w:ascii="Calibri" w:hAnsi="Calibri" w:cs="Calibri"/>
          <w:color w:val="000000"/>
          <w:sz w:val="22"/>
          <w:szCs w:val="22"/>
        </w:rPr>
        <w:t xml:space="preserve"> </w:t>
      </w:r>
      <w:r w:rsidRPr="00F31EF1">
        <w:rPr>
          <w:rFonts w:ascii="Calibri" w:hAnsi="Calibri" w:cs="Calibri"/>
          <w:color w:val="000000"/>
          <w:sz w:val="22"/>
          <w:szCs w:val="22"/>
        </w:rPr>
        <w:t xml:space="preserve">per share following the exercise of vested </w:t>
      </w:r>
      <w:r w:rsidR="00E94A24">
        <w:rPr>
          <w:rFonts w:ascii="Calibri" w:hAnsi="Calibri" w:cs="Calibri"/>
          <w:color w:val="000000"/>
          <w:sz w:val="22"/>
          <w:szCs w:val="22"/>
        </w:rPr>
        <w:t xml:space="preserve">share </w:t>
      </w:r>
      <w:r w:rsidRPr="00F31EF1">
        <w:rPr>
          <w:rFonts w:ascii="Calibri" w:hAnsi="Calibri" w:cs="Calibri"/>
          <w:color w:val="000000"/>
          <w:sz w:val="22"/>
          <w:szCs w:val="22"/>
        </w:rPr>
        <w:t>options</w:t>
      </w:r>
      <w:r w:rsidR="00C81442" w:rsidRPr="00F31EF1">
        <w:rPr>
          <w:rFonts w:ascii="Calibri" w:hAnsi="Calibri" w:cs="Calibri"/>
          <w:color w:val="000000"/>
          <w:sz w:val="22"/>
          <w:szCs w:val="22"/>
        </w:rPr>
        <w:t xml:space="preserve"> for </w:t>
      </w:r>
      <w:r w:rsidR="00C81442" w:rsidRPr="00D1667B">
        <w:rPr>
          <w:rFonts w:ascii="Calibri" w:hAnsi="Calibri" w:cs="Calibri"/>
          <w:color w:val="000000"/>
          <w:sz w:val="22"/>
          <w:szCs w:val="22"/>
        </w:rPr>
        <w:t>proceeds of €</w:t>
      </w:r>
      <w:r w:rsidR="0084083C" w:rsidRPr="00D1667B">
        <w:rPr>
          <w:rFonts w:ascii="Calibri" w:hAnsi="Calibri" w:cs="Calibri"/>
          <w:color w:val="000000"/>
          <w:sz w:val="22"/>
          <w:szCs w:val="22"/>
        </w:rPr>
        <w:t>3.1</w:t>
      </w:r>
      <w:r w:rsidR="00C81442" w:rsidRPr="00D1667B">
        <w:rPr>
          <w:rFonts w:ascii="Calibri" w:hAnsi="Calibri" w:cs="Calibri"/>
          <w:color w:val="000000"/>
          <w:sz w:val="22"/>
          <w:szCs w:val="22"/>
        </w:rPr>
        <w:t>M</w:t>
      </w:r>
      <w:r w:rsidR="00637A25" w:rsidRPr="00D1667B">
        <w:rPr>
          <w:rFonts w:ascii="Calibri" w:hAnsi="Calibri" w:cs="Calibri"/>
          <w:color w:val="000000"/>
          <w:sz w:val="22"/>
          <w:szCs w:val="22"/>
        </w:rPr>
        <w:t>.</w:t>
      </w:r>
      <w:r w:rsidRPr="00D1667B">
        <w:rPr>
          <w:rFonts w:ascii="Calibri" w:hAnsi="Calibri" w:cs="Calibri"/>
          <w:color w:val="000000"/>
          <w:sz w:val="22"/>
          <w:szCs w:val="22"/>
        </w:rPr>
        <w:t xml:space="preserve"> </w:t>
      </w:r>
      <w:r w:rsidR="00AD289F" w:rsidRPr="00D1667B">
        <w:rPr>
          <w:rFonts w:ascii="Calibri" w:hAnsi="Calibri" w:cs="Calibri"/>
          <w:color w:val="000000"/>
          <w:sz w:val="22"/>
          <w:szCs w:val="22"/>
        </w:rPr>
        <w:t>There</w:t>
      </w:r>
      <w:r w:rsidR="00AD289F" w:rsidRPr="00F31EF1">
        <w:rPr>
          <w:rFonts w:ascii="Calibri" w:hAnsi="Calibri" w:cs="Calibri"/>
          <w:color w:val="000000"/>
          <w:sz w:val="22"/>
          <w:szCs w:val="22"/>
        </w:rPr>
        <w:t xml:space="preserve"> were no</w:t>
      </w:r>
      <w:r w:rsidR="00AD289F" w:rsidRPr="0081763F">
        <w:rPr>
          <w:rFonts w:ascii="Calibri" w:hAnsi="Calibri" w:cs="Calibri"/>
          <w:color w:val="000000"/>
          <w:sz w:val="22"/>
          <w:szCs w:val="22"/>
        </w:rPr>
        <w:t xml:space="preserve"> shareholder returns during the half-year ended September 30, 202</w:t>
      </w:r>
      <w:r w:rsidR="00AF34EE" w:rsidRPr="0081763F">
        <w:rPr>
          <w:rFonts w:ascii="Calibri" w:hAnsi="Calibri" w:cs="Calibri"/>
          <w:color w:val="000000"/>
          <w:sz w:val="22"/>
          <w:szCs w:val="22"/>
        </w:rPr>
        <w:t>3</w:t>
      </w:r>
      <w:r w:rsidR="00AD289F" w:rsidRPr="0081763F">
        <w:rPr>
          <w:rFonts w:ascii="Calibri" w:hAnsi="Calibri" w:cs="Calibri"/>
          <w:color w:val="000000"/>
          <w:sz w:val="22"/>
          <w:szCs w:val="22"/>
        </w:rPr>
        <w:t xml:space="preserve">. </w:t>
      </w:r>
    </w:p>
    <w:p w14:paraId="05B861E0" w14:textId="77777777" w:rsidR="003F214A" w:rsidRPr="0081763F" w:rsidRDefault="003F214A" w:rsidP="009C5CA5">
      <w:pPr>
        <w:pStyle w:val="NormalWeb"/>
        <w:spacing w:before="0" w:beforeAutospacing="0" w:after="0" w:afterAutospacing="0"/>
        <w:ind w:right="-143"/>
        <w:jc w:val="both"/>
        <w:rPr>
          <w:rFonts w:ascii="Calibri" w:hAnsi="Calibri" w:cs="Calibri"/>
          <w:color w:val="000000"/>
          <w:sz w:val="22"/>
          <w:szCs w:val="22"/>
        </w:rPr>
      </w:pPr>
    </w:p>
    <w:p w14:paraId="0D8F9243" w14:textId="77777777" w:rsidR="00097571" w:rsidRPr="0081763F" w:rsidRDefault="00097571" w:rsidP="009C5CA5">
      <w:pPr>
        <w:ind w:right="-143"/>
        <w:jc w:val="both"/>
        <w:rPr>
          <w:rFonts w:ascii="Calibri" w:hAnsi="Calibri" w:cs="Calibri"/>
          <w:b/>
          <w:sz w:val="22"/>
          <w:szCs w:val="22"/>
        </w:rPr>
      </w:pPr>
      <w:r w:rsidRPr="0081763F">
        <w:rPr>
          <w:rFonts w:ascii="Calibri" w:hAnsi="Calibri" w:cs="Calibri"/>
          <w:b/>
          <w:sz w:val="22"/>
          <w:szCs w:val="22"/>
        </w:rPr>
        <w:t>1</w:t>
      </w:r>
      <w:r w:rsidR="004A6FF0" w:rsidRPr="0081763F">
        <w:rPr>
          <w:rFonts w:ascii="Calibri" w:hAnsi="Calibri" w:cs="Calibri"/>
          <w:b/>
          <w:sz w:val="22"/>
          <w:szCs w:val="22"/>
        </w:rPr>
        <w:t>2</w:t>
      </w:r>
      <w:r w:rsidRPr="0081763F">
        <w:rPr>
          <w:rFonts w:ascii="Calibri" w:hAnsi="Calibri" w:cs="Calibri"/>
          <w:b/>
          <w:sz w:val="22"/>
          <w:szCs w:val="22"/>
        </w:rPr>
        <w:t>.</w:t>
      </w:r>
      <w:r w:rsidRPr="0081763F">
        <w:rPr>
          <w:rFonts w:ascii="Calibri" w:hAnsi="Calibri" w:cs="Calibri"/>
          <w:b/>
          <w:sz w:val="22"/>
          <w:szCs w:val="22"/>
        </w:rPr>
        <w:tab/>
        <w:t>Post balance sheet events</w:t>
      </w:r>
      <w:r w:rsidR="00FC2CE9" w:rsidRPr="0081763F">
        <w:rPr>
          <w:rFonts w:ascii="Calibri" w:hAnsi="Calibri" w:cs="Calibri"/>
          <w:b/>
          <w:sz w:val="22"/>
          <w:szCs w:val="22"/>
        </w:rPr>
        <w:t xml:space="preserve"> </w:t>
      </w:r>
    </w:p>
    <w:p w14:paraId="57EADD8B" w14:textId="77777777" w:rsidR="00984744" w:rsidRPr="0081763F" w:rsidRDefault="00984744" w:rsidP="009C5CA5">
      <w:pPr>
        <w:ind w:left="-284" w:right="-143" w:firstLine="284"/>
        <w:jc w:val="both"/>
        <w:rPr>
          <w:rFonts w:ascii="Calibri" w:hAnsi="Calibri" w:cs="Calibri"/>
          <w:sz w:val="22"/>
          <w:szCs w:val="22"/>
        </w:rPr>
      </w:pPr>
    </w:p>
    <w:p w14:paraId="68420917" w14:textId="77777777" w:rsidR="00971C79" w:rsidRPr="00971C79" w:rsidRDefault="00971C79" w:rsidP="00971C79">
      <w:pPr>
        <w:pStyle w:val="NormalWeb"/>
        <w:spacing w:before="0" w:beforeAutospacing="0" w:after="0" w:afterAutospacing="0"/>
        <w:ind w:right="-143"/>
        <w:jc w:val="both"/>
        <w:rPr>
          <w:rFonts w:ascii="Calibri" w:hAnsi="Calibri" w:cs="Calibri"/>
          <w:color w:val="000000"/>
          <w:sz w:val="22"/>
          <w:szCs w:val="22"/>
        </w:rPr>
      </w:pPr>
      <w:r w:rsidRPr="00971C79">
        <w:rPr>
          <w:rFonts w:ascii="Calibri" w:hAnsi="Calibri" w:cs="Calibri"/>
          <w:color w:val="000000"/>
          <w:sz w:val="22"/>
          <w:szCs w:val="22"/>
        </w:rPr>
        <w:t>The Company has declared a maiden ordinary dividend of €</w:t>
      </w:r>
      <w:r w:rsidR="0052618D">
        <w:rPr>
          <w:rFonts w:ascii="Calibri" w:hAnsi="Calibri" w:cs="Calibri"/>
          <w:color w:val="000000"/>
          <w:sz w:val="22"/>
          <w:szCs w:val="22"/>
        </w:rPr>
        <w:t>400</w:t>
      </w:r>
      <w:r w:rsidRPr="00971C79">
        <w:rPr>
          <w:rFonts w:ascii="Calibri" w:hAnsi="Calibri" w:cs="Calibri"/>
          <w:color w:val="000000"/>
          <w:sz w:val="22"/>
          <w:szCs w:val="22"/>
        </w:rPr>
        <w:t>m (c.€0.</w:t>
      </w:r>
      <w:r w:rsidR="0052618D">
        <w:rPr>
          <w:rFonts w:ascii="Calibri" w:hAnsi="Calibri" w:cs="Calibri"/>
          <w:color w:val="000000"/>
          <w:sz w:val="22"/>
          <w:szCs w:val="22"/>
        </w:rPr>
        <w:t>35</w:t>
      </w:r>
      <w:r w:rsidRPr="00971C79">
        <w:rPr>
          <w:rFonts w:ascii="Calibri" w:hAnsi="Calibri" w:cs="Calibri"/>
          <w:color w:val="000000"/>
          <w:sz w:val="22"/>
          <w:szCs w:val="22"/>
        </w:rPr>
        <w:t xml:space="preserve"> per share) in aggregate through an interim and final dividend of </w:t>
      </w:r>
      <w:r w:rsidR="0052618D">
        <w:rPr>
          <w:rFonts w:ascii="Calibri" w:hAnsi="Calibri" w:cs="Calibri"/>
          <w:color w:val="000000"/>
          <w:sz w:val="22"/>
          <w:szCs w:val="22"/>
        </w:rPr>
        <w:t xml:space="preserve">approximately </w:t>
      </w:r>
      <w:r w:rsidRPr="00971C79">
        <w:rPr>
          <w:rFonts w:ascii="Calibri" w:hAnsi="Calibri" w:cs="Calibri"/>
          <w:color w:val="000000"/>
          <w:sz w:val="22"/>
          <w:szCs w:val="22"/>
        </w:rPr>
        <w:t>€</w:t>
      </w:r>
      <w:r w:rsidR="0052618D">
        <w:rPr>
          <w:rFonts w:ascii="Calibri" w:hAnsi="Calibri" w:cs="Calibri"/>
          <w:color w:val="000000"/>
          <w:sz w:val="22"/>
          <w:szCs w:val="22"/>
        </w:rPr>
        <w:t>200</w:t>
      </w:r>
      <w:r w:rsidRPr="00971C79">
        <w:rPr>
          <w:rFonts w:ascii="Calibri" w:hAnsi="Calibri" w:cs="Calibri"/>
          <w:color w:val="000000"/>
          <w:sz w:val="22"/>
          <w:szCs w:val="22"/>
        </w:rPr>
        <w:t xml:space="preserve">m each payable in February 2024 and after the AGM in </w:t>
      </w:r>
      <w:proofErr w:type="gramStart"/>
      <w:r w:rsidRPr="00971C79">
        <w:rPr>
          <w:rFonts w:ascii="Calibri" w:hAnsi="Calibri" w:cs="Calibri"/>
          <w:color w:val="000000"/>
          <w:sz w:val="22"/>
          <w:szCs w:val="22"/>
        </w:rPr>
        <w:t>September 2024</w:t>
      </w:r>
      <w:proofErr w:type="gramEnd"/>
      <w:r w:rsidRPr="00971C79">
        <w:rPr>
          <w:rFonts w:ascii="Calibri" w:hAnsi="Calibri" w:cs="Calibri"/>
          <w:color w:val="000000"/>
          <w:sz w:val="22"/>
          <w:szCs w:val="22"/>
        </w:rPr>
        <w:t xml:space="preserve"> respectively.</w:t>
      </w:r>
    </w:p>
    <w:p w14:paraId="4863B143" w14:textId="77777777" w:rsidR="00971C79" w:rsidRPr="00971C79" w:rsidRDefault="00971C79" w:rsidP="00971C79">
      <w:pPr>
        <w:pStyle w:val="NormalWeb"/>
        <w:spacing w:before="0" w:beforeAutospacing="0" w:after="0" w:afterAutospacing="0"/>
        <w:ind w:right="-143"/>
        <w:jc w:val="both"/>
        <w:rPr>
          <w:rFonts w:ascii="Calibri" w:hAnsi="Calibri" w:cs="Calibri"/>
          <w:color w:val="000000"/>
          <w:sz w:val="22"/>
          <w:szCs w:val="22"/>
        </w:rPr>
      </w:pPr>
    </w:p>
    <w:p w14:paraId="3394457C" w14:textId="77777777" w:rsidR="00971C79" w:rsidRPr="00971C79" w:rsidRDefault="00971C79" w:rsidP="00971C79">
      <w:pPr>
        <w:pStyle w:val="NormalWeb"/>
        <w:spacing w:before="0" w:beforeAutospacing="0" w:after="0" w:afterAutospacing="0"/>
        <w:ind w:right="-143"/>
        <w:jc w:val="both"/>
        <w:rPr>
          <w:rFonts w:ascii="Calibri" w:hAnsi="Calibri" w:cs="Calibri"/>
          <w:color w:val="000000"/>
          <w:sz w:val="22"/>
          <w:szCs w:val="22"/>
        </w:rPr>
      </w:pPr>
      <w:r w:rsidRPr="00971C79">
        <w:rPr>
          <w:rFonts w:ascii="Calibri" w:hAnsi="Calibri" w:cs="Calibri"/>
          <w:color w:val="000000"/>
          <w:sz w:val="22"/>
          <w:szCs w:val="22"/>
        </w:rPr>
        <w:t>For subsequent financial years (</w:t>
      </w:r>
      <w:proofErr w:type="gramStart"/>
      <w:r w:rsidRPr="00971C79">
        <w:rPr>
          <w:rFonts w:ascii="Calibri" w:hAnsi="Calibri" w:cs="Calibri"/>
          <w:color w:val="000000"/>
          <w:sz w:val="22"/>
          <w:szCs w:val="22"/>
        </w:rPr>
        <w:t>i.e.</w:t>
      </w:r>
      <w:proofErr w:type="gramEnd"/>
      <w:r w:rsidRPr="00971C79">
        <w:rPr>
          <w:rFonts w:ascii="Calibri" w:hAnsi="Calibri" w:cs="Calibri"/>
          <w:color w:val="000000"/>
          <w:sz w:val="22"/>
          <w:szCs w:val="22"/>
        </w:rPr>
        <w:t xml:space="preserve"> for FY25 onwards), under the Company’s new dividend policy, the Company intends to return approximately </w:t>
      </w:r>
      <w:r w:rsidR="0052618D">
        <w:rPr>
          <w:rFonts w:ascii="Calibri" w:hAnsi="Calibri" w:cs="Calibri"/>
          <w:color w:val="000000"/>
          <w:sz w:val="22"/>
          <w:szCs w:val="22"/>
        </w:rPr>
        <w:t>25</w:t>
      </w:r>
      <w:r w:rsidRPr="00971C79">
        <w:rPr>
          <w:rFonts w:ascii="Calibri" w:hAnsi="Calibri" w:cs="Calibri"/>
          <w:color w:val="000000"/>
          <w:sz w:val="22"/>
          <w:szCs w:val="22"/>
        </w:rPr>
        <w:t xml:space="preserve">% of prior-year profit after tax (adjusted for non-recurring gains or losses) by way of ordinary dividends to shareholders.  Additionally, the Board, </w:t>
      </w:r>
      <w:proofErr w:type="gramStart"/>
      <w:r w:rsidRPr="00971C79">
        <w:rPr>
          <w:rFonts w:ascii="Calibri" w:hAnsi="Calibri" w:cs="Calibri"/>
          <w:color w:val="000000"/>
          <w:sz w:val="22"/>
          <w:szCs w:val="22"/>
        </w:rPr>
        <w:t>taking into account</w:t>
      </w:r>
      <w:proofErr w:type="gramEnd"/>
      <w:r w:rsidRPr="00971C79">
        <w:rPr>
          <w:rFonts w:ascii="Calibri" w:hAnsi="Calibri" w:cs="Calibri"/>
          <w:color w:val="000000"/>
          <w:sz w:val="22"/>
          <w:szCs w:val="22"/>
        </w:rPr>
        <w:t xml:space="preserve"> prevailing market conditions and ensuring that the Group retains a prudent level of cash to fund debt and capex requirements, retains the flexibility to consider, when appropriate, the return of surplus cash to shareholders through special dividends and/or share buybacks.</w:t>
      </w:r>
    </w:p>
    <w:p w14:paraId="5A3A8056" w14:textId="77777777" w:rsidR="00991094" w:rsidRPr="0081763F" w:rsidRDefault="00991094" w:rsidP="00647C57">
      <w:pPr>
        <w:ind w:right="-143"/>
        <w:jc w:val="both"/>
        <w:rPr>
          <w:rFonts w:ascii="Calibri" w:hAnsi="Calibri" w:cs="Calibri"/>
          <w:sz w:val="22"/>
          <w:szCs w:val="22"/>
        </w:rPr>
      </w:pPr>
    </w:p>
    <w:p w14:paraId="115A385D" w14:textId="77777777" w:rsidR="00991094" w:rsidRPr="0081763F" w:rsidRDefault="00991094" w:rsidP="00647C57">
      <w:pPr>
        <w:pStyle w:val="CG-Title-Center-Bold"/>
        <w:pageBreakBefore/>
        <w:spacing w:after="0"/>
        <w:ind w:right="-352"/>
        <w:rPr>
          <w:rFonts w:ascii="Calibri" w:hAnsi="Calibri" w:cs="Calibri"/>
          <w:sz w:val="24"/>
          <w:szCs w:val="24"/>
        </w:rPr>
      </w:pPr>
      <w:r w:rsidRPr="0081763F">
        <w:rPr>
          <w:rFonts w:ascii="Calibri" w:hAnsi="Calibri" w:cs="Calibri"/>
          <w:sz w:val="24"/>
          <w:szCs w:val="24"/>
        </w:rPr>
        <w:lastRenderedPageBreak/>
        <w:t>Ryanair Holdings plc and Subsidiaries</w:t>
      </w:r>
    </w:p>
    <w:p w14:paraId="4D310873" w14:textId="77777777" w:rsidR="00991094" w:rsidRPr="0081763F" w:rsidRDefault="00991094" w:rsidP="00991094">
      <w:pPr>
        <w:pStyle w:val="CG-Title-Center-Bold"/>
        <w:keepNext w:val="0"/>
        <w:spacing w:after="0"/>
        <w:ind w:right="-352"/>
        <w:rPr>
          <w:rFonts w:ascii="Calibri" w:hAnsi="Calibri" w:cs="Calibri"/>
          <w:sz w:val="24"/>
          <w:szCs w:val="24"/>
        </w:rPr>
      </w:pPr>
      <w:r w:rsidRPr="0081763F">
        <w:rPr>
          <w:rFonts w:ascii="Calibri" w:hAnsi="Calibri" w:cs="Calibri"/>
          <w:sz w:val="24"/>
          <w:szCs w:val="24"/>
        </w:rPr>
        <w:t>Responsibility Statement</w:t>
      </w:r>
    </w:p>
    <w:p w14:paraId="6D1DF43F" w14:textId="77777777" w:rsidR="00991094" w:rsidRPr="0081763F" w:rsidRDefault="00991094" w:rsidP="00991094">
      <w:pPr>
        <w:rPr>
          <w:rFonts w:ascii="Calibri" w:hAnsi="Calibri" w:cs="Calibri"/>
          <w:b/>
          <w:sz w:val="22"/>
        </w:rPr>
      </w:pPr>
    </w:p>
    <w:p w14:paraId="3130183D" w14:textId="77777777" w:rsidR="00991094" w:rsidRPr="0081763F" w:rsidRDefault="00991094" w:rsidP="00991094">
      <w:pPr>
        <w:rPr>
          <w:rFonts w:ascii="Calibri" w:hAnsi="Calibri" w:cs="Calibri"/>
          <w:b/>
          <w:sz w:val="22"/>
        </w:rPr>
      </w:pPr>
    </w:p>
    <w:p w14:paraId="1D1E9FAC" w14:textId="77777777" w:rsidR="00991094" w:rsidRPr="0081763F" w:rsidRDefault="00991094" w:rsidP="00991094">
      <w:pPr>
        <w:autoSpaceDE w:val="0"/>
        <w:autoSpaceDN w:val="0"/>
        <w:adjustRightInd w:val="0"/>
        <w:spacing w:line="300" w:lineRule="exact"/>
        <w:ind w:right="-143"/>
        <w:jc w:val="both"/>
        <w:rPr>
          <w:rFonts w:ascii="Calibri" w:hAnsi="Calibri" w:cs="Calibri"/>
          <w:b/>
          <w:sz w:val="22"/>
          <w:szCs w:val="22"/>
        </w:rPr>
      </w:pPr>
      <w:r w:rsidRPr="0081763F">
        <w:rPr>
          <w:rFonts w:ascii="Calibri" w:hAnsi="Calibri" w:cs="Calibri"/>
          <w:b/>
          <w:sz w:val="22"/>
          <w:szCs w:val="22"/>
        </w:rPr>
        <w:t>Statement of the Directors in respect of the interim financial report</w:t>
      </w:r>
    </w:p>
    <w:p w14:paraId="3AE05636" w14:textId="77777777" w:rsidR="00991094" w:rsidRPr="0081763F" w:rsidRDefault="00991094" w:rsidP="00991094">
      <w:pPr>
        <w:autoSpaceDE w:val="0"/>
        <w:autoSpaceDN w:val="0"/>
        <w:adjustRightInd w:val="0"/>
        <w:spacing w:line="300" w:lineRule="exact"/>
        <w:ind w:right="-143"/>
        <w:jc w:val="both"/>
        <w:rPr>
          <w:rFonts w:ascii="Calibri" w:hAnsi="Calibri" w:cs="Calibri"/>
          <w:sz w:val="22"/>
        </w:rPr>
      </w:pPr>
    </w:p>
    <w:p w14:paraId="4B582F75" w14:textId="77777777" w:rsidR="00991094" w:rsidRPr="0081763F" w:rsidRDefault="00991094" w:rsidP="00991094">
      <w:pPr>
        <w:autoSpaceDE w:val="0"/>
        <w:autoSpaceDN w:val="0"/>
        <w:adjustRightInd w:val="0"/>
        <w:ind w:right="-143"/>
        <w:jc w:val="both"/>
        <w:rPr>
          <w:rFonts w:ascii="Calibri" w:hAnsi="Calibri" w:cs="Calibri"/>
          <w:sz w:val="22"/>
          <w:szCs w:val="22"/>
        </w:rPr>
      </w:pPr>
      <w:r w:rsidRPr="0081763F">
        <w:rPr>
          <w:rFonts w:ascii="Calibri" w:hAnsi="Calibri" w:cs="Calibri"/>
          <w:sz w:val="22"/>
          <w:szCs w:val="22"/>
        </w:rPr>
        <w:t xml:space="preserve">The Directors are responsible for preparing the half-yearly financial report in accordance with the Transparency (Directive 2004/109/EC) Regulations 2007 (“Transparency Directive”), and the Central Bank </w:t>
      </w:r>
      <w:r w:rsidR="00397D1F">
        <w:rPr>
          <w:rFonts w:ascii="Calibri" w:hAnsi="Calibri" w:cs="Calibri"/>
          <w:sz w:val="22"/>
          <w:szCs w:val="22"/>
        </w:rPr>
        <w:t>(Investment Market Conduct) Rules 2019</w:t>
      </w:r>
      <w:r w:rsidRPr="0081763F">
        <w:rPr>
          <w:rFonts w:ascii="Calibri" w:hAnsi="Calibri" w:cs="Calibri"/>
          <w:sz w:val="22"/>
          <w:szCs w:val="22"/>
        </w:rPr>
        <w:t>.</w:t>
      </w:r>
    </w:p>
    <w:p w14:paraId="11216D2E" w14:textId="77777777" w:rsidR="00991094" w:rsidRPr="0081763F" w:rsidRDefault="00991094" w:rsidP="00991094">
      <w:pPr>
        <w:autoSpaceDE w:val="0"/>
        <w:autoSpaceDN w:val="0"/>
        <w:adjustRightInd w:val="0"/>
        <w:ind w:right="-143"/>
        <w:jc w:val="both"/>
        <w:rPr>
          <w:rFonts w:ascii="Calibri" w:hAnsi="Calibri" w:cs="Calibri"/>
          <w:sz w:val="22"/>
          <w:szCs w:val="22"/>
        </w:rPr>
      </w:pPr>
    </w:p>
    <w:p w14:paraId="4A6630BD" w14:textId="77777777" w:rsidR="00991094" w:rsidRPr="0081763F" w:rsidRDefault="00991094" w:rsidP="00991094">
      <w:pPr>
        <w:autoSpaceDE w:val="0"/>
        <w:autoSpaceDN w:val="0"/>
        <w:adjustRightInd w:val="0"/>
        <w:ind w:right="-143"/>
        <w:jc w:val="both"/>
        <w:rPr>
          <w:rFonts w:ascii="Calibri" w:hAnsi="Calibri" w:cs="Calibri"/>
          <w:sz w:val="22"/>
          <w:szCs w:val="22"/>
        </w:rPr>
      </w:pPr>
      <w:r w:rsidRPr="0081763F">
        <w:rPr>
          <w:rFonts w:ascii="Calibri" w:hAnsi="Calibri" w:cs="Calibri"/>
          <w:sz w:val="22"/>
          <w:szCs w:val="22"/>
        </w:rPr>
        <w:t>In preparing the condensed set of consolidated interim financial statements included within the half-yearly financial report, the Directors are required to:</w:t>
      </w:r>
    </w:p>
    <w:p w14:paraId="4D6890E3" w14:textId="77777777" w:rsidR="00991094" w:rsidRPr="0081763F" w:rsidRDefault="00991094" w:rsidP="00991094">
      <w:pPr>
        <w:pStyle w:val="ListParagraph"/>
        <w:numPr>
          <w:ilvl w:val="0"/>
          <w:numId w:val="5"/>
        </w:numPr>
        <w:autoSpaceDE w:val="0"/>
        <w:autoSpaceDN w:val="0"/>
        <w:adjustRightInd w:val="0"/>
        <w:ind w:right="-143"/>
        <w:contextualSpacing/>
        <w:jc w:val="both"/>
        <w:rPr>
          <w:rFonts w:ascii="Calibri" w:hAnsi="Calibri" w:cs="Calibri"/>
          <w:sz w:val="22"/>
          <w:szCs w:val="22"/>
        </w:rPr>
      </w:pPr>
      <w:r w:rsidRPr="0081763F">
        <w:rPr>
          <w:rFonts w:ascii="Calibri" w:hAnsi="Calibri" w:cs="Calibri"/>
          <w:sz w:val="22"/>
          <w:szCs w:val="22"/>
        </w:rPr>
        <w:t xml:space="preserve">prepare and present the condensed set of financial statements in accordance with IAS 34 </w:t>
      </w:r>
      <w:r w:rsidRPr="0081763F">
        <w:rPr>
          <w:rFonts w:ascii="Calibri" w:hAnsi="Calibri" w:cs="Calibri"/>
          <w:i/>
          <w:iCs/>
          <w:sz w:val="22"/>
          <w:szCs w:val="22"/>
        </w:rPr>
        <w:t xml:space="preserve">Interim Financial Reporting </w:t>
      </w:r>
      <w:r w:rsidRPr="0081763F">
        <w:rPr>
          <w:rFonts w:ascii="Calibri" w:hAnsi="Calibri" w:cs="Calibri"/>
          <w:sz w:val="22"/>
          <w:szCs w:val="22"/>
        </w:rPr>
        <w:t xml:space="preserve">as adopted by the EU, the Transparency Directive and the </w:t>
      </w:r>
      <w:r w:rsidR="00397D1F" w:rsidRPr="0081763F">
        <w:rPr>
          <w:rFonts w:ascii="Calibri" w:hAnsi="Calibri" w:cs="Calibri"/>
          <w:sz w:val="22"/>
          <w:szCs w:val="22"/>
        </w:rPr>
        <w:t xml:space="preserve">Central Bank </w:t>
      </w:r>
      <w:r w:rsidR="00397D1F">
        <w:rPr>
          <w:rFonts w:ascii="Calibri" w:hAnsi="Calibri" w:cs="Calibri"/>
          <w:sz w:val="22"/>
          <w:szCs w:val="22"/>
        </w:rPr>
        <w:t xml:space="preserve">(Investment Market Conduct) Rules </w:t>
      </w:r>
      <w:proofErr w:type="gramStart"/>
      <w:r w:rsidR="00397D1F">
        <w:rPr>
          <w:rFonts w:ascii="Calibri" w:hAnsi="Calibri" w:cs="Calibri"/>
          <w:sz w:val="22"/>
          <w:szCs w:val="22"/>
        </w:rPr>
        <w:t>2019</w:t>
      </w:r>
      <w:r w:rsidRPr="0081763F">
        <w:rPr>
          <w:rFonts w:ascii="Calibri" w:hAnsi="Calibri" w:cs="Calibri"/>
          <w:sz w:val="22"/>
          <w:szCs w:val="22"/>
        </w:rPr>
        <w:t>;</w:t>
      </w:r>
      <w:proofErr w:type="gramEnd"/>
    </w:p>
    <w:p w14:paraId="3F8B2038" w14:textId="77777777" w:rsidR="00991094" w:rsidRPr="0081763F" w:rsidRDefault="00991094" w:rsidP="00991094">
      <w:pPr>
        <w:pStyle w:val="ListParagraph"/>
        <w:numPr>
          <w:ilvl w:val="0"/>
          <w:numId w:val="5"/>
        </w:numPr>
        <w:autoSpaceDE w:val="0"/>
        <w:autoSpaceDN w:val="0"/>
        <w:adjustRightInd w:val="0"/>
        <w:ind w:right="-143"/>
        <w:contextualSpacing/>
        <w:jc w:val="both"/>
        <w:rPr>
          <w:rFonts w:ascii="Calibri" w:hAnsi="Calibri" w:cs="Calibri"/>
          <w:sz w:val="22"/>
          <w:szCs w:val="22"/>
        </w:rPr>
      </w:pPr>
      <w:r w:rsidRPr="0081763F">
        <w:rPr>
          <w:rFonts w:ascii="Calibri" w:hAnsi="Calibri" w:cs="Calibri"/>
          <w:sz w:val="22"/>
          <w:szCs w:val="22"/>
        </w:rPr>
        <w:t xml:space="preserve">ensure the condensed set of financial statements has adequate </w:t>
      </w:r>
      <w:proofErr w:type="gramStart"/>
      <w:r w:rsidRPr="0081763F">
        <w:rPr>
          <w:rFonts w:ascii="Calibri" w:hAnsi="Calibri" w:cs="Calibri"/>
          <w:sz w:val="22"/>
          <w:szCs w:val="22"/>
        </w:rPr>
        <w:t>disclosures;</w:t>
      </w:r>
      <w:proofErr w:type="gramEnd"/>
    </w:p>
    <w:p w14:paraId="575FD052" w14:textId="77777777" w:rsidR="00991094" w:rsidRPr="0081763F" w:rsidRDefault="00991094" w:rsidP="00991094">
      <w:pPr>
        <w:pStyle w:val="ListParagraph"/>
        <w:numPr>
          <w:ilvl w:val="0"/>
          <w:numId w:val="5"/>
        </w:numPr>
        <w:autoSpaceDE w:val="0"/>
        <w:autoSpaceDN w:val="0"/>
        <w:adjustRightInd w:val="0"/>
        <w:ind w:right="-143"/>
        <w:contextualSpacing/>
        <w:jc w:val="both"/>
        <w:rPr>
          <w:rFonts w:ascii="Calibri" w:hAnsi="Calibri" w:cs="Calibri"/>
          <w:sz w:val="22"/>
          <w:szCs w:val="22"/>
        </w:rPr>
      </w:pPr>
      <w:r w:rsidRPr="0081763F">
        <w:rPr>
          <w:rFonts w:ascii="Calibri" w:hAnsi="Calibri" w:cs="Calibri"/>
          <w:sz w:val="22"/>
          <w:szCs w:val="22"/>
        </w:rPr>
        <w:t>select and apply appropriate accounting policies; and</w:t>
      </w:r>
    </w:p>
    <w:p w14:paraId="11C7BAAD" w14:textId="77777777" w:rsidR="00991094" w:rsidRPr="0081763F" w:rsidRDefault="00991094" w:rsidP="00991094">
      <w:pPr>
        <w:pStyle w:val="ListParagraph"/>
        <w:numPr>
          <w:ilvl w:val="0"/>
          <w:numId w:val="5"/>
        </w:numPr>
        <w:autoSpaceDE w:val="0"/>
        <w:autoSpaceDN w:val="0"/>
        <w:adjustRightInd w:val="0"/>
        <w:ind w:right="-143"/>
        <w:contextualSpacing/>
        <w:jc w:val="both"/>
        <w:rPr>
          <w:rFonts w:ascii="Calibri" w:hAnsi="Calibri" w:cs="Calibri"/>
          <w:sz w:val="22"/>
          <w:szCs w:val="22"/>
        </w:rPr>
      </w:pPr>
      <w:r w:rsidRPr="0081763F">
        <w:rPr>
          <w:rFonts w:ascii="Calibri" w:hAnsi="Calibri" w:cs="Calibri"/>
          <w:sz w:val="22"/>
          <w:szCs w:val="22"/>
        </w:rPr>
        <w:t xml:space="preserve">make accounting estimates that are reasonable in the circumstances. </w:t>
      </w:r>
    </w:p>
    <w:p w14:paraId="36512D01" w14:textId="77777777" w:rsidR="00991094" w:rsidRPr="0081763F" w:rsidRDefault="00991094" w:rsidP="00991094">
      <w:pPr>
        <w:autoSpaceDE w:val="0"/>
        <w:autoSpaceDN w:val="0"/>
        <w:adjustRightInd w:val="0"/>
        <w:ind w:right="-143"/>
        <w:jc w:val="both"/>
        <w:rPr>
          <w:rFonts w:ascii="Calibri" w:hAnsi="Calibri" w:cs="Calibri"/>
          <w:sz w:val="22"/>
          <w:szCs w:val="22"/>
        </w:rPr>
      </w:pPr>
    </w:p>
    <w:p w14:paraId="63385501" w14:textId="77777777" w:rsidR="00991094" w:rsidRPr="0081763F" w:rsidRDefault="00991094" w:rsidP="00991094">
      <w:pPr>
        <w:autoSpaceDE w:val="0"/>
        <w:autoSpaceDN w:val="0"/>
        <w:adjustRightInd w:val="0"/>
        <w:ind w:right="-143"/>
        <w:jc w:val="both"/>
        <w:rPr>
          <w:rFonts w:ascii="Calibri" w:hAnsi="Calibri" w:cs="Calibri"/>
          <w:sz w:val="22"/>
          <w:szCs w:val="22"/>
        </w:rPr>
      </w:pPr>
      <w:r w:rsidRPr="0081763F">
        <w:rPr>
          <w:rFonts w:ascii="Calibri" w:hAnsi="Calibri" w:cs="Calibri"/>
          <w:sz w:val="22"/>
          <w:szCs w:val="22"/>
        </w:rPr>
        <w:t xml:space="preserve">The Directors are responsible for designing, </w:t>
      </w:r>
      <w:proofErr w:type="gramStart"/>
      <w:r w:rsidRPr="0081763F">
        <w:rPr>
          <w:rFonts w:ascii="Calibri" w:hAnsi="Calibri" w:cs="Calibri"/>
          <w:sz w:val="22"/>
          <w:szCs w:val="22"/>
        </w:rPr>
        <w:t>implementing</w:t>
      </w:r>
      <w:proofErr w:type="gramEnd"/>
      <w:r w:rsidRPr="0081763F">
        <w:rPr>
          <w:rFonts w:ascii="Calibri" w:hAnsi="Calibri" w:cs="Calibri"/>
          <w:sz w:val="22"/>
          <w:szCs w:val="22"/>
        </w:rPr>
        <w:t xml:space="preserve"> and maintaining such internal controls as they determine is necessary to enable the preparation of the condensed set of financial statements that is free from material misstatement whether due to fraud or error. </w:t>
      </w:r>
    </w:p>
    <w:p w14:paraId="0321F8CF" w14:textId="77777777" w:rsidR="00991094" w:rsidRPr="0081763F" w:rsidRDefault="00991094" w:rsidP="00991094">
      <w:pPr>
        <w:autoSpaceDE w:val="0"/>
        <w:autoSpaceDN w:val="0"/>
        <w:adjustRightInd w:val="0"/>
        <w:ind w:right="-143"/>
        <w:jc w:val="both"/>
        <w:rPr>
          <w:rFonts w:ascii="Calibri" w:hAnsi="Calibri" w:cs="Calibri"/>
          <w:sz w:val="22"/>
          <w:szCs w:val="22"/>
        </w:rPr>
      </w:pPr>
    </w:p>
    <w:p w14:paraId="4952D0D3" w14:textId="77777777" w:rsidR="00991094" w:rsidRPr="0081763F" w:rsidRDefault="00991094" w:rsidP="00991094">
      <w:pPr>
        <w:autoSpaceDE w:val="0"/>
        <w:autoSpaceDN w:val="0"/>
        <w:adjustRightInd w:val="0"/>
        <w:ind w:right="-143"/>
        <w:jc w:val="both"/>
        <w:rPr>
          <w:rFonts w:ascii="Calibri" w:hAnsi="Calibri" w:cs="Calibri"/>
          <w:sz w:val="22"/>
          <w:szCs w:val="22"/>
        </w:rPr>
      </w:pPr>
      <w:r w:rsidRPr="0081763F">
        <w:rPr>
          <w:rFonts w:ascii="Calibri" w:hAnsi="Calibri" w:cs="Calibri"/>
          <w:sz w:val="22"/>
          <w:szCs w:val="22"/>
        </w:rPr>
        <w:t>We confirm that to the best of our knowledge:</w:t>
      </w:r>
    </w:p>
    <w:p w14:paraId="09220E44" w14:textId="77777777" w:rsidR="00991094" w:rsidRPr="0081763F" w:rsidRDefault="00991094" w:rsidP="00991094">
      <w:pPr>
        <w:autoSpaceDE w:val="0"/>
        <w:autoSpaceDN w:val="0"/>
        <w:adjustRightInd w:val="0"/>
        <w:ind w:right="-143"/>
        <w:jc w:val="both"/>
        <w:rPr>
          <w:rFonts w:ascii="Calibri" w:hAnsi="Calibri" w:cs="Calibri"/>
          <w:sz w:val="22"/>
          <w:szCs w:val="22"/>
        </w:rPr>
      </w:pPr>
    </w:p>
    <w:p w14:paraId="7A8A087D" w14:textId="77777777" w:rsidR="00991094" w:rsidRPr="0081763F" w:rsidRDefault="00991094" w:rsidP="00991094">
      <w:pPr>
        <w:pStyle w:val="ListParagraph"/>
        <w:numPr>
          <w:ilvl w:val="0"/>
          <w:numId w:val="6"/>
        </w:numPr>
        <w:autoSpaceDE w:val="0"/>
        <w:autoSpaceDN w:val="0"/>
        <w:adjustRightInd w:val="0"/>
        <w:ind w:right="-143"/>
        <w:contextualSpacing/>
        <w:jc w:val="both"/>
        <w:rPr>
          <w:rFonts w:ascii="Calibri" w:hAnsi="Calibri" w:cs="Calibri"/>
          <w:sz w:val="22"/>
          <w:szCs w:val="22"/>
        </w:rPr>
      </w:pPr>
      <w:r w:rsidRPr="0081763F">
        <w:rPr>
          <w:rFonts w:ascii="Calibri" w:hAnsi="Calibri" w:cs="Calibri"/>
          <w:sz w:val="22"/>
          <w:szCs w:val="22"/>
        </w:rPr>
        <w:t>the condensed set of consolidated interim financial statements included within the half-yearly financial report of Ryanair Holdings plc for the six months ended September 30, 202</w:t>
      </w:r>
      <w:r w:rsidR="00642DB8" w:rsidRPr="0081763F">
        <w:rPr>
          <w:rFonts w:ascii="Calibri" w:hAnsi="Calibri" w:cs="Calibri"/>
          <w:sz w:val="22"/>
          <w:szCs w:val="22"/>
        </w:rPr>
        <w:t>3</w:t>
      </w:r>
      <w:r w:rsidRPr="0081763F">
        <w:rPr>
          <w:rFonts w:ascii="Calibri" w:hAnsi="Calibri" w:cs="Calibri"/>
          <w:sz w:val="22"/>
          <w:szCs w:val="22"/>
        </w:rPr>
        <w:t xml:space="preserve"> (“the interim financial information”) which comprises  the condensed consolidated interim balance sheet, the condensed consolidated interim income statement, the condensed consolidated interim statement of comprehensive income, the condensed consolidated interim statement of cash flows and the condensed consolidated interim statement of changes in shareholders’ equity and the related explanatory notes, have been presented and prepared in accordance with IAS 34 </w:t>
      </w:r>
      <w:r w:rsidRPr="0081763F">
        <w:rPr>
          <w:rFonts w:ascii="Calibri" w:hAnsi="Calibri" w:cs="Calibri"/>
          <w:i/>
          <w:iCs/>
          <w:sz w:val="22"/>
          <w:szCs w:val="22"/>
        </w:rPr>
        <w:t>Interim Financial Reporting</w:t>
      </w:r>
      <w:r w:rsidRPr="0081763F">
        <w:rPr>
          <w:rFonts w:ascii="Calibri" w:hAnsi="Calibri" w:cs="Calibri"/>
          <w:sz w:val="22"/>
          <w:szCs w:val="22"/>
        </w:rPr>
        <w:t xml:space="preserve">, as adopted by the EU, the Transparency Directive and </w:t>
      </w:r>
      <w:r w:rsidR="00397D1F" w:rsidRPr="0081763F">
        <w:rPr>
          <w:rFonts w:ascii="Calibri" w:hAnsi="Calibri" w:cs="Calibri"/>
          <w:sz w:val="22"/>
          <w:szCs w:val="22"/>
        </w:rPr>
        <w:t xml:space="preserve">the Central Bank </w:t>
      </w:r>
      <w:r w:rsidR="00397D1F">
        <w:rPr>
          <w:rFonts w:ascii="Calibri" w:hAnsi="Calibri" w:cs="Calibri"/>
          <w:sz w:val="22"/>
          <w:szCs w:val="22"/>
        </w:rPr>
        <w:t>(Investment Market Conduct) Rules 2019</w:t>
      </w:r>
      <w:r w:rsidRPr="0081763F">
        <w:rPr>
          <w:rFonts w:ascii="Calibri" w:hAnsi="Calibri" w:cs="Calibri"/>
          <w:sz w:val="22"/>
          <w:szCs w:val="22"/>
        </w:rPr>
        <w:t>.</w:t>
      </w:r>
    </w:p>
    <w:p w14:paraId="1C748FAF" w14:textId="77777777" w:rsidR="00991094" w:rsidRPr="0081763F" w:rsidRDefault="00991094" w:rsidP="00991094">
      <w:pPr>
        <w:pStyle w:val="ListParagraph"/>
        <w:autoSpaceDE w:val="0"/>
        <w:autoSpaceDN w:val="0"/>
        <w:adjustRightInd w:val="0"/>
        <w:ind w:right="-143"/>
        <w:contextualSpacing/>
        <w:jc w:val="both"/>
        <w:rPr>
          <w:rFonts w:ascii="Calibri" w:hAnsi="Calibri" w:cs="Calibri"/>
          <w:sz w:val="22"/>
          <w:szCs w:val="22"/>
        </w:rPr>
      </w:pPr>
    </w:p>
    <w:p w14:paraId="3EB8F22F" w14:textId="77777777" w:rsidR="00991094" w:rsidRPr="0081763F" w:rsidRDefault="00991094" w:rsidP="00991094">
      <w:pPr>
        <w:pStyle w:val="ListParagraph"/>
        <w:numPr>
          <w:ilvl w:val="0"/>
          <w:numId w:val="6"/>
        </w:numPr>
        <w:autoSpaceDE w:val="0"/>
        <w:autoSpaceDN w:val="0"/>
        <w:adjustRightInd w:val="0"/>
        <w:ind w:right="-143"/>
        <w:contextualSpacing/>
        <w:jc w:val="both"/>
        <w:rPr>
          <w:rFonts w:ascii="Calibri" w:hAnsi="Calibri" w:cs="Calibri"/>
          <w:sz w:val="22"/>
          <w:szCs w:val="22"/>
        </w:rPr>
      </w:pPr>
      <w:r w:rsidRPr="0081763F">
        <w:rPr>
          <w:rFonts w:ascii="Calibri" w:hAnsi="Calibri" w:cs="Calibri"/>
          <w:sz w:val="22"/>
          <w:szCs w:val="22"/>
        </w:rPr>
        <w:t xml:space="preserve">The interim financial information presented, as required by the Transparency Directive, includes: </w:t>
      </w:r>
    </w:p>
    <w:p w14:paraId="582FC519" w14:textId="77777777" w:rsidR="00991094" w:rsidRPr="0081763F" w:rsidRDefault="00991094" w:rsidP="00991094">
      <w:pPr>
        <w:pStyle w:val="ListParagraph"/>
        <w:numPr>
          <w:ilvl w:val="1"/>
          <w:numId w:val="6"/>
        </w:numPr>
        <w:autoSpaceDE w:val="0"/>
        <w:autoSpaceDN w:val="0"/>
        <w:adjustRightInd w:val="0"/>
        <w:ind w:right="-143"/>
        <w:contextualSpacing/>
        <w:jc w:val="both"/>
        <w:rPr>
          <w:rFonts w:ascii="Calibri" w:hAnsi="Calibri" w:cs="Calibri"/>
          <w:sz w:val="22"/>
          <w:szCs w:val="22"/>
        </w:rPr>
      </w:pPr>
      <w:r w:rsidRPr="0081763F">
        <w:rPr>
          <w:rFonts w:ascii="Calibri" w:hAnsi="Calibri" w:cs="Calibri"/>
          <w:sz w:val="22"/>
          <w:szCs w:val="22"/>
        </w:rPr>
        <w:t xml:space="preserve">an indication of important events that have occurred during the first 6 months of the financial year, and their impact on the condensed set of consolidated interim financial </w:t>
      </w:r>
      <w:proofErr w:type="gramStart"/>
      <w:r w:rsidRPr="0081763F">
        <w:rPr>
          <w:rFonts w:ascii="Calibri" w:hAnsi="Calibri" w:cs="Calibri"/>
          <w:sz w:val="22"/>
          <w:szCs w:val="22"/>
        </w:rPr>
        <w:t>statements;</w:t>
      </w:r>
      <w:proofErr w:type="gramEnd"/>
    </w:p>
    <w:p w14:paraId="3BA9299F" w14:textId="77777777" w:rsidR="00991094" w:rsidRPr="0081763F" w:rsidRDefault="00991094" w:rsidP="00991094">
      <w:pPr>
        <w:pStyle w:val="ListParagraph"/>
        <w:numPr>
          <w:ilvl w:val="1"/>
          <w:numId w:val="6"/>
        </w:numPr>
        <w:autoSpaceDE w:val="0"/>
        <w:autoSpaceDN w:val="0"/>
        <w:adjustRightInd w:val="0"/>
        <w:ind w:right="-143"/>
        <w:contextualSpacing/>
        <w:jc w:val="both"/>
        <w:rPr>
          <w:rFonts w:ascii="Calibri" w:hAnsi="Calibri" w:cs="Calibri"/>
          <w:sz w:val="22"/>
          <w:szCs w:val="22"/>
        </w:rPr>
      </w:pPr>
      <w:r w:rsidRPr="0081763F">
        <w:rPr>
          <w:rFonts w:ascii="Calibri" w:hAnsi="Calibri" w:cs="Calibri"/>
          <w:sz w:val="22"/>
          <w:szCs w:val="22"/>
        </w:rPr>
        <w:t>a description of the principal risks and uncertainties for the remaining 6 months of the financial year</w:t>
      </w:r>
    </w:p>
    <w:p w14:paraId="63AE94EC" w14:textId="77777777" w:rsidR="00991094" w:rsidRPr="0081763F" w:rsidRDefault="00991094" w:rsidP="00991094">
      <w:pPr>
        <w:pStyle w:val="ListParagraph"/>
        <w:numPr>
          <w:ilvl w:val="1"/>
          <w:numId w:val="6"/>
        </w:numPr>
        <w:autoSpaceDE w:val="0"/>
        <w:autoSpaceDN w:val="0"/>
        <w:adjustRightInd w:val="0"/>
        <w:ind w:right="-143"/>
        <w:contextualSpacing/>
        <w:jc w:val="both"/>
        <w:rPr>
          <w:rFonts w:ascii="Calibri" w:hAnsi="Calibri" w:cs="Calibri"/>
          <w:sz w:val="22"/>
          <w:szCs w:val="22"/>
        </w:rPr>
      </w:pPr>
      <w:r w:rsidRPr="0081763F">
        <w:rPr>
          <w:rFonts w:ascii="Calibri" w:hAnsi="Calibri" w:cs="Calibri"/>
          <w:sz w:val="22"/>
          <w:szCs w:val="22"/>
        </w:rPr>
        <w:t>related parties’ transactions that have taken place in the first 6 months of the current financial year and that have materially affected the financial position or the performance of the enterprise during that period; and</w:t>
      </w:r>
    </w:p>
    <w:p w14:paraId="3B940B9C" w14:textId="77777777" w:rsidR="00991094" w:rsidRPr="0081763F" w:rsidRDefault="00991094" w:rsidP="00991094">
      <w:pPr>
        <w:pStyle w:val="ListParagraph"/>
        <w:numPr>
          <w:ilvl w:val="1"/>
          <w:numId w:val="6"/>
        </w:numPr>
        <w:autoSpaceDE w:val="0"/>
        <w:autoSpaceDN w:val="0"/>
        <w:adjustRightInd w:val="0"/>
        <w:ind w:right="-143"/>
        <w:contextualSpacing/>
        <w:jc w:val="both"/>
        <w:rPr>
          <w:rFonts w:ascii="Calibri" w:hAnsi="Calibri" w:cs="Calibri"/>
          <w:sz w:val="22"/>
          <w:szCs w:val="22"/>
        </w:rPr>
      </w:pPr>
      <w:r w:rsidRPr="0081763F">
        <w:rPr>
          <w:rFonts w:ascii="Calibri" w:hAnsi="Calibri" w:cs="Calibri"/>
          <w:sz w:val="22"/>
          <w:szCs w:val="22"/>
        </w:rPr>
        <w:t>any changes in the related parties’ transactions described in the last annual report that could have a material effect on the financial position or performance of the enterprise in the first 6 months of the current financial year.</w:t>
      </w:r>
    </w:p>
    <w:p w14:paraId="398E2C66" w14:textId="77777777" w:rsidR="00991094" w:rsidRPr="0081763F" w:rsidRDefault="00991094" w:rsidP="00991094">
      <w:pPr>
        <w:autoSpaceDE w:val="0"/>
        <w:autoSpaceDN w:val="0"/>
        <w:adjustRightInd w:val="0"/>
        <w:ind w:left="-600" w:right="-143"/>
        <w:jc w:val="both"/>
        <w:rPr>
          <w:rFonts w:ascii="Calibri" w:hAnsi="Calibri" w:cs="Calibri"/>
          <w:sz w:val="22"/>
          <w:szCs w:val="22"/>
        </w:rPr>
      </w:pPr>
    </w:p>
    <w:p w14:paraId="1E4A1EE5" w14:textId="77777777" w:rsidR="00991094" w:rsidRPr="0081763F" w:rsidRDefault="00991094" w:rsidP="00991094">
      <w:pPr>
        <w:autoSpaceDE w:val="0"/>
        <w:autoSpaceDN w:val="0"/>
        <w:adjustRightInd w:val="0"/>
        <w:ind w:right="-143"/>
        <w:jc w:val="both"/>
        <w:rPr>
          <w:rFonts w:ascii="Calibri" w:hAnsi="Calibri" w:cs="Calibri"/>
          <w:sz w:val="22"/>
          <w:szCs w:val="22"/>
        </w:rPr>
      </w:pPr>
      <w:r w:rsidRPr="0081763F">
        <w:rPr>
          <w:rFonts w:ascii="Calibri" w:hAnsi="Calibri" w:cs="Calibri"/>
          <w:sz w:val="22"/>
          <w:szCs w:val="22"/>
        </w:rPr>
        <w:t>On behalf of the Board</w:t>
      </w:r>
    </w:p>
    <w:p w14:paraId="1C9008DE" w14:textId="77777777" w:rsidR="00991094" w:rsidRPr="0081763F" w:rsidRDefault="00991094" w:rsidP="00991094">
      <w:pPr>
        <w:autoSpaceDE w:val="0"/>
        <w:autoSpaceDN w:val="0"/>
        <w:adjustRightInd w:val="0"/>
        <w:ind w:right="-143"/>
        <w:jc w:val="both"/>
        <w:rPr>
          <w:rFonts w:ascii="Calibri" w:hAnsi="Calibri" w:cs="Calibri"/>
          <w:sz w:val="22"/>
        </w:rPr>
      </w:pPr>
    </w:p>
    <w:p w14:paraId="5CB0DFAC" w14:textId="77777777" w:rsidR="00991094" w:rsidRPr="0081763F" w:rsidRDefault="00991094" w:rsidP="00991094">
      <w:pPr>
        <w:autoSpaceDE w:val="0"/>
        <w:autoSpaceDN w:val="0"/>
        <w:adjustRightInd w:val="0"/>
        <w:ind w:right="-143"/>
        <w:jc w:val="both"/>
        <w:rPr>
          <w:rFonts w:ascii="Calibri" w:hAnsi="Calibri" w:cs="Calibri"/>
          <w:sz w:val="22"/>
        </w:rPr>
      </w:pPr>
    </w:p>
    <w:p w14:paraId="0881BE14" w14:textId="77777777" w:rsidR="00991094" w:rsidRPr="0081763F" w:rsidRDefault="00991094" w:rsidP="00991094">
      <w:pPr>
        <w:autoSpaceDE w:val="0"/>
        <w:autoSpaceDN w:val="0"/>
        <w:adjustRightInd w:val="0"/>
        <w:ind w:right="-143"/>
        <w:jc w:val="both"/>
        <w:rPr>
          <w:rFonts w:ascii="Calibri" w:hAnsi="Calibri" w:cs="Calibri"/>
          <w:sz w:val="22"/>
        </w:rPr>
      </w:pPr>
      <w:r w:rsidRPr="0081763F">
        <w:rPr>
          <w:rFonts w:ascii="Calibri" w:hAnsi="Calibri" w:cs="Calibri"/>
          <w:sz w:val="22"/>
        </w:rPr>
        <w:t>Stan McCarthy</w:t>
      </w:r>
      <w:r w:rsidRPr="0081763F">
        <w:rPr>
          <w:rFonts w:ascii="Calibri" w:hAnsi="Calibri" w:cs="Calibri"/>
          <w:sz w:val="22"/>
        </w:rPr>
        <w:tab/>
      </w:r>
      <w:r w:rsidRPr="0081763F">
        <w:rPr>
          <w:rFonts w:ascii="Calibri" w:hAnsi="Calibri" w:cs="Calibri"/>
          <w:sz w:val="22"/>
        </w:rPr>
        <w:tab/>
      </w:r>
      <w:r w:rsidRPr="0081763F">
        <w:rPr>
          <w:rFonts w:ascii="Calibri" w:hAnsi="Calibri" w:cs="Calibri"/>
          <w:sz w:val="22"/>
        </w:rPr>
        <w:tab/>
      </w:r>
      <w:r w:rsidRPr="0081763F">
        <w:rPr>
          <w:rFonts w:ascii="Calibri" w:hAnsi="Calibri" w:cs="Calibri"/>
          <w:sz w:val="22"/>
        </w:rPr>
        <w:tab/>
      </w:r>
      <w:r w:rsidRPr="0081763F">
        <w:rPr>
          <w:rFonts w:ascii="Calibri" w:hAnsi="Calibri" w:cs="Calibri"/>
          <w:sz w:val="22"/>
        </w:rPr>
        <w:tab/>
      </w:r>
      <w:r w:rsidRPr="0081763F">
        <w:rPr>
          <w:rFonts w:ascii="Calibri" w:hAnsi="Calibri" w:cs="Calibri"/>
          <w:sz w:val="22"/>
        </w:rPr>
        <w:tab/>
        <w:t>Michael O’Leary</w:t>
      </w:r>
    </w:p>
    <w:p w14:paraId="7465AAA7" w14:textId="77777777" w:rsidR="00991094" w:rsidRPr="00C22F7C" w:rsidRDefault="00991094" w:rsidP="00991094">
      <w:pPr>
        <w:autoSpaceDE w:val="0"/>
        <w:autoSpaceDN w:val="0"/>
        <w:adjustRightInd w:val="0"/>
        <w:ind w:right="-143"/>
        <w:jc w:val="both"/>
        <w:rPr>
          <w:rFonts w:ascii="Calibri" w:hAnsi="Calibri" w:cs="Calibri"/>
          <w:sz w:val="22"/>
        </w:rPr>
      </w:pPr>
      <w:r w:rsidRPr="0081763F">
        <w:rPr>
          <w:rFonts w:ascii="Calibri" w:hAnsi="Calibri" w:cs="Calibri"/>
          <w:sz w:val="22"/>
        </w:rPr>
        <w:t>Chairman</w:t>
      </w:r>
      <w:r w:rsidRPr="0081763F">
        <w:rPr>
          <w:rFonts w:ascii="Calibri" w:hAnsi="Calibri" w:cs="Calibri"/>
          <w:sz w:val="22"/>
        </w:rPr>
        <w:tab/>
      </w:r>
      <w:r w:rsidRPr="0081763F">
        <w:rPr>
          <w:rFonts w:ascii="Calibri" w:hAnsi="Calibri" w:cs="Calibri"/>
          <w:sz w:val="22"/>
        </w:rPr>
        <w:tab/>
      </w:r>
      <w:r w:rsidRPr="0081763F">
        <w:rPr>
          <w:rFonts w:ascii="Calibri" w:hAnsi="Calibri" w:cs="Calibri"/>
          <w:sz w:val="22"/>
        </w:rPr>
        <w:tab/>
      </w:r>
      <w:r w:rsidRPr="0081763F">
        <w:rPr>
          <w:rFonts w:ascii="Calibri" w:hAnsi="Calibri" w:cs="Calibri"/>
          <w:sz w:val="22"/>
        </w:rPr>
        <w:tab/>
      </w:r>
      <w:r w:rsidRPr="0081763F">
        <w:rPr>
          <w:rFonts w:ascii="Calibri" w:hAnsi="Calibri" w:cs="Calibri"/>
          <w:sz w:val="22"/>
        </w:rPr>
        <w:tab/>
      </w:r>
      <w:r w:rsidRPr="0081763F">
        <w:rPr>
          <w:rFonts w:ascii="Calibri" w:hAnsi="Calibri" w:cs="Calibri"/>
          <w:sz w:val="22"/>
        </w:rPr>
        <w:tab/>
        <w:t>Chief Executive</w:t>
      </w:r>
    </w:p>
    <w:p w14:paraId="7B50BB01" w14:textId="77777777" w:rsidR="00991094" w:rsidRPr="00C22F7C" w:rsidRDefault="00E94A24" w:rsidP="00991094">
      <w:pPr>
        <w:autoSpaceDE w:val="0"/>
        <w:autoSpaceDN w:val="0"/>
        <w:adjustRightInd w:val="0"/>
        <w:ind w:right="-143"/>
        <w:jc w:val="both"/>
        <w:rPr>
          <w:rFonts w:ascii="Calibri" w:hAnsi="Calibri" w:cs="Calibri"/>
          <w:sz w:val="22"/>
        </w:rPr>
      </w:pPr>
      <w:r>
        <w:rPr>
          <w:rFonts w:ascii="Calibri" w:hAnsi="Calibri" w:cs="Calibri"/>
          <w:sz w:val="22"/>
        </w:rPr>
        <w:t>November 3, 2023</w:t>
      </w:r>
    </w:p>
    <w:p w14:paraId="63231CC2" w14:textId="77777777" w:rsidR="00991094" w:rsidRDefault="00991094" w:rsidP="00991094">
      <w:pPr>
        <w:pStyle w:val="FSHeadingStyle2"/>
        <w:ind w:right="-143"/>
        <w:jc w:val="center"/>
        <w:rPr>
          <w:rFonts w:ascii="Calibri" w:hAnsi="Calibri" w:cs="Calibri"/>
          <w:b/>
          <w:sz w:val="24"/>
          <w:szCs w:val="24"/>
        </w:rPr>
      </w:pPr>
    </w:p>
    <w:p w14:paraId="55132102" w14:textId="77777777" w:rsidR="00991094" w:rsidRDefault="00991094" w:rsidP="00991094">
      <w:pPr>
        <w:pStyle w:val="FSHeadingStyle2"/>
        <w:jc w:val="center"/>
        <w:rPr>
          <w:rFonts w:ascii="Calibri" w:hAnsi="Calibri" w:cs="Calibri"/>
          <w:b/>
          <w:sz w:val="22"/>
          <w:szCs w:val="22"/>
        </w:rPr>
      </w:pPr>
    </w:p>
    <w:p w14:paraId="59E61E18" w14:textId="77777777" w:rsidR="00991094" w:rsidRPr="0081763F" w:rsidRDefault="00991094" w:rsidP="00634157">
      <w:pPr>
        <w:keepNext/>
        <w:keepLines/>
        <w:pBdr>
          <w:top w:val="none" w:sz="0" w:space="0" w:color="000000"/>
          <w:left w:val="nil"/>
          <w:bottom w:val="nil"/>
          <w:right w:val="nil"/>
          <w:between w:val="nil"/>
        </w:pBdr>
        <w:ind w:right="-143"/>
        <w:jc w:val="both"/>
        <w:rPr>
          <w:rFonts w:ascii="Calibri" w:hAnsi="Calibri" w:cs="Calibri"/>
          <w:b/>
          <w:iCs/>
        </w:rPr>
      </w:pPr>
      <w:r w:rsidRPr="0081763F">
        <w:rPr>
          <w:rFonts w:ascii="Calibri" w:hAnsi="Calibri" w:cs="Calibri"/>
          <w:b/>
          <w:iCs/>
        </w:rPr>
        <w:lastRenderedPageBreak/>
        <w:t>Independent review report to Ryanair Holdings plc</w:t>
      </w:r>
    </w:p>
    <w:p w14:paraId="6C1D6CC9" w14:textId="77777777" w:rsidR="00991094" w:rsidRPr="0081763F" w:rsidRDefault="00991094" w:rsidP="00634157">
      <w:pPr>
        <w:keepNext/>
        <w:keepLines/>
        <w:pBdr>
          <w:top w:val="none" w:sz="0" w:space="0" w:color="000000"/>
          <w:left w:val="nil"/>
          <w:bottom w:val="nil"/>
          <w:right w:val="nil"/>
          <w:between w:val="nil"/>
        </w:pBdr>
        <w:ind w:right="-143"/>
        <w:jc w:val="both"/>
        <w:rPr>
          <w:rFonts w:ascii="Calibri" w:hAnsi="Calibri" w:cs="Calibri"/>
          <w:b/>
          <w:iCs/>
        </w:rPr>
      </w:pPr>
      <w:bookmarkStart w:id="22" w:name="bookmark=id.30j0zll" w:colFirst="0" w:colLast="0"/>
      <w:bookmarkEnd w:id="22"/>
      <w:r w:rsidRPr="0081763F">
        <w:rPr>
          <w:rFonts w:ascii="Calibri" w:hAnsi="Calibri" w:cs="Calibri"/>
          <w:b/>
          <w:iCs/>
        </w:rPr>
        <w:t>Report on the condensed consolidated interim financial statements</w:t>
      </w:r>
      <w:bookmarkStart w:id="23" w:name="bookmark=id.1fob9te" w:colFirst="0" w:colLast="0"/>
      <w:bookmarkEnd w:id="23"/>
    </w:p>
    <w:p w14:paraId="3FE354B4" w14:textId="77777777" w:rsidR="00770D04" w:rsidRDefault="00770D04" w:rsidP="00770D04">
      <w:pPr>
        <w:keepNext/>
        <w:keepLines/>
        <w:pBdr>
          <w:top w:val="none" w:sz="0" w:space="0" w:color="000000"/>
          <w:left w:val="nil"/>
          <w:bottom w:val="single" w:sz="12" w:space="1" w:color="auto"/>
          <w:right w:val="nil"/>
          <w:between w:val="nil"/>
        </w:pBdr>
        <w:ind w:right="-143"/>
        <w:jc w:val="both"/>
        <w:rPr>
          <w:rFonts w:ascii="Calibri" w:eastAsia="Calibri" w:hAnsi="Calibri" w:cs="Calibri"/>
          <w:sz w:val="28"/>
          <w:szCs w:val="28"/>
        </w:rPr>
      </w:pPr>
    </w:p>
    <w:p w14:paraId="0F3556A2" w14:textId="77777777" w:rsidR="00634157" w:rsidRDefault="00634157" w:rsidP="00634157">
      <w:pPr>
        <w:keepNext/>
        <w:keepLines/>
        <w:pBdr>
          <w:top w:val="none" w:sz="0" w:space="0" w:color="000000"/>
          <w:left w:val="nil"/>
          <w:bottom w:val="nil"/>
          <w:right w:val="nil"/>
          <w:between w:val="nil"/>
        </w:pBdr>
        <w:ind w:right="-143"/>
        <w:jc w:val="both"/>
        <w:rPr>
          <w:rFonts w:ascii="Calibri" w:eastAsia="Calibri" w:hAnsi="Calibri" w:cs="Calibri"/>
          <w:b/>
        </w:rPr>
      </w:pPr>
      <w:r>
        <w:rPr>
          <w:rFonts w:ascii="Calibri" w:eastAsia="Calibri" w:hAnsi="Calibri" w:cs="Calibri"/>
          <w:b/>
          <w:sz w:val="22"/>
          <w:szCs w:val="22"/>
        </w:rPr>
        <w:t>Our conclusion</w:t>
      </w:r>
    </w:p>
    <w:p w14:paraId="0C494525" w14:textId="77777777" w:rsidR="00634157" w:rsidRDefault="00634157" w:rsidP="00634157">
      <w:pPr>
        <w:pBdr>
          <w:top w:val="nil"/>
          <w:left w:val="nil"/>
          <w:bottom w:val="nil"/>
          <w:right w:val="nil"/>
          <w:between w:val="nil"/>
        </w:pBdr>
        <w:ind w:right="-143"/>
        <w:jc w:val="both"/>
        <w:rPr>
          <w:rFonts w:ascii="Calibri" w:eastAsia="Calibri" w:hAnsi="Calibri" w:cs="Calibri"/>
          <w:sz w:val="22"/>
          <w:szCs w:val="22"/>
        </w:rPr>
      </w:pPr>
      <w:bookmarkStart w:id="24" w:name="bookmark=id.3znysh7" w:colFirst="0" w:colLast="0"/>
      <w:bookmarkEnd w:id="24"/>
      <w:r>
        <w:rPr>
          <w:rFonts w:ascii="Calibri" w:eastAsia="Calibri" w:hAnsi="Calibri" w:cs="Calibri"/>
          <w:sz w:val="22"/>
          <w:szCs w:val="22"/>
        </w:rPr>
        <w:t xml:space="preserve">We have reviewed Ryanair Holdings plc’s Condensed Consolidated Interim Financial Statements (the “interim financial statements”) in the Half-Yearly Financial Report of Ryanair Holdings plc for the period ended September 30, 2023 (the “period”). </w:t>
      </w:r>
    </w:p>
    <w:p w14:paraId="71EE4A12" w14:textId="77777777" w:rsidR="00634157" w:rsidRDefault="00634157" w:rsidP="00634157">
      <w:pPr>
        <w:pBdr>
          <w:top w:val="nil"/>
          <w:left w:val="nil"/>
          <w:bottom w:val="nil"/>
          <w:right w:val="nil"/>
          <w:between w:val="nil"/>
        </w:pBdr>
        <w:ind w:right="-143"/>
        <w:jc w:val="both"/>
        <w:rPr>
          <w:rFonts w:ascii="Calibri" w:eastAsia="Calibri" w:hAnsi="Calibri" w:cs="Calibri"/>
          <w:sz w:val="22"/>
          <w:szCs w:val="22"/>
        </w:rPr>
      </w:pPr>
    </w:p>
    <w:p w14:paraId="5D9C8621" w14:textId="77777777" w:rsidR="00634157" w:rsidRDefault="00634157" w:rsidP="00634157">
      <w:pPr>
        <w:pBdr>
          <w:top w:val="nil"/>
          <w:left w:val="nil"/>
          <w:bottom w:val="nil"/>
          <w:right w:val="nil"/>
          <w:between w:val="nil"/>
        </w:pBdr>
        <w:ind w:right="-143"/>
        <w:jc w:val="both"/>
        <w:rPr>
          <w:rFonts w:ascii="Calibri" w:eastAsia="Calibri" w:hAnsi="Calibri" w:cs="Calibri"/>
          <w:sz w:val="22"/>
          <w:szCs w:val="22"/>
        </w:rPr>
      </w:pPr>
      <w:r>
        <w:rPr>
          <w:rFonts w:ascii="Calibri" w:eastAsia="Calibri" w:hAnsi="Calibri" w:cs="Calibri"/>
          <w:sz w:val="22"/>
          <w:szCs w:val="22"/>
        </w:rPr>
        <w:t>Based on our review, nothing has come to our attention that causes us to believe that the interim financial statements are not prepared, in all material respects, in accordance with International Accounting Standard 34, ‘Interim Financial Reporting’, as adopted by the European Union and the Transparency (Directive 2004/109/EC) Regulations 2007 and the Central Bank (Investment Market Conduct) Rules 2019.</w:t>
      </w:r>
    </w:p>
    <w:p w14:paraId="58D287EA" w14:textId="77777777" w:rsidR="00634157" w:rsidRDefault="00634157" w:rsidP="00634157">
      <w:pPr>
        <w:pBdr>
          <w:top w:val="nil"/>
          <w:left w:val="nil"/>
          <w:bottom w:val="nil"/>
          <w:right w:val="nil"/>
          <w:between w:val="nil"/>
        </w:pBdr>
        <w:ind w:right="-143"/>
        <w:jc w:val="both"/>
        <w:rPr>
          <w:rFonts w:ascii="Calibri" w:eastAsia="Calibri" w:hAnsi="Calibri" w:cs="Calibri"/>
          <w:sz w:val="22"/>
          <w:szCs w:val="22"/>
        </w:rPr>
      </w:pPr>
    </w:p>
    <w:p w14:paraId="1FB4F360" w14:textId="77777777" w:rsidR="00634157" w:rsidRDefault="00634157" w:rsidP="00634157">
      <w:pPr>
        <w:pBdr>
          <w:top w:val="nil"/>
          <w:left w:val="nil"/>
          <w:bottom w:val="nil"/>
          <w:right w:val="nil"/>
          <w:between w:val="nil"/>
        </w:pBdr>
        <w:ind w:right="-143"/>
        <w:jc w:val="both"/>
        <w:rPr>
          <w:rFonts w:ascii="Calibri" w:eastAsia="Calibri" w:hAnsi="Calibri" w:cs="Calibri"/>
          <w:sz w:val="22"/>
          <w:szCs w:val="22"/>
        </w:rPr>
      </w:pPr>
      <w:bookmarkStart w:id="25" w:name="bookmark=id.2et92p0" w:colFirst="0" w:colLast="0"/>
      <w:bookmarkEnd w:id="25"/>
      <w:r>
        <w:rPr>
          <w:rFonts w:ascii="Calibri" w:eastAsia="Calibri" w:hAnsi="Calibri" w:cs="Calibri"/>
          <w:sz w:val="22"/>
          <w:szCs w:val="22"/>
        </w:rPr>
        <w:t>The interim financial statements comprise:</w:t>
      </w:r>
    </w:p>
    <w:p w14:paraId="7BE97BC5" w14:textId="77777777" w:rsidR="00991094" w:rsidRPr="0081763F" w:rsidRDefault="00991094" w:rsidP="00634157">
      <w:pPr>
        <w:pBdr>
          <w:top w:val="nil"/>
          <w:left w:val="nil"/>
          <w:bottom w:val="nil"/>
          <w:right w:val="nil"/>
          <w:between w:val="nil"/>
        </w:pBdr>
        <w:ind w:right="-143"/>
        <w:jc w:val="both"/>
        <w:rPr>
          <w:rFonts w:ascii="Calibri" w:hAnsi="Calibri" w:cs="Calibri"/>
          <w:sz w:val="22"/>
          <w:szCs w:val="22"/>
        </w:rPr>
      </w:pPr>
    </w:p>
    <w:p w14:paraId="473E22DC" w14:textId="77777777" w:rsidR="00634157" w:rsidRDefault="00634157" w:rsidP="00634157">
      <w:pPr>
        <w:numPr>
          <w:ilvl w:val="0"/>
          <w:numId w:val="19"/>
        </w:numPr>
        <w:pBdr>
          <w:top w:val="nil"/>
          <w:left w:val="nil"/>
          <w:bottom w:val="nil"/>
          <w:right w:val="nil"/>
          <w:between w:val="nil"/>
        </w:pBdr>
        <w:tabs>
          <w:tab w:val="left" w:pos="1276"/>
        </w:tabs>
        <w:ind w:left="1276" w:right="-143" w:hanging="567"/>
        <w:jc w:val="both"/>
        <w:rPr>
          <w:rFonts w:ascii="Calibri" w:eastAsia="Calibri" w:hAnsi="Calibri" w:cs="Calibri"/>
          <w:sz w:val="32"/>
          <w:szCs w:val="32"/>
        </w:rPr>
      </w:pPr>
      <w:bookmarkStart w:id="26" w:name="bookmark=id.tyjcwt" w:colFirst="0" w:colLast="0"/>
      <w:bookmarkEnd w:id="26"/>
      <w:r>
        <w:rPr>
          <w:rFonts w:ascii="Calibri" w:eastAsia="Calibri" w:hAnsi="Calibri" w:cs="Calibri"/>
          <w:sz w:val="22"/>
          <w:szCs w:val="22"/>
        </w:rPr>
        <w:t xml:space="preserve">the Condensed Consolidated Interim Balance Sheet as </w:t>
      </w:r>
      <w:proofErr w:type="gramStart"/>
      <w:r>
        <w:rPr>
          <w:rFonts w:ascii="Calibri" w:eastAsia="Calibri" w:hAnsi="Calibri" w:cs="Calibri"/>
          <w:sz w:val="22"/>
          <w:szCs w:val="22"/>
        </w:rPr>
        <w:t>at</w:t>
      </w:r>
      <w:proofErr w:type="gramEnd"/>
      <w:r>
        <w:rPr>
          <w:rFonts w:ascii="Calibri" w:eastAsia="Calibri" w:hAnsi="Calibri" w:cs="Calibri"/>
          <w:sz w:val="22"/>
          <w:szCs w:val="22"/>
        </w:rPr>
        <w:t xml:space="preserve"> September 30, 2023 on page 1;</w:t>
      </w:r>
    </w:p>
    <w:p w14:paraId="35CC3A26" w14:textId="77777777" w:rsidR="00634157" w:rsidRDefault="00634157" w:rsidP="00634157">
      <w:pPr>
        <w:numPr>
          <w:ilvl w:val="0"/>
          <w:numId w:val="19"/>
        </w:numPr>
        <w:pBdr>
          <w:top w:val="nil"/>
          <w:left w:val="nil"/>
          <w:bottom w:val="nil"/>
          <w:right w:val="nil"/>
          <w:between w:val="nil"/>
        </w:pBdr>
        <w:tabs>
          <w:tab w:val="left" w:pos="1276"/>
        </w:tabs>
        <w:ind w:left="1276" w:right="-143" w:hanging="567"/>
        <w:jc w:val="both"/>
        <w:rPr>
          <w:rFonts w:ascii="Calibri" w:eastAsia="Calibri" w:hAnsi="Calibri" w:cs="Calibri"/>
          <w:sz w:val="32"/>
          <w:szCs w:val="32"/>
        </w:rPr>
      </w:pPr>
      <w:bookmarkStart w:id="27" w:name="bookmark=id.3dy6vkm" w:colFirst="0" w:colLast="0"/>
      <w:bookmarkEnd w:id="27"/>
      <w:r>
        <w:rPr>
          <w:rFonts w:ascii="Calibri" w:eastAsia="Calibri" w:hAnsi="Calibri" w:cs="Calibri"/>
          <w:sz w:val="22"/>
          <w:szCs w:val="22"/>
        </w:rPr>
        <w:t xml:space="preserve">the Condensed Consolidated Interim Income Statement and Condensed Consolidated Interim Statement of Comprehensive Income for the Half-Year then ended on pages 2 and </w:t>
      </w:r>
      <w:proofErr w:type="gramStart"/>
      <w:r>
        <w:rPr>
          <w:rFonts w:ascii="Calibri" w:eastAsia="Calibri" w:hAnsi="Calibri" w:cs="Calibri"/>
          <w:sz w:val="22"/>
          <w:szCs w:val="22"/>
        </w:rPr>
        <w:t>4;</w:t>
      </w:r>
      <w:proofErr w:type="gramEnd"/>
    </w:p>
    <w:p w14:paraId="76DF90AE" w14:textId="77777777" w:rsidR="00634157" w:rsidRDefault="00634157" w:rsidP="00634157">
      <w:pPr>
        <w:numPr>
          <w:ilvl w:val="0"/>
          <w:numId w:val="19"/>
        </w:numPr>
        <w:pBdr>
          <w:top w:val="nil"/>
          <w:left w:val="nil"/>
          <w:bottom w:val="nil"/>
          <w:right w:val="nil"/>
          <w:between w:val="nil"/>
        </w:pBdr>
        <w:tabs>
          <w:tab w:val="left" w:pos="1276"/>
        </w:tabs>
        <w:ind w:left="1276" w:right="-143" w:hanging="567"/>
        <w:jc w:val="both"/>
        <w:rPr>
          <w:rFonts w:ascii="Calibri" w:eastAsia="Calibri" w:hAnsi="Calibri" w:cs="Calibri"/>
          <w:sz w:val="22"/>
          <w:szCs w:val="22"/>
        </w:rPr>
      </w:pPr>
      <w:r>
        <w:rPr>
          <w:rFonts w:ascii="Calibri" w:eastAsia="Calibri" w:hAnsi="Calibri" w:cs="Calibri"/>
          <w:sz w:val="22"/>
          <w:szCs w:val="22"/>
        </w:rPr>
        <w:t xml:space="preserve">the Condensed Consolidated Interim Income Statement and </w:t>
      </w:r>
      <w:r w:rsidR="003C4F61">
        <w:rPr>
          <w:rFonts w:ascii="Calibri" w:eastAsia="Calibri" w:hAnsi="Calibri" w:cs="Calibri"/>
          <w:sz w:val="22"/>
          <w:szCs w:val="22"/>
        </w:rPr>
        <w:t>C</w:t>
      </w:r>
      <w:r>
        <w:rPr>
          <w:rFonts w:ascii="Calibri" w:eastAsia="Calibri" w:hAnsi="Calibri" w:cs="Calibri"/>
          <w:sz w:val="22"/>
          <w:szCs w:val="22"/>
        </w:rPr>
        <w:t xml:space="preserve">ondensed Consolidated Interim Statement of Comprehensive Income for the Quarter then ended on pages 3 and </w:t>
      </w:r>
      <w:proofErr w:type="gramStart"/>
      <w:r>
        <w:rPr>
          <w:rFonts w:ascii="Calibri" w:eastAsia="Calibri" w:hAnsi="Calibri" w:cs="Calibri"/>
          <w:sz w:val="22"/>
          <w:szCs w:val="22"/>
        </w:rPr>
        <w:t>4;</w:t>
      </w:r>
      <w:proofErr w:type="gramEnd"/>
    </w:p>
    <w:p w14:paraId="79BE4AFC" w14:textId="77777777" w:rsidR="00634157" w:rsidRDefault="00634157" w:rsidP="00634157">
      <w:pPr>
        <w:numPr>
          <w:ilvl w:val="0"/>
          <w:numId w:val="19"/>
        </w:numPr>
        <w:pBdr>
          <w:top w:val="nil"/>
          <w:left w:val="nil"/>
          <w:bottom w:val="nil"/>
          <w:right w:val="nil"/>
          <w:between w:val="nil"/>
        </w:pBdr>
        <w:tabs>
          <w:tab w:val="left" w:pos="1276"/>
        </w:tabs>
        <w:ind w:left="1276" w:right="-143" w:hanging="567"/>
        <w:jc w:val="both"/>
        <w:rPr>
          <w:rFonts w:ascii="Calibri" w:eastAsia="Calibri" w:hAnsi="Calibri" w:cs="Calibri"/>
          <w:sz w:val="32"/>
          <w:szCs w:val="32"/>
        </w:rPr>
      </w:pPr>
      <w:bookmarkStart w:id="28" w:name="bookmark=id.1t3h5sf" w:colFirst="0" w:colLast="0"/>
      <w:bookmarkEnd w:id="28"/>
      <w:r>
        <w:rPr>
          <w:rFonts w:ascii="Calibri" w:eastAsia="Calibri" w:hAnsi="Calibri" w:cs="Calibri"/>
          <w:sz w:val="22"/>
          <w:szCs w:val="22"/>
        </w:rPr>
        <w:t xml:space="preserve">the Condensed Consolidated Interim Statement of Cash Flows for the Half-Year ended September 30, </w:t>
      </w:r>
      <w:proofErr w:type="gramStart"/>
      <w:r>
        <w:rPr>
          <w:rFonts w:ascii="Calibri" w:eastAsia="Calibri" w:hAnsi="Calibri" w:cs="Calibri"/>
          <w:sz w:val="22"/>
          <w:szCs w:val="22"/>
        </w:rPr>
        <w:t>2023</w:t>
      </w:r>
      <w:proofErr w:type="gramEnd"/>
      <w:r>
        <w:rPr>
          <w:rFonts w:ascii="Calibri" w:eastAsia="Calibri" w:hAnsi="Calibri" w:cs="Calibri"/>
          <w:sz w:val="22"/>
          <w:szCs w:val="22"/>
        </w:rPr>
        <w:t xml:space="preserve"> on page 5;</w:t>
      </w:r>
    </w:p>
    <w:p w14:paraId="144F956B" w14:textId="77777777" w:rsidR="00634157" w:rsidRDefault="00634157" w:rsidP="00634157">
      <w:pPr>
        <w:numPr>
          <w:ilvl w:val="0"/>
          <w:numId w:val="19"/>
        </w:numPr>
        <w:pBdr>
          <w:top w:val="nil"/>
          <w:left w:val="nil"/>
          <w:bottom w:val="nil"/>
          <w:right w:val="nil"/>
          <w:between w:val="nil"/>
        </w:pBdr>
        <w:tabs>
          <w:tab w:val="left" w:pos="1276"/>
        </w:tabs>
        <w:ind w:left="1276" w:right="-143" w:hanging="567"/>
        <w:jc w:val="both"/>
        <w:rPr>
          <w:rFonts w:ascii="Calibri" w:eastAsia="Calibri" w:hAnsi="Calibri" w:cs="Calibri"/>
          <w:sz w:val="32"/>
          <w:szCs w:val="32"/>
        </w:rPr>
      </w:pPr>
      <w:bookmarkStart w:id="29" w:name="bookmark=id.4d34og8" w:colFirst="0" w:colLast="0"/>
      <w:bookmarkEnd w:id="29"/>
      <w:r>
        <w:rPr>
          <w:rFonts w:ascii="Calibri" w:eastAsia="Calibri" w:hAnsi="Calibri" w:cs="Calibri"/>
          <w:sz w:val="22"/>
          <w:szCs w:val="22"/>
        </w:rPr>
        <w:t xml:space="preserve">the Condensed Consolidated Interim Statement of Changes in Shareholders’ Equity for the Half-Year ended September 30, </w:t>
      </w:r>
      <w:proofErr w:type="gramStart"/>
      <w:r>
        <w:rPr>
          <w:rFonts w:ascii="Calibri" w:eastAsia="Calibri" w:hAnsi="Calibri" w:cs="Calibri"/>
          <w:sz w:val="22"/>
          <w:szCs w:val="22"/>
        </w:rPr>
        <w:t>2023</w:t>
      </w:r>
      <w:proofErr w:type="gramEnd"/>
      <w:r>
        <w:rPr>
          <w:rFonts w:ascii="Calibri" w:eastAsia="Calibri" w:hAnsi="Calibri" w:cs="Calibri"/>
          <w:sz w:val="22"/>
          <w:szCs w:val="22"/>
        </w:rPr>
        <w:t xml:space="preserve"> on page 6; and</w:t>
      </w:r>
    </w:p>
    <w:p w14:paraId="4C23E4B0" w14:textId="77777777" w:rsidR="00634157" w:rsidRDefault="00634157" w:rsidP="00634157">
      <w:pPr>
        <w:numPr>
          <w:ilvl w:val="0"/>
          <w:numId w:val="19"/>
        </w:numPr>
        <w:pBdr>
          <w:top w:val="nil"/>
          <w:left w:val="nil"/>
          <w:bottom w:val="nil"/>
          <w:right w:val="nil"/>
          <w:between w:val="nil"/>
        </w:pBdr>
        <w:tabs>
          <w:tab w:val="left" w:pos="1276"/>
        </w:tabs>
        <w:ind w:left="1276" w:right="-143" w:hanging="567"/>
        <w:jc w:val="both"/>
        <w:rPr>
          <w:rFonts w:ascii="Calibri" w:eastAsia="Calibri" w:hAnsi="Calibri" w:cs="Calibri"/>
          <w:sz w:val="32"/>
          <w:szCs w:val="32"/>
        </w:rPr>
      </w:pPr>
      <w:r>
        <w:rPr>
          <w:rFonts w:ascii="Calibri" w:eastAsia="Calibri" w:hAnsi="Calibri" w:cs="Calibri"/>
          <w:sz w:val="22"/>
          <w:szCs w:val="22"/>
        </w:rPr>
        <w:t xml:space="preserve">the Notes forming part of the Condensed Consolidated Interim Financial Statements on pages 13 to 21. </w:t>
      </w:r>
    </w:p>
    <w:p w14:paraId="18092455" w14:textId="77777777" w:rsidR="004438B1" w:rsidRDefault="004438B1" w:rsidP="00634157">
      <w:pPr>
        <w:pBdr>
          <w:top w:val="nil"/>
          <w:left w:val="nil"/>
          <w:bottom w:val="nil"/>
          <w:right w:val="nil"/>
          <w:between w:val="nil"/>
        </w:pBdr>
        <w:tabs>
          <w:tab w:val="left" w:pos="1276"/>
        </w:tabs>
        <w:ind w:right="-143"/>
        <w:jc w:val="both"/>
        <w:rPr>
          <w:rFonts w:ascii="Calibri" w:hAnsi="Calibri" w:cs="Calibri"/>
          <w:sz w:val="22"/>
          <w:szCs w:val="22"/>
        </w:rPr>
      </w:pPr>
    </w:p>
    <w:p w14:paraId="31C3960A" w14:textId="77777777" w:rsidR="004438B1" w:rsidRDefault="004438B1" w:rsidP="00634157">
      <w:pPr>
        <w:pBdr>
          <w:top w:val="nil"/>
          <w:left w:val="nil"/>
          <w:bottom w:val="nil"/>
          <w:right w:val="nil"/>
          <w:between w:val="nil"/>
        </w:pBdr>
        <w:tabs>
          <w:tab w:val="left" w:pos="1276"/>
        </w:tabs>
        <w:ind w:right="-143"/>
        <w:jc w:val="both"/>
        <w:rPr>
          <w:rFonts w:ascii="Arial" w:eastAsia="Arial" w:hAnsi="Arial" w:cs="Arial"/>
          <w:color w:val="000000"/>
          <w:sz w:val="22"/>
          <w:szCs w:val="22"/>
        </w:rPr>
      </w:pPr>
      <w:r>
        <w:rPr>
          <w:rFonts w:ascii="Calibri" w:eastAsia="Calibri" w:hAnsi="Calibri" w:cs="Calibri"/>
          <w:sz w:val="22"/>
          <w:szCs w:val="22"/>
        </w:rPr>
        <w:t xml:space="preserve">The MD&amp;A Half-Year Ended September 30, </w:t>
      </w:r>
      <w:proofErr w:type="gramStart"/>
      <w:r>
        <w:rPr>
          <w:rFonts w:ascii="Calibri" w:eastAsia="Calibri" w:hAnsi="Calibri" w:cs="Calibri"/>
          <w:sz w:val="22"/>
          <w:szCs w:val="22"/>
        </w:rPr>
        <w:t>2023</w:t>
      </w:r>
      <w:proofErr w:type="gramEnd"/>
      <w:r>
        <w:rPr>
          <w:rFonts w:ascii="Calibri" w:eastAsia="Calibri" w:hAnsi="Calibri" w:cs="Calibri"/>
          <w:sz w:val="22"/>
          <w:szCs w:val="22"/>
        </w:rPr>
        <w:t xml:space="preserve"> on pages 7 to 8, the MD&amp;A Quarter Ended September 30, 2023 on pages 9 to 10 and the Interim Management Report on pages 11 to 12 do not form part of the interim financial statements.</w:t>
      </w:r>
    </w:p>
    <w:p w14:paraId="375FCA36" w14:textId="77777777" w:rsidR="00991094" w:rsidRPr="0081763F" w:rsidRDefault="00991094" w:rsidP="00634157">
      <w:pPr>
        <w:pBdr>
          <w:top w:val="nil"/>
          <w:left w:val="nil"/>
          <w:bottom w:val="nil"/>
          <w:right w:val="nil"/>
          <w:between w:val="nil"/>
        </w:pBdr>
        <w:ind w:right="-143"/>
        <w:jc w:val="both"/>
        <w:rPr>
          <w:rFonts w:ascii="Calibri" w:hAnsi="Calibri" w:cs="Calibri"/>
          <w:sz w:val="22"/>
          <w:szCs w:val="22"/>
        </w:rPr>
      </w:pPr>
    </w:p>
    <w:p w14:paraId="70DD4584" w14:textId="77777777" w:rsidR="004438B1" w:rsidRDefault="004438B1" w:rsidP="00634157">
      <w:pPr>
        <w:pBdr>
          <w:top w:val="nil"/>
          <w:left w:val="nil"/>
          <w:bottom w:val="nil"/>
          <w:right w:val="nil"/>
          <w:between w:val="nil"/>
        </w:pBdr>
        <w:ind w:right="-143"/>
        <w:jc w:val="both"/>
        <w:rPr>
          <w:rFonts w:ascii="Calibri" w:eastAsia="Calibri" w:hAnsi="Calibri" w:cs="Calibri"/>
          <w:sz w:val="22"/>
          <w:szCs w:val="22"/>
        </w:rPr>
      </w:pPr>
      <w:r>
        <w:rPr>
          <w:rFonts w:ascii="Calibri" w:eastAsia="Calibri" w:hAnsi="Calibri" w:cs="Calibri"/>
          <w:sz w:val="22"/>
          <w:szCs w:val="22"/>
        </w:rPr>
        <w:t>The interim financial statements included in the Half-Yearly Financial Report have been prepared in accordance with International Accounting Standard 34, ‘Interim Financial Reporting’, as adopted by the European Union and the Transparency (Directive 2004/109/EC) Regulations 2007 and the Central Bank (Investment Market Conduct) Rules 2019.</w:t>
      </w:r>
    </w:p>
    <w:p w14:paraId="73C0D93A" w14:textId="77777777" w:rsidR="00991094" w:rsidRPr="0081763F" w:rsidRDefault="00991094" w:rsidP="00634157">
      <w:pPr>
        <w:pBdr>
          <w:top w:val="nil"/>
          <w:left w:val="nil"/>
          <w:bottom w:val="nil"/>
          <w:right w:val="nil"/>
          <w:between w:val="nil"/>
        </w:pBdr>
        <w:ind w:right="-143"/>
        <w:jc w:val="both"/>
        <w:rPr>
          <w:rFonts w:ascii="Calibri" w:hAnsi="Calibri" w:cs="Calibri"/>
          <w:sz w:val="22"/>
          <w:szCs w:val="22"/>
        </w:rPr>
      </w:pPr>
    </w:p>
    <w:p w14:paraId="485A8513" w14:textId="77777777" w:rsidR="004438B1" w:rsidRDefault="004438B1" w:rsidP="00634157">
      <w:pPr>
        <w:pBdr>
          <w:top w:val="nil"/>
          <w:left w:val="nil"/>
          <w:bottom w:val="nil"/>
          <w:right w:val="nil"/>
          <w:between w:val="nil"/>
        </w:pBdr>
        <w:ind w:right="-143"/>
        <w:jc w:val="both"/>
        <w:rPr>
          <w:rFonts w:ascii="Calibri" w:eastAsia="Calibri" w:hAnsi="Calibri" w:cs="Calibri"/>
          <w:sz w:val="22"/>
          <w:szCs w:val="22"/>
        </w:rPr>
      </w:pPr>
      <w:r>
        <w:rPr>
          <w:rFonts w:ascii="Calibri" w:eastAsia="Calibri" w:hAnsi="Calibri" w:cs="Calibri"/>
          <w:sz w:val="22"/>
          <w:szCs w:val="22"/>
        </w:rPr>
        <w:t xml:space="preserve">As disclosed in note 1 to the interim financial statements, the financial reporting framework that has been applied in the preparation of the full annual financial statements of the Group is applicable law, International Financial Reporting Standards (IFRSs) as adopted by the European Union and IFRSs as issued by the International Accounting Standards Board. </w:t>
      </w:r>
    </w:p>
    <w:p w14:paraId="53AFFF3F" w14:textId="77777777" w:rsidR="00770D04" w:rsidRDefault="00770D04" w:rsidP="00770D04">
      <w:pPr>
        <w:pBdr>
          <w:top w:val="nil"/>
          <w:left w:val="nil"/>
          <w:bottom w:val="single" w:sz="12" w:space="1" w:color="auto"/>
          <w:right w:val="nil"/>
          <w:between w:val="nil"/>
        </w:pBdr>
        <w:ind w:right="-143"/>
        <w:jc w:val="both"/>
        <w:rPr>
          <w:rFonts w:ascii="Calibri" w:eastAsia="Calibri" w:hAnsi="Calibri" w:cs="Calibri"/>
        </w:rPr>
      </w:pPr>
    </w:p>
    <w:p w14:paraId="21DFE975" w14:textId="77777777" w:rsidR="004438B1" w:rsidRDefault="004438B1" w:rsidP="00634157">
      <w:pPr>
        <w:pBdr>
          <w:top w:val="nil"/>
          <w:left w:val="nil"/>
          <w:bottom w:val="nil"/>
          <w:right w:val="nil"/>
          <w:between w:val="nil"/>
        </w:pBdr>
        <w:ind w:right="-143"/>
        <w:jc w:val="both"/>
        <w:rPr>
          <w:rFonts w:ascii="Calibri" w:eastAsia="Calibri" w:hAnsi="Calibri" w:cs="Calibri"/>
          <w:sz w:val="20"/>
          <w:szCs w:val="20"/>
        </w:rPr>
      </w:pPr>
      <w:r>
        <w:rPr>
          <w:rFonts w:ascii="Calibri" w:eastAsia="Calibri" w:hAnsi="Calibri" w:cs="Calibri"/>
          <w:b/>
          <w:sz w:val="22"/>
          <w:szCs w:val="22"/>
        </w:rPr>
        <w:t>Basis for conclusion</w:t>
      </w:r>
    </w:p>
    <w:p w14:paraId="260BF19E" w14:textId="77777777" w:rsidR="004438B1" w:rsidRDefault="004438B1" w:rsidP="00634157">
      <w:pPr>
        <w:ind w:right="-143"/>
        <w:jc w:val="both"/>
        <w:rPr>
          <w:rFonts w:ascii="Calibri" w:eastAsia="Calibri" w:hAnsi="Calibri" w:cs="Calibri"/>
          <w:sz w:val="22"/>
          <w:szCs w:val="22"/>
        </w:rPr>
      </w:pPr>
      <w:bookmarkStart w:id="30" w:name="_heading=h.30j0zll" w:colFirst="0" w:colLast="0"/>
      <w:bookmarkEnd w:id="30"/>
      <w:r>
        <w:rPr>
          <w:rFonts w:ascii="Calibri" w:eastAsia="Calibri" w:hAnsi="Calibri" w:cs="Calibri"/>
          <w:sz w:val="22"/>
          <w:szCs w:val="22"/>
        </w:rPr>
        <w:t xml:space="preserve">We conducted our review in accordance with International Standard on Review Engagements (Ireland) 2410, ‘Review of Interim Financial Information Performed by the Independent Auditor of the Entity’ (“ISRE (Ireland) 2410”) issued for use in Ireland. A review of interim financial information consists of making enquiries, primarily of persons responsible for financial and accounting matters, and applying analytical and other review procedures. </w:t>
      </w:r>
    </w:p>
    <w:p w14:paraId="3340F225" w14:textId="77777777" w:rsidR="004438B1" w:rsidRDefault="004438B1" w:rsidP="00634157">
      <w:pPr>
        <w:ind w:right="-143"/>
        <w:jc w:val="both"/>
        <w:rPr>
          <w:rFonts w:ascii="Calibri" w:eastAsia="Calibri" w:hAnsi="Calibri" w:cs="Calibri"/>
          <w:sz w:val="22"/>
          <w:szCs w:val="22"/>
        </w:rPr>
      </w:pPr>
    </w:p>
    <w:p w14:paraId="5D9654AC" w14:textId="77777777" w:rsidR="004438B1" w:rsidRDefault="004438B1" w:rsidP="00634157">
      <w:pPr>
        <w:ind w:right="-143"/>
        <w:jc w:val="both"/>
        <w:rPr>
          <w:rFonts w:ascii="Calibri" w:eastAsia="Calibri" w:hAnsi="Calibri" w:cs="Calibri"/>
          <w:sz w:val="22"/>
          <w:szCs w:val="22"/>
        </w:rPr>
      </w:pPr>
      <w:r>
        <w:rPr>
          <w:rFonts w:ascii="Calibri" w:eastAsia="Calibri" w:hAnsi="Calibri" w:cs="Calibri"/>
          <w:sz w:val="22"/>
          <w:szCs w:val="22"/>
        </w:rPr>
        <w:t>A review is substantially less in scope</w:t>
      </w:r>
      <w:r>
        <w:rPr>
          <w:rFonts w:ascii="Calibri" w:eastAsia="Calibri" w:hAnsi="Calibri" w:cs="Calibri"/>
          <w:sz w:val="32"/>
          <w:szCs w:val="32"/>
        </w:rPr>
        <w:t xml:space="preserve"> </w:t>
      </w:r>
      <w:r>
        <w:rPr>
          <w:rFonts w:ascii="Calibri" w:eastAsia="Calibri" w:hAnsi="Calibri" w:cs="Calibri"/>
          <w:sz w:val="22"/>
          <w:szCs w:val="22"/>
        </w:rPr>
        <w:t>than an audit conducted in accordance with International Standards on Auditing (Ireland) and,</w:t>
      </w:r>
      <w:r>
        <w:rPr>
          <w:rFonts w:ascii="Calibri" w:eastAsia="Calibri" w:hAnsi="Calibri" w:cs="Calibri"/>
          <w:sz w:val="32"/>
          <w:szCs w:val="32"/>
        </w:rPr>
        <w:t xml:space="preserve"> </w:t>
      </w:r>
      <w:r>
        <w:rPr>
          <w:rFonts w:ascii="Calibri" w:eastAsia="Calibri" w:hAnsi="Calibri" w:cs="Calibri"/>
          <w:sz w:val="22"/>
          <w:szCs w:val="22"/>
        </w:rPr>
        <w:t>consequently, does not</w:t>
      </w:r>
      <w:r>
        <w:rPr>
          <w:rFonts w:ascii="Calibri" w:eastAsia="Calibri" w:hAnsi="Calibri" w:cs="Calibri"/>
          <w:sz w:val="32"/>
          <w:szCs w:val="32"/>
        </w:rPr>
        <w:t xml:space="preserve"> </w:t>
      </w:r>
      <w:r>
        <w:rPr>
          <w:rFonts w:ascii="Calibri" w:eastAsia="Calibri" w:hAnsi="Calibri" w:cs="Calibri"/>
          <w:sz w:val="22"/>
          <w:szCs w:val="22"/>
        </w:rPr>
        <w:t>enable us to obtain assurance that we would become aware of all significant matters that might be identified in an audit. Accordingly, we do not express an audit opinion.</w:t>
      </w:r>
    </w:p>
    <w:p w14:paraId="6B3B4584" w14:textId="77777777" w:rsidR="004438B1" w:rsidRDefault="004438B1" w:rsidP="00634157">
      <w:pPr>
        <w:ind w:right="-143"/>
        <w:jc w:val="both"/>
        <w:rPr>
          <w:rFonts w:ascii="Calibri" w:eastAsia="Calibri" w:hAnsi="Calibri" w:cs="Calibri"/>
          <w:sz w:val="22"/>
          <w:szCs w:val="22"/>
        </w:rPr>
      </w:pPr>
    </w:p>
    <w:p w14:paraId="5BE6BC88" w14:textId="77777777" w:rsidR="00647C57" w:rsidRPr="00634157" w:rsidRDefault="004438B1" w:rsidP="00634157">
      <w:pPr>
        <w:pBdr>
          <w:bottom w:val="single" w:sz="12" w:space="1" w:color="auto"/>
        </w:pBdr>
        <w:ind w:right="-143"/>
        <w:jc w:val="both"/>
        <w:rPr>
          <w:rFonts w:ascii="Calibri" w:eastAsia="Calibri" w:hAnsi="Calibri" w:cs="Calibri"/>
          <w:b/>
          <w:sz w:val="22"/>
          <w:szCs w:val="22"/>
        </w:rPr>
      </w:pPr>
      <w:r>
        <w:rPr>
          <w:rFonts w:ascii="Calibri" w:eastAsia="Calibri" w:hAnsi="Calibri" w:cs="Calibri"/>
          <w:sz w:val="22"/>
          <w:szCs w:val="22"/>
        </w:rPr>
        <w:t>We have read the other information contained in the Half-Yearly Financial Report and considered whether it contains any apparent misstatements or material inconsistencies with the information in the interim financial statements.</w:t>
      </w:r>
      <w:r w:rsidR="001E603D">
        <w:rPr>
          <w:rFonts w:ascii="Calibri" w:eastAsia="Calibri" w:hAnsi="Calibri" w:cs="Calibri"/>
          <w:sz w:val="22"/>
          <w:szCs w:val="22"/>
        </w:rPr>
        <w:br w:type="page"/>
      </w:r>
    </w:p>
    <w:p w14:paraId="3DDB96AE" w14:textId="77777777" w:rsidR="004438B1" w:rsidRDefault="004438B1" w:rsidP="00634157">
      <w:pPr>
        <w:ind w:right="-143"/>
        <w:rPr>
          <w:rFonts w:ascii="Calibri" w:eastAsia="Calibri" w:hAnsi="Calibri" w:cs="Calibri"/>
          <w:sz w:val="22"/>
          <w:szCs w:val="22"/>
        </w:rPr>
      </w:pPr>
      <w:r>
        <w:rPr>
          <w:rFonts w:ascii="Calibri" w:eastAsia="Calibri" w:hAnsi="Calibri" w:cs="Calibri"/>
          <w:b/>
          <w:sz w:val="22"/>
          <w:szCs w:val="22"/>
        </w:rPr>
        <w:t>Conclusions relating to going concern</w:t>
      </w:r>
    </w:p>
    <w:p w14:paraId="2C3072EB" w14:textId="77777777" w:rsidR="004438B1" w:rsidRDefault="004438B1" w:rsidP="00634157">
      <w:pPr>
        <w:pBdr>
          <w:top w:val="nil"/>
          <w:left w:val="nil"/>
          <w:bottom w:val="nil"/>
          <w:right w:val="nil"/>
          <w:between w:val="nil"/>
        </w:pBdr>
        <w:ind w:right="-143"/>
        <w:jc w:val="both"/>
        <w:rPr>
          <w:rFonts w:ascii="Calibri" w:eastAsia="Calibri" w:hAnsi="Calibri" w:cs="Calibri"/>
          <w:sz w:val="22"/>
          <w:szCs w:val="22"/>
        </w:rPr>
      </w:pPr>
      <w:r>
        <w:rPr>
          <w:rFonts w:ascii="Calibri" w:eastAsia="Calibri" w:hAnsi="Calibri" w:cs="Calibri"/>
          <w:sz w:val="22"/>
          <w:szCs w:val="22"/>
        </w:rPr>
        <w:t xml:space="preserve">Based on our review procedures, which are less extensive than those performed in an audit as described in the Basis for conclusion section of this report, nothing has come to our attention to suggest that the Directors have inappropriately adopted the going concern basis of accounting or that the Directors have identified material uncertainties relating to going concern that are not appropriately disclosed. </w:t>
      </w:r>
    </w:p>
    <w:p w14:paraId="59B575D0" w14:textId="77777777" w:rsidR="004438B1" w:rsidRDefault="004438B1" w:rsidP="00634157">
      <w:pPr>
        <w:pBdr>
          <w:top w:val="nil"/>
          <w:left w:val="nil"/>
          <w:bottom w:val="nil"/>
          <w:right w:val="nil"/>
          <w:between w:val="nil"/>
        </w:pBdr>
        <w:ind w:right="-143"/>
        <w:jc w:val="both"/>
        <w:rPr>
          <w:rFonts w:ascii="Calibri" w:eastAsia="Calibri" w:hAnsi="Calibri" w:cs="Calibri"/>
          <w:sz w:val="22"/>
          <w:szCs w:val="22"/>
        </w:rPr>
      </w:pPr>
    </w:p>
    <w:p w14:paraId="2175A19A" w14:textId="77777777" w:rsidR="004438B1" w:rsidRDefault="004438B1" w:rsidP="00634157">
      <w:pPr>
        <w:pBdr>
          <w:bottom w:val="single" w:sz="12" w:space="1" w:color="auto"/>
        </w:pBdr>
        <w:ind w:right="-143"/>
        <w:jc w:val="both"/>
        <w:rPr>
          <w:rFonts w:ascii="Calibri" w:eastAsia="Calibri" w:hAnsi="Calibri" w:cs="Calibri"/>
          <w:sz w:val="22"/>
          <w:szCs w:val="22"/>
        </w:rPr>
      </w:pPr>
      <w:r>
        <w:rPr>
          <w:rFonts w:ascii="Calibri" w:eastAsia="Calibri" w:hAnsi="Calibri" w:cs="Calibri"/>
          <w:sz w:val="22"/>
          <w:szCs w:val="22"/>
        </w:rPr>
        <w:t>This conclusion is based on the review procedures performed in accordance with ISRE (Ireland) 2410. However future events or conditions may cause the Group to cease to continue as a going concern.</w:t>
      </w:r>
      <w:bookmarkStart w:id="31" w:name="bookmark=id.3rdcrjn" w:colFirst="0" w:colLast="0"/>
      <w:bookmarkEnd w:id="31"/>
    </w:p>
    <w:p w14:paraId="38C56025" w14:textId="77777777" w:rsidR="001E603D" w:rsidRDefault="001E603D" w:rsidP="00634157">
      <w:pPr>
        <w:pBdr>
          <w:bottom w:val="single" w:sz="12" w:space="1" w:color="auto"/>
        </w:pBdr>
        <w:ind w:right="-143"/>
        <w:jc w:val="both"/>
        <w:rPr>
          <w:rFonts w:ascii="Calibri" w:eastAsia="Calibri" w:hAnsi="Calibri" w:cs="Calibri"/>
          <w:sz w:val="22"/>
          <w:szCs w:val="22"/>
        </w:rPr>
      </w:pPr>
    </w:p>
    <w:p w14:paraId="0706450F" w14:textId="77777777" w:rsidR="004438B1" w:rsidRDefault="004438B1" w:rsidP="00634157">
      <w:pPr>
        <w:ind w:right="-143"/>
        <w:jc w:val="both"/>
        <w:rPr>
          <w:rFonts w:ascii="Calibri" w:eastAsia="Calibri" w:hAnsi="Calibri" w:cs="Calibri"/>
          <w:sz w:val="20"/>
          <w:szCs w:val="20"/>
        </w:rPr>
      </w:pPr>
      <w:bookmarkStart w:id="32" w:name="bookmark=id.26in1rg" w:colFirst="0" w:colLast="0"/>
      <w:bookmarkEnd w:id="32"/>
      <w:r>
        <w:rPr>
          <w:rFonts w:ascii="Calibri" w:eastAsia="Calibri" w:hAnsi="Calibri" w:cs="Calibri"/>
          <w:b/>
          <w:sz w:val="22"/>
          <w:szCs w:val="22"/>
        </w:rPr>
        <w:t>Responsibilities for the interim financial statements and the review</w:t>
      </w:r>
    </w:p>
    <w:p w14:paraId="16940D38" w14:textId="77777777" w:rsidR="00991094" w:rsidRPr="0081763F" w:rsidRDefault="00991094" w:rsidP="00634157">
      <w:pPr>
        <w:keepNext/>
        <w:keepLines/>
        <w:ind w:right="-143"/>
        <w:jc w:val="both"/>
        <w:rPr>
          <w:rFonts w:ascii="Calibri" w:hAnsi="Calibri" w:cs="Calibri"/>
          <w:i/>
          <w:sz w:val="22"/>
          <w:szCs w:val="22"/>
        </w:rPr>
      </w:pPr>
    </w:p>
    <w:p w14:paraId="48CBDCBC" w14:textId="77777777" w:rsidR="004438B1" w:rsidRDefault="004438B1" w:rsidP="00634157">
      <w:pPr>
        <w:keepNext/>
        <w:keepLines/>
        <w:ind w:right="-143"/>
        <w:jc w:val="both"/>
        <w:rPr>
          <w:rFonts w:ascii="Calibri" w:eastAsia="Calibri" w:hAnsi="Calibri" w:cs="Calibri"/>
          <w:i/>
          <w:sz w:val="22"/>
          <w:szCs w:val="22"/>
        </w:rPr>
      </w:pPr>
      <w:bookmarkStart w:id="33" w:name="bookmark=id.lnxbz9" w:colFirst="0" w:colLast="0"/>
      <w:bookmarkEnd w:id="33"/>
      <w:r>
        <w:rPr>
          <w:rFonts w:ascii="Calibri" w:eastAsia="Calibri" w:hAnsi="Calibri" w:cs="Calibri"/>
          <w:i/>
          <w:sz w:val="22"/>
          <w:szCs w:val="22"/>
        </w:rPr>
        <w:t>Our responsibilities and those of the Directors</w:t>
      </w:r>
    </w:p>
    <w:p w14:paraId="4FDFE566" w14:textId="77777777" w:rsidR="00991094" w:rsidRPr="0081763F" w:rsidRDefault="00991094" w:rsidP="00634157">
      <w:pPr>
        <w:ind w:right="-143"/>
        <w:jc w:val="both"/>
        <w:rPr>
          <w:rFonts w:ascii="Calibri" w:hAnsi="Calibri" w:cs="Calibri"/>
          <w:sz w:val="22"/>
          <w:szCs w:val="22"/>
        </w:rPr>
      </w:pPr>
    </w:p>
    <w:p w14:paraId="5B70505F" w14:textId="77777777" w:rsidR="004438B1" w:rsidRDefault="004438B1" w:rsidP="00634157">
      <w:pPr>
        <w:ind w:right="-143"/>
        <w:jc w:val="both"/>
        <w:rPr>
          <w:rFonts w:ascii="Calibri" w:eastAsia="Calibri" w:hAnsi="Calibri" w:cs="Calibri"/>
          <w:sz w:val="22"/>
          <w:szCs w:val="22"/>
        </w:rPr>
      </w:pPr>
      <w:r>
        <w:rPr>
          <w:rFonts w:ascii="Calibri" w:eastAsia="Calibri" w:hAnsi="Calibri" w:cs="Calibri"/>
          <w:sz w:val="22"/>
          <w:szCs w:val="22"/>
        </w:rPr>
        <w:t>The Half-Yearly Financial Report, including the interim financial statements, is the responsibility of, and has been approved by, the Directors. The Directors are responsible for preparing the half-yearly financial report in accordance with the Transparency (Directive 2004/109/EC) Regulations 2007 and the Central Bank (Investment Market Conduct) Rules 2019. In preparing the Half-Yearly Financial Report</w:t>
      </w:r>
      <w:r>
        <w:rPr>
          <w:rFonts w:ascii="Calibri" w:eastAsia="Calibri" w:hAnsi="Calibri" w:cs="Calibri"/>
          <w:b/>
          <w:sz w:val="22"/>
          <w:szCs w:val="22"/>
        </w:rPr>
        <w:t xml:space="preserve"> </w:t>
      </w:r>
      <w:r>
        <w:rPr>
          <w:rFonts w:ascii="Calibri" w:eastAsia="Calibri" w:hAnsi="Calibri" w:cs="Calibri"/>
          <w:sz w:val="22"/>
          <w:szCs w:val="22"/>
        </w:rPr>
        <w:t>including the interim financial statements, the Directors are responsible for assessing the Group’s ability to continue as a going concern, disclosing, as applicable, matters related to going concern and using the going concern basis of accounting unless the Directors either intend to liquidate the Group or to cease operations, or have no realistic alternative but to do so.</w:t>
      </w:r>
    </w:p>
    <w:p w14:paraId="7EC82FF0" w14:textId="77777777" w:rsidR="00991094" w:rsidRPr="0081763F" w:rsidRDefault="00991094" w:rsidP="00634157">
      <w:pPr>
        <w:pBdr>
          <w:top w:val="nil"/>
          <w:left w:val="nil"/>
          <w:bottom w:val="nil"/>
          <w:right w:val="nil"/>
          <w:between w:val="nil"/>
        </w:pBdr>
        <w:ind w:right="-143"/>
        <w:jc w:val="both"/>
        <w:rPr>
          <w:rFonts w:ascii="Calibri" w:hAnsi="Calibri" w:cs="Calibri"/>
          <w:sz w:val="22"/>
          <w:szCs w:val="22"/>
        </w:rPr>
      </w:pPr>
    </w:p>
    <w:p w14:paraId="60E40BD0" w14:textId="77777777" w:rsidR="004438B1" w:rsidRDefault="004438B1" w:rsidP="00634157">
      <w:pPr>
        <w:pBdr>
          <w:top w:val="nil"/>
          <w:left w:val="nil"/>
          <w:bottom w:val="nil"/>
          <w:right w:val="nil"/>
          <w:between w:val="nil"/>
        </w:pBdr>
        <w:ind w:right="-143"/>
        <w:jc w:val="both"/>
        <w:rPr>
          <w:rFonts w:ascii="Calibri" w:eastAsia="Calibri" w:hAnsi="Calibri" w:cs="Calibri"/>
          <w:sz w:val="22"/>
          <w:szCs w:val="22"/>
        </w:rPr>
      </w:pPr>
      <w:r>
        <w:rPr>
          <w:rFonts w:ascii="Calibri" w:eastAsia="Calibri" w:hAnsi="Calibri" w:cs="Calibri"/>
          <w:sz w:val="22"/>
          <w:szCs w:val="22"/>
        </w:rPr>
        <w:t>Our responsibility is to express a conclusion on the interim financial statements in the Half-Yearly Financial Report based on our review. Our conclusion, including our Conclusions relating to going concern, is based on procedures that are less extensive than audit procedures, as described in the Basis for conclusion paragraph of this report. This report, including the conclusion, has been prepared for and only for the company for the purpose of complying with the Transparency (Directive 2004/109/EC) Regulations 2007 and the Central Bank (Investment Market Conduct) Rules 2019 and for no other purpose. We do not, in giving this conclusion, accept or assume responsibility for any other purpose or to any other person to whom this report is shown or into whose hands it may come save where expressly agreed by our prior consent in writing.</w:t>
      </w:r>
    </w:p>
    <w:p w14:paraId="27A60DB2" w14:textId="77777777" w:rsidR="00991094" w:rsidRPr="0081763F" w:rsidRDefault="00991094" w:rsidP="00634157">
      <w:pPr>
        <w:pBdr>
          <w:top w:val="nil"/>
          <w:left w:val="nil"/>
          <w:bottom w:val="nil"/>
          <w:right w:val="nil"/>
          <w:between w:val="nil"/>
        </w:pBdr>
        <w:ind w:right="-143"/>
        <w:jc w:val="both"/>
        <w:rPr>
          <w:rFonts w:ascii="Calibri" w:hAnsi="Calibri" w:cs="Calibri"/>
          <w:sz w:val="22"/>
          <w:szCs w:val="22"/>
        </w:rPr>
      </w:pPr>
    </w:p>
    <w:p w14:paraId="2868250E" w14:textId="77777777" w:rsidR="00991094" w:rsidRPr="0081763F" w:rsidRDefault="00991094" w:rsidP="00634157">
      <w:pPr>
        <w:pBdr>
          <w:top w:val="nil"/>
          <w:left w:val="nil"/>
          <w:bottom w:val="nil"/>
          <w:right w:val="nil"/>
          <w:between w:val="nil"/>
        </w:pBdr>
        <w:ind w:right="-143"/>
        <w:jc w:val="both"/>
        <w:rPr>
          <w:rFonts w:ascii="Calibri" w:hAnsi="Calibri" w:cs="Calibri"/>
          <w:sz w:val="22"/>
          <w:szCs w:val="22"/>
        </w:rPr>
      </w:pPr>
    </w:p>
    <w:p w14:paraId="3E625730" w14:textId="77777777" w:rsidR="00991094" w:rsidRPr="0081763F" w:rsidRDefault="00991094" w:rsidP="00634157">
      <w:pPr>
        <w:pBdr>
          <w:top w:val="nil"/>
          <w:left w:val="nil"/>
          <w:bottom w:val="nil"/>
          <w:right w:val="nil"/>
          <w:between w:val="nil"/>
        </w:pBdr>
        <w:ind w:right="-143"/>
        <w:jc w:val="both"/>
        <w:rPr>
          <w:rFonts w:ascii="Calibri" w:hAnsi="Calibri" w:cs="Calibri"/>
          <w:sz w:val="22"/>
          <w:szCs w:val="22"/>
        </w:rPr>
      </w:pPr>
    </w:p>
    <w:p w14:paraId="5DB7A2C1" w14:textId="77777777" w:rsidR="00991094" w:rsidRPr="0081763F" w:rsidRDefault="00991094" w:rsidP="00634157">
      <w:pPr>
        <w:pBdr>
          <w:top w:val="nil"/>
          <w:left w:val="nil"/>
          <w:bottom w:val="nil"/>
          <w:right w:val="nil"/>
          <w:between w:val="nil"/>
        </w:pBdr>
        <w:ind w:right="-143"/>
        <w:jc w:val="both"/>
        <w:rPr>
          <w:rFonts w:ascii="Calibri" w:hAnsi="Calibri" w:cs="Calibri"/>
          <w:sz w:val="22"/>
          <w:szCs w:val="22"/>
        </w:rPr>
      </w:pPr>
      <w:bookmarkStart w:id="34" w:name="bookmark=id.35nkun2" w:colFirst="0" w:colLast="0"/>
      <w:bookmarkEnd w:id="34"/>
    </w:p>
    <w:p w14:paraId="68EBA98A" w14:textId="77777777" w:rsidR="00991094" w:rsidRPr="0081763F" w:rsidRDefault="00991094" w:rsidP="00634157">
      <w:pPr>
        <w:pBdr>
          <w:top w:val="nil"/>
          <w:left w:val="nil"/>
          <w:bottom w:val="nil"/>
          <w:right w:val="nil"/>
          <w:between w:val="nil"/>
        </w:pBdr>
        <w:ind w:right="-143"/>
        <w:jc w:val="both"/>
        <w:rPr>
          <w:rFonts w:ascii="Calibri" w:hAnsi="Calibri" w:cs="Calibri"/>
          <w:sz w:val="22"/>
          <w:szCs w:val="22"/>
        </w:rPr>
      </w:pPr>
      <w:bookmarkStart w:id="35" w:name="bookmark=id.1ksv4uv" w:colFirst="0" w:colLast="0"/>
      <w:bookmarkEnd w:id="35"/>
      <w:r w:rsidRPr="0081763F">
        <w:rPr>
          <w:rFonts w:ascii="Calibri" w:hAnsi="Calibri" w:cs="Calibri"/>
          <w:sz w:val="22"/>
          <w:szCs w:val="22"/>
        </w:rPr>
        <w:t xml:space="preserve">PricewaterhouseCoopers </w:t>
      </w:r>
    </w:p>
    <w:p w14:paraId="33D414C3" w14:textId="77777777" w:rsidR="00991094" w:rsidRPr="002B4A65" w:rsidRDefault="00991094" w:rsidP="00634157">
      <w:pPr>
        <w:pBdr>
          <w:top w:val="nil"/>
          <w:left w:val="nil"/>
          <w:bottom w:val="nil"/>
          <w:right w:val="nil"/>
          <w:between w:val="nil"/>
        </w:pBdr>
        <w:ind w:right="-143"/>
        <w:jc w:val="both"/>
        <w:rPr>
          <w:rFonts w:ascii="Calibri" w:hAnsi="Calibri" w:cs="Calibri"/>
          <w:sz w:val="22"/>
          <w:szCs w:val="22"/>
        </w:rPr>
      </w:pPr>
      <w:r w:rsidRPr="0081763F">
        <w:rPr>
          <w:rFonts w:ascii="Calibri" w:hAnsi="Calibri" w:cs="Calibri"/>
          <w:sz w:val="22"/>
          <w:szCs w:val="22"/>
        </w:rPr>
        <w:t>Chartered Accountants</w:t>
      </w:r>
    </w:p>
    <w:p w14:paraId="6A2D3974" w14:textId="77777777" w:rsidR="00991094" w:rsidRPr="002B4A65" w:rsidRDefault="004438B1" w:rsidP="00634157">
      <w:pPr>
        <w:pBdr>
          <w:top w:val="nil"/>
          <w:left w:val="nil"/>
          <w:bottom w:val="nil"/>
          <w:right w:val="nil"/>
          <w:between w:val="nil"/>
        </w:pBdr>
        <w:ind w:right="-143"/>
        <w:jc w:val="both"/>
        <w:rPr>
          <w:rFonts w:ascii="Calibri" w:hAnsi="Calibri" w:cs="Calibri"/>
          <w:sz w:val="22"/>
          <w:szCs w:val="22"/>
        </w:rPr>
      </w:pPr>
      <w:r>
        <w:rPr>
          <w:rFonts w:ascii="Calibri" w:hAnsi="Calibri" w:cs="Calibri"/>
          <w:sz w:val="22"/>
          <w:szCs w:val="22"/>
        </w:rPr>
        <w:t xml:space="preserve">3 </w:t>
      </w:r>
      <w:r w:rsidR="00E94A24">
        <w:rPr>
          <w:rFonts w:ascii="Calibri" w:hAnsi="Calibri" w:cs="Calibri"/>
          <w:sz w:val="22"/>
          <w:szCs w:val="22"/>
        </w:rPr>
        <w:t>November 2023</w:t>
      </w:r>
    </w:p>
    <w:p w14:paraId="64021551" w14:textId="77777777" w:rsidR="00991094" w:rsidRPr="0081763F" w:rsidRDefault="00991094" w:rsidP="00634157">
      <w:pPr>
        <w:pBdr>
          <w:top w:val="nil"/>
          <w:left w:val="nil"/>
          <w:bottom w:val="nil"/>
          <w:right w:val="nil"/>
          <w:between w:val="nil"/>
        </w:pBdr>
        <w:ind w:right="-143"/>
        <w:jc w:val="both"/>
        <w:rPr>
          <w:rFonts w:ascii="Calibri" w:hAnsi="Calibri" w:cs="Calibri"/>
          <w:sz w:val="22"/>
          <w:szCs w:val="22"/>
        </w:rPr>
      </w:pPr>
      <w:r w:rsidRPr="0081763F">
        <w:rPr>
          <w:rFonts w:ascii="Calibri" w:hAnsi="Calibri" w:cs="Calibri"/>
          <w:sz w:val="22"/>
          <w:szCs w:val="22"/>
        </w:rPr>
        <w:t>Dublin</w:t>
      </w:r>
    </w:p>
    <w:p w14:paraId="3EF8C022" w14:textId="77777777" w:rsidR="00991094" w:rsidRPr="0081763F" w:rsidRDefault="00991094" w:rsidP="00634157">
      <w:pPr>
        <w:pStyle w:val="FSHeadingStyle2"/>
        <w:spacing w:after="0" w:line="240" w:lineRule="auto"/>
        <w:ind w:right="-143"/>
        <w:rPr>
          <w:rFonts w:ascii="Calibri" w:hAnsi="Calibri" w:cs="Calibri"/>
          <w:color w:val="auto"/>
          <w:sz w:val="22"/>
          <w:szCs w:val="22"/>
        </w:rPr>
      </w:pPr>
      <w:bookmarkStart w:id="36" w:name="bookmark=id.44sinio" w:colFirst="0" w:colLast="0"/>
      <w:bookmarkEnd w:id="36"/>
    </w:p>
    <w:p w14:paraId="67EFADEB" w14:textId="77777777" w:rsidR="00991094" w:rsidRPr="0081763F" w:rsidRDefault="00991094" w:rsidP="00634157">
      <w:pPr>
        <w:pStyle w:val="FSHeadingStyle2"/>
        <w:spacing w:after="0" w:line="240" w:lineRule="auto"/>
        <w:ind w:right="-143"/>
        <w:rPr>
          <w:rFonts w:ascii="Calibri" w:hAnsi="Calibri" w:cs="Calibri"/>
          <w:color w:val="auto"/>
          <w:sz w:val="22"/>
          <w:szCs w:val="22"/>
        </w:rPr>
      </w:pPr>
    </w:p>
    <w:p w14:paraId="70EFFAD7" w14:textId="77777777" w:rsidR="00991094" w:rsidRPr="007D5C74" w:rsidRDefault="00991094" w:rsidP="00634157">
      <w:pPr>
        <w:jc w:val="both"/>
        <w:rPr>
          <w:rFonts w:ascii="Calibri" w:eastAsia="Calibri" w:hAnsi="Calibri" w:cs="Calibri"/>
          <w:sz w:val="18"/>
          <w:szCs w:val="18"/>
        </w:rPr>
      </w:pPr>
      <w:r w:rsidRPr="007D5C74">
        <w:rPr>
          <w:rFonts w:ascii="Calibri" w:eastAsia="Calibri" w:hAnsi="Calibri" w:cs="Calibri"/>
          <w:sz w:val="18"/>
          <w:szCs w:val="18"/>
        </w:rPr>
        <w:t>The maintenance and integrity of the Ryanair Holdings plc website is the responsibility of the Directors; the work carried out by the auditors does not involve consideration of these matters and, accordingly, the auditors accept no responsibility for any changes that may have occurred to the financial statements since they were initially presented on the website.</w:t>
      </w:r>
    </w:p>
    <w:p w14:paraId="41770E94" w14:textId="77777777" w:rsidR="007D5C74" w:rsidRPr="007D5C74" w:rsidRDefault="007D5C74" w:rsidP="00634157">
      <w:pPr>
        <w:jc w:val="both"/>
        <w:rPr>
          <w:rFonts w:ascii="Georgia" w:eastAsia="Georgia" w:hAnsi="Georgia" w:cs="Georgia"/>
          <w:sz w:val="20"/>
          <w:szCs w:val="20"/>
        </w:rPr>
      </w:pPr>
    </w:p>
    <w:p w14:paraId="0F772301" w14:textId="77777777" w:rsidR="0093092D" w:rsidRPr="00634157" w:rsidRDefault="00991094" w:rsidP="00634157">
      <w:pPr>
        <w:jc w:val="both"/>
        <w:rPr>
          <w:rFonts w:ascii="Georgia" w:eastAsia="Georgia" w:hAnsi="Georgia" w:cs="Georgia"/>
          <w:sz w:val="20"/>
          <w:szCs w:val="20"/>
        </w:rPr>
      </w:pPr>
      <w:r w:rsidRPr="007D5C74">
        <w:rPr>
          <w:rFonts w:ascii="Calibri" w:eastAsia="Calibri" w:hAnsi="Calibri" w:cs="Calibri"/>
          <w:sz w:val="18"/>
          <w:szCs w:val="18"/>
        </w:rPr>
        <w:t>Legislation in the Republic of Ireland governing the preparation and dissemination of financial statements may differ from legislation in other jurisdictions.</w:t>
      </w:r>
    </w:p>
    <w:bookmarkEnd w:id="15"/>
    <w:p w14:paraId="68868BAB" w14:textId="77777777" w:rsidR="0093092D" w:rsidRPr="00F15C28" w:rsidRDefault="0093092D" w:rsidP="0093092D">
      <w:pPr>
        <w:pStyle w:val="CG-Title-Center-Bold"/>
        <w:keepNext w:val="0"/>
        <w:tabs>
          <w:tab w:val="left" w:pos="-600"/>
          <w:tab w:val="left" w:pos="6120"/>
          <w:tab w:val="left" w:pos="6360"/>
          <w:tab w:val="left" w:pos="7800"/>
        </w:tabs>
        <w:spacing w:after="0"/>
        <w:ind w:right="-595"/>
        <w:jc w:val="left"/>
        <w:rPr>
          <w:rFonts w:ascii="Calibri" w:hAnsi="Calibri" w:cs="Calibri"/>
          <w:b w:val="0"/>
          <w:sz w:val="22"/>
          <w:szCs w:val="22"/>
        </w:rPr>
      </w:pPr>
    </w:p>
    <w:p w14:paraId="0CA902B4" w14:textId="77777777" w:rsidR="00C4085D" w:rsidRPr="002B4A65" w:rsidRDefault="00C4085D" w:rsidP="00E32470">
      <w:pPr>
        <w:pStyle w:val="FSHeadingStyle2"/>
        <w:ind w:right="-143"/>
        <w:rPr>
          <w:rFonts w:ascii="Calibri" w:hAnsi="Calibri" w:cs="Calibri"/>
          <w:color w:val="auto"/>
          <w:sz w:val="22"/>
          <w:szCs w:val="22"/>
        </w:rPr>
      </w:pPr>
    </w:p>
    <w:sectPr w:rsidR="00C4085D" w:rsidRPr="002B4A65" w:rsidSect="00892846">
      <w:headerReference w:type="default" r:id="rId14"/>
      <w:footerReference w:type="default" r:id="rId15"/>
      <w:pgSz w:w="11906" w:h="16838" w:code="9"/>
      <w:pgMar w:top="567" w:right="1133" w:bottom="993" w:left="56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5AC4C" w14:textId="77777777" w:rsidR="00E150C5" w:rsidRDefault="00E150C5" w:rsidP="00AA167C">
      <w:r>
        <w:separator/>
      </w:r>
    </w:p>
  </w:endnote>
  <w:endnote w:type="continuationSeparator" w:id="0">
    <w:p w14:paraId="1EA452F3" w14:textId="77777777" w:rsidR="00E150C5" w:rsidRDefault="00E150C5" w:rsidP="00AA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16AE" w14:textId="77777777" w:rsidR="00DB7576" w:rsidRPr="00DB7576" w:rsidRDefault="00DB7576" w:rsidP="00691043">
    <w:pPr>
      <w:pStyle w:val="Footer"/>
      <w:jc w:val="center"/>
      <w:rPr>
        <w:rFonts w:ascii="Calibri" w:hAnsi="Calibri" w:cs="Calibri"/>
        <w:sz w:val="21"/>
        <w:szCs w:val="21"/>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D5A9" w14:textId="77777777" w:rsidR="008905DD" w:rsidRPr="00DB7576" w:rsidRDefault="008905DD" w:rsidP="00691043">
    <w:pPr>
      <w:pStyle w:val="Footer"/>
      <w:jc w:val="center"/>
      <w:rPr>
        <w:rFonts w:ascii="Calibri" w:hAnsi="Calibri" w:cs="Calibri"/>
        <w:sz w:val="21"/>
        <w:szCs w:val="21"/>
        <w:lang w:val="en-GB"/>
      </w:rPr>
    </w:pPr>
    <w:r>
      <w:rPr>
        <w:rFonts w:ascii="Calibri" w:hAnsi="Calibri" w:cs="Calibri"/>
        <w:sz w:val="21"/>
        <w:szCs w:val="21"/>
        <w:lang w:val="en-GB"/>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BFD8" w14:textId="77777777" w:rsidR="00892846" w:rsidRPr="00892846" w:rsidRDefault="00892846">
    <w:pPr>
      <w:pStyle w:val="Footer"/>
      <w:jc w:val="center"/>
      <w:rPr>
        <w:rFonts w:ascii="Calibri" w:hAnsi="Calibri" w:cs="Calibri"/>
        <w:sz w:val="21"/>
        <w:szCs w:val="21"/>
      </w:rPr>
    </w:pPr>
    <w:r w:rsidRPr="00892846">
      <w:rPr>
        <w:rFonts w:ascii="Calibri" w:hAnsi="Calibri" w:cs="Calibri"/>
        <w:sz w:val="21"/>
        <w:szCs w:val="21"/>
      </w:rPr>
      <w:fldChar w:fldCharType="begin"/>
    </w:r>
    <w:r w:rsidRPr="00892846">
      <w:rPr>
        <w:rFonts w:ascii="Calibri" w:hAnsi="Calibri" w:cs="Calibri"/>
        <w:sz w:val="21"/>
        <w:szCs w:val="21"/>
      </w:rPr>
      <w:instrText xml:space="preserve"> PAGE   \* MERGEFORMAT </w:instrText>
    </w:r>
    <w:r w:rsidRPr="00892846">
      <w:rPr>
        <w:rFonts w:ascii="Calibri" w:hAnsi="Calibri" w:cs="Calibri"/>
        <w:sz w:val="21"/>
        <w:szCs w:val="21"/>
      </w:rPr>
      <w:fldChar w:fldCharType="separate"/>
    </w:r>
    <w:r w:rsidRPr="00892846">
      <w:rPr>
        <w:rFonts w:ascii="Calibri" w:hAnsi="Calibri" w:cs="Calibri"/>
        <w:noProof/>
        <w:sz w:val="21"/>
        <w:szCs w:val="21"/>
      </w:rPr>
      <w:t>2</w:t>
    </w:r>
    <w:r w:rsidRPr="00892846">
      <w:rPr>
        <w:rFonts w:ascii="Calibri" w:hAnsi="Calibri" w:cs="Calibri"/>
        <w:noProof/>
        <w:sz w:val="21"/>
        <w:szCs w:val="21"/>
      </w:rPr>
      <w:fldChar w:fldCharType="end"/>
    </w:r>
  </w:p>
  <w:p w14:paraId="5BCF7BC3" w14:textId="77777777" w:rsidR="008C60F6" w:rsidRPr="00DB7576" w:rsidRDefault="008C60F6" w:rsidP="00691043">
    <w:pPr>
      <w:pStyle w:val="Footer"/>
      <w:jc w:val="center"/>
      <w:rPr>
        <w:rFonts w:ascii="Calibri" w:hAnsi="Calibri" w:cs="Calibri"/>
        <w:sz w:val="21"/>
        <w:szCs w:val="21"/>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969D0" w14:textId="77777777" w:rsidR="00E150C5" w:rsidRDefault="00E150C5" w:rsidP="00AA167C">
      <w:r>
        <w:separator/>
      </w:r>
    </w:p>
  </w:footnote>
  <w:footnote w:type="continuationSeparator" w:id="0">
    <w:p w14:paraId="79DFE780" w14:textId="77777777" w:rsidR="00E150C5" w:rsidRDefault="00E150C5" w:rsidP="00AA1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66C1" w14:textId="77777777" w:rsidR="008905DD" w:rsidRDefault="00890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BA5C" w14:textId="77777777" w:rsidR="00892846" w:rsidRDefault="00892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2A33"/>
    <w:multiLevelType w:val="hybridMultilevel"/>
    <w:tmpl w:val="59D833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09A0607"/>
    <w:multiLevelType w:val="multilevel"/>
    <w:tmpl w:val="44A284A6"/>
    <w:lvl w:ilvl="0">
      <w:start w:val="1"/>
      <w:numFmt w:val="decimal"/>
      <w:lvlText w:val="%1."/>
      <w:lvlJc w:val="left"/>
      <w:pPr>
        <w:tabs>
          <w:tab w:val="num" w:pos="2705"/>
        </w:tabs>
        <w:ind w:left="1985" w:firstLine="0"/>
      </w:pPr>
      <w:rPr>
        <w:rFonts w:hint="default"/>
        <w:b/>
        <w:i w:val="0"/>
        <w:caps w:val="0"/>
        <w:smallCaps w:val="0"/>
        <w:strike w:val="0"/>
        <w:dstrike w:val="0"/>
        <w:vanish w:val="0"/>
        <w:color w:val="auto"/>
        <w:u w:val="none"/>
        <w:effect w:val="none"/>
        <w:vertAlign w:val="baseline"/>
      </w:rPr>
    </w:lvl>
    <w:lvl w:ilvl="1">
      <w:start w:val="1"/>
      <w:numFmt w:val="lowerLetter"/>
      <w:lvlText w:val="(%2)"/>
      <w:lvlJc w:val="left"/>
      <w:pPr>
        <w:tabs>
          <w:tab w:val="num" w:pos="-839"/>
        </w:tabs>
        <w:ind w:left="-839" w:hanging="720"/>
      </w:pPr>
      <w:rPr>
        <w:rFonts w:hint="default"/>
        <w:b/>
        <w:i w:val="0"/>
        <w:caps w:val="0"/>
        <w:strike w:val="0"/>
        <w:dstrike w:val="0"/>
        <w:vanish w:val="0"/>
        <w:color w:val="auto"/>
        <w:u w:val="none"/>
        <w:effect w:val="none"/>
        <w:vertAlign w:val="baseline"/>
      </w:rPr>
    </w:lvl>
    <w:lvl w:ilvl="2">
      <w:start w:val="1"/>
      <w:numFmt w:val="lowerRoman"/>
      <w:lvlText w:val="(%3)"/>
      <w:lvlJc w:val="left"/>
      <w:pPr>
        <w:tabs>
          <w:tab w:val="num" w:pos="601"/>
        </w:tabs>
        <w:ind w:left="601" w:hanging="720"/>
      </w:pPr>
      <w:rPr>
        <w:rFonts w:hint="default"/>
        <w:b w:val="0"/>
        <w:i w:val="0"/>
        <w:caps w:val="0"/>
        <w:strike w:val="0"/>
        <w:dstrike w:val="0"/>
        <w:vanish w:val="0"/>
        <w:color w:val="auto"/>
        <w:sz w:val="20"/>
        <w:u w:val="none"/>
        <w:effect w:val="none"/>
        <w:vertAlign w:val="baseline"/>
      </w:rPr>
    </w:lvl>
    <w:lvl w:ilvl="3">
      <w:start w:val="1"/>
      <w:numFmt w:val="lowerRoman"/>
      <w:lvlText w:val="(%4)"/>
      <w:lvlJc w:val="left"/>
      <w:pPr>
        <w:tabs>
          <w:tab w:val="num" w:pos="-119"/>
        </w:tabs>
        <w:ind w:left="-119" w:hanging="720"/>
      </w:pPr>
      <w:rPr>
        <w:rFonts w:hint="default"/>
        <w:b w:val="0"/>
        <w:i w:val="0"/>
        <w:caps w:val="0"/>
        <w:strike w:val="0"/>
        <w:dstrike w:val="0"/>
        <w:vanish w:val="0"/>
        <w:color w:val="auto"/>
        <w:u w:val="none"/>
        <w:effect w:val="none"/>
        <w:vertAlign w:val="baseline"/>
      </w:rPr>
    </w:lvl>
    <w:lvl w:ilvl="4">
      <w:start w:val="1"/>
      <w:numFmt w:val="lowerLetter"/>
      <w:lvlText w:val="(%5)"/>
      <w:lvlJc w:val="left"/>
      <w:pPr>
        <w:tabs>
          <w:tab w:val="num" w:pos="-119"/>
        </w:tabs>
        <w:ind w:left="-119" w:hanging="720"/>
      </w:pPr>
      <w:rPr>
        <w:rFonts w:hint="default"/>
        <w:b w:val="0"/>
        <w:i w:val="0"/>
        <w:caps w:val="0"/>
        <w:color w:val="auto"/>
        <w:u w:val="none"/>
      </w:rPr>
    </w:lvl>
    <w:lvl w:ilvl="5">
      <w:start w:val="1"/>
      <w:numFmt w:val="lowerRoman"/>
      <w:lvlText w:val="(%6)"/>
      <w:lvlJc w:val="left"/>
      <w:pPr>
        <w:tabs>
          <w:tab w:val="num" w:pos="601"/>
        </w:tabs>
        <w:ind w:left="601" w:hanging="360"/>
      </w:pPr>
      <w:rPr>
        <w:rFonts w:hint="default"/>
      </w:rPr>
    </w:lvl>
    <w:lvl w:ilvl="6">
      <w:start w:val="1"/>
      <w:numFmt w:val="decimal"/>
      <w:lvlText w:val="%7."/>
      <w:lvlJc w:val="left"/>
      <w:pPr>
        <w:tabs>
          <w:tab w:val="num" w:pos="961"/>
        </w:tabs>
        <w:ind w:left="961" w:hanging="360"/>
      </w:pPr>
      <w:rPr>
        <w:rFonts w:hint="default"/>
      </w:rPr>
    </w:lvl>
    <w:lvl w:ilvl="7">
      <w:start w:val="1"/>
      <w:numFmt w:val="lowerLetter"/>
      <w:lvlText w:val="%8."/>
      <w:lvlJc w:val="left"/>
      <w:pPr>
        <w:tabs>
          <w:tab w:val="num" w:pos="1321"/>
        </w:tabs>
        <w:ind w:left="1321" w:hanging="360"/>
      </w:pPr>
      <w:rPr>
        <w:rFonts w:hint="default"/>
      </w:rPr>
    </w:lvl>
    <w:lvl w:ilvl="8">
      <w:start w:val="1"/>
      <w:numFmt w:val="lowerRoman"/>
      <w:lvlText w:val="%9."/>
      <w:lvlJc w:val="left"/>
      <w:pPr>
        <w:tabs>
          <w:tab w:val="num" w:pos="1681"/>
        </w:tabs>
        <w:ind w:left="1681" w:hanging="360"/>
      </w:pPr>
      <w:rPr>
        <w:rFonts w:hint="default"/>
      </w:rPr>
    </w:lvl>
  </w:abstractNum>
  <w:abstractNum w:abstractNumId="2" w15:restartNumberingAfterBreak="0">
    <w:nsid w:val="14A527D3"/>
    <w:multiLevelType w:val="multilevel"/>
    <w:tmpl w:val="2C54F186"/>
    <w:lvl w:ilvl="0">
      <w:start w:val="1"/>
      <w:numFmt w:val="bullet"/>
      <w:lvlText w:val="●"/>
      <w:lvlJc w:val="left"/>
      <w:pPr>
        <w:ind w:left="1077" w:hanging="360"/>
      </w:pPr>
      <w:rPr>
        <w:rFonts w:ascii="Calibri" w:eastAsia="Calibri" w:hAnsi="Calibri" w:cs="Calibri"/>
        <w:i w:val="0"/>
        <w:sz w:val="22"/>
        <w:szCs w:val="22"/>
      </w:rPr>
    </w:lvl>
    <w:lvl w:ilvl="1">
      <w:start w:val="1"/>
      <w:numFmt w:val="bullet"/>
      <w:lvlText w:val="o"/>
      <w:lvlJc w:val="left"/>
      <w:pPr>
        <w:ind w:left="1797" w:hanging="360"/>
      </w:pPr>
    </w:lvl>
    <w:lvl w:ilvl="2">
      <w:start w:val="1"/>
      <w:numFmt w:val="bullet"/>
      <w:lvlText w:val="§"/>
      <w:lvlJc w:val="left"/>
      <w:pPr>
        <w:ind w:left="2517" w:hanging="360"/>
      </w:pPr>
    </w:lvl>
    <w:lvl w:ilvl="3">
      <w:start w:val="1"/>
      <w:numFmt w:val="bullet"/>
      <w:lvlText w:val="·"/>
      <w:lvlJc w:val="left"/>
      <w:pPr>
        <w:ind w:left="3237" w:hanging="360"/>
      </w:pPr>
    </w:lvl>
    <w:lvl w:ilvl="4">
      <w:start w:val="1"/>
      <w:numFmt w:val="bullet"/>
      <w:lvlText w:val="o"/>
      <w:lvlJc w:val="left"/>
      <w:pPr>
        <w:ind w:left="3957" w:hanging="360"/>
      </w:pPr>
    </w:lvl>
    <w:lvl w:ilvl="5">
      <w:start w:val="1"/>
      <w:numFmt w:val="bullet"/>
      <w:lvlText w:val="§"/>
      <w:lvlJc w:val="left"/>
      <w:pPr>
        <w:ind w:left="4677" w:hanging="360"/>
      </w:pPr>
    </w:lvl>
    <w:lvl w:ilvl="6">
      <w:start w:val="1"/>
      <w:numFmt w:val="bullet"/>
      <w:lvlText w:val="·"/>
      <w:lvlJc w:val="left"/>
      <w:pPr>
        <w:ind w:left="5397" w:hanging="360"/>
      </w:pPr>
    </w:lvl>
    <w:lvl w:ilvl="7">
      <w:start w:val="1"/>
      <w:numFmt w:val="bullet"/>
      <w:lvlText w:val="o"/>
      <w:lvlJc w:val="left"/>
      <w:pPr>
        <w:ind w:left="6117" w:hanging="360"/>
      </w:pPr>
    </w:lvl>
    <w:lvl w:ilvl="8">
      <w:start w:val="1"/>
      <w:numFmt w:val="bullet"/>
      <w:lvlText w:val="§"/>
      <w:lvlJc w:val="left"/>
      <w:pPr>
        <w:ind w:left="6837" w:hanging="360"/>
      </w:pPr>
    </w:lvl>
  </w:abstractNum>
  <w:abstractNum w:abstractNumId="3" w15:restartNumberingAfterBreak="0">
    <w:nsid w:val="1AA864C6"/>
    <w:multiLevelType w:val="singleLevel"/>
    <w:tmpl w:val="5A944884"/>
    <w:lvl w:ilvl="0">
      <w:start w:val="1"/>
      <w:numFmt w:val="bullet"/>
      <w:pStyle w:val="CG-Bullet"/>
      <w:lvlText w:val=""/>
      <w:lvlJc w:val="left"/>
      <w:pPr>
        <w:tabs>
          <w:tab w:val="num" w:pos="1353"/>
        </w:tabs>
        <w:ind w:left="1353" w:hanging="360"/>
      </w:pPr>
      <w:rPr>
        <w:rFonts w:ascii="Symbol" w:hAnsi="Symbol" w:cs="Times New Roman" w:hint="default"/>
      </w:rPr>
    </w:lvl>
  </w:abstractNum>
  <w:abstractNum w:abstractNumId="4" w15:restartNumberingAfterBreak="0">
    <w:nsid w:val="23830248"/>
    <w:multiLevelType w:val="singleLevel"/>
    <w:tmpl w:val="E736B5E2"/>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131090"/>
    <w:multiLevelType w:val="hybridMultilevel"/>
    <w:tmpl w:val="325E9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A6775"/>
    <w:multiLevelType w:val="hybridMultilevel"/>
    <w:tmpl w:val="8E524DAC"/>
    <w:lvl w:ilvl="0" w:tplc="E736B5E2">
      <w:start w:val="1"/>
      <w:numFmt w:val="bullet"/>
      <w:lvlText w:val=""/>
      <w:lvlJc w:val="left"/>
      <w:pPr>
        <w:ind w:left="720" w:hanging="360"/>
      </w:pPr>
      <w:rPr>
        <w:rFonts w:ascii="Symbol" w:hAnsi="Symbol" w:hint="default"/>
        <w:color w:val="auto"/>
        <w:sz w:val="22"/>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31D735A9"/>
    <w:multiLevelType w:val="hybridMultilevel"/>
    <w:tmpl w:val="69124078"/>
    <w:lvl w:ilvl="0" w:tplc="8740491E">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D6D4273"/>
    <w:multiLevelType w:val="multilevel"/>
    <w:tmpl w:val="E3C6E9F6"/>
    <w:lvl w:ilvl="0">
      <w:start w:val="1"/>
      <w:numFmt w:val="decimal"/>
      <w:pStyle w:val="Outline3L1"/>
      <w:lvlText w:val="%1."/>
      <w:lvlJc w:val="left"/>
      <w:pPr>
        <w:tabs>
          <w:tab w:val="num" w:pos="720"/>
        </w:tabs>
        <w:ind w:left="0" w:firstLine="0"/>
      </w:pPr>
      <w:rPr>
        <w:b/>
        <w:i w:val="0"/>
        <w:caps w:val="0"/>
        <w:smallCaps w:val="0"/>
        <w:strike w:val="0"/>
        <w:dstrike w:val="0"/>
        <w:vanish w:val="0"/>
        <w:color w:val="auto"/>
        <w:u w:val="none"/>
        <w:effect w:val="none"/>
        <w:vertAlign w:val="baseline"/>
      </w:rPr>
    </w:lvl>
    <w:lvl w:ilvl="1">
      <w:start w:val="1"/>
      <w:numFmt w:val="lowerLetter"/>
      <w:pStyle w:val="Outline3L2"/>
      <w:lvlText w:val="(%2)"/>
      <w:lvlJc w:val="left"/>
      <w:pPr>
        <w:tabs>
          <w:tab w:val="num" w:pos="-839"/>
        </w:tabs>
        <w:ind w:left="-839" w:hanging="720"/>
      </w:pPr>
      <w:rPr>
        <w:b/>
        <w:i w:val="0"/>
        <w:caps w:val="0"/>
        <w:strike w:val="0"/>
        <w:dstrike w:val="0"/>
        <w:vanish w:val="0"/>
        <w:color w:val="auto"/>
        <w:u w:val="none"/>
        <w:effect w:val="none"/>
        <w:vertAlign w:val="baseline"/>
      </w:rPr>
    </w:lvl>
    <w:lvl w:ilvl="2">
      <w:start w:val="1"/>
      <w:numFmt w:val="lowerRoman"/>
      <w:pStyle w:val="Outline3L3"/>
      <w:lvlText w:val="(%3)"/>
      <w:lvlJc w:val="left"/>
      <w:pPr>
        <w:tabs>
          <w:tab w:val="num" w:pos="601"/>
        </w:tabs>
        <w:ind w:left="601" w:hanging="720"/>
      </w:pPr>
      <w:rPr>
        <w:b w:val="0"/>
        <w:i/>
        <w:caps w:val="0"/>
        <w:strike w:val="0"/>
        <w:dstrike w:val="0"/>
        <w:vanish w:val="0"/>
        <w:color w:val="auto"/>
        <w:u w:val="none"/>
        <w:effect w:val="none"/>
        <w:vertAlign w:val="baseline"/>
      </w:rPr>
    </w:lvl>
    <w:lvl w:ilvl="3">
      <w:start w:val="1"/>
      <w:numFmt w:val="lowerRoman"/>
      <w:pStyle w:val="Outline3L4"/>
      <w:lvlText w:val="(%4)"/>
      <w:lvlJc w:val="left"/>
      <w:pPr>
        <w:tabs>
          <w:tab w:val="num" w:pos="-119"/>
        </w:tabs>
        <w:ind w:left="-119" w:hanging="720"/>
      </w:pPr>
      <w:rPr>
        <w:b w:val="0"/>
        <w:i w:val="0"/>
        <w:caps w:val="0"/>
        <w:strike w:val="0"/>
        <w:dstrike w:val="0"/>
        <w:vanish w:val="0"/>
        <w:color w:val="auto"/>
        <w:u w:val="none"/>
        <w:effect w:val="none"/>
        <w:vertAlign w:val="baseline"/>
      </w:rPr>
    </w:lvl>
    <w:lvl w:ilvl="4">
      <w:start w:val="1"/>
      <w:numFmt w:val="lowerLetter"/>
      <w:pStyle w:val="Outline3L5"/>
      <w:lvlText w:val="(%5)"/>
      <w:lvlJc w:val="left"/>
      <w:pPr>
        <w:tabs>
          <w:tab w:val="num" w:pos="-119"/>
        </w:tabs>
        <w:ind w:left="-119" w:hanging="720"/>
      </w:pPr>
      <w:rPr>
        <w:b w:val="0"/>
        <w:i w:val="0"/>
        <w:caps w:val="0"/>
        <w:color w:val="auto"/>
        <w:u w:val="none"/>
      </w:rPr>
    </w:lvl>
    <w:lvl w:ilvl="5">
      <w:start w:val="1"/>
      <w:numFmt w:val="lowerRoman"/>
      <w:lvlText w:val="(%6)"/>
      <w:lvlJc w:val="left"/>
      <w:pPr>
        <w:tabs>
          <w:tab w:val="num" w:pos="601"/>
        </w:tabs>
        <w:ind w:left="601" w:hanging="360"/>
      </w:pPr>
    </w:lvl>
    <w:lvl w:ilvl="6">
      <w:start w:val="1"/>
      <w:numFmt w:val="decimal"/>
      <w:lvlText w:val="%7."/>
      <w:lvlJc w:val="left"/>
      <w:pPr>
        <w:tabs>
          <w:tab w:val="num" w:pos="961"/>
        </w:tabs>
        <w:ind w:left="961" w:hanging="360"/>
      </w:pPr>
    </w:lvl>
    <w:lvl w:ilvl="7">
      <w:start w:val="1"/>
      <w:numFmt w:val="lowerLetter"/>
      <w:lvlText w:val="%8."/>
      <w:lvlJc w:val="left"/>
      <w:pPr>
        <w:tabs>
          <w:tab w:val="num" w:pos="1321"/>
        </w:tabs>
        <w:ind w:left="1321" w:hanging="360"/>
      </w:pPr>
    </w:lvl>
    <w:lvl w:ilvl="8">
      <w:start w:val="1"/>
      <w:numFmt w:val="lowerRoman"/>
      <w:lvlText w:val="%9."/>
      <w:lvlJc w:val="left"/>
      <w:pPr>
        <w:tabs>
          <w:tab w:val="num" w:pos="1681"/>
        </w:tabs>
        <w:ind w:left="1681" w:hanging="360"/>
      </w:pPr>
    </w:lvl>
  </w:abstractNum>
  <w:abstractNum w:abstractNumId="9" w15:restartNumberingAfterBreak="0">
    <w:nsid w:val="48203452"/>
    <w:multiLevelType w:val="hybridMultilevel"/>
    <w:tmpl w:val="82D83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44D46C0"/>
    <w:multiLevelType w:val="hybridMultilevel"/>
    <w:tmpl w:val="04D0E64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21B60C2"/>
    <w:multiLevelType w:val="hybridMultilevel"/>
    <w:tmpl w:val="9D8C9F92"/>
    <w:lvl w:ilvl="0" w:tplc="E2C688D2">
      <w:start w:val="1"/>
      <w:numFmt w:val="bullet"/>
      <w:lvlText w:val=""/>
      <w:lvlJc w:val="left"/>
      <w:pPr>
        <w:ind w:left="720" w:hanging="360"/>
      </w:pPr>
      <w:rPr>
        <w:rFonts w:ascii="Symbol" w:hAnsi="Symbol" w:hint="default"/>
        <w:color w:val="000000"/>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4334578"/>
    <w:multiLevelType w:val="hybridMultilevel"/>
    <w:tmpl w:val="7A8274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9E9555B"/>
    <w:multiLevelType w:val="hybridMultilevel"/>
    <w:tmpl w:val="B188482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4" w15:restartNumberingAfterBreak="0">
    <w:nsid w:val="6AC00838"/>
    <w:multiLevelType w:val="multilevel"/>
    <w:tmpl w:val="8E4A1446"/>
    <w:lvl w:ilvl="0">
      <w:start w:val="1"/>
      <w:numFmt w:val="bullet"/>
      <w:lvlText w:val="●"/>
      <w:lvlJc w:val="left"/>
      <w:pPr>
        <w:ind w:left="720" w:hanging="360"/>
      </w:pPr>
      <w:rPr>
        <w:rFonts w:ascii="Calibri" w:hAnsi="Calibri" w:cs="Calibri" w:hint="default"/>
        <w:sz w:val="22"/>
        <w:szCs w:val="22"/>
        <w:u w:val="none"/>
      </w:rPr>
    </w:lvl>
    <w:lvl w:ilvl="1">
      <w:start w:val="1"/>
      <w:numFmt w:val="bullet"/>
      <w:pStyle w:val="Heading4Char"/>
      <w:lvlText w:val="○"/>
      <w:lvlJc w:val="left"/>
      <w:pPr>
        <w:ind w:left="1440" w:hanging="360"/>
      </w:pPr>
      <w:rPr>
        <w:u w:val="none"/>
      </w:rPr>
    </w:lvl>
    <w:lvl w:ilvl="2">
      <w:start w:val="1"/>
      <w:numFmt w:val="bullet"/>
      <w:pStyle w:val="Hyperlink"/>
      <w:lvlText w:val="■"/>
      <w:lvlJc w:val="left"/>
      <w:pPr>
        <w:ind w:left="2160" w:hanging="360"/>
      </w:pPr>
      <w:rPr>
        <w:u w:val="none"/>
      </w:rPr>
    </w:lvl>
    <w:lvl w:ilvl="3">
      <w:start w:val="1"/>
      <w:numFmt w:val="bullet"/>
      <w:pStyle w:val="Header"/>
      <w:lvlText w:val="●"/>
      <w:lvlJc w:val="left"/>
      <w:pPr>
        <w:ind w:left="2880" w:hanging="360"/>
      </w:pPr>
      <w:rPr>
        <w:u w:val="none"/>
      </w:rPr>
    </w:lvl>
    <w:lvl w:ilvl="4">
      <w:start w:val="1"/>
      <w:numFmt w:val="bullet"/>
      <w:pStyle w:val="HeaderChar"/>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C4B4B0B"/>
    <w:multiLevelType w:val="hybridMultilevel"/>
    <w:tmpl w:val="3CA629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6D93D50"/>
    <w:multiLevelType w:val="hybridMultilevel"/>
    <w:tmpl w:val="0AB885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EE864C6"/>
    <w:multiLevelType w:val="multilevel"/>
    <w:tmpl w:val="19C62E62"/>
    <w:lvl w:ilvl="0">
      <w:start w:val="1"/>
      <w:numFmt w:val="bullet"/>
      <w:lvlText w:val="●"/>
      <w:lvlJc w:val="left"/>
      <w:pPr>
        <w:ind w:left="1077" w:hanging="360"/>
      </w:pPr>
      <w:rPr>
        <w:rFonts w:ascii="Calibri Light" w:eastAsia="Noto Sans" w:hAnsi="Calibri Light" w:cs="Calibri Light" w:hint="default"/>
        <w:i w:val="0"/>
        <w:sz w:val="22"/>
        <w:szCs w:val="22"/>
      </w:rPr>
    </w:lvl>
    <w:lvl w:ilvl="1">
      <w:start w:val="1"/>
      <w:numFmt w:val="bullet"/>
      <w:pStyle w:val="ListBullet2"/>
      <w:lvlText w:val="o"/>
      <w:lvlJc w:val="left"/>
      <w:pPr>
        <w:ind w:left="1797" w:hanging="360"/>
      </w:pPr>
    </w:lvl>
    <w:lvl w:ilvl="2">
      <w:start w:val="1"/>
      <w:numFmt w:val="bullet"/>
      <w:pStyle w:val="ListBullet3"/>
      <w:lvlText w:val="§"/>
      <w:lvlJc w:val="left"/>
      <w:pPr>
        <w:ind w:left="2517" w:hanging="360"/>
      </w:pPr>
    </w:lvl>
    <w:lvl w:ilvl="3">
      <w:start w:val="1"/>
      <w:numFmt w:val="bullet"/>
      <w:pStyle w:val="ListBullet4"/>
      <w:lvlText w:val="·"/>
      <w:lvlJc w:val="left"/>
      <w:pPr>
        <w:ind w:left="3237" w:hanging="360"/>
      </w:pPr>
    </w:lvl>
    <w:lvl w:ilvl="4">
      <w:start w:val="1"/>
      <w:numFmt w:val="bullet"/>
      <w:pStyle w:val="ListBullet5"/>
      <w:lvlText w:val="o"/>
      <w:lvlJc w:val="left"/>
      <w:pPr>
        <w:ind w:left="3957" w:hanging="360"/>
      </w:pPr>
    </w:lvl>
    <w:lvl w:ilvl="5">
      <w:start w:val="1"/>
      <w:numFmt w:val="bullet"/>
      <w:lvlText w:val="§"/>
      <w:lvlJc w:val="left"/>
      <w:pPr>
        <w:ind w:left="4677" w:hanging="360"/>
      </w:pPr>
    </w:lvl>
    <w:lvl w:ilvl="6">
      <w:start w:val="1"/>
      <w:numFmt w:val="bullet"/>
      <w:lvlText w:val="·"/>
      <w:lvlJc w:val="left"/>
      <w:pPr>
        <w:ind w:left="5397" w:hanging="360"/>
      </w:pPr>
    </w:lvl>
    <w:lvl w:ilvl="7">
      <w:start w:val="1"/>
      <w:numFmt w:val="bullet"/>
      <w:lvlText w:val="o"/>
      <w:lvlJc w:val="left"/>
      <w:pPr>
        <w:ind w:left="6117" w:hanging="360"/>
      </w:pPr>
    </w:lvl>
    <w:lvl w:ilvl="8">
      <w:start w:val="1"/>
      <w:numFmt w:val="bullet"/>
      <w:lvlText w:val="§"/>
      <w:lvlJc w:val="left"/>
      <w:pPr>
        <w:ind w:left="6837" w:hanging="360"/>
      </w:pPr>
    </w:lvl>
  </w:abstractNum>
  <w:abstractNum w:abstractNumId="18" w15:restartNumberingAfterBreak="0">
    <w:nsid w:val="7F08277F"/>
    <w:multiLevelType w:val="hybridMultilevel"/>
    <w:tmpl w:val="BB36A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2135946">
    <w:abstractNumId w:val="8"/>
  </w:num>
  <w:num w:numId="2" w16cid:durableId="4133663">
    <w:abstractNumId w:val="3"/>
  </w:num>
  <w:num w:numId="3" w16cid:durableId="1062563036">
    <w:abstractNumId w:val="4"/>
  </w:num>
  <w:num w:numId="4" w16cid:durableId="2146894027">
    <w:abstractNumId w:val="18"/>
  </w:num>
  <w:num w:numId="5" w16cid:durableId="738400718">
    <w:abstractNumId w:val="9"/>
  </w:num>
  <w:num w:numId="6" w16cid:durableId="4754886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82520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8788455">
    <w:abstractNumId w:val="13"/>
    <w:lvlOverride w:ilvl="0"/>
    <w:lvlOverride w:ilvl="1"/>
    <w:lvlOverride w:ilvl="2"/>
    <w:lvlOverride w:ilvl="3"/>
    <w:lvlOverride w:ilvl="4"/>
    <w:lvlOverride w:ilvl="5"/>
    <w:lvlOverride w:ilvl="6"/>
    <w:lvlOverride w:ilvl="7"/>
    <w:lvlOverride w:ilvl="8"/>
  </w:num>
  <w:num w:numId="9" w16cid:durableId="1412658222">
    <w:abstractNumId w:val="0"/>
  </w:num>
  <w:num w:numId="10" w16cid:durableId="1231773931">
    <w:abstractNumId w:val="16"/>
  </w:num>
  <w:num w:numId="11" w16cid:durableId="1488781908">
    <w:abstractNumId w:val="11"/>
  </w:num>
  <w:num w:numId="12" w16cid:durableId="83382099">
    <w:abstractNumId w:val="6"/>
    <w:lvlOverride w:ilvl="0"/>
    <w:lvlOverride w:ilvl="1"/>
    <w:lvlOverride w:ilvl="2"/>
    <w:lvlOverride w:ilvl="3"/>
    <w:lvlOverride w:ilvl="4"/>
    <w:lvlOverride w:ilvl="5"/>
    <w:lvlOverride w:ilvl="6"/>
    <w:lvlOverride w:ilvl="7"/>
    <w:lvlOverride w:ilvl="8"/>
  </w:num>
  <w:num w:numId="13" w16cid:durableId="1585651201">
    <w:abstractNumId w:val="17"/>
  </w:num>
  <w:num w:numId="14" w16cid:durableId="1063606443">
    <w:abstractNumId w:val="14"/>
  </w:num>
  <w:num w:numId="15" w16cid:durableId="1638100581">
    <w:abstractNumId w:val="7"/>
  </w:num>
  <w:num w:numId="16" w16cid:durableId="2025134830">
    <w:abstractNumId w:val="12"/>
  </w:num>
  <w:num w:numId="17" w16cid:durableId="1202132806">
    <w:abstractNumId w:val="15"/>
  </w:num>
  <w:num w:numId="18" w16cid:durableId="38163845">
    <w:abstractNumId w:val="1"/>
  </w:num>
  <w:num w:numId="19" w16cid:durableId="526329153">
    <w:abstractNumId w:val="2"/>
  </w:num>
  <w:num w:numId="20" w16cid:durableId="2002392623">
    <w:abstractNumId w:val="5"/>
  </w:num>
  <w:num w:numId="21" w16cid:durableId="74287213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167C"/>
    <w:rsid w:val="000013B8"/>
    <w:rsid w:val="000015D3"/>
    <w:rsid w:val="00001702"/>
    <w:rsid w:val="00001E6E"/>
    <w:rsid w:val="00002B73"/>
    <w:rsid w:val="00003198"/>
    <w:rsid w:val="000037EA"/>
    <w:rsid w:val="00003847"/>
    <w:rsid w:val="0000429A"/>
    <w:rsid w:val="000060D4"/>
    <w:rsid w:val="0000621F"/>
    <w:rsid w:val="000065C3"/>
    <w:rsid w:val="000066F8"/>
    <w:rsid w:val="0000670E"/>
    <w:rsid w:val="00007F65"/>
    <w:rsid w:val="00010595"/>
    <w:rsid w:val="00010AC5"/>
    <w:rsid w:val="00010B1C"/>
    <w:rsid w:val="00010D54"/>
    <w:rsid w:val="0001159C"/>
    <w:rsid w:val="00011BE7"/>
    <w:rsid w:val="00011DBD"/>
    <w:rsid w:val="000120BF"/>
    <w:rsid w:val="00012906"/>
    <w:rsid w:val="00012C7C"/>
    <w:rsid w:val="000132F7"/>
    <w:rsid w:val="000135BC"/>
    <w:rsid w:val="0001384A"/>
    <w:rsid w:val="00013ACF"/>
    <w:rsid w:val="00013C6F"/>
    <w:rsid w:val="0001408F"/>
    <w:rsid w:val="00014100"/>
    <w:rsid w:val="00014394"/>
    <w:rsid w:val="00014900"/>
    <w:rsid w:val="00015495"/>
    <w:rsid w:val="000157E3"/>
    <w:rsid w:val="00015EA4"/>
    <w:rsid w:val="000166EB"/>
    <w:rsid w:val="00016C8A"/>
    <w:rsid w:val="00016FBD"/>
    <w:rsid w:val="0001782C"/>
    <w:rsid w:val="00017906"/>
    <w:rsid w:val="00020836"/>
    <w:rsid w:val="00020CB3"/>
    <w:rsid w:val="00020E67"/>
    <w:rsid w:val="00020F6F"/>
    <w:rsid w:val="00022A1C"/>
    <w:rsid w:val="00023178"/>
    <w:rsid w:val="000239A3"/>
    <w:rsid w:val="000239FA"/>
    <w:rsid w:val="00023A12"/>
    <w:rsid w:val="00023B16"/>
    <w:rsid w:val="00024C27"/>
    <w:rsid w:val="000254F7"/>
    <w:rsid w:val="000259D9"/>
    <w:rsid w:val="00025E87"/>
    <w:rsid w:val="0002602C"/>
    <w:rsid w:val="00026AF0"/>
    <w:rsid w:val="00027B66"/>
    <w:rsid w:val="00030024"/>
    <w:rsid w:val="00030041"/>
    <w:rsid w:val="000301ED"/>
    <w:rsid w:val="0003106A"/>
    <w:rsid w:val="00031E92"/>
    <w:rsid w:val="00032273"/>
    <w:rsid w:val="0003277F"/>
    <w:rsid w:val="00032964"/>
    <w:rsid w:val="000330C6"/>
    <w:rsid w:val="000331AE"/>
    <w:rsid w:val="00033919"/>
    <w:rsid w:val="0003476E"/>
    <w:rsid w:val="0003495C"/>
    <w:rsid w:val="00034A4E"/>
    <w:rsid w:val="00035F53"/>
    <w:rsid w:val="00036007"/>
    <w:rsid w:val="000371F4"/>
    <w:rsid w:val="000400DD"/>
    <w:rsid w:val="00040CED"/>
    <w:rsid w:val="00040D17"/>
    <w:rsid w:val="00040EB7"/>
    <w:rsid w:val="00041334"/>
    <w:rsid w:val="00041511"/>
    <w:rsid w:val="000421C1"/>
    <w:rsid w:val="00042424"/>
    <w:rsid w:val="0004298F"/>
    <w:rsid w:val="00042B4B"/>
    <w:rsid w:val="00042CAC"/>
    <w:rsid w:val="00042D0C"/>
    <w:rsid w:val="00042F87"/>
    <w:rsid w:val="00043186"/>
    <w:rsid w:val="00043B4D"/>
    <w:rsid w:val="00043E7B"/>
    <w:rsid w:val="00043F7D"/>
    <w:rsid w:val="000445DB"/>
    <w:rsid w:val="0004478F"/>
    <w:rsid w:val="00045B4B"/>
    <w:rsid w:val="00045D1A"/>
    <w:rsid w:val="000464AF"/>
    <w:rsid w:val="00046619"/>
    <w:rsid w:val="00046CA8"/>
    <w:rsid w:val="00047371"/>
    <w:rsid w:val="0005035A"/>
    <w:rsid w:val="0005071B"/>
    <w:rsid w:val="000509D3"/>
    <w:rsid w:val="00050A8C"/>
    <w:rsid w:val="00050B2F"/>
    <w:rsid w:val="00050F2A"/>
    <w:rsid w:val="00051976"/>
    <w:rsid w:val="00051CC2"/>
    <w:rsid w:val="00051E0C"/>
    <w:rsid w:val="00052151"/>
    <w:rsid w:val="000521E1"/>
    <w:rsid w:val="000525D6"/>
    <w:rsid w:val="00052791"/>
    <w:rsid w:val="00052A33"/>
    <w:rsid w:val="00052A9F"/>
    <w:rsid w:val="00053FF5"/>
    <w:rsid w:val="0005445F"/>
    <w:rsid w:val="000546F2"/>
    <w:rsid w:val="00054960"/>
    <w:rsid w:val="00054ABC"/>
    <w:rsid w:val="000556FE"/>
    <w:rsid w:val="00055B0B"/>
    <w:rsid w:val="00055E0A"/>
    <w:rsid w:val="000567AF"/>
    <w:rsid w:val="00056B2A"/>
    <w:rsid w:val="00056DAA"/>
    <w:rsid w:val="000575C5"/>
    <w:rsid w:val="00057828"/>
    <w:rsid w:val="0006006C"/>
    <w:rsid w:val="00061136"/>
    <w:rsid w:val="000612DD"/>
    <w:rsid w:val="00061313"/>
    <w:rsid w:val="000618DD"/>
    <w:rsid w:val="00061AA5"/>
    <w:rsid w:val="00062384"/>
    <w:rsid w:val="000623DD"/>
    <w:rsid w:val="000626DB"/>
    <w:rsid w:val="0006284D"/>
    <w:rsid w:val="00063735"/>
    <w:rsid w:val="0006373F"/>
    <w:rsid w:val="00063A4D"/>
    <w:rsid w:val="000642A8"/>
    <w:rsid w:val="00064E9C"/>
    <w:rsid w:val="00065346"/>
    <w:rsid w:val="00065782"/>
    <w:rsid w:val="0006578F"/>
    <w:rsid w:val="00065D64"/>
    <w:rsid w:val="00065DA8"/>
    <w:rsid w:val="00066082"/>
    <w:rsid w:val="000664B0"/>
    <w:rsid w:val="000666E6"/>
    <w:rsid w:val="00067177"/>
    <w:rsid w:val="00067426"/>
    <w:rsid w:val="000677CD"/>
    <w:rsid w:val="00067B54"/>
    <w:rsid w:val="00070427"/>
    <w:rsid w:val="0007045D"/>
    <w:rsid w:val="00070811"/>
    <w:rsid w:val="00071504"/>
    <w:rsid w:val="0007183D"/>
    <w:rsid w:val="00072726"/>
    <w:rsid w:val="0007282E"/>
    <w:rsid w:val="00072A05"/>
    <w:rsid w:val="00072DBC"/>
    <w:rsid w:val="00074C6E"/>
    <w:rsid w:val="00074E1D"/>
    <w:rsid w:val="00076125"/>
    <w:rsid w:val="00076395"/>
    <w:rsid w:val="0007714B"/>
    <w:rsid w:val="00077A6C"/>
    <w:rsid w:val="00077EB8"/>
    <w:rsid w:val="00077EC6"/>
    <w:rsid w:val="00080150"/>
    <w:rsid w:val="000807CC"/>
    <w:rsid w:val="00080F70"/>
    <w:rsid w:val="00081054"/>
    <w:rsid w:val="000810C7"/>
    <w:rsid w:val="000811A1"/>
    <w:rsid w:val="00081505"/>
    <w:rsid w:val="00081598"/>
    <w:rsid w:val="00081BAF"/>
    <w:rsid w:val="0008295E"/>
    <w:rsid w:val="00082F73"/>
    <w:rsid w:val="0008346D"/>
    <w:rsid w:val="00083AA4"/>
    <w:rsid w:val="00084ACD"/>
    <w:rsid w:val="0008505E"/>
    <w:rsid w:val="000856DC"/>
    <w:rsid w:val="000856DE"/>
    <w:rsid w:val="00085B51"/>
    <w:rsid w:val="00085C11"/>
    <w:rsid w:val="00086086"/>
    <w:rsid w:val="00086435"/>
    <w:rsid w:val="00086609"/>
    <w:rsid w:val="00086981"/>
    <w:rsid w:val="00086C0B"/>
    <w:rsid w:val="00087051"/>
    <w:rsid w:val="0008777B"/>
    <w:rsid w:val="000877E9"/>
    <w:rsid w:val="00090104"/>
    <w:rsid w:val="00090C62"/>
    <w:rsid w:val="00091001"/>
    <w:rsid w:val="00091254"/>
    <w:rsid w:val="000917D9"/>
    <w:rsid w:val="00091CC8"/>
    <w:rsid w:val="00091E81"/>
    <w:rsid w:val="00092191"/>
    <w:rsid w:val="0009236F"/>
    <w:rsid w:val="00092C0D"/>
    <w:rsid w:val="00092F37"/>
    <w:rsid w:val="0009422F"/>
    <w:rsid w:val="0009498C"/>
    <w:rsid w:val="00094F6D"/>
    <w:rsid w:val="00095275"/>
    <w:rsid w:val="00095CFC"/>
    <w:rsid w:val="00095E9D"/>
    <w:rsid w:val="00095F3E"/>
    <w:rsid w:val="000964F0"/>
    <w:rsid w:val="00096B50"/>
    <w:rsid w:val="000974A1"/>
    <w:rsid w:val="00097571"/>
    <w:rsid w:val="00097BF2"/>
    <w:rsid w:val="00097F24"/>
    <w:rsid w:val="000A01A8"/>
    <w:rsid w:val="000A0859"/>
    <w:rsid w:val="000A0A39"/>
    <w:rsid w:val="000A1C0D"/>
    <w:rsid w:val="000A1EB4"/>
    <w:rsid w:val="000A1EBC"/>
    <w:rsid w:val="000A3874"/>
    <w:rsid w:val="000A3F6F"/>
    <w:rsid w:val="000A482F"/>
    <w:rsid w:val="000A5057"/>
    <w:rsid w:val="000A5602"/>
    <w:rsid w:val="000A59FD"/>
    <w:rsid w:val="000A5A8F"/>
    <w:rsid w:val="000A6151"/>
    <w:rsid w:val="000A6403"/>
    <w:rsid w:val="000A6725"/>
    <w:rsid w:val="000A77A2"/>
    <w:rsid w:val="000A7A13"/>
    <w:rsid w:val="000A7B0A"/>
    <w:rsid w:val="000A7B70"/>
    <w:rsid w:val="000B02C9"/>
    <w:rsid w:val="000B057E"/>
    <w:rsid w:val="000B0616"/>
    <w:rsid w:val="000B12E6"/>
    <w:rsid w:val="000B23F7"/>
    <w:rsid w:val="000B2618"/>
    <w:rsid w:val="000B268D"/>
    <w:rsid w:val="000B2CAD"/>
    <w:rsid w:val="000B3232"/>
    <w:rsid w:val="000B3311"/>
    <w:rsid w:val="000B3616"/>
    <w:rsid w:val="000B364B"/>
    <w:rsid w:val="000B38A8"/>
    <w:rsid w:val="000B3F37"/>
    <w:rsid w:val="000B3F86"/>
    <w:rsid w:val="000B45DF"/>
    <w:rsid w:val="000B4900"/>
    <w:rsid w:val="000B4A69"/>
    <w:rsid w:val="000B5370"/>
    <w:rsid w:val="000B5445"/>
    <w:rsid w:val="000B547D"/>
    <w:rsid w:val="000B57F7"/>
    <w:rsid w:val="000B5C28"/>
    <w:rsid w:val="000B5D76"/>
    <w:rsid w:val="000B6343"/>
    <w:rsid w:val="000B6355"/>
    <w:rsid w:val="000B64FA"/>
    <w:rsid w:val="000B6864"/>
    <w:rsid w:val="000B6E69"/>
    <w:rsid w:val="000B6FB1"/>
    <w:rsid w:val="000B7069"/>
    <w:rsid w:val="000B7198"/>
    <w:rsid w:val="000B796D"/>
    <w:rsid w:val="000B7B85"/>
    <w:rsid w:val="000C0B9E"/>
    <w:rsid w:val="000C0F4D"/>
    <w:rsid w:val="000C1147"/>
    <w:rsid w:val="000C1E7B"/>
    <w:rsid w:val="000C2545"/>
    <w:rsid w:val="000C26C1"/>
    <w:rsid w:val="000C3129"/>
    <w:rsid w:val="000C32BE"/>
    <w:rsid w:val="000C375A"/>
    <w:rsid w:val="000C3978"/>
    <w:rsid w:val="000C4636"/>
    <w:rsid w:val="000C4A67"/>
    <w:rsid w:val="000C52EE"/>
    <w:rsid w:val="000C55CB"/>
    <w:rsid w:val="000C57A6"/>
    <w:rsid w:val="000C59CA"/>
    <w:rsid w:val="000C5CF4"/>
    <w:rsid w:val="000C5D7D"/>
    <w:rsid w:val="000C69D9"/>
    <w:rsid w:val="000C6A22"/>
    <w:rsid w:val="000C6E4B"/>
    <w:rsid w:val="000C708A"/>
    <w:rsid w:val="000C7443"/>
    <w:rsid w:val="000C7578"/>
    <w:rsid w:val="000C7581"/>
    <w:rsid w:val="000C7E33"/>
    <w:rsid w:val="000C7E9B"/>
    <w:rsid w:val="000D16BC"/>
    <w:rsid w:val="000D20CF"/>
    <w:rsid w:val="000D2586"/>
    <w:rsid w:val="000D2B47"/>
    <w:rsid w:val="000D2BC4"/>
    <w:rsid w:val="000D3950"/>
    <w:rsid w:val="000D415E"/>
    <w:rsid w:val="000D440B"/>
    <w:rsid w:val="000D4762"/>
    <w:rsid w:val="000D5760"/>
    <w:rsid w:val="000D586B"/>
    <w:rsid w:val="000D59B2"/>
    <w:rsid w:val="000D602D"/>
    <w:rsid w:val="000D7205"/>
    <w:rsid w:val="000E1472"/>
    <w:rsid w:val="000E1605"/>
    <w:rsid w:val="000E183A"/>
    <w:rsid w:val="000E29A1"/>
    <w:rsid w:val="000E2DC5"/>
    <w:rsid w:val="000E3203"/>
    <w:rsid w:val="000E32E9"/>
    <w:rsid w:val="000E354F"/>
    <w:rsid w:val="000E3ED1"/>
    <w:rsid w:val="000E43DA"/>
    <w:rsid w:val="000E4588"/>
    <w:rsid w:val="000E50EE"/>
    <w:rsid w:val="000E5129"/>
    <w:rsid w:val="000E5149"/>
    <w:rsid w:val="000E5228"/>
    <w:rsid w:val="000E54E4"/>
    <w:rsid w:val="000E553A"/>
    <w:rsid w:val="000E5AA9"/>
    <w:rsid w:val="000E5D07"/>
    <w:rsid w:val="000E70E8"/>
    <w:rsid w:val="000E73B3"/>
    <w:rsid w:val="000E77C4"/>
    <w:rsid w:val="000F0132"/>
    <w:rsid w:val="000F065B"/>
    <w:rsid w:val="000F1951"/>
    <w:rsid w:val="000F1C0B"/>
    <w:rsid w:val="000F255E"/>
    <w:rsid w:val="000F463A"/>
    <w:rsid w:val="000F482C"/>
    <w:rsid w:val="000F4DFE"/>
    <w:rsid w:val="000F4E22"/>
    <w:rsid w:val="000F535C"/>
    <w:rsid w:val="000F560A"/>
    <w:rsid w:val="000F5895"/>
    <w:rsid w:val="000F5CA8"/>
    <w:rsid w:val="000F5FA0"/>
    <w:rsid w:val="000F6569"/>
    <w:rsid w:val="000F72E9"/>
    <w:rsid w:val="000F74AE"/>
    <w:rsid w:val="001002E8"/>
    <w:rsid w:val="001007A6"/>
    <w:rsid w:val="001009AD"/>
    <w:rsid w:val="00100F3A"/>
    <w:rsid w:val="0010104D"/>
    <w:rsid w:val="00101D2C"/>
    <w:rsid w:val="0010215D"/>
    <w:rsid w:val="00102370"/>
    <w:rsid w:val="00102C8A"/>
    <w:rsid w:val="00102DA4"/>
    <w:rsid w:val="00102F10"/>
    <w:rsid w:val="00103D56"/>
    <w:rsid w:val="00104198"/>
    <w:rsid w:val="001041D4"/>
    <w:rsid w:val="001044F4"/>
    <w:rsid w:val="00104787"/>
    <w:rsid w:val="00104B07"/>
    <w:rsid w:val="00104FE0"/>
    <w:rsid w:val="001053BD"/>
    <w:rsid w:val="001066D4"/>
    <w:rsid w:val="0010688E"/>
    <w:rsid w:val="00110102"/>
    <w:rsid w:val="00110181"/>
    <w:rsid w:val="00111060"/>
    <w:rsid w:val="0011285F"/>
    <w:rsid w:val="00112B55"/>
    <w:rsid w:val="001134A6"/>
    <w:rsid w:val="001134D8"/>
    <w:rsid w:val="0011357E"/>
    <w:rsid w:val="001137EC"/>
    <w:rsid w:val="00113A56"/>
    <w:rsid w:val="001148AA"/>
    <w:rsid w:val="001151AE"/>
    <w:rsid w:val="00115CFD"/>
    <w:rsid w:val="00115E0F"/>
    <w:rsid w:val="00115E46"/>
    <w:rsid w:val="001167DD"/>
    <w:rsid w:val="00116E39"/>
    <w:rsid w:val="00117852"/>
    <w:rsid w:val="00117924"/>
    <w:rsid w:val="00117A3D"/>
    <w:rsid w:val="00117DAD"/>
    <w:rsid w:val="001201ED"/>
    <w:rsid w:val="00120964"/>
    <w:rsid w:val="001216ED"/>
    <w:rsid w:val="0012210C"/>
    <w:rsid w:val="00122B33"/>
    <w:rsid w:val="00122B53"/>
    <w:rsid w:val="00122C02"/>
    <w:rsid w:val="00123593"/>
    <w:rsid w:val="00123936"/>
    <w:rsid w:val="0012398D"/>
    <w:rsid w:val="00124645"/>
    <w:rsid w:val="00125303"/>
    <w:rsid w:val="00125412"/>
    <w:rsid w:val="00125D6A"/>
    <w:rsid w:val="00125EBE"/>
    <w:rsid w:val="00126390"/>
    <w:rsid w:val="001267CB"/>
    <w:rsid w:val="00126D61"/>
    <w:rsid w:val="001276CC"/>
    <w:rsid w:val="0013005D"/>
    <w:rsid w:val="001302E6"/>
    <w:rsid w:val="00130514"/>
    <w:rsid w:val="00131419"/>
    <w:rsid w:val="00131514"/>
    <w:rsid w:val="00131BF7"/>
    <w:rsid w:val="00132109"/>
    <w:rsid w:val="0013269B"/>
    <w:rsid w:val="001327FE"/>
    <w:rsid w:val="00132A7E"/>
    <w:rsid w:val="00132ABE"/>
    <w:rsid w:val="00132F6F"/>
    <w:rsid w:val="00132FBC"/>
    <w:rsid w:val="001333B6"/>
    <w:rsid w:val="00133B6B"/>
    <w:rsid w:val="00133DBF"/>
    <w:rsid w:val="00134FF4"/>
    <w:rsid w:val="00135413"/>
    <w:rsid w:val="0013573F"/>
    <w:rsid w:val="0013602F"/>
    <w:rsid w:val="00136DF6"/>
    <w:rsid w:val="00136FEB"/>
    <w:rsid w:val="00137B8B"/>
    <w:rsid w:val="00140712"/>
    <w:rsid w:val="00140B56"/>
    <w:rsid w:val="00140CF1"/>
    <w:rsid w:val="001411AE"/>
    <w:rsid w:val="00141512"/>
    <w:rsid w:val="00141DBF"/>
    <w:rsid w:val="00142346"/>
    <w:rsid w:val="001423D1"/>
    <w:rsid w:val="00142B43"/>
    <w:rsid w:val="00142CE6"/>
    <w:rsid w:val="0014421A"/>
    <w:rsid w:val="0014445C"/>
    <w:rsid w:val="001448FE"/>
    <w:rsid w:val="00145183"/>
    <w:rsid w:val="001456A8"/>
    <w:rsid w:val="00145CC5"/>
    <w:rsid w:val="001462B4"/>
    <w:rsid w:val="00146658"/>
    <w:rsid w:val="001468DB"/>
    <w:rsid w:val="00146971"/>
    <w:rsid w:val="0014718A"/>
    <w:rsid w:val="00147514"/>
    <w:rsid w:val="001476B9"/>
    <w:rsid w:val="001476FF"/>
    <w:rsid w:val="0014779F"/>
    <w:rsid w:val="00150489"/>
    <w:rsid w:val="001508C0"/>
    <w:rsid w:val="0015092C"/>
    <w:rsid w:val="0015097D"/>
    <w:rsid w:val="001509AE"/>
    <w:rsid w:val="0015134B"/>
    <w:rsid w:val="00151B73"/>
    <w:rsid w:val="0015211D"/>
    <w:rsid w:val="00152364"/>
    <w:rsid w:val="00152B03"/>
    <w:rsid w:val="001531D9"/>
    <w:rsid w:val="001537BD"/>
    <w:rsid w:val="00153977"/>
    <w:rsid w:val="00153EAF"/>
    <w:rsid w:val="00154EC5"/>
    <w:rsid w:val="001550D0"/>
    <w:rsid w:val="00155687"/>
    <w:rsid w:val="001557F6"/>
    <w:rsid w:val="00156159"/>
    <w:rsid w:val="001563A2"/>
    <w:rsid w:val="00156510"/>
    <w:rsid w:val="00157389"/>
    <w:rsid w:val="00157582"/>
    <w:rsid w:val="0015779B"/>
    <w:rsid w:val="00157990"/>
    <w:rsid w:val="00157E96"/>
    <w:rsid w:val="0016005B"/>
    <w:rsid w:val="001603A7"/>
    <w:rsid w:val="00160E27"/>
    <w:rsid w:val="00161450"/>
    <w:rsid w:val="00161A1D"/>
    <w:rsid w:val="00161D3B"/>
    <w:rsid w:val="0016235B"/>
    <w:rsid w:val="001626F8"/>
    <w:rsid w:val="001633C6"/>
    <w:rsid w:val="001639F4"/>
    <w:rsid w:val="00163A44"/>
    <w:rsid w:val="00163A83"/>
    <w:rsid w:val="0016558B"/>
    <w:rsid w:val="00165A50"/>
    <w:rsid w:val="00165C6B"/>
    <w:rsid w:val="00165FA0"/>
    <w:rsid w:val="0016629F"/>
    <w:rsid w:val="001662F9"/>
    <w:rsid w:val="00166C36"/>
    <w:rsid w:val="00167524"/>
    <w:rsid w:val="0016757D"/>
    <w:rsid w:val="00167633"/>
    <w:rsid w:val="001676E2"/>
    <w:rsid w:val="0016783C"/>
    <w:rsid w:val="00167C28"/>
    <w:rsid w:val="00170199"/>
    <w:rsid w:val="00170EA4"/>
    <w:rsid w:val="0017127D"/>
    <w:rsid w:val="00171329"/>
    <w:rsid w:val="00171501"/>
    <w:rsid w:val="00173217"/>
    <w:rsid w:val="00173963"/>
    <w:rsid w:val="00173A34"/>
    <w:rsid w:val="001744E2"/>
    <w:rsid w:val="0017469F"/>
    <w:rsid w:val="00174BF6"/>
    <w:rsid w:val="00174E3B"/>
    <w:rsid w:val="00175064"/>
    <w:rsid w:val="00175417"/>
    <w:rsid w:val="001756EF"/>
    <w:rsid w:val="00175E87"/>
    <w:rsid w:val="00176AA4"/>
    <w:rsid w:val="001770DD"/>
    <w:rsid w:val="00177246"/>
    <w:rsid w:val="0017778F"/>
    <w:rsid w:val="00180879"/>
    <w:rsid w:val="001810A4"/>
    <w:rsid w:val="0018114B"/>
    <w:rsid w:val="00181A68"/>
    <w:rsid w:val="00181B77"/>
    <w:rsid w:val="00181EFC"/>
    <w:rsid w:val="00182316"/>
    <w:rsid w:val="0018262D"/>
    <w:rsid w:val="001828A0"/>
    <w:rsid w:val="001835F2"/>
    <w:rsid w:val="00183A48"/>
    <w:rsid w:val="00183DC5"/>
    <w:rsid w:val="0018416E"/>
    <w:rsid w:val="001842A8"/>
    <w:rsid w:val="0018490D"/>
    <w:rsid w:val="00184DAE"/>
    <w:rsid w:val="00184DFC"/>
    <w:rsid w:val="00184E75"/>
    <w:rsid w:val="001856F2"/>
    <w:rsid w:val="00185884"/>
    <w:rsid w:val="00185E74"/>
    <w:rsid w:val="001862CE"/>
    <w:rsid w:val="00187361"/>
    <w:rsid w:val="00187548"/>
    <w:rsid w:val="001875BF"/>
    <w:rsid w:val="00190CF6"/>
    <w:rsid w:val="001912C3"/>
    <w:rsid w:val="00191AF4"/>
    <w:rsid w:val="00191C25"/>
    <w:rsid w:val="0019338D"/>
    <w:rsid w:val="00193AFE"/>
    <w:rsid w:val="00194256"/>
    <w:rsid w:val="00194D2B"/>
    <w:rsid w:val="00195133"/>
    <w:rsid w:val="00195183"/>
    <w:rsid w:val="001959A2"/>
    <w:rsid w:val="00195FF6"/>
    <w:rsid w:val="001963ED"/>
    <w:rsid w:val="00196640"/>
    <w:rsid w:val="00196AB4"/>
    <w:rsid w:val="001975CA"/>
    <w:rsid w:val="0019799F"/>
    <w:rsid w:val="001A027D"/>
    <w:rsid w:val="001A04B7"/>
    <w:rsid w:val="001A0F9E"/>
    <w:rsid w:val="001A1529"/>
    <w:rsid w:val="001A17AF"/>
    <w:rsid w:val="001A23CC"/>
    <w:rsid w:val="001A3606"/>
    <w:rsid w:val="001A3B9E"/>
    <w:rsid w:val="001A3C29"/>
    <w:rsid w:val="001A443A"/>
    <w:rsid w:val="001A445A"/>
    <w:rsid w:val="001A5020"/>
    <w:rsid w:val="001A50D3"/>
    <w:rsid w:val="001A52FE"/>
    <w:rsid w:val="001A587A"/>
    <w:rsid w:val="001A5E8C"/>
    <w:rsid w:val="001A69A7"/>
    <w:rsid w:val="001A6AEE"/>
    <w:rsid w:val="001A6BD7"/>
    <w:rsid w:val="001A6ECC"/>
    <w:rsid w:val="001A728A"/>
    <w:rsid w:val="001A788A"/>
    <w:rsid w:val="001A79E0"/>
    <w:rsid w:val="001A7A25"/>
    <w:rsid w:val="001A7E23"/>
    <w:rsid w:val="001A7EB5"/>
    <w:rsid w:val="001B0293"/>
    <w:rsid w:val="001B05DA"/>
    <w:rsid w:val="001B0AB6"/>
    <w:rsid w:val="001B0DE2"/>
    <w:rsid w:val="001B0E9D"/>
    <w:rsid w:val="001B11F9"/>
    <w:rsid w:val="001B13F5"/>
    <w:rsid w:val="001B17BC"/>
    <w:rsid w:val="001B1D29"/>
    <w:rsid w:val="001B35FF"/>
    <w:rsid w:val="001B3731"/>
    <w:rsid w:val="001B3FEA"/>
    <w:rsid w:val="001B405A"/>
    <w:rsid w:val="001B4221"/>
    <w:rsid w:val="001B423E"/>
    <w:rsid w:val="001B44AF"/>
    <w:rsid w:val="001B4A13"/>
    <w:rsid w:val="001B4A57"/>
    <w:rsid w:val="001B4AA3"/>
    <w:rsid w:val="001B516A"/>
    <w:rsid w:val="001B5514"/>
    <w:rsid w:val="001B60AC"/>
    <w:rsid w:val="001B62F8"/>
    <w:rsid w:val="001B64EF"/>
    <w:rsid w:val="001B6772"/>
    <w:rsid w:val="001B6945"/>
    <w:rsid w:val="001B6BEE"/>
    <w:rsid w:val="001B7256"/>
    <w:rsid w:val="001B7BE0"/>
    <w:rsid w:val="001C0638"/>
    <w:rsid w:val="001C0886"/>
    <w:rsid w:val="001C0CA7"/>
    <w:rsid w:val="001C1BC9"/>
    <w:rsid w:val="001C2681"/>
    <w:rsid w:val="001C2BA0"/>
    <w:rsid w:val="001C2C8C"/>
    <w:rsid w:val="001C360F"/>
    <w:rsid w:val="001C3B4B"/>
    <w:rsid w:val="001C521C"/>
    <w:rsid w:val="001C521D"/>
    <w:rsid w:val="001C5897"/>
    <w:rsid w:val="001C5D99"/>
    <w:rsid w:val="001C6214"/>
    <w:rsid w:val="001C6628"/>
    <w:rsid w:val="001C6671"/>
    <w:rsid w:val="001C6B59"/>
    <w:rsid w:val="001C6E5A"/>
    <w:rsid w:val="001C724A"/>
    <w:rsid w:val="001C72C9"/>
    <w:rsid w:val="001C73F2"/>
    <w:rsid w:val="001D0448"/>
    <w:rsid w:val="001D1076"/>
    <w:rsid w:val="001D123A"/>
    <w:rsid w:val="001D1654"/>
    <w:rsid w:val="001D21CA"/>
    <w:rsid w:val="001D2236"/>
    <w:rsid w:val="001D2325"/>
    <w:rsid w:val="001D2CA7"/>
    <w:rsid w:val="001D2DE2"/>
    <w:rsid w:val="001D2ECB"/>
    <w:rsid w:val="001D336E"/>
    <w:rsid w:val="001D3661"/>
    <w:rsid w:val="001D402A"/>
    <w:rsid w:val="001D4642"/>
    <w:rsid w:val="001D502A"/>
    <w:rsid w:val="001D5046"/>
    <w:rsid w:val="001D51D4"/>
    <w:rsid w:val="001D5301"/>
    <w:rsid w:val="001D55A1"/>
    <w:rsid w:val="001D5902"/>
    <w:rsid w:val="001D5D4D"/>
    <w:rsid w:val="001D6026"/>
    <w:rsid w:val="001D6087"/>
    <w:rsid w:val="001D6310"/>
    <w:rsid w:val="001D6311"/>
    <w:rsid w:val="001D662E"/>
    <w:rsid w:val="001D72C0"/>
    <w:rsid w:val="001D7CA9"/>
    <w:rsid w:val="001D7CE7"/>
    <w:rsid w:val="001D7CEA"/>
    <w:rsid w:val="001E039E"/>
    <w:rsid w:val="001E0559"/>
    <w:rsid w:val="001E0A07"/>
    <w:rsid w:val="001E0B42"/>
    <w:rsid w:val="001E12FD"/>
    <w:rsid w:val="001E161C"/>
    <w:rsid w:val="001E37A0"/>
    <w:rsid w:val="001E40E9"/>
    <w:rsid w:val="001E42FB"/>
    <w:rsid w:val="001E4300"/>
    <w:rsid w:val="001E4590"/>
    <w:rsid w:val="001E4722"/>
    <w:rsid w:val="001E603D"/>
    <w:rsid w:val="001E6315"/>
    <w:rsid w:val="001E6515"/>
    <w:rsid w:val="001E6D53"/>
    <w:rsid w:val="001E76CD"/>
    <w:rsid w:val="001E7B52"/>
    <w:rsid w:val="001E7CA8"/>
    <w:rsid w:val="001E7FB5"/>
    <w:rsid w:val="001F0960"/>
    <w:rsid w:val="001F1076"/>
    <w:rsid w:val="001F1532"/>
    <w:rsid w:val="001F15CA"/>
    <w:rsid w:val="001F1F72"/>
    <w:rsid w:val="001F2A56"/>
    <w:rsid w:val="001F2CE9"/>
    <w:rsid w:val="001F3072"/>
    <w:rsid w:val="001F3862"/>
    <w:rsid w:val="001F3929"/>
    <w:rsid w:val="001F3C3B"/>
    <w:rsid w:val="001F4325"/>
    <w:rsid w:val="001F544B"/>
    <w:rsid w:val="001F5610"/>
    <w:rsid w:val="001F678A"/>
    <w:rsid w:val="001F6D24"/>
    <w:rsid w:val="001F7499"/>
    <w:rsid w:val="001F7832"/>
    <w:rsid w:val="00200313"/>
    <w:rsid w:val="0020051A"/>
    <w:rsid w:val="00200B82"/>
    <w:rsid w:val="00200DCF"/>
    <w:rsid w:val="002010B0"/>
    <w:rsid w:val="002015D1"/>
    <w:rsid w:val="00201743"/>
    <w:rsid w:val="00201A01"/>
    <w:rsid w:val="00201ABE"/>
    <w:rsid w:val="002026DD"/>
    <w:rsid w:val="0020282D"/>
    <w:rsid w:val="00202EF5"/>
    <w:rsid w:val="00202EFD"/>
    <w:rsid w:val="00203784"/>
    <w:rsid w:val="002039CD"/>
    <w:rsid w:val="00203C37"/>
    <w:rsid w:val="00204153"/>
    <w:rsid w:val="002049B3"/>
    <w:rsid w:val="00204F37"/>
    <w:rsid w:val="0020531F"/>
    <w:rsid w:val="002059C1"/>
    <w:rsid w:val="00205BC6"/>
    <w:rsid w:val="00206510"/>
    <w:rsid w:val="002066C9"/>
    <w:rsid w:val="002069AB"/>
    <w:rsid w:val="00206A20"/>
    <w:rsid w:val="00206E04"/>
    <w:rsid w:val="0020715B"/>
    <w:rsid w:val="0020732D"/>
    <w:rsid w:val="00210205"/>
    <w:rsid w:val="002109EC"/>
    <w:rsid w:val="00210B1C"/>
    <w:rsid w:val="00211637"/>
    <w:rsid w:val="00211BF3"/>
    <w:rsid w:val="00212634"/>
    <w:rsid w:val="00213104"/>
    <w:rsid w:val="002134FF"/>
    <w:rsid w:val="00213C02"/>
    <w:rsid w:val="00214730"/>
    <w:rsid w:val="00215563"/>
    <w:rsid w:val="00215603"/>
    <w:rsid w:val="00215A09"/>
    <w:rsid w:val="00215FA8"/>
    <w:rsid w:val="00216D89"/>
    <w:rsid w:val="00217075"/>
    <w:rsid w:val="002170FF"/>
    <w:rsid w:val="00217435"/>
    <w:rsid w:val="0021775D"/>
    <w:rsid w:val="00217AD7"/>
    <w:rsid w:val="00217AF9"/>
    <w:rsid w:val="002202B2"/>
    <w:rsid w:val="002202FB"/>
    <w:rsid w:val="00220498"/>
    <w:rsid w:val="00221287"/>
    <w:rsid w:val="002215F2"/>
    <w:rsid w:val="00221656"/>
    <w:rsid w:val="002218EC"/>
    <w:rsid w:val="00221A6C"/>
    <w:rsid w:val="00221C09"/>
    <w:rsid w:val="00221FE6"/>
    <w:rsid w:val="00222595"/>
    <w:rsid w:val="002225BB"/>
    <w:rsid w:val="00222969"/>
    <w:rsid w:val="00222B92"/>
    <w:rsid w:val="002234B7"/>
    <w:rsid w:val="002234C6"/>
    <w:rsid w:val="00223B7B"/>
    <w:rsid w:val="00225483"/>
    <w:rsid w:val="00225B34"/>
    <w:rsid w:val="00225DF6"/>
    <w:rsid w:val="00225E44"/>
    <w:rsid w:val="00226255"/>
    <w:rsid w:val="00226455"/>
    <w:rsid w:val="00226D7D"/>
    <w:rsid w:val="00227218"/>
    <w:rsid w:val="00227375"/>
    <w:rsid w:val="0023003D"/>
    <w:rsid w:val="0023034A"/>
    <w:rsid w:val="00230CD8"/>
    <w:rsid w:val="00230EBF"/>
    <w:rsid w:val="00230F82"/>
    <w:rsid w:val="00231A1C"/>
    <w:rsid w:val="00231A99"/>
    <w:rsid w:val="00232AA1"/>
    <w:rsid w:val="0023352B"/>
    <w:rsid w:val="0023358E"/>
    <w:rsid w:val="00233A67"/>
    <w:rsid w:val="00233D7F"/>
    <w:rsid w:val="00234656"/>
    <w:rsid w:val="00235045"/>
    <w:rsid w:val="00235420"/>
    <w:rsid w:val="00235709"/>
    <w:rsid w:val="00235CFF"/>
    <w:rsid w:val="00235DAB"/>
    <w:rsid w:val="00235FB4"/>
    <w:rsid w:val="0023619E"/>
    <w:rsid w:val="002361FA"/>
    <w:rsid w:val="0023625B"/>
    <w:rsid w:val="00236287"/>
    <w:rsid w:val="00236492"/>
    <w:rsid w:val="002364B9"/>
    <w:rsid w:val="00236889"/>
    <w:rsid w:val="00236910"/>
    <w:rsid w:val="00236AD6"/>
    <w:rsid w:val="00237847"/>
    <w:rsid w:val="00237937"/>
    <w:rsid w:val="00237FCE"/>
    <w:rsid w:val="0024030F"/>
    <w:rsid w:val="002409DC"/>
    <w:rsid w:val="00240EC0"/>
    <w:rsid w:val="00241223"/>
    <w:rsid w:val="00241501"/>
    <w:rsid w:val="002419CA"/>
    <w:rsid w:val="00241A21"/>
    <w:rsid w:val="00241DA7"/>
    <w:rsid w:val="00241DBB"/>
    <w:rsid w:val="00242DBC"/>
    <w:rsid w:val="00242E1F"/>
    <w:rsid w:val="00242F24"/>
    <w:rsid w:val="0024343B"/>
    <w:rsid w:val="0024411C"/>
    <w:rsid w:val="0024494E"/>
    <w:rsid w:val="002449FC"/>
    <w:rsid w:val="00246D57"/>
    <w:rsid w:val="002470DA"/>
    <w:rsid w:val="0024763A"/>
    <w:rsid w:val="002477BB"/>
    <w:rsid w:val="0024793B"/>
    <w:rsid w:val="00247C24"/>
    <w:rsid w:val="00251037"/>
    <w:rsid w:val="00251789"/>
    <w:rsid w:val="00251AAB"/>
    <w:rsid w:val="00251D6A"/>
    <w:rsid w:val="002520D2"/>
    <w:rsid w:val="0025273E"/>
    <w:rsid w:val="00252FEE"/>
    <w:rsid w:val="00253576"/>
    <w:rsid w:val="00253D5C"/>
    <w:rsid w:val="002540D0"/>
    <w:rsid w:val="00254D2C"/>
    <w:rsid w:val="00254F91"/>
    <w:rsid w:val="002554EF"/>
    <w:rsid w:val="00255559"/>
    <w:rsid w:val="002555ED"/>
    <w:rsid w:val="002557B9"/>
    <w:rsid w:val="00255D97"/>
    <w:rsid w:val="00256490"/>
    <w:rsid w:val="002569E7"/>
    <w:rsid w:val="00256AFF"/>
    <w:rsid w:val="00256B1F"/>
    <w:rsid w:val="00257340"/>
    <w:rsid w:val="00257D7D"/>
    <w:rsid w:val="0026071C"/>
    <w:rsid w:val="00260730"/>
    <w:rsid w:val="00260973"/>
    <w:rsid w:val="00260CAF"/>
    <w:rsid w:val="002610DF"/>
    <w:rsid w:val="0026148D"/>
    <w:rsid w:val="00261A08"/>
    <w:rsid w:val="00261B5E"/>
    <w:rsid w:val="002626EF"/>
    <w:rsid w:val="00262835"/>
    <w:rsid w:val="00262AF5"/>
    <w:rsid w:val="002631BC"/>
    <w:rsid w:val="00263566"/>
    <w:rsid w:val="00263C27"/>
    <w:rsid w:val="002640BD"/>
    <w:rsid w:val="0026426D"/>
    <w:rsid w:val="002644AF"/>
    <w:rsid w:val="00264E71"/>
    <w:rsid w:val="00265562"/>
    <w:rsid w:val="002660BE"/>
    <w:rsid w:val="002662AE"/>
    <w:rsid w:val="0026679E"/>
    <w:rsid w:val="00266C13"/>
    <w:rsid w:val="00267281"/>
    <w:rsid w:val="00267315"/>
    <w:rsid w:val="0026785C"/>
    <w:rsid w:val="00270746"/>
    <w:rsid w:val="00270C8C"/>
    <w:rsid w:val="002715B9"/>
    <w:rsid w:val="002716F3"/>
    <w:rsid w:val="00271B3D"/>
    <w:rsid w:val="00273379"/>
    <w:rsid w:val="0027412F"/>
    <w:rsid w:val="0027460A"/>
    <w:rsid w:val="00274D87"/>
    <w:rsid w:val="00274DEB"/>
    <w:rsid w:val="00275457"/>
    <w:rsid w:val="002754ED"/>
    <w:rsid w:val="0027682D"/>
    <w:rsid w:val="002769CA"/>
    <w:rsid w:val="00276AF3"/>
    <w:rsid w:val="00276EF1"/>
    <w:rsid w:val="0027733B"/>
    <w:rsid w:val="0027760A"/>
    <w:rsid w:val="00280DFF"/>
    <w:rsid w:val="0028122A"/>
    <w:rsid w:val="0028178C"/>
    <w:rsid w:val="00281CB0"/>
    <w:rsid w:val="0028240A"/>
    <w:rsid w:val="002825BB"/>
    <w:rsid w:val="002833EE"/>
    <w:rsid w:val="002841DD"/>
    <w:rsid w:val="00284843"/>
    <w:rsid w:val="00284C85"/>
    <w:rsid w:val="00284C9D"/>
    <w:rsid w:val="00285263"/>
    <w:rsid w:val="00285AB3"/>
    <w:rsid w:val="00285AE0"/>
    <w:rsid w:val="00285C08"/>
    <w:rsid w:val="00285DEC"/>
    <w:rsid w:val="00285F2E"/>
    <w:rsid w:val="00286056"/>
    <w:rsid w:val="002862C1"/>
    <w:rsid w:val="00286352"/>
    <w:rsid w:val="00287081"/>
    <w:rsid w:val="002875A8"/>
    <w:rsid w:val="00287B2F"/>
    <w:rsid w:val="0029003C"/>
    <w:rsid w:val="002900B1"/>
    <w:rsid w:val="00290218"/>
    <w:rsid w:val="00290357"/>
    <w:rsid w:val="0029063E"/>
    <w:rsid w:val="00290779"/>
    <w:rsid w:val="0029114D"/>
    <w:rsid w:val="002911CB"/>
    <w:rsid w:val="0029174E"/>
    <w:rsid w:val="00291D34"/>
    <w:rsid w:val="00292095"/>
    <w:rsid w:val="00292527"/>
    <w:rsid w:val="0029279F"/>
    <w:rsid w:val="00292A77"/>
    <w:rsid w:val="002938CE"/>
    <w:rsid w:val="00294710"/>
    <w:rsid w:val="00294874"/>
    <w:rsid w:val="0029530A"/>
    <w:rsid w:val="00295C56"/>
    <w:rsid w:val="002960B1"/>
    <w:rsid w:val="00296AC8"/>
    <w:rsid w:val="00297033"/>
    <w:rsid w:val="0029760E"/>
    <w:rsid w:val="00297E7F"/>
    <w:rsid w:val="002A01E1"/>
    <w:rsid w:val="002A0F1A"/>
    <w:rsid w:val="002A1A4A"/>
    <w:rsid w:val="002A1F7D"/>
    <w:rsid w:val="002A2090"/>
    <w:rsid w:val="002A35A4"/>
    <w:rsid w:val="002A3F71"/>
    <w:rsid w:val="002A4A8C"/>
    <w:rsid w:val="002A4BB4"/>
    <w:rsid w:val="002A4D5B"/>
    <w:rsid w:val="002A4D5C"/>
    <w:rsid w:val="002A52CE"/>
    <w:rsid w:val="002A534A"/>
    <w:rsid w:val="002A5885"/>
    <w:rsid w:val="002A6191"/>
    <w:rsid w:val="002A6ADD"/>
    <w:rsid w:val="002A705A"/>
    <w:rsid w:val="002A7829"/>
    <w:rsid w:val="002B0020"/>
    <w:rsid w:val="002B0064"/>
    <w:rsid w:val="002B05A5"/>
    <w:rsid w:val="002B0E29"/>
    <w:rsid w:val="002B142B"/>
    <w:rsid w:val="002B148A"/>
    <w:rsid w:val="002B1830"/>
    <w:rsid w:val="002B1940"/>
    <w:rsid w:val="002B1E29"/>
    <w:rsid w:val="002B2BD0"/>
    <w:rsid w:val="002B322F"/>
    <w:rsid w:val="002B37AE"/>
    <w:rsid w:val="002B41C8"/>
    <w:rsid w:val="002B4A65"/>
    <w:rsid w:val="002B4C6B"/>
    <w:rsid w:val="002B609C"/>
    <w:rsid w:val="002B67AD"/>
    <w:rsid w:val="002B6865"/>
    <w:rsid w:val="002B70AC"/>
    <w:rsid w:val="002B74E7"/>
    <w:rsid w:val="002B75E1"/>
    <w:rsid w:val="002B79DC"/>
    <w:rsid w:val="002C0087"/>
    <w:rsid w:val="002C0B10"/>
    <w:rsid w:val="002C1052"/>
    <w:rsid w:val="002C121A"/>
    <w:rsid w:val="002C13D9"/>
    <w:rsid w:val="002C1D70"/>
    <w:rsid w:val="002C24A7"/>
    <w:rsid w:val="002C3B49"/>
    <w:rsid w:val="002C49A8"/>
    <w:rsid w:val="002C503A"/>
    <w:rsid w:val="002C5812"/>
    <w:rsid w:val="002C60E0"/>
    <w:rsid w:val="002C74E5"/>
    <w:rsid w:val="002C763A"/>
    <w:rsid w:val="002C7CD6"/>
    <w:rsid w:val="002D0214"/>
    <w:rsid w:val="002D068D"/>
    <w:rsid w:val="002D100D"/>
    <w:rsid w:val="002D142D"/>
    <w:rsid w:val="002D14CE"/>
    <w:rsid w:val="002D1601"/>
    <w:rsid w:val="002D24BB"/>
    <w:rsid w:val="002D2D1B"/>
    <w:rsid w:val="002D30EA"/>
    <w:rsid w:val="002D3565"/>
    <w:rsid w:val="002D3783"/>
    <w:rsid w:val="002D3BDD"/>
    <w:rsid w:val="002D452B"/>
    <w:rsid w:val="002D4A49"/>
    <w:rsid w:val="002D4B0B"/>
    <w:rsid w:val="002D4F9C"/>
    <w:rsid w:val="002D618B"/>
    <w:rsid w:val="002D61C2"/>
    <w:rsid w:val="002D663A"/>
    <w:rsid w:val="002D7495"/>
    <w:rsid w:val="002D76E6"/>
    <w:rsid w:val="002D7832"/>
    <w:rsid w:val="002D7B3D"/>
    <w:rsid w:val="002E017E"/>
    <w:rsid w:val="002E0A13"/>
    <w:rsid w:val="002E0A98"/>
    <w:rsid w:val="002E1850"/>
    <w:rsid w:val="002E32AD"/>
    <w:rsid w:val="002E32B5"/>
    <w:rsid w:val="002E337B"/>
    <w:rsid w:val="002E34D9"/>
    <w:rsid w:val="002E3CDF"/>
    <w:rsid w:val="002E3DB4"/>
    <w:rsid w:val="002E4009"/>
    <w:rsid w:val="002E449D"/>
    <w:rsid w:val="002E483C"/>
    <w:rsid w:val="002E4C30"/>
    <w:rsid w:val="002E53DE"/>
    <w:rsid w:val="002E597B"/>
    <w:rsid w:val="002E5E84"/>
    <w:rsid w:val="002E6411"/>
    <w:rsid w:val="002E66B6"/>
    <w:rsid w:val="002E6EB1"/>
    <w:rsid w:val="002E722C"/>
    <w:rsid w:val="002E798D"/>
    <w:rsid w:val="002F02F2"/>
    <w:rsid w:val="002F041D"/>
    <w:rsid w:val="002F0D5C"/>
    <w:rsid w:val="002F15EB"/>
    <w:rsid w:val="002F16A7"/>
    <w:rsid w:val="002F1713"/>
    <w:rsid w:val="002F1D83"/>
    <w:rsid w:val="002F2637"/>
    <w:rsid w:val="002F33BC"/>
    <w:rsid w:val="002F3470"/>
    <w:rsid w:val="002F3BCD"/>
    <w:rsid w:val="002F402C"/>
    <w:rsid w:val="002F4040"/>
    <w:rsid w:val="002F4734"/>
    <w:rsid w:val="002F4FE6"/>
    <w:rsid w:val="002F5111"/>
    <w:rsid w:val="002F53BB"/>
    <w:rsid w:val="002F53CD"/>
    <w:rsid w:val="002F5613"/>
    <w:rsid w:val="002F5E25"/>
    <w:rsid w:val="002F6284"/>
    <w:rsid w:val="002F68FF"/>
    <w:rsid w:val="002F765A"/>
    <w:rsid w:val="00300BF1"/>
    <w:rsid w:val="00301584"/>
    <w:rsid w:val="00301F76"/>
    <w:rsid w:val="003022F1"/>
    <w:rsid w:val="00302BD1"/>
    <w:rsid w:val="00302C52"/>
    <w:rsid w:val="00302D58"/>
    <w:rsid w:val="00302E48"/>
    <w:rsid w:val="0030345C"/>
    <w:rsid w:val="00303788"/>
    <w:rsid w:val="00303943"/>
    <w:rsid w:val="00303A92"/>
    <w:rsid w:val="00304E78"/>
    <w:rsid w:val="00305198"/>
    <w:rsid w:val="00305D60"/>
    <w:rsid w:val="00307508"/>
    <w:rsid w:val="00307939"/>
    <w:rsid w:val="0030795D"/>
    <w:rsid w:val="00307A4D"/>
    <w:rsid w:val="00307DD9"/>
    <w:rsid w:val="003115FA"/>
    <w:rsid w:val="0031176D"/>
    <w:rsid w:val="00311853"/>
    <w:rsid w:val="00311B12"/>
    <w:rsid w:val="003120D4"/>
    <w:rsid w:val="0031224E"/>
    <w:rsid w:val="003122D3"/>
    <w:rsid w:val="00312800"/>
    <w:rsid w:val="003128C8"/>
    <w:rsid w:val="00312C33"/>
    <w:rsid w:val="00312E96"/>
    <w:rsid w:val="00313819"/>
    <w:rsid w:val="00313D4D"/>
    <w:rsid w:val="0031509D"/>
    <w:rsid w:val="0031568E"/>
    <w:rsid w:val="0031595F"/>
    <w:rsid w:val="00315BF0"/>
    <w:rsid w:val="0031669B"/>
    <w:rsid w:val="00316D67"/>
    <w:rsid w:val="00316D76"/>
    <w:rsid w:val="00316E2B"/>
    <w:rsid w:val="00317234"/>
    <w:rsid w:val="0031733B"/>
    <w:rsid w:val="00317CEA"/>
    <w:rsid w:val="00317F0C"/>
    <w:rsid w:val="003208B3"/>
    <w:rsid w:val="00320D16"/>
    <w:rsid w:val="00321E11"/>
    <w:rsid w:val="00322784"/>
    <w:rsid w:val="00322BC9"/>
    <w:rsid w:val="003232EC"/>
    <w:rsid w:val="00323A35"/>
    <w:rsid w:val="00323ACF"/>
    <w:rsid w:val="00323B7B"/>
    <w:rsid w:val="00323BDA"/>
    <w:rsid w:val="003254E0"/>
    <w:rsid w:val="0032591C"/>
    <w:rsid w:val="00325BC0"/>
    <w:rsid w:val="00325D42"/>
    <w:rsid w:val="003262C4"/>
    <w:rsid w:val="003262CE"/>
    <w:rsid w:val="00326D92"/>
    <w:rsid w:val="0032734C"/>
    <w:rsid w:val="00327B21"/>
    <w:rsid w:val="00327E59"/>
    <w:rsid w:val="0033022B"/>
    <w:rsid w:val="003308C7"/>
    <w:rsid w:val="003308FA"/>
    <w:rsid w:val="003309E1"/>
    <w:rsid w:val="00330A9E"/>
    <w:rsid w:val="003312AA"/>
    <w:rsid w:val="00332E43"/>
    <w:rsid w:val="00332F48"/>
    <w:rsid w:val="003332F4"/>
    <w:rsid w:val="00333393"/>
    <w:rsid w:val="00333640"/>
    <w:rsid w:val="00333681"/>
    <w:rsid w:val="00334455"/>
    <w:rsid w:val="00334F2F"/>
    <w:rsid w:val="003352B3"/>
    <w:rsid w:val="00336273"/>
    <w:rsid w:val="003363CA"/>
    <w:rsid w:val="003372B4"/>
    <w:rsid w:val="00337AA3"/>
    <w:rsid w:val="0034044F"/>
    <w:rsid w:val="00340D20"/>
    <w:rsid w:val="00340F22"/>
    <w:rsid w:val="003414FD"/>
    <w:rsid w:val="003418F1"/>
    <w:rsid w:val="00341F66"/>
    <w:rsid w:val="00342321"/>
    <w:rsid w:val="00342772"/>
    <w:rsid w:val="00342D91"/>
    <w:rsid w:val="00343160"/>
    <w:rsid w:val="0034486D"/>
    <w:rsid w:val="003448E2"/>
    <w:rsid w:val="00345236"/>
    <w:rsid w:val="00345316"/>
    <w:rsid w:val="00345949"/>
    <w:rsid w:val="00345AE3"/>
    <w:rsid w:val="00345BDC"/>
    <w:rsid w:val="0034603D"/>
    <w:rsid w:val="003465E6"/>
    <w:rsid w:val="00346E22"/>
    <w:rsid w:val="00347069"/>
    <w:rsid w:val="003478A0"/>
    <w:rsid w:val="00347906"/>
    <w:rsid w:val="00347AFD"/>
    <w:rsid w:val="00347BD6"/>
    <w:rsid w:val="0035032F"/>
    <w:rsid w:val="003503BE"/>
    <w:rsid w:val="003507A4"/>
    <w:rsid w:val="00350AE0"/>
    <w:rsid w:val="00350BFF"/>
    <w:rsid w:val="00350F5C"/>
    <w:rsid w:val="003510F3"/>
    <w:rsid w:val="0035136A"/>
    <w:rsid w:val="00351A07"/>
    <w:rsid w:val="00351DF9"/>
    <w:rsid w:val="00352471"/>
    <w:rsid w:val="00352628"/>
    <w:rsid w:val="00352A44"/>
    <w:rsid w:val="00353BE7"/>
    <w:rsid w:val="003542A7"/>
    <w:rsid w:val="00354EDC"/>
    <w:rsid w:val="0035558E"/>
    <w:rsid w:val="00355AF0"/>
    <w:rsid w:val="00355C90"/>
    <w:rsid w:val="00355F32"/>
    <w:rsid w:val="00356FE3"/>
    <w:rsid w:val="0035753F"/>
    <w:rsid w:val="00357694"/>
    <w:rsid w:val="00357765"/>
    <w:rsid w:val="0035799B"/>
    <w:rsid w:val="00357C48"/>
    <w:rsid w:val="0036052E"/>
    <w:rsid w:val="00360AA5"/>
    <w:rsid w:val="00360AC8"/>
    <w:rsid w:val="00360BD9"/>
    <w:rsid w:val="00360C69"/>
    <w:rsid w:val="00360D31"/>
    <w:rsid w:val="00361FA6"/>
    <w:rsid w:val="00363AD2"/>
    <w:rsid w:val="00363CC1"/>
    <w:rsid w:val="00363D01"/>
    <w:rsid w:val="00363FF3"/>
    <w:rsid w:val="0036404F"/>
    <w:rsid w:val="003646A3"/>
    <w:rsid w:val="00364DDB"/>
    <w:rsid w:val="00364FAC"/>
    <w:rsid w:val="003652F5"/>
    <w:rsid w:val="00365DAA"/>
    <w:rsid w:val="00366F31"/>
    <w:rsid w:val="0036737F"/>
    <w:rsid w:val="00367F8D"/>
    <w:rsid w:val="003701DE"/>
    <w:rsid w:val="003708B2"/>
    <w:rsid w:val="00370AA1"/>
    <w:rsid w:val="00370D1D"/>
    <w:rsid w:val="00370D77"/>
    <w:rsid w:val="00370F24"/>
    <w:rsid w:val="0037155E"/>
    <w:rsid w:val="0037188A"/>
    <w:rsid w:val="00371F05"/>
    <w:rsid w:val="0037233C"/>
    <w:rsid w:val="003725C9"/>
    <w:rsid w:val="00372681"/>
    <w:rsid w:val="0037297E"/>
    <w:rsid w:val="003732F8"/>
    <w:rsid w:val="00373A08"/>
    <w:rsid w:val="00373C06"/>
    <w:rsid w:val="00373D71"/>
    <w:rsid w:val="00374513"/>
    <w:rsid w:val="00374E29"/>
    <w:rsid w:val="00375738"/>
    <w:rsid w:val="00376651"/>
    <w:rsid w:val="00376763"/>
    <w:rsid w:val="00376900"/>
    <w:rsid w:val="0037692F"/>
    <w:rsid w:val="00376939"/>
    <w:rsid w:val="00376BEB"/>
    <w:rsid w:val="00376FE6"/>
    <w:rsid w:val="00377377"/>
    <w:rsid w:val="00377CF8"/>
    <w:rsid w:val="00377D9C"/>
    <w:rsid w:val="00380992"/>
    <w:rsid w:val="003809F6"/>
    <w:rsid w:val="00380C1B"/>
    <w:rsid w:val="00380D81"/>
    <w:rsid w:val="00380D85"/>
    <w:rsid w:val="00380FF1"/>
    <w:rsid w:val="00382400"/>
    <w:rsid w:val="0038241C"/>
    <w:rsid w:val="0038259A"/>
    <w:rsid w:val="003826D5"/>
    <w:rsid w:val="00382B13"/>
    <w:rsid w:val="00382B8C"/>
    <w:rsid w:val="00383C43"/>
    <w:rsid w:val="00383D77"/>
    <w:rsid w:val="00383EC3"/>
    <w:rsid w:val="0038406D"/>
    <w:rsid w:val="00384DAF"/>
    <w:rsid w:val="00385295"/>
    <w:rsid w:val="00385B48"/>
    <w:rsid w:val="00385E30"/>
    <w:rsid w:val="0038612F"/>
    <w:rsid w:val="003861E2"/>
    <w:rsid w:val="00386274"/>
    <w:rsid w:val="00386593"/>
    <w:rsid w:val="00386774"/>
    <w:rsid w:val="00386AEA"/>
    <w:rsid w:val="00386B7C"/>
    <w:rsid w:val="00386C16"/>
    <w:rsid w:val="0038718B"/>
    <w:rsid w:val="00387281"/>
    <w:rsid w:val="003874A3"/>
    <w:rsid w:val="00387AB8"/>
    <w:rsid w:val="00387F30"/>
    <w:rsid w:val="003906AD"/>
    <w:rsid w:val="00390B46"/>
    <w:rsid w:val="00390B57"/>
    <w:rsid w:val="00390FF8"/>
    <w:rsid w:val="003910D1"/>
    <w:rsid w:val="0039141C"/>
    <w:rsid w:val="00391F59"/>
    <w:rsid w:val="003924FD"/>
    <w:rsid w:val="003930AA"/>
    <w:rsid w:val="0039322D"/>
    <w:rsid w:val="003934FE"/>
    <w:rsid w:val="00393896"/>
    <w:rsid w:val="00393971"/>
    <w:rsid w:val="0039438E"/>
    <w:rsid w:val="00394836"/>
    <w:rsid w:val="00394B63"/>
    <w:rsid w:val="00395EB6"/>
    <w:rsid w:val="0039644E"/>
    <w:rsid w:val="003968F7"/>
    <w:rsid w:val="00397539"/>
    <w:rsid w:val="00397577"/>
    <w:rsid w:val="00397D1F"/>
    <w:rsid w:val="003A066A"/>
    <w:rsid w:val="003A077C"/>
    <w:rsid w:val="003A08B0"/>
    <w:rsid w:val="003A0B3A"/>
    <w:rsid w:val="003A12C8"/>
    <w:rsid w:val="003A1624"/>
    <w:rsid w:val="003A17DF"/>
    <w:rsid w:val="003A17FB"/>
    <w:rsid w:val="003A1B45"/>
    <w:rsid w:val="003A1C91"/>
    <w:rsid w:val="003A1E07"/>
    <w:rsid w:val="003A1E23"/>
    <w:rsid w:val="003A2442"/>
    <w:rsid w:val="003A30C0"/>
    <w:rsid w:val="003A342F"/>
    <w:rsid w:val="003A35CB"/>
    <w:rsid w:val="003A3CF6"/>
    <w:rsid w:val="003A3DC3"/>
    <w:rsid w:val="003A3FF8"/>
    <w:rsid w:val="003A4000"/>
    <w:rsid w:val="003A42AE"/>
    <w:rsid w:val="003A4333"/>
    <w:rsid w:val="003A4567"/>
    <w:rsid w:val="003A4569"/>
    <w:rsid w:val="003A46B4"/>
    <w:rsid w:val="003A46CB"/>
    <w:rsid w:val="003A4F69"/>
    <w:rsid w:val="003A5640"/>
    <w:rsid w:val="003A62D4"/>
    <w:rsid w:val="003A63E0"/>
    <w:rsid w:val="003A6D5B"/>
    <w:rsid w:val="003A6EE3"/>
    <w:rsid w:val="003A7B13"/>
    <w:rsid w:val="003A7CB4"/>
    <w:rsid w:val="003A7E37"/>
    <w:rsid w:val="003B0423"/>
    <w:rsid w:val="003B0543"/>
    <w:rsid w:val="003B05D4"/>
    <w:rsid w:val="003B0732"/>
    <w:rsid w:val="003B08B9"/>
    <w:rsid w:val="003B1484"/>
    <w:rsid w:val="003B16C3"/>
    <w:rsid w:val="003B1CC6"/>
    <w:rsid w:val="003B216F"/>
    <w:rsid w:val="003B228B"/>
    <w:rsid w:val="003B278A"/>
    <w:rsid w:val="003B2813"/>
    <w:rsid w:val="003B2AF5"/>
    <w:rsid w:val="003B3130"/>
    <w:rsid w:val="003B37A0"/>
    <w:rsid w:val="003B39F9"/>
    <w:rsid w:val="003B3C9E"/>
    <w:rsid w:val="003B3DCD"/>
    <w:rsid w:val="003B3F78"/>
    <w:rsid w:val="003B4111"/>
    <w:rsid w:val="003B52D2"/>
    <w:rsid w:val="003B5B83"/>
    <w:rsid w:val="003B5BEA"/>
    <w:rsid w:val="003B6636"/>
    <w:rsid w:val="003B66DC"/>
    <w:rsid w:val="003B69C9"/>
    <w:rsid w:val="003B6F21"/>
    <w:rsid w:val="003B7833"/>
    <w:rsid w:val="003B7849"/>
    <w:rsid w:val="003B7CD4"/>
    <w:rsid w:val="003C049B"/>
    <w:rsid w:val="003C05F6"/>
    <w:rsid w:val="003C0CF0"/>
    <w:rsid w:val="003C0E2F"/>
    <w:rsid w:val="003C1354"/>
    <w:rsid w:val="003C16C7"/>
    <w:rsid w:val="003C1CD1"/>
    <w:rsid w:val="003C1CF2"/>
    <w:rsid w:val="003C2AA1"/>
    <w:rsid w:val="003C330F"/>
    <w:rsid w:val="003C35CB"/>
    <w:rsid w:val="003C3D03"/>
    <w:rsid w:val="003C3E32"/>
    <w:rsid w:val="003C4F61"/>
    <w:rsid w:val="003C515A"/>
    <w:rsid w:val="003C5802"/>
    <w:rsid w:val="003C5CA3"/>
    <w:rsid w:val="003C63D4"/>
    <w:rsid w:val="003C659C"/>
    <w:rsid w:val="003C65FC"/>
    <w:rsid w:val="003C6842"/>
    <w:rsid w:val="003C6C50"/>
    <w:rsid w:val="003C733D"/>
    <w:rsid w:val="003D05FE"/>
    <w:rsid w:val="003D07C2"/>
    <w:rsid w:val="003D1242"/>
    <w:rsid w:val="003D161D"/>
    <w:rsid w:val="003D1BE0"/>
    <w:rsid w:val="003D1BF9"/>
    <w:rsid w:val="003D26B9"/>
    <w:rsid w:val="003D3D5E"/>
    <w:rsid w:val="003D4830"/>
    <w:rsid w:val="003D5803"/>
    <w:rsid w:val="003D595E"/>
    <w:rsid w:val="003D5B9F"/>
    <w:rsid w:val="003D5BF3"/>
    <w:rsid w:val="003D600A"/>
    <w:rsid w:val="003D6055"/>
    <w:rsid w:val="003D6537"/>
    <w:rsid w:val="003D6B7B"/>
    <w:rsid w:val="003D6F1F"/>
    <w:rsid w:val="003D7311"/>
    <w:rsid w:val="003D76AF"/>
    <w:rsid w:val="003E082D"/>
    <w:rsid w:val="003E1181"/>
    <w:rsid w:val="003E11A0"/>
    <w:rsid w:val="003E16A4"/>
    <w:rsid w:val="003E16D9"/>
    <w:rsid w:val="003E1D9C"/>
    <w:rsid w:val="003E22AB"/>
    <w:rsid w:val="003E30F3"/>
    <w:rsid w:val="003E420B"/>
    <w:rsid w:val="003E48A8"/>
    <w:rsid w:val="003E4E79"/>
    <w:rsid w:val="003E4F4E"/>
    <w:rsid w:val="003E4F4F"/>
    <w:rsid w:val="003E5093"/>
    <w:rsid w:val="003E6179"/>
    <w:rsid w:val="003E69D7"/>
    <w:rsid w:val="003E6C78"/>
    <w:rsid w:val="003E702C"/>
    <w:rsid w:val="003E72CB"/>
    <w:rsid w:val="003E77D0"/>
    <w:rsid w:val="003E7DBE"/>
    <w:rsid w:val="003F08B3"/>
    <w:rsid w:val="003F0900"/>
    <w:rsid w:val="003F0B85"/>
    <w:rsid w:val="003F0BF6"/>
    <w:rsid w:val="003F1218"/>
    <w:rsid w:val="003F1A22"/>
    <w:rsid w:val="003F214A"/>
    <w:rsid w:val="003F27E5"/>
    <w:rsid w:val="003F2DEE"/>
    <w:rsid w:val="003F3033"/>
    <w:rsid w:val="003F3C54"/>
    <w:rsid w:val="003F3C7F"/>
    <w:rsid w:val="003F3F2C"/>
    <w:rsid w:val="003F40F2"/>
    <w:rsid w:val="003F486D"/>
    <w:rsid w:val="003F4AAE"/>
    <w:rsid w:val="003F4D86"/>
    <w:rsid w:val="003F502E"/>
    <w:rsid w:val="003F5487"/>
    <w:rsid w:val="003F55BE"/>
    <w:rsid w:val="003F5738"/>
    <w:rsid w:val="003F5A70"/>
    <w:rsid w:val="003F5B39"/>
    <w:rsid w:val="003F5C6B"/>
    <w:rsid w:val="003F6244"/>
    <w:rsid w:val="003F628C"/>
    <w:rsid w:val="003F6353"/>
    <w:rsid w:val="003F6D46"/>
    <w:rsid w:val="003F700F"/>
    <w:rsid w:val="004001E7"/>
    <w:rsid w:val="004002C1"/>
    <w:rsid w:val="0040116B"/>
    <w:rsid w:val="004019DC"/>
    <w:rsid w:val="00402306"/>
    <w:rsid w:val="00402D79"/>
    <w:rsid w:val="00402E1B"/>
    <w:rsid w:val="00403515"/>
    <w:rsid w:val="00403978"/>
    <w:rsid w:val="00403CA4"/>
    <w:rsid w:val="00404232"/>
    <w:rsid w:val="00404DFD"/>
    <w:rsid w:val="00404FB4"/>
    <w:rsid w:val="004053F2"/>
    <w:rsid w:val="00405AB4"/>
    <w:rsid w:val="00405F38"/>
    <w:rsid w:val="00406778"/>
    <w:rsid w:val="00406BEF"/>
    <w:rsid w:val="00406D02"/>
    <w:rsid w:val="00407A35"/>
    <w:rsid w:val="00410051"/>
    <w:rsid w:val="00410148"/>
    <w:rsid w:val="0041021D"/>
    <w:rsid w:val="00410479"/>
    <w:rsid w:val="004108DF"/>
    <w:rsid w:val="00410B38"/>
    <w:rsid w:val="00410C60"/>
    <w:rsid w:val="004110EB"/>
    <w:rsid w:val="00411553"/>
    <w:rsid w:val="0041157A"/>
    <w:rsid w:val="0041191A"/>
    <w:rsid w:val="00411A3F"/>
    <w:rsid w:val="00411B8B"/>
    <w:rsid w:val="0041426E"/>
    <w:rsid w:val="004143F6"/>
    <w:rsid w:val="00414ADB"/>
    <w:rsid w:val="00414CAE"/>
    <w:rsid w:val="0041570F"/>
    <w:rsid w:val="00415B2F"/>
    <w:rsid w:val="00416542"/>
    <w:rsid w:val="00417856"/>
    <w:rsid w:val="00417B0D"/>
    <w:rsid w:val="004202DE"/>
    <w:rsid w:val="004206A6"/>
    <w:rsid w:val="0042150E"/>
    <w:rsid w:val="00421A6D"/>
    <w:rsid w:val="00421B1A"/>
    <w:rsid w:val="00421FB1"/>
    <w:rsid w:val="00422593"/>
    <w:rsid w:val="00422BFD"/>
    <w:rsid w:val="00422E11"/>
    <w:rsid w:val="0042309B"/>
    <w:rsid w:val="00423853"/>
    <w:rsid w:val="004244C8"/>
    <w:rsid w:val="00424A9E"/>
    <w:rsid w:val="00424F62"/>
    <w:rsid w:val="0042509D"/>
    <w:rsid w:val="00425269"/>
    <w:rsid w:val="0042535E"/>
    <w:rsid w:val="00425B07"/>
    <w:rsid w:val="00426934"/>
    <w:rsid w:val="00426DA4"/>
    <w:rsid w:val="0042705A"/>
    <w:rsid w:val="004278ED"/>
    <w:rsid w:val="00427BDE"/>
    <w:rsid w:val="0043152B"/>
    <w:rsid w:val="00431B94"/>
    <w:rsid w:val="0043257B"/>
    <w:rsid w:val="004326A5"/>
    <w:rsid w:val="00433050"/>
    <w:rsid w:val="004338AF"/>
    <w:rsid w:val="00433E88"/>
    <w:rsid w:val="00434278"/>
    <w:rsid w:val="0043434C"/>
    <w:rsid w:val="00435348"/>
    <w:rsid w:val="00435505"/>
    <w:rsid w:val="00436A7D"/>
    <w:rsid w:val="00437773"/>
    <w:rsid w:val="00437C86"/>
    <w:rsid w:val="00440793"/>
    <w:rsid w:val="00440CD1"/>
    <w:rsid w:val="00442366"/>
    <w:rsid w:val="00442786"/>
    <w:rsid w:val="004438B1"/>
    <w:rsid w:val="0044395A"/>
    <w:rsid w:val="00443A51"/>
    <w:rsid w:val="00444211"/>
    <w:rsid w:val="0044436A"/>
    <w:rsid w:val="0044457A"/>
    <w:rsid w:val="00445EF1"/>
    <w:rsid w:val="00445F87"/>
    <w:rsid w:val="00445FFA"/>
    <w:rsid w:val="00447281"/>
    <w:rsid w:val="00447463"/>
    <w:rsid w:val="004474E7"/>
    <w:rsid w:val="00447632"/>
    <w:rsid w:val="00447BD3"/>
    <w:rsid w:val="00447E9B"/>
    <w:rsid w:val="004508E6"/>
    <w:rsid w:val="00452827"/>
    <w:rsid w:val="004528CD"/>
    <w:rsid w:val="004529AE"/>
    <w:rsid w:val="00452A5E"/>
    <w:rsid w:val="00452A90"/>
    <w:rsid w:val="004530E1"/>
    <w:rsid w:val="00453352"/>
    <w:rsid w:val="0045349E"/>
    <w:rsid w:val="00453C35"/>
    <w:rsid w:val="00453E98"/>
    <w:rsid w:val="0045424E"/>
    <w:rsid w:val="004544F8"/>
    <w:rsid w:val="0045466E"/>
    <w:rsid w:val="00455F43"/>
    <w:rsid w:val="004567F6"/>
    <w:rsid w:val="00456BC6"/>
    <w:rsid w:val="004577F6"/>
    <w:rsid w:val="004604A3"/>
    <w:rsid w:val="004606B8"/>
    <w:rsid w:val="00460BE7"/>
    <w:rsid w:val="00460E69"/>
    <w:rsid w:val="004610AE"/>
    <w:rsid w:val="0046117B"/>
    <w:rsid w:val="004611A9"/>
    <w:rsid w:val="004613D3"/>
    <w:rsid w:val="0046141E"/>
    <w:rsid w:val="00461452"/>
    <w:rsid w:val="00461A9A"/>
    <w:rsid w:val="00461C8C"/>
    <w:rsid w:val="00461E22"/>
    <w:rsid w:val="00461FB9"/>
    <w:rsid w:val="004620A8"/>
    <w:rsid w:val="00462240"/>
    <w:rsid w:val="0046249D"/>
    <w:rsid w:val="00462F52"/>
    <w:rsid w:val="00463166"/>
    <w:rsid w:val="004635C6"/>
    <w:rsid w:val="0046389A"/>
    <w:rsid w:val="004638D3"/>
    <w:rsid w:val="0046470A"/>
    <w:rsid w:val="004655CC"/>
    <w:rsid w:val="00465A7E"/>
    <w:rsid w:val="00465CA2"/>
    <w:rsid w:val="0046637E"/>
    <w:rsid w:val="00466731"/>
    <w:rsid w:val="00466B30"/>
    <w:rsid w:val="00466E75"/>
    <w:rsid w:val="00466EAB"/>
    <w:rsid w:val="00470A9A"/>
    <w:rsid w:val="00470E8F"/>
    <w:rsid w:val="00471135"/>
    <w:rsid w:val="00471A6E"/>
    <w:rsid w:val="004722A1"/>
    <w:rsid w:val="00473391"/>
    <w:rsid w:val="004735DB"/>
    <w:rsid w:val="004739DA"/>
    <w:rsid w:val="00474723"/>
    <w:rsid w:val="00474D5D"/>
    <w:rsid w:val="00475018"/>
    <w:rsid w:val="004750B1"/>
    <w:rsid w:val="00475941"/>
    <w:rsid w:val="00475D28"/>
    <w:rsid w:val="00475DCD"/>
    <w:rsid w:val="0047643B"/>
    <w:rsid w:val="004768D1"/>
    <w:rsid w:val="00476B1E"/>
    <w:rsid w:val="00476CC6"/>
    <w:rsid w:val="00477932"/>
    <w:rsid w:val="00477BD7"/>
    <w:rsid w:val="0048003D"/>
    <w:rsid w:val="00480316"/>
    <w:rsid w:val="0048052E"/>
    <w:rsid w:val="00480792"/>
    <w:rsid w:val="00480AE8"/>
    <w:rsid w:val="00480D62"/>
    <w:rsid w:val="0048284A"/>
    <w:rsid w:val="00482F80"/>
    <w:rsid w:val="004832C6"/>
    <w:rsid w:val="00483429"/>
    <w:rsid w:val="004838F5"/>
    <w:rsid w:val="004838FB"/>
    <w:rsid w:val="00483B9C"/>
    <w:rsid w:val="00483EF4"/>
    <w:rsid w:val="0048421A"/>
    <w:rsid w:val="00484422"/>
    <w:rsid w:val="00484D40"/>
    <w:rsid w:val="00486048"/>
    <w:rsid w:val="00486B2F"/>
    <w:rsid w:val="00487DCC"/>
    <w:rsid w:val="00487ED6"/>
    <w:rsid w:val="00487EEB"/>
    <w:rsid w:val="00491B4C"/>
    <w:rsid w:val="0049212F"/>
    <w:rsid w:val="00492205"/>
    <w:rsid w:val="00492244"/>
    <w:rsid w:val="00492249"/>
    <w:rsid w:val="00493099"/>
    <w:rsid w:val="0049365B"/>
    <w:rsid w:val="00493686"/>
    <w:rsid w:val="00493758"/>
    <w:rsid w:val="004940DC"/>
    <w:rsid w:val="00494A9D"/>
    <w:rsid w:val="0049509B"/>
    <w:rsid w:val="004952C9"/>
    <w:rsid w:val="00495825"/>
    <w:rsid w:val="00495EC8"/>
    <w:rsid w:val="00496492"/>
    <w:rsid w:val="00496A61"/>
    <w:rsid w:val="00497A1E"/>
    <w:rsid w:val="00497C17"/>
    <w:rsid w:val="00497CD3"/>
    <w:rsid w:val="004A0038"/>
    <w:rsid w:val="004A02E5"/>
    <w:rsid w:val="004A0590"/>
    <w:rsid w:val="004A0732"/>
    <w:rsid w:val="004A08D0"/>
    <w:rsid w:val="004A0BA8"/>
    <w:rsid w:val="004A0F39"/>
    <w:rsid w:val="004A178D"/>
    <w:rsid w:val="004A1F50"/>
    <w:rsid w:val="004A2481"/>
    <w:rsid w:val="004A279D"/>
    <w:rsid w:val="004A2EF9"/>
    <w:rsid w:val="004A39F5"/>
    <w:rsid w:val="004A41C5"/>
    <w:rsid w:val="004A533F"/>
    <w:rsid w:val="004A56EC"/>
    <w:rsid w:val="004A5B42"/>
    <w:rsid w:val="004A65A6"/>
    <w:rsid w:val="004A6FAA"/>
    <w:rsid w:val="004A6FF0"/>
    <w:rsid w:val="004A74F5"/>
    <w:rsid w:val="004A7678"/>
    <w:rsid w:val="004A7D6F"/>
    <w:rsid w:val="004B05CA"/>
    <w:rsid w:val="004B0676"/>
    <w:rsid w:val="004B1B3E"/>
    <w:rsid w:val="004B1B5C"/>
    <w:rsid w:val="004B1CA3"/>
    <w:rsid w:val="004B2037"/>
    <w:rsid w:val="004B2E20"/>
    <w:rsid w:val="004B3833"/>
    <w:rsid w:val="004B3F4A"/>
    <w:rsid w:val="004B405F"/>
    <w:rsid w:val="004B41C5"/>
    <w:rsid w:val="004B44C4"/>
    <w:rsid w:val="004B457B"/>
    <w:rsid w:val="004B4DF6"/>
    <w:rsid w:val="004B535E"/>
    <w:rsid w:val="004B5C68"/>
    <w:rsid w:val="004B75FC"/>
    <w:rsid w:val="004B7852"/>
    <w:rsid w:val="004B7DC6"/>
    <w:rsid w:val="004B7EA7"/>
    <w:rsid w:val="004B7F96"/>
    <w:rsid w:val="004C1B72"/>
    <w:rsid w:val="004C1E84"/>
    <w:rsid w:val="004C208C"/>
    <w:rsid w:val="004C2240"/>
    <w:rsid w:val="004C2F21"/>
    <w:rsid w:val="004C300D"/>
    <w:rsid w:val="004C4AAE"/>
    <w:rsid w:val="004C4DD3"/>
    <w:rsid w:val="004C5231"/>
    <w:rsid w:val="004C533E"/>
    <w:rsid w:val="004C54C2"/>
    <w:rsid w:val="004C58D6"/>
    <w:rsid w:val="004C5A0D"/>
    <w:rsid w:val="004C5C09"/>
    <w:rsid w:val="004C621C"/>
    <w:rsid w:val="004C719C"/>
    <w:rsid w:val="004C7254"/>
    <w:rsid w:val="004C74E4"/>
    <w:rsid w:val="004C781F"/>
    <w:rsid w:val="004C7EB1"/>
    <w:rsid w:val="004D0003"/>
    <w:rsid w:val="004D0BEB"/>
    <w:rsid w:val="004D0CAB"/>
    <w:rsid w:val="004D1237"/>
    <w:rsid w:val="004D19B1"/>
    <w:rsid w:val="004D2308"/>
    <w:rsid w:val="004D2594"/>
    <w:rsid w:val="004D2BD1"/>
    <w:rsid w:val="004D3083"/>
    <w:rsid w:val="004D33BA"/>
    <w:rsid w:val="004D3F7D"/>
    <w:rsid w:val="004D413C"/>
    <w:rsid w:val="004D434E"/>
    <w:rsid w:val="004D49D8"/>
    <w:rsid w:val="004D4FA1"/>
    <w:rsid w:val="004D5346"/>
    <w:rsid w:val="004D5C05"/>
    <w:rsid w:val="004D6194"/>
    <w:rsid w:val="004D664E"/>
    <w:rsid w:val="004D66CC"/>
    <w:rsid w:val="004D7012"/>
    <w:rsid w:val="004D7A07"/>
    <w:rsid w:val="004D7B49"/>
    <w:rsid w:val="004D7C23"/>
    <w:rsid w:val="004E04EF"/>
    <w:rsid w:val="004E0568"/>
    <w:rsid w:val="004E0A04"/>
    <w:rsid w:val="004E1115"/>
    <w:rsid w:val="004E11CD"/>
    <w:rsid w:val="004E1A23"/>
    <w:rsid w:val="004E223B"/>
    <w:rsid w:val="004E27E0"/>
    <w:rsid w:val="004E2EF9"/>
    <w:rsid w:val="004E337B"/>
    <w:rsid w:val="004E38A2"/>
    <w:rsid w:val="004E3EC3"/>
    <w:rsid w:val="004E4001"/>
    <w:rsid w:val="004E4CA5"/>
    <w:rsid w:val="004E5B06"/>
    <w:rsid w:val="004E5BF6"/>
    <w:rsid w:val="004E5FF8"/>
    <w:rsid w:val="004E6BE4"/>
    <w:rsid w:val="004E6C0E"/>
    <w:rsid w:val="004E7A37"/>
    <w:rsid w:val="004E7CBD"/>
    <w:rsid w:val="004E7E8A"/>
    <w:rsid w:val="004F01E2"/>
    <w:rsid w:val="004F0630"/>
    <w:rsid w:val="004F0950"/>
    <w:rsid w:val="004F0A06"/>
    <w:rsid w:val="004F0E24"/>
    <w:rsid w:val="004F1B64"/>
    <w:rsid w:val="004F1D2C"/>
    <w:rsid w:val="004F1EF3"/>
    <w:rsid w:val="004F2329"/>
    <w:rsid w:val="004F266C"/>
    <w:rsid w:val="004F26D3"/>
    <w:rsid w:val="004F2854"/>
    <w:rsid w:val="004F2AC6"/>
    <w:rsid w:val="004F2B95"/>
    <w:rsid w:val="004F30E5"/>
    <w:rsid w:val="004F33D5"/>
    <w:rsid w:val="004F4270"/>
    <w:rsid w:val="004F43CA"/>
    <w:rsid w:val="004F46CB"/>
    <w:rsid w:val="004F4715"/>
    <w:rsid w:val="004F493A"/>
    <w:rsid w:val="004F55EF"/>
    <w:rsid w:val="004F5659"/>
    <w:rsid w:val="004F5C40"/>
    <w:rsid w:val="004F6A8B"/>
    <w:rsid w:val="004F6EE7"/>
    <w:rsid w:val="004F7357"/>
    <w:rsid w:val="004F7CB9"/>
    <w:rsid w:val="005014AB"/>
    <w:rsid w:val="005015AD"/>
    <w:rsid w:val="00501D8D"/>
    <w:rsid w:val="00501DFC"/>
    <w:rsid w:val="005022C0"/>
    <w:rsid w:val="005022F7"/>
    <w:rsid w:val="00502376"/>
    <w:rsid w:val="005027CD"/>
    <w:rsid w:val="00502966"/>
    <w:rsid w:val="00502DBE"/>
    <w:rsid w:val="00503131"/>
    <w:rsid w:val="00503302"/>
    <w:rsid w:val="005035A4"/>
    <w:rsid w:val="005039B9"/>
    <w:rsid w:val="00504265"/>
    <w:rsid w:val="005049F0"/>
    <w:rsid w:val="00504DD3"/>
    <w:rsid w:val="00505482"/>
    <w:rsid w:val="005056E2"/>
    <w:rsid w:val="0050581A"/>
    <w:rsid w:val="00505B36"/>
    <w:rsid w:val="00506AB1"/>
    <w:rsid w:val="00506AF6"/>
    <w:rsid w:val="00507174"/>
    <w:rsid w:val="0050718F"/>
    <w:rsid w:val="00507823"/>
    <w:rsid w:val="00507E05"/>
    <w:rsid w:val="00510BA3"/>
    <w:rsid w:val="00510D5F"/>
    <w:rsid w:val="005110F2"/>
    <w:rsid w:val="00511CE6"/>
    <w:rsid w:val="005121DB"/>
    <w:rsid w:val="00512210"/>
    <w:rsid w:val="00512285"/>
    <w:rsid w:val="005124A4"/>
    <w:rsid w:val="005125D8"/>
    <w:rsid w:val="00512A7F"/>
    <w:rsid w:val="00512CFE"/>
    <w:rsid w:val="00513025"/>
    <w:rsid w:val="00513580"/>
    <w:rsid w:val="00513B47"/>
    <w:rsid w:val="0051417C"/>
    <w:rsid w:val="00515299"/>
    <w:rsid w:val="00515CF5"/>
    <w:rsid w:val="00516132"/>
    <w:rsid w:val="005162FF"/>
    <w:rsid w:val="00516C17"/>
    <w:rsid w:val="005178DD"/>
    <w:rsid w:val="005200F6"/>
    <w:rsid w:val="00520156"/>
    <w:rsid w:val="00520347"/>
    <w:rsid w:val="0052087E"/>
    <w:rsid w:val="00520AB5"/>
    <w:rsid w:val="00520EB8"/>
    <w:rsid w:val="005219D5"/>
    <w:rsid w:val="00521E2C"/>
    <w:rsid w:val="005222DF"/>
    <w:rsid w:val="005224BB"/>
    <w:rsid w:val="00522544"/>
    <w:rsid w:val="00522598"/>
    <w:rsid w:val="005226B6"/>
    <w:rsid w:val="0052270B"/>
    <w:rsid w:val="00522EDF"/>
    <w:rsid w:val="00522F4A"/>
    <w:rsid w:val="005230FA"/>
    <w:rsid w:val="005238A6"/>
    <w:rsid w:val="0052399C"/>
    <w:rsid w:val="00523ADA"/>
    <w:rsid w:val="00523FF2"/>
    <w:rsid w:val="00524265"/>
    <w:rsid w:val="0052426E"/>
    <w:rsid w:val="0052434C"/>
    <w:rsid w:val="005246A1"/>
    <w:rsid w:val="005254B4"/>
    <w:rsid w:val="005255A3"/>
    <w:rsid w:val="005256F0"/>
    <w:rsid w:val="00525E84"/>
    <w:rsid w:val="0052618D"/>
    <w:rsid w:val="005276CE"/>
    <w:rsid w:val="00527A54"/>
    <w:rsid w:val="00527CC7"/>
    <w:rsid w:val="00530539"/>
    <w:rsid w:val="005314A5"/>
    <w:rsid w:val="00531716"/>
    <w:rsid w:val="005317A8"/>
    <w:rsid w:val="005327D8"/>
    <w:rsid w:val="0053295A"/>
    <w:rsid w:val="00532F71"/>
    <w:rsid w:val="00533463"/>
    <w:rsid w:val="00533F58"/>
    <w:rsid w:val="0053520F"/>
    <w:rsid w:val="00535588"/>
    <w:rsid w:val="005357F4"/>
    <w:rsid w:val="00536CD9"/>
    <w:rsid w:val="00537083"/>
    <w:rsid w:val="0053708B"/>
    <w:rsid w:val="005373AD"/>
    <w:rsid w:val="005379B7"/>
    <w:rsid w:val="00537A4D"/>
    <w:rsid w:val="00537EB2"/>
    <w:rsid w:val="00537F83"/>
    <w:rsid w:val="0054028A"/>
    <w:rsid w:val="0054161F"/>
    <w:rsid w:val="005421EC"/>
    <w:rsid w:val="00542297"/>
    <w:rsid w:val="00542802"/>
    <w:rsid w:val="0054358A"/>
    <w:rsid w:val="005438C7"/>
    <w:rsid w:val="00543FEC"/>
    <w:rsid w:val="005453BD"/>
    <w:rsid w:val="005453EC"/>
    <w:rsid w:val="005454B4"/>
    <w:rsid w:val="0054591A"/>
    <w:rsid w:val="00545DB5"/>
    <w:rsid w:val="00546032"/>
    <w:rsid w:val="00546486"/>
    <w:rsid w:val="00546648"/>
    <w:rsid w:val="0054687A"/>
    <w:rsid w:val="00546B78"/>
    <w:rsid w:val="00547B43"/>
    <w:rsid w:val="00550437"/>
    <w:rsid w:val="00550DE3"/>
    <w:rsid w:val="00551784"/>
    <w:rsid w:val="00551E64"/>
    <w:rsid w:val="00551FD8"/>
    <w:rsid w:val="005522FD"/>
    <w:rsid w:val="00552EB3"/>
    <w:rsid w:val="00552F10"/>
    <w:rsid w:val="005530B5"/>
    <w:rsid w:val="00553411"/>
    <w:rsid w:val="0055344D"/>
    <w:rsid w:val="005537E3"/>
    <w:rsid w:val="00553853"/>
    <w:rsid w:val="00553884"/>
    <w:rsid w:val="005540A9"/>
    <w:rsid w:val="00554861"/>
    <w:rsid w:val="0055491C"/>
    <w:rsid w:val="00554AC2"/>
    <w:rsid w:val="00554B47"/>
    <w:rsid w:val="005551BB"/>
    <w:rsid w:val="005556CC"/>
    <w:rsid w:val="00555BFB"/>
    <w:rsid w:val="00555D43"/>
    <w:rsid w:val="00556E6A"/>
    <w:rsid w:val="005570A3"/>
    <w:rsid w:val="005570F2"/>
    <w:rsid w:val="005606A7"/>
    <w:rsid w:val="00560AC5"/>
    <w:rsid w:val="00561554"/>
    <w:rsid w:val="00561894"/>
    <w:rsid w:val="00561A2E"/>
    <w:rsid w:val="00562769"/>
    <w:rsid w:val="005638AA"/>
    <w:rsid w:val="00563C32"/>
    <w:rsid w:val="005644FE"/>
    <w:rsid w:val="0056476B"/>
    <w:rsid w:val="00564CD0"/>
    <w:rsid w:val="005654C4"/>
    <w:rsid w:val="005656C6"/>
    <w:rsid w:val="00565932"/>
    <w:rsid w:val="00565FCB"/>
    <w:rsid w:val="0056605E"/>
    <w:rsid w:val="00566633"/>
    <w:rsid w:val="00566655"/>
    <w:rsid w:val="00566B69"/>
    <w:rsid w:val="00566FF5"/>
    <w:rsid w:val="00567192"/>
    <w:rsid w:val="00567D3A"/>
    <w:rsid w:val="005709BD"/>
    <w:rsid w:val="00570D1F"/>
    <w:rsid w:val="00571327"/>
    <w:rsid w:val="00571E45"/>
    <w:rsid w:val="00572175"/>
    <w:rsid w:val="005725DD"/>
    <w:rsid w:val="00572AC7"/>
    <w:rsid w:val="00572E22"/>
    <w:rsid w:val="0057305B"/>
    <w:rsid w:val="00573D61"/>
    <w:rsid w:val="005744E1"/>
    <w:rsid w:val="00574844"/>
    <w:rsid w:val="00575232"/>
    <w:rsid w:val="005757BA"/>
    <w:rsid w:val="00575EB7"/>
    <w:rsid w:val="00576773"/>
    <w:rsid w:val="005769FD"/>
    <w:rsid w:val="00576BB7"/>
    <w:rsid w:val="005776F3"/>
    <w:rsid w:val="005779A6"/>
    <w:rsid w:val="005800A7"/>
    <w:rsid w:val="00580734"/>
    <w:rsid w:val="00581130"/>
    <w:rsid w:val="005814BA"/>
    <w:rsid w:val="005818A4"/>
    <w:rsid w:val="005819F0"/>
    <w:rsid w:val="0058230A"/>
    <w:rsid w:val="005824A6"/>
    <w:rsid w:val="00582CE6"/>
    <w:rsid w:val="00582F21"/>
    <w:rsid w:val="0058312F"/>
    <w:rsid w:val="005837BF"/>
    <w:rsid w:val="005839AB"/>
    <w:rsid w:val="00584169"/>
    <w:rsid w:val="00584824"/>
    <w:rsid w:val="00584DBC"/>
    <w:rsid w:val="005855F5"/>
    <w:rsid w:val="00585A26"/>
    <w:rsid w:val="005868CC"/>
    <w:rsid w:val="00586A7F"/>
    <w:rsid w:val="00586C4D"/>
    <w:rsid w:val="00587002"/>
    <w:rsid w:val="005872E1"/>
    <w:rsid w:val="005873ED"/>
    <w:rsid w:val="00587718"/>
    <w:rsid w:val="00587974"/>
    <w:rsid w:val="00587A7D"/>
    <w:rsid w:val="00587CFD"/>
    <w:rsid w:val="00590341"/>
    <w:rsid w:val="005912DB"/>
    <w:rsid w:val="00591739"/>
    <w:rsid w:val="00591CEB"/>
    <w:rsid w:val="005925F1"/>
    <w:rsid w:val="00592F12"/>
    <w:rsid w:val="00593F9C"/>
    <w:rsid w:val="00594B9B"/>
    <w:rsid w:val="00594BD6"/>
    <w:rsid w:val="005952BC"/>
    <w:rsid w:val="00595610"/>
    <w:rsid w:val="005958F6"/>
    <w:rsid w:val="00595C21"/>
    <w:rsid w:val="00595CDB"/>
    <w:rsid w:val="005960AF"/>
    <w:rsid w:val="00596159"/>
    <w:rsid w:val="005967D2"/>
    <w:rsid w:val="005967FD"/>
    <w:rsid w:val="005A0821"/>
    <w:rsid w:val="005A1634"/>
    <w:rsid w:val="005A1D5F"/>
    <w:rsid w:val="005A2179"/>
    <w:rsid w:val="005A2439"/>
    <w:rsid w:val="005A2567"/>
    <w:rsid w:val="005A2B7E"/>
    <w:rsid w:val="005A3CE0"/>
    <w:rsid w:val="005A3EB3"/>
    <w:rsid w:val="005A4309"/>
    <w:rsid w:val="005A4950"/>
    <w:rsid w:val="005A4B5E"/>
    <w:rsid w:val="005A530B"/>
    <w:rsid w:val="005A5328"/>
    <w:rsid w:val="005A653C"/>
    <w:rsid w:val="005A6D5C"/>
    <w:rsid w:val="005A739C"/>
    <w:rsid w:val="005A7ECF"/>
    <w:rsid w:val="005A7F28"/>
    <w:rsid w:val="005B098E"/>
    <w:rsid w:val="005B1002"/>
    <w:rsid w:val="005B114C"/>
    <w:rsid w:val="005B12C0"/>
    <w:rsid w:val="005B15E6"/>
    <w:rsid w:val="005B1AE4"/>
    <w:rsid w:val="005B2591"/>
    <w:rsid w:val="005B354B"/>
    <w:rsid w:val="005B3ACB"/>
    <w:rsid w:val="005B4039"/>
    <w:rsid w:val="005B4C7D"/>
    <w:rsid w:val="005B4EF6"/>
    <w:rsid w:val="005B510B"/>
    <w:rsid w:val="005B7495"/>
    <w:rsid w:val="005B7C6B"/>
    <w:rsid w:val="005B7EF9"/>
    <w:rsid w:val="005C0750"/>
    <w:rsid w:val="005C0BEE"/>
    <w:rsid w:val="005C1BD2"/>
    <w:rsid w:val="005C22A6"/>
    <w:rsid w:val="005C22DA"/>
    <w:rsid w:val="005C302E"/>
    <w:rsid w:val="005C3498"/>
    <w:rsid w:val="005C3A2A"/>
    <w:rsid w:val="005C4064"/>
    <w:rsid w:val="005C4102"/>
    <w:rsid w:val="005C423E"/>
    <w:rsid w:val="005C5087"/>
    <w:rsid w:val="005C5104"/>
    <w:rsid w:val="005C5357"/>
    <w:rsid w:val="005C5A8E"/>
    <w:rsid w:val="005C5B22"/>
    <w:rsid w:val="005C5DF3"/>
    <w:rsid w:val="005C6039"/>
    <w:rsid w:val="005C6072"/>
    <w:rsid w:val="005C60FB"/>
    <w:rsid w:val="005C6697"/>
    <w:rsid w:val="005C70A6"/>
    <w:rsid w:val="005C70F9"/>
    <w:rsid w:val="005C7212"/>
    <w:rsid w:val="005D0308"/>
    <w:rsid w:val="005D0368"/>
    <w:rsid w:val="005D0424"/>
    <w:rsid w:val="005D0427"/>
    <w:rsid w:val="005D04A6"/>
    <w:rsid w:val="005D0BC1"/>
    <w:rsid w:val="005D1052"/>
    <w:rsid w:val="005D1965"/>
    <w:rsid w:val="005D19A1"/>
    <w:rsid w:val="005D1F50"/>
    <w:rsid w:val="005D2083"/>
    <w:rsid w:val="005D212E"/>
    <w:rsid w:val="005D2396"/>
    <w:rsid w:val="005D2618"/>
    <w:rsid w:val="005D2B1F"/>
    <w:rsid w:val="005D2E81"/>
    <w:rsid w:val="005D3E00"/>
    <w:rsid w:val="005D48F5"/>
    <w:rsid w:val="005D49AA"/>
    <w:rsid w:val="005D50E6"/>
    <w:rsid w:val="005D523A"/>
    <w:rsid w:val="005D55B6"/>
    <w:rsid w:val="005D56D8"/>
    <w:rsid w:val="005D5FD6"/>
    <w:rsid w:val="005D67C0"/>
    <w:rsid w:val="005D767B"/>
    <w:rsid w:val="005D7BF5"/>
    <w:rsid w:val="005E010D"/>
    <w:rsid w:val="005E0114"/>
    <w:rsid w:val="005E0233"/>
    <w:rsid w:val="005E0311"/>
    <w:rsid w:val="005E053B"/>
    <w:rsid w:val="005E06FD"/>
    <w:rsid w:val="005E091C"/>
    <w:rsid w:val="005E0BDB"/>
    <w:rsid w:val="005E0D45"/>
    <w:rsid w:val="005E1096"/>
    <w:rsid w:val="005E12DC"/>
    <w:rsid w:val="005E16B8"/>
    <w:rsid w:val="005E1E70"/>
    <w:rsid w:val="005E2269"/>
    <w:rsid w:val="005E2389"/>
    <w:rsid w:val="005E2DDB"/>
    <w:rsid w:val="005E3AE1"/>
    <w:rsid w:val="005E3CF5"/>
    <w:rsid w:val="005E3F78"/>
    <w:rsid w:val="005E52E0"/>
    <w:rsid w:val="005E5811"/>
    <w:rsid w:val="005E652B"/>
    <w:rsid w:val="005E6885"/>
    <w:rsid w:val="005E7E29"/>
    <w:rsid w:val="005F045F"/>
    <w:rsid w:val="005F047D"/>
    <w:rsid w:val="005F1275"/>
    <w:rsid w:val="005F175D"/>
    <w:rsid w:val="005F1ED9"/>
    <w:rsid w:val="005F2509"/>
    <w:rsid w:val="005F2C44"/>
    <w:rsid w:val="005F3435"/>
    <w:rsid w:val="005F35D0"/>
    <w:rsid w:val="005F385C"/>
    <w:rsid w:val="005F41E7"/>
    <w:rsid w:val="005F47CE"/>
    <w:rsid w:val="005F4A3C"/>
    <w:rsid w:val="005F4B91"/>
    <w:rsid w:val="005F4C68"/>
    <w:rsid w:val="005F4D68"/>
    <w:rsid w:val="005F5DA4"/>
    <w:rsid w:val="005F5E0C"/>
    <w:rsid w:val="005F67CB"/>
    <w:rsid w:val="005F68EA"/>
    <w:rsid w:val="005F6F55"/>
    <w:rsid w:val="005F77F3"/>
    <w:rsid w:val="00600336"/>
    <w:rsid w:val="0060041F"/>
    <w:rsid w:val="00600776"/>
    <w:rsid w:val="00601BA7"/>
    <w:rsid w:val="00603CE0"/>
    <w:rsid w:val="00604114"/>
    <w:rsid w:val="00604206"/>
    <w:rsid w:val="00604346"/>
    <w:rsid w:val="006043AA"/>
    <w:rsid w:val="006047A4"/>
    <w:rsid w:val="006047E8"/>
    <w:rsid w:val="006055E8"/>
    <w:rsid w:val="006059A0"/>
    <w:rsid w:val="00605C12"/>
    <w:rsid w:val="00606226"/>
    <w:rsid w:val="006066EF"/>
    <w:rsid w:val="00606A21"/>
    <w:rsid w:val="0060731F"/>
    <w:rsid w:val="00607774"/>
    <w:rsid w:val="00607ADD"/>
    <w:rsid w:val="00607D6E"/>
    <w:rsid w:val="0061021C"/>
    <w:rsid w:val="006103A0"/>
    <w:rsid w:val="0061056B"/>
    <w:rsid w:val="006108D4"/>
    <w:rsid w:val="00610CDB"/>
    <w:rsid w:val="00610DB0"/>
    <w:rsid w:val="00611560"/>
    <w:rsid w:val="006116A2"/>
    <w:rsid w:val="00611BF0"/>
    <w:rsid w:val="00611C65"/>
    <w:rsid w:val="00611F4A"/>
    <w:rsid w:val="00612359"/>
    <w:rsid w:val="0061245C"/>
    <w:rsid w:val="006125EE"/>
    <w:rsid w:val="006128ED"/>
    <w:rsid w:val="00612DDD"/>
    <w:rsid w:val="006131F7"/>
    <w:rsid w:val="00613224"/>
    <w:rsid w:val="00613360"/>
    <w:rsid w:val="00613FDE"/>
    <w:rsid w:val="006147CB"/>
    <w:rsid w:val="00614981"/>
    <w:rsid w:val="00614A51"/>
    <w:rsid w:val="00614EB1"/>
    <w:rsid w:val="00614F49"/>
    <w:rsid w:val="006152D3"/>
    <w:rsid w:val="00615315"/>
    <w:rsid w:val="00615446"/>
    <w:rsid w:val="00615496"/>
    <w:rsid w:val="006162F8"/>
    <w:rsid w:val="00616E54"/>
    <w:rsid w:val="0061794F"/>
    <w:rsid w:val="00620084"/>
    <w:rsid w:val="00620319"/>
    <w:rsid w:val="00620D03"/>
    <w:rsid w:val="00621C83"/>
    <w:rsid w:val="00621CB5"/>
    <w:rsid w:val="00622236"/>
    <w:rsid w:val="00622327"/>
    <w:rsid w:val="00622BA6"/>
    <w:rsid w:val="00622C28"/>
    <w:rsid w:val="00622DDB"/>
    <w:rsid w:val="006233F3"/>
    <w:rsid w:val="0062343F"/>
    <w:rsid w:val="006234BA"/>
    <w:rsid w:val="00623525"/>
    <w:rsid w:val="00624268"/>
    <w:rsid w:val="00624ACF"/>
    <w:rsid w:val="00624BC2"/>
    <w:rsid w:val="00625295"/>
    <w:rsid w:val="00625DCE"/>
    <w:rsid w:val="00625FC1"/>
    <w:rsid w:val="00625FCA"/>
    <w:rsid w:val="00626089"/>
    <w:rsid w:val="006264D4"/>
    <w:rsid w:val="006265B7"/>
    <w:rsid w:val="00626B77"/>
    <w:rsid w:val="00626D2F"/>
    <w:rsid w:val="00626DC9"/>
    <w:rsid w:val="00626E7A"/>
    <w:rsid w:val="006276C5"/>
    <w:rsid w:val="0062793C"/>
    <w:rsid w:val="006305D0"/>
    <w:rsid w:val="00630790"/>
    <w:rsid w:val="006312E2"/>
    <w:rsid w:val="00631B02"/>
    <w:rsid w:val="00632085"/>
    <w:rsid w:val="00632539"/>
    <w:rsid w:val="00632691"/>
    <w:rsid w:val="006329BF"/>
    <w:rsid w:val="0063307F"/>
    <w:rsid w:val="00634157"/>
    <w:rsid w:val="00634EFB"/>
    <w:rsid w:val="00635590"/>
    <w:rsid w:val="00635FBA"/>
    <w:rsid w:val="00636459"/>
    <w:rsid w:val="00637139"/>
    <w:rsid w:val="00637A25"/>
    <w:rsid w:val="006400B4"/>
    <w:rsid w:val="0064092B"/>
    <w:rsid w:val="00641303"/>
    <w:rsid w:val="006413C7"/>
    <w:rsid w:val="00641802"/>
    <w:rsid w:val="00641E8D"/>
    <w:rsid w:val="00642046"/>
    <w:rsid w:val="0064284C"/>
    <w:rsid w:val="00642A01"/>
    <w:rsid w:val="00642DB8"/>
    <w:rsid w:val="00643428"/>
    <w:rsid w:val="006438A8"/>
    <w:rsid w:val="006439C7"/>
    <w:rsid w:val="00643B62"/>
    <w:rsid w:val="00643EEF"/>
    <w:rsid w:val="00644139"/>
    <w:rsid w:val="00644277"/>
    <w:rsid w:val="00644552"/>
    <w:rsid w:val="006448F6"/>
    <w:rsid w:val="00645276"/>
    <w:rsid w:val="00645654"/>
    <w:rsid w:val="0064579A"/>
    <w:rsid w:val="00645887"/>
    <w:rsid w:val="00645B4B"/>
    <w:rsid w:val="006462D7"/>
    <w:rsid w:val="00646CB3"/>
    <w:rsid w:val="006471D9"/>
    <w:rsid w:val="0064755D"/>
    <w:rsid w:val="00647586"/>
    <w:rsid w:val="006476EE"/>
    <w:rsid w:val="00647C57"/>
    <w:rsid w:val="00647E8A"/>
    <w:rsid w:val="006502B1"/>
    <w:rsid w:val="00650636"/>
    <w:rsid w:val="00650857"/>
    <w:rsid w:val="00650BA3"/>
    <w:rsid w:val="00650EE8"/>
    <w:rsid w:val="00650FCA"/>
    <w:rsid w:val="006514A9"/>
    <w:rsid w:val="006515FB"/>
    <w:rsid w:val="006528F1"/>
    <w:rsid w:val="00652C5A"/>
    <w:rsid w:val="0065321A"/>
    <w:rsid w:val="006534C0"/>
    <w:rsid w:val="00653D26"/>
    <w:rsid w:val="00654A0D"/>
    <w:rsid w:val="00654C76"/>
    <w:rsid w:val="0065537F"/>
    <w:rsid w:val="00655A43"/>
    <w:rsid w:val="00655B29"/>
    <w:rsid w:val="0065606B"/>
    <w:rsid w:val="00656821"/>
    <w:rsid w:val="006568DE"/>
    <w:rsid w:val="00656988"/>
    <w:rsid w:val="00657682"/>
    <w:rsid w:val="00657B9E"/>
    <w:rsid w:val="00657C6E"/>
    <w:rsid w:val="00657D83"/>
    <w:rsid w:val="00660B5C"/>
    <w:rsid w:val="006616E4"/>
    <w:rsid w:val="0066180A"/>
    <w:rsid w:val="006619AD"/>
    <w:rsid w:val="00662F01"/>
    <w:rsid w:val="00663B2C"/>
    <w:rsid w:val="0066455F"/>
    <w:rsid w:val="00664A09"/>
    <w:rsid w:val="00664CB7"/>
    <w:rsid w:val="00664FA5"/>
    <w:rsid w:val="00665857"/>
    <w:rsid w:val="006664B1"/>
    <w:rsid w:val="00666CDA"/>
    <w:rsid w:val="00666E88"/>
    <w:rsid w:val="006670C3"/>
    <w:rsid w:val="00667635"/>
    <w:rsid w:val="006678B0"/>
    <w:rsid w:val="00667C54"/>
    <w:rsid w:val="006701FE"/>
    <w:rsid w:val="0067066E"/>
    <w:rsid w:val="006706FE"/>
    <w:rsid w:val="0067137A"/>
    <w:rsid w:val="00671927"/>
    <w:rsid w:val="00673201"/>
    <w:rsid w:val="00673660"/>
    <w:rsid w:val="00673D9D"/>
    <w:rsid w:val="00673E41"/>
    <w:rsid w:val="0067413E"/>
    <w:rsid w:val="006741BB"/>
    <w:rsid w:val="00674376"/>
    <w:rsid w:val="0067438C"/>
    <w:rsid w:val="00674447"/>
    <w:rsid w:val="006745AA"/>
    <w:rsid w:val="00674634"/>
    <w:rsid w:val="0067515C"/>
    <w:rsid w:val="00675410"/>
    <w:rsid w:val="006760A9"/>
    <w:rsid w:val="0067660B"/>
    <w:rsid w:val="00676BF6"/>
    <w:rsid w:val="00676FA7"/>
    <w:rsid w:val="00677316"/>
    <w:rsid w:val="006800E6"/>
    <w:rsid w:val="006804A1"/>
    <w:rsid w:val="00681EE4"/>
    <w:rsid w:val="00682230"/>
    <w:rsid w:val="00683EF9"/>
    <w:rsid w:val="00684196"/>
    <w:rsid w:val="00684C64"/>
    <w:rsid w:val="0068596B"/>
    <w:rsid w:val="00686DD3"/>
    <w:rsid w:val="00686EE8"/>
    <w:rsid w:val="00687373"/>
    <w:rsid w:val="00690A1F"/>
    <w:rsid w:val="00690D20"/>
    <w:rsid w:val="00690E5A"/>
    <w:rsid w:val="00691043"/>
    <w:rsid w:val="00691A7C"/>
    <w:rsid w:val="00691A81"/>
    <w:rsid w:val="00692262"/>
    <w:rsid w:val="00692CC9"/>
    <w:rsid w:val="00693016"/>
    <w:rsid w:val="0069334E"/>
    <w:rsid w:val="006937C9"/>
    <w:rsid w:val="00693C61"/>
    <w:rsid w:val="00693CF5"/>
    <w:rsid w:val="006946F4"/>
    <w:rsid w:val="006951D2"/>
    <w:rsid w:val="006952B2"/>
    <w:rsid w:val="006952C4"/>
    <w:rsid w:val="0069576F"/>
    <w:rsid w:val="00695CD7"/>
    <w:rsid w:val="00695F55"/>
    <w:rsid w:val="00695F8F"/>
    <w:rsid w:val="006960F3"/>
    <w:rsid w:val="00696FA0"/>
    <w:rsid w:val="006972B9"/>
    <w:rsid w:val="006972F4"/>
    <w:rsid w:val="006975F3"/>
    <w:rsid w:val="006979D9"/>
    <w:rsid w:val="00697CD3"/>
    <w:rsid w:val="006A05E7"/>
    <w:rsid w:val="006A0617"/>
    <w:rsid w:val="006A0648"/>
    <w:rsid w:val="006A068A"/>
    <w:rsid w:val="006A08A6"/>
    <w:rsid w:val="006A136A"/>
    <w:rsid w:val="006A155E"/>
    <w:rsid w:val="006A158B"/>
    <w:rsid w:val="006A163E"/>
    <w:rsid w:val="006A1FC8"/>
    <w:rsid w:val="006A21D2"/>
    <w:rsid w:val="006A2237"/>
    <w:rsid w:val="006A31F3"/>
    <w:rsid w:val="006A3451"/>
    <w:rsid w:val="006A3549"/>
    <w:rsid w:val="006A4090"/>
    <w:rsid w:val="006A41BE"/>
    <w:rsid w:val="006A4585"/>
    <w:rsid w:val="006A461B"/>
    <w:rsid w:val="006A4E8E"/>
    <w:rsid w:val="006A50EA"/>
    <w:rsid w:val="006A6899"/>
    <w:rsid w:val="006A68A8"/>
    <w:rsid w:val="006A719C"/>
    <w:rsid w:val="006A784E"/>
    <w:rsid w:val="006A7B2F"/>
    <w:rsid w:val="006A7BEA"/>
    <w:rsid w:val="006A7D16"/>
    <w:rsid w:val="006A7D18"/>
    <w:rsid w:val="006B00B7"/>
    <w:rsid w:val="006B01C6"/>
    <w:rsid w:val="006B0428"/>
    <w:rsid w:val="006B0A4C"/>
    <w:rsid w:val="006B0E13"/>
    <w:rsid w:val="006B1F3A"/>
    <w:rsid w:val="006B206A"/>
    <w:rsid w:val="006B212E"/>
    <w:rsid w:val="006B2A44"/>
    <w:rsid w:val="006B31DB"/>
    <w:rsid w:val="006B31F7"/>
    <w:rsid w:val="006B3D60"/>
    <w:rsid w:val="006B3E78"/>
    <w:rsid w:val="006B52B3"/>
    <w:rsid w:val="006B5B97"/>
    <w:rsid w:val="006B5F60"/>
    <w:rsid w:val="006B6065"/>
    <w:rsid w:val="006B657D"/>
    <w:rsid w:val="006B6730"/>
    <w:rsid w:val="006B7385"/>
    <w:rsid w:val="006B7609"/>
    <w:rsid w:val="006C07DC"/>
    <w:rsid w:val="006C16F8"/>
    <w:rsid w:val="006C1BB3"/>
    <w:rsid w:val="006C1C82"/>
    <w:rsid w:val="006C31B5"/>
    <w:rsid w:val="006C35CE"/>
    <w:rsid w:val="006C379E"/>
    <w:rsid w:val="006C3EC1"/>
    <w:rsid w:val="006C4165"/>
    <w:rsid w:val="006C42DF"/>
    <w:rsid w:val="006C46ED"/>
    <w:rsid w:val="006C4B4F"/>
    <w:rsid w:val="006C4B9E"/>
    <w:rsid w:val="006C4BFE"/>
    <w:rsid w:val="006C4C55"/>
    <w:rsid w:val="006C5193"/>
    <w:rsid w:val="006C5381"/>
    <w:rsid w:val="006C58A8"/>
    <w:rsid w:val="006C63B6"/>
    <w:rsid w:val="006C67B7"/>
    <w:rsid w:val="006C6B14"/>
    <w:rsid w:val="006C6DBC"/>
    <w:rsid w:val="006C7170"/>
    <w:rsid w:val="006C71C6"/>
    <w:rsid w:val="006C78FE"/>
    <w:rsid w:val="006C7F8A"/>
    <w:rsid w:val="006D0437"/>
    <w:rsid w:val="006D04E7"/>
    <w:rsid w:val="006D0816"/>
    <w:rsid w:val="006D09A6"/>
    <w:rsid w:val="006D295B"/>
    <w:rsid w:val="006D3A30"/>
    <w:rsid w:val="006D3D44"/>
    <w:rsid w:val="006D44BB"/>
    <w:rsid w:val="006D4642"/>
    <w:rsid w:val="006D47A8"/>
    <w:rsid w:val="006D49D5"/>
    <w:rsid w:val="006D5E87"/>
    <w:rsid w:val="006D6EEC"/>
    <w:rsid w:val="006D70C2"/>
    <w:rsid w:val="006D74A8"/>
    <w:rsid w:val="006D7EE7"/>
    <w:rsid w:val="006E0217"/>
    <w:rsid w:val="006E0742"/>
    <w:rsid w:val="006E07E1"/>
    <w:rsid w:val="006E1B11"/>
    <w:rsid w:val="006E21A9"/>
    <w:rsid w:val="006E256C"/>
    <w:rsid w:val="006E27A2"/>
    <w:rsid w:val="006E2BA4"/>
    <w:rsid w:val="006E2C07"/>
    <w:rsid w:val="006E2CAD"/>
    <w:rsid w:val="006E30F3"/>
    <w:rsid w:val="006E42DA"/>
    <w:rsid w:val="006E4335"/>
    <w:rsid w:val="006E4575"/>
    <w:rsid w:val="006E4687"/>
    <w:rsid w:val="006E4BE2"/>
    <w:rsid w:val="006E6DF8"/>
    <w:rsid w:val="006E70B4"/>
    <w:rsid w:val="006E73FE"/>
    <w:rsid w:val="006E7766"/>
    <w:rsid w:val="006E7780"/>
    <w:rsid w:val="006E78FC"/>
    <w:rsid w:val="006F03F6"/>
    <w:rsid w:val="006F0BF6"/>
    <w:rsid w:val="006F273A"/>
    <w:rsid w:val="006F3D82"/>
    <w:rsid w:val="006F4CB3"/>
    <w:rsid w:val="006F50ED"/>
    <w:rsid w:val="006F5CEC"/>
    <w:rsid w:val="006F5EE1"/>
    <w:rsid w:val="006F6035"/>
    <w:rsid w:val="006F634D"/>
    <w:rsid w:val="006F6B08"/>
    <w:rsid w:val="006F73F1"/>
    <w:rsid w:val="006F7432"/>
    <w:rsid w:val="006F7B6D"/>
    <w:rsid w:val="006F7BE5"/>
    <w:rsid w:val="006F7D6A"/>
    <w:rsid w:val="00700B31"/>
    <w:rsid w:val="00701172"/>
    <w:rsid w:val="00701E08"/>
    <w:rsid w:val="00702408"/>
    <w:rsid w:val="007027BD"/>
    <w:rsid w:val="00702926"/>
    <w:rsid w:val="00702A83"/>
    <w:rsid w:val="00703153"/>
    <w:rsid w:val="007041B3"/>
    <w:rsid w:val="00704660"/>
    <w:rsid w:val="007052EE"/>
    <w:rsid w:val="00706091"/>
    <w:rsid w:val="0070619C"/>
    <w:rsid w:val="00706F67"/>
    <w:rsid w:val="00710143"/>
    <w:rsid w:val="007104A1"/>
    <w:rsid w:val="007104EB"/>
    <w:rsid w:val="00710509"/>
    <w:rsid w:val="00710EF3"/>
    <w:rsid w:val="00710F51"/>
    <w:rsid w:val="007110B7"/>
    <w:rsid w:val="00711239"/>
    <w:rsid w:val="00711D30"/>
    <w:rsid w:val="00711D6B"/>
    <w:rsid w:val="00712332"/>
    <w:rsid w:val="00712681"/>
    <w:rsid w:val="0071282C"/>
    <w:rsid w:val="00712922"/>
    <w:rsid w:val="00712962"/>
    <w:rsid w:val="00712C2D"/>
    <w:rsid w:val="00714680"/>
    <w:rsid w:val="0071536F"/>
    <w:rsid w:val="00715483"/>
    <w:rsid w:val="00715613"/>
    <w:rsid w:val="00715637"/>
    <w:rsid w:val="00715846"/>
    <w:rsid w:val="00715A65"/>
    <w:rsid w:val="00715D1C"/>
    <w:rsid w:val="00715F93"/>
    <w:rsid w:val="007162EC"/>
    <w:rsid w:val="00716750"/>
    <w:rsid w:val="00716B7F"/>
    <w:rsid w:val="007175C8"/>
    <w:rsid w:val="00717BB9"/>
    <w:rsid w:val="00717D05"/>
    <w:rsid w:val="00717F64"/>
    <w:rsid w:val="007203A5"/>
    <w:rsid w:val="00720514"/>
    <w:rsid w:val="007208BE"/>
    <w:rsid w:val="0072100B"/>
    <w:rsid w:val="00721129"/>
    <w:rsid w:val="00721492"/>
    <w:rsid w:val="007219E1"/>
    <w:rsid w:val="007232BD"/>
    <w:rsid w:val="0072330F"/>
    <w:rsid w:val="007233B6"/>
    <w:rsid w:val="00723523"/>
    <w:rsid w:val="0072395D"/>
    <w:rsid w:val="00724091"/>
    <w:rsid w:val="0072425C"/>
    <w:rsid w:val="0072482F"/>
    <w:rsid w:val="00724F46"/>
    <w:rsid w:val="0072515E"/>
    <w:rsid w:val="00725904"/>
    <w:rsid w:val="00725CC6"/>
    <w:rsid w:val="00725EEA"/>
    <w:rsid w:val="0072627B"/>
    <w:rsid w:val="00726346"/>
    <w:rsid w:val="00726C5A"/>
    <w:rsid w:val="007274AA"/>
    <w:rsid w:val="0072760D"/>
    <w:rsid w:val="0072787A"/>
    <w:rsid w:val="00727E57"/>
    <w:rsid w:val="007302A0"/>
    <w:rsid w:val="00730824"/>
    <w:rsid w:val="00730A94"/>
    <w:rsid w:val="00730C7A"/>
    <w:rsid w:val="007327A2"/>
    <w:rsid w:val="0073321C"/>
    <w:rsid w:val="007336BC"/>
    <w:rsid w:val="00734D85"/>
    <w:rsid w:val="00735253"/>
    <w:rsid w:val="007354CF"/>
    <w:rsid w:val="00735532"/>
    <w:rsid w:val="00735750"/>
    <w:rsid w:val="00735E8E"/>
    <w:rsid w:val="00735FEF"/>
    <w:rsid w:val="007360C1"/>
    <w:rsid w:val="00736572"/>
    <w:rsid w:val="00736716"/>
    <w:rsid w:val="00737674"/>
    <w:rsid w:val="0073770C"/>
    <w:rsid w:val="00737981"/>
    <w:rsid w:val="00740F63"/>
    <w:rsid w:val="0074177A"/>
    <w:rsid w:val="007418BA"/>
    <w:rsid w:val="00742611"/>
    <w:rsid w:val="0074284E"/>
    <w:rsid w:val="00742B69"/>
    <w:rsid w:val="00742D53"/>
    <w:rsid w:val="00743207"/>
    <w:rsid w:val="00743296"/>
    <w:rsid w:val="00743420"/>
    <w:rsid w:val="00743D93"/>
    <w:rsid w:val="00744380"/>
    <w:rsid w:val="00744E83"/>
    <w:rsid w:val="00745B12"/>
    <w:rsid w:val="00745D10"/>
    <w:rsid w:val="00746411"/>
    <w:rsid w:val="007475CB"/>
    <w:rsid w:val="00747A07"/>
    <w:rsid w:val="00747D61"/>
    <w:rsid w:val="00750BF5"/>
    <w:rsid w:val="007512C6"/>
    <w:rsid w:val="007515DE"/>
    <w:rsid w:val="00751A77"/>
    <w:rsid w:val="00752C21"/>
    <w:rsid w:val="00752D69"/>
    <w:rsid w:val="00753703"/>
    <w:rsid w:val="00754232"/>
    <w:rsid w:val="007544B6"/>
    <w:rsid w:val="00754BE8"/>
    <w:rsid w:val="0075538F"/>
    <w:rsid w:val="00755440"/>
    <w:rsid w:val="0075547E"/>
    <w:rsid w:val="007558CF"/>
    <w:rsid w:val="00755D75"/>
    <w:rsid w:val="00755DEC"/>
    <w:rsid w:val="0075655A"/>
    <w:rsid w:val="007565A4"/>
    <w:rsid w:val="00756E9C"/>
    <w:rsid w:val="00757104"/>
    <w:rsid w:val="007573DB"/>
    <w:rsid w:val="00757475"/>
    <w:rsid w:val="00757AE3"/>
    <w:rsid w:val="007601D6"/>
    <w:rsid w:val="007603CB"/>
    <w:rsid w:val="00760DB3"/>
    <w:rsid w:val="007613EC"/>
    <w:rsid w:val="007615C1"/>
    <w:rsid w:val="00762758"/>
    <w:rsid w:val="00763167"/>
    <w:rsid w:val="00763555"/>
    <w:rsid w:val="00763B82"/>
    <w:rsid w:val="00765408"/>
    <w:rsid w:val="00765611"/>
    <w:rsid w:val="0076570E"/>
    <w:rsid w:val="00765A9C"/>
    <w:rsid w:val="00765DAA"/>
    <w:rsid w:val="00765DC9"/>
    <w:rsid w:val="00765EC1"/>
    <w:rsid w:val="0076667E"/>
    <w:rsid w:val="007666D3"/>
    <w:rsid w:val="00766F5B"/>
    <w:rsid w:val="00767659"/>
    <w:rsid w:val="00767CA8"/>
    <w:rsid w:val="00767F69"/>
    <w:rsid w:val="007700E2"/>
    <w:rsid w:val="00770C8F"/>
    <w:rsid w:val="00770D04"/>
    <w:rsid w:val="007714DE"/>
    <w:rsid w:val="00771AA4"/>
    <w:rsid w:val="00772078"/>
    <w:rsid w:val="00773DC4"/>
    <w:rsid w:val="007748A8"/>
    <w:rsid w:val="00774B98"/>
    <w:rsid w:val="00775250"/>
    <w:rsid w:val="00775394"/>
    <w:rsid w:val="00775B7A"/>
    <w:rsid w:val="0077604B"/>
    <w:rsid w:val="007764CC"/>
    <w:rsid w:val="0077686F"/>
    <w:rsid w:val="0077699D"/>
    <w:rsid w:val="00776EC2"/>
    <w:rsid w:val="00776F99"/>
    <w:rsid w:val="00777D35"/>
    <w:rsid w:val="00777E2F"/>
    <w:rsid w:val="00777F7F"/>
    <w:rsid w:val="0078010E"/>
    <w:rsid w:val="00780129"/>
    <w:rsid w:val="00780B5F"/>
    <w:rsid w:val="00780EB6"/>
    <w:rsid w:val="00781338"/>
    <w:rsid w:val="00781849"/>
    <w:rsid w:val="007819BA"/>
    <w:rsid w:val="00781BC7"/>
    <w:rsid w:val="00781F8A"/>
    <w:rsid w:val="00782267"/>
    <w:rsid w:val="007825A9"/>
    <w:rsid w:val="007825C2"/>
    <w:rsid w:val="007826DC"/>
    <w:rsid w:val="0078287C"/>
    <w:rsid w:val="007832A4"/>
    <w:rsid w:val="00783404"/>
    <w:rsid w:val="00783537"/>
    <w:rsid w:val="0078393D"/>
    <w:rsid w:val="00784026"/>
    <w:rsid w:val="00784374"/>
    <w:rsid w:val="00784439"/>
    <w:rsid w:val="007849BF"/>
    <w:rsid w:val="00784B6F"/>
    <w:rsid w:val="0078536D"/>
    <w:rsid w:val="0078588C"/>
    <w:rsid w:val="00785B35"/>
    <w:rsid w:val="00785BB4"/>
    <w:rsid w:val="00786DBC"/>
    <w:rsid w:val="007870D6"/>
    <w:rsid w:val="007875DE"/>
    <w:rsid w:val="00787A88"/>
    <w:rsid w:val="00790883"/>
    <w:rsid w:val="00790B25"/>
    <w:rsid w:val="00790D3A"/>
    <w:rsid w:val="00791139"/>
    <w:rsid w:val="007916D7"/>
    <w:rsid w:val="007925D4"/>
    <w:rsid w:val="00792DCE"/>
    <w:rsid w:val="0079401D"/>
    <w:rsid w:val="00794D66"/>
    <w:rsid w:val="00794FE9"/>
    <w:rsid w:val="007951B7"/>
    <w:rsid w:val="00795522"/>
    <w:rsid w:val="0079719C"/>
    <w:rsid w:val="007A04BB"/>
    <w:rsid w:val="007A071D"/>
    <w:rsid w:val="007A09C3"/>
    <w:rsid w:val="007A10C5"/>
    <w:rsid w:val="007A11B7"/>
    <w:rsid w:val="007A125A"/>
    <w:rsid w:val="007A1281"/>
    <w:rsid w:val="007A16F3"/>
    <w:rsid w:val="007A1871"/>
    <w:rsid w:val="007A2233"/>
    <w:rsid w:val="007A22EB"/>
    <w:rsid w:val="007A258C"/>
    <w:rsid w:val="007A26A1"/>
    <w:rsid w:val="007A30CF"/>
    <w:rsid w:val="007A36CA"/>
    <w:rsid w:val="007A36CE"/>
    <w:rsid w:val="007A3C31"/>
    <w:rsid w:val="007A3C9B"/>
    <w:rsid w:val="007A402F"/>
    <w:rsid w:val="007A4438"/>
    <w:rsid w:val="007A44FD"/>
    <w:rsid w:val="007A4539"/>
    <w:rsid w:val="007A51DF"/>
    <w:rsid w:val="007A562D"/>
    <w:rsid w:val="007A5912"/>
    <w:rsid w:val="007A64A9"/>
    <w:rsid w:val="007A6530"/>
    <w:rsid w:val="007A70EC"/>
    <w:rsid w:val="007A7169"/>
    <w:rsid w:val="007A75CB"/>
    <w:rsid w:val="007B0097"/>
    <w:rsid w:val="007B0398"/>
    <w:rsid w:val="007B09E6"/>
    <w:rsid w:val="007B12D3"/>
    <w:rsid w:val="007B1442"/>
    <w:rsid w:val="007B14B7"/>
    <w:rsid w:val="007B1537"/>
    <w:rsid w:val="007B1765"/>
    <w:rsid w:val="007B1C1B"/>
    <w:rsid w:val="007B1CF7"/>
    <w:rsid w:val="007B1E69"/>
    <w:rsid w:val="007B22DE"/>
    <w:rsid w:val="007B2405"/>
    <w:rsid w:val="007B2830"/>
    <w:rsid w:val="007B37F2"/>
    <w:rsid w:val="007B3E5D"/>
    <w:rsid w:val="007B3ECA"/>
    <w:rsid w:val="007B4CDE"/>
    <w:rsid w:val="007B5058"/>
    <w:rsid w:val="007B5290"/>
    <w:rsid w:val="007B5430"/>
    <w:rsid w:val="007B6AAA"/>
    <w:rsid w:val="007B6B45"/>
    <w:rsid w:val="007B6CD8"/>
    <w:rsid w:val="007B7042"/>
    <w:rsid w:val="007B7788"/>
    <w:rsid w:val="007B7849"/>
    <w:rsid w:val="007B796B"/>
    <w:rsid w:val="007B7B0E"/>
    <w:rsid w:val="007B7BDA"/>
    <w:rsid w:val="007B7FA9"/>
    <w:rsid w:val="007B7FEF"/>
    <w:rsid w:val="007C092D"/>
    <w:rsid w:val="007C0976"/>
    <w:rsid w:val="007C1771"/>
    <w:rsid w:val="007C1CDF"/>
    <w:rsid w:val="007C1ED8"/>
    <w:rsid w:val="007C3956"/>
    <w:rsid w:val="007C42F2"/>
    <w:rsid w:val="007C4902"/>
    <w:rsid w:val="007C4A29"/>
    <w:rsid w:val="007C4A2D"/>
    <w:rsid w:val="007C4AEB"/>
    <w:rsid w:val="007C5E30"/>
    <w:rsid w:val="007C64C2"/>
    <w:rsid w:val="007C7484"/>
    <w:rsid w:val="007C754D"/>
    <w:rsid w:val="007C7CD0"/>
    <w:rsid w:val="007C7DB1"/>
    <w:rsid w:val="007D0013"/>
    <w:rsid w:val="007D1836"/>
    <w:rsid w:val="007D1C01"/>
    <w:rsid w:val="007D2731"/>
    <w:rsid w:val="007D2EC7"/>
    <w:rsid w:val="007D3157"/>
    <w:rsid w:val="007D3574"/>
    <w:rsid w:val="007D3C8F"/>
    <w:rsid w:val="007D444C"/>
    <w:rsid w:val="007D45D5"/>
    <w:rsid w:val="007D4611"/>
    <w:rsid w:val="007D493D"/>
    <w:rsid w:val="007D4C00"/>
    <w:rsid w:val="007D524C"/>
    <w:rsid w:val="007D5A42"/>
    <w:rsid w:val="007D5C74"/>
    <w:rsid w:val="007D6462"/>
    <w:rsid w:val="007D690A"/>
    <w:rsid w:val="007D6ABC"/>
    <w:rsid w:val="007D6EDA"/>
    <w:rsid w:val="007D7079"/>
    <w:rsid w:val="007D7472"/>
    <w:rsid w:val="007D7D20"/>
    <w:rsid w:val="007D7FA1"/>
    <w:rsid w:val="007E082B"/>
    <w:rsid w:val="007E0C62"/>
    <w:rsid w:val="007E1759"/>
    <w:rsid w:val="007E212A"/>
    <w:rsid w:val="007E26B7"/>
    <w:rsid w:val="007E29D6"/>
    <w:rsid w:val="007E2ABC"/>
    <w:rsid w:val="007E4167"/>
    <w:rsid w:val="007E4256"/>
    <w:rsid w:val="007E42AA"/>
    <w:rsid w:val="007E47EF"/>
    <w:rsid w:val="007E4A8C"/>
    <w:rsid w:val="007E4CAB"/>
    <w:rsid w:val="007E510D"/>
    <w:rsid w:val="007E5EEE"/>
    <w:rsid w:val="007E6437"/>
    <w:rsid w:val="007E69B1"/>
    <w:rsid w:val="007E6A2A"/>
    <w:rsid w:val="007E6A49"/>
    <w:rsid w:val="007E6B69"/>
    <w:rsid w:val="007E6ECA"/>
    <w:rsid w:val="007E780F"/>
    <w:rsid w:val="007E7C99"/>
    <w:rsid w:val="007F093B"/>
    <w:rsid w:val="007F0A18"/>
    <w:rsid w:val="007F0CEB"/>
    <w:rsid w:val="007F0E2B"/>
    <w:rsid w:val="007F0F89"/>
    <w:rsid w:val="007F14B6"/>
    <w:rsid w:val="007F14F7"/>
    <w:rsid w:val="007F1B36"/>
    <w:rsid w:val="007F1B6F"/>
    <w:rsid w:val="007F1FA8"/>
    <w:rsid w:val="007F223B"/>
    <w:rsid w:val="007F2325"/>
    <w:rsid w:val="007F26F3"/>
    <w:rsid w:val="007F2D48"/>
    <w:rsid w:val="007F32A9"/>
    <w:rsid w:val="007F390A"/>
    <w:rsid w:val="007F3E4E"/>
    <w:rsid w:val="007F4346"/>
    <w:rsid w:val="007F460F"/>
    <w:rsid w:val="007F4F9C"/>
    <w:rsid w:val="007F5284"/>
    <w:rsid w:val="007F52C3"/>
    <w:rsid w:val="007F5807"/>
    <w:rsid w:val="007F6342"/>
    <w:rsid w:val="007F63B8"/>
    <w:rsid w:val="007F63C8"/>
    <w:rsid w:val="007F67E1"/>
    <w:rsid w:val="007F68BF"/>
    <w:rsid w:val="007F6A89"/>
    <w:rsid w:val="007F6C2C"/>
    <w:rsid w:val="007F7D97"/>
    <w:rsid w:val="008005C4"/>
    <w:rsid w:val="00800BA3"/>
    <w:rsid w:val="008017FE"/>
    <w:rsid w:val="00801881"/>
    <w:rsid w:val="00801D43"/>
    <w:rsid w:val="0080200A"/>
    <w:rsid w:val="00802065"/>
    <w:rsid w:val="008020B2"/>
    <w:rsid w:val="0080288C"/>
    <w:rsid w:val="00802AD8"/>
    <w:rsid w:val="00802E89"/>
    <w:rsid w:val="00803153"/>
    <w:rsid w:val="008035DB"/>
    <w:rsid w:val="008036B5"/>
    <w:rsid w:val="00804B56"/>
    <w:rsid w:val="00804DCB"/>
    <w:rsid w:val="008050C0"/>
    <w:rsid w:val="008055D0"/>
    <w:rsid w:val="00805797"/>
    <w:rsid w:val="00805CED"/>
    <w:rsid w:val="008064C5"/>
    <w:rsid w:val="00806E54"/>
    <w:rsid w:val="008073BA"/>
    <w:rsid w:val="00807F7F"/>
    <w:rsid w:val="00810B2F"/>
    <w:rsid w:val="00810F2E"/>
    <w:rsid w:val="00811ADF"/>
    <w:rsid w:val="00811BF5"/>
    <w:rsid w:val="008123E1"/>
    <w:rsid w:val="00812C04"/>
    <w:rsid w:val="00812FE8"/>
    <w:rsid w:val="00813386"/>
    <w:rsid w:val="00813823"/>
    <w:rsid w:val="00813A47"/>
    <w:rsid w:val="00813C35"/>
    <w:rsid w:val="00813CF6"/>
    <w:rsid w:val="00813D50"/>
    <w:rsid w:val="00814690"/>
    <w:rsid w:val="0081475C"/>
    <w:rsid w:val="008155C1"/>
    <w:rsid w:val="008161E5"/>
    <w:rsid w:val="0081633D"/>
    <w:rsid w:val="008165C8"/>
    <w:rsid w:val="008169DF"/>
    <w:rsid w:val="008173A8"/>
    <w:rsid w:val="0081746D"/>
    <w:rsid w:val="0081763F"/>
    <w:rsid w:val="00817EFC"/>
    <w:rsid w:val="008207B2"/>
    <w:rsid w:val="0082088D"/>
    <w:rsid w:val="00820936"/>
    <w:rsid w:val="00820B44"/>
    <w:rsid w:val="00820E3F"/>
    <w:rsid w:val="008214DF"/>
    <w:rsid w:val="008217BD"/>
    <w:rsid w:val="00821D81"/>
    <w:rsid w:val="00821F5B"/>
    <w:rsid w:val="0082264C"/>
    <w:rsid w:val="00822AFB"/>
    <w:rsid w:val="00822E1C"/>
    <w:rsid w:val="00822E99"/>
    <w:rsid w:val="00823716"/>
    <w:rsid w:val="00823C55"/>
    <w:rsid w:val="00823D0D"/>
    <w:rsid w:val="008249DE"/>
    <w:rsid w:val="00824D27"/>
    <w:rsid w:val="0082512B"/>
    <w:rsid w:val="008259B0"/>
    <w:rsid w:val="00825D65"/>
    <w:rsid w:val="00826155"/>
    <w:rsid w:val="00826E4E"/>
    <w:rsid w:val="008304E8"/>
    <w:rsid w:val="008305CC"/>
    <w:rsid w:val="00830FAE"/>
    <w:rsid w:val="0083128B"/>
    <w:rsid w:val="00831908"/>
    <w:rsid w:val="00832479"/>
    <w:rsid w:val="008324E3"/>
    <w:rsid w:val="00832F8B"/>
    <w:rsid w:val="0083331A"/>
    <w:rsid w:val="00833AB4"/>
    <w:rsid w:val="00833F24"/>
    <w:rsid w:val="0083448F"/>
    <w:rsid w:val="00834CC1"/>
    <w:rsid w:val="008356BF"/>
    <w:rsid w:val="00835849"/>
    <w:rsid w:val="008365CD"/>
    <w:rsid w:val="00836CA6"/>
    <w:rsid w:val="00837062"/>
    <w:rsid w:val="0083765F"/>
    <w:rsid w:val="00837FDD"/>
    <w:rsid w:val="0084036A"/>
    <w:rsid w:val="008404F3"/>
    <w:rsid w:val="0084063C"/>
    <w:rsid w:val="008406B1"/>
    <w:rsid w:val="0084083C"/>
    <w:rsid w:val="008408F0"/>
    <w:rsid w:val="00840A14"/>
    <w:rsid w:val="00840B85"/>
    <w:rsid w:val="00840D25"/>
    <w:rsid w:val="0084126B"/>
    <w:rsid w:val="008414EE"/>
    <w:rsid w:val="0084152F"/>
    <w:rsid w:val="00841634"/>
    <w:rsid w:val="0084184E"/>
    <w:rsid w:val="00841F7F"/>
    <w:rsid w:val="0084234D"/>
    <w:rsid w:val="00842D9A"/>
    <w:rsid w:val="00842E29"/>
    <w:rsid w:val="00843059"/>
    <w:rsid w:val="00843764"/>
    <w:rsid w:val="00843965"/>
    <w:rsid w:val="00844140"/>
    <w:rsid w:val="008454BD"/>
    <w:rsid w:val="008456B0"/>
    <w:rsid w:val="00845795"/>
    <w:rsid w:val="00845A9A"/>
    <w:rsid w:val="00845B41"/>
    <w:rsid w:val="00845BA8"/>
    <w:rsid w:val="00845F00"/>
    <w:rsid w:val="00845F21"/>
    <w:rsid w:val="0084617D"/>
    <w:rsid w:val="008464AD"/>
    <w:rsid w:val="00846588"/>
    <w:rsid w:val="00846C67"/>
    <w:rsid w:val="008472B2"/>
    <w:rsid w:val="00847819"/>
    <w:rsid w:val="0085042F"/>
    <w:rsid w:val="008506C2"/>
    <w:rsid w:val="00851299"/>
    <w:rsid w:val="0085179B"/>
    <w:rsid w:val="008519CB"/>
    <w:rsid w:val="00851E49"/>
    <w:rsid w:val="008527C2"/>
    <w:rsid w:val="00852E9D"/>
    <w:rsid w:val="00853226"/>
    <w:rsid w:val="00853594"/>
    <w:rsid w:val="008536DC"/>
    <w:rsid w:val="00853AA2"/>
    <w:rsid w:val="008543EF"/>
    <w:rsid w:val="008548FE"/>
    <w:rsid w:val="00854EB7"/>
    <w:rsid w:val="00854ED6"/>
    <w:rsid w:val="00856240"/>
    <w:rsid w:val="008563F4"/>
    <w:rsid w:val="00860028"/>
    <w:rsid w:val="00860536"/>
    <w:rsid w:val="00860680"/>
    <w:rsid w:val="00860820"/>
    <w:rsid w:val="008612F0"/>
    <w:rsid w:val="00861446"/>
    <w:rsid w:val="008627E7"/>
    <w:rsid w:val="008631CE"/>
    <w:rsid w:val="00863AAC"/>
    <w:rsid w:val="00863DF7"/>
    <w:rsid w:val="00864249"/>
    <w:rsid w:val="008643A4"/>
    <w:rsid w:val="0086484B"/>
    <w:rsid w:val="00864D94"/>
    <w:rsid w:val="00865C63"/>
    <w:rsid w:val="00866CC9"/>
    <w:rsid w:val="00867724"/>
    <w:rsid w:val="00867728"/>
    <w:rsid w:val="00867EA4"/>
    <w:rsid w:val="00867F75"/>
    <w:rsid w:val="008705D9"/>
    <w:rsid w:val="00870994"/>
    <w:rsid w:val="00870BD5"/>
    <w:rsid w:val="00871012"/>
    <w:rsid w:val="00872447"/>
    <w:rsid w:val="00872624"/>
    <w:rsid w:val="00872AD3"/>
    <w:rsid w:val="00872BE4"/>
    <w:rsid w:val="00872C11"/>
    <w:rsid w:val="008741DB"/>
    <w:rsid w:val="0087442A"/>
    <w:rsid w:val="008746C6"/>
    <w:rsid w:val="00874986"/>
    <w:rsid w:val="00874C12"/>
    <w:rsid w:val="0087557D"/>
    <w:rsid w:val="008757F3"/>
    <w:rsid w:val="00875AD0"/>
    <w:rsid w:val="00876B4A"/>
    <w:rsid w:val="00876DFC"/>
    <w:rsid w:val="00877A5A"/>
    <w:rsid w:val="00877DC9"/>
    <w:rsid w:val="0088014C"/>
    <w:rsid w:val="008801C6"/>
    <w:rsid w:val="00880303"/>
    <w:rsid w:val="00880815"/>
    <w:rsid w:val="00880CAD"/>
    <w:rsid w:val="0088140C"/>
    <w:rsid w:val="008821A3"/>
    <w:rsid w:val="0088220E"/>
    <w:rsid w:val="00882D40"/>
    <w:rsid w:val="00882F2B"/>
    <w:rsid w:val="00883134"/>
    <w:rsid w:val="00883BF6"/>
    <w:rsid w:val="00884B9B"/>
    <w:rsid w:val="008857BE"/>
    <w:rsid w:val="00885814"/>
    <w:rsid w:val="0088595E"/>
    <w:rsid w:val="00885AB1"/>
    <w:rsid w:val="00885BB9"/>
    <w:rsid w:val="008860B9"/>
    <w:rsid w:val="00886422"/>
    <w:rsid w:val="00886B0A"/>
    <w:rsid w:val="008874F7"/>
    <w:rsid w:val="0088760E"/>
    <w:rsid w:val="008876EE"/>
    <w:rsid w:val="0088778C"/>
    <w:rsid w:val="00887C77"/>
    <w:rsid w:val="008905DD"/>
    <w:rsid w:val="00890602"/>
    <w:rsid w:val="00890E8E"/>
    <w:rsid w:val="0089167E"/>
    <w:rsid w:val="008916C2"/>
    <w:rsid w:val="00892846"/>
    <w:rsid w:val="00892C59"/>
    <w:rsid w:val="00893672"/>
    <w:rsid w:val="00893D60"/>
    <w:rsid w:val="00894274"/>
    <w:rsid w:val="00894652"/>
    <w:rsid w:val="008946CE"/>
    <w:rsid w:val="00894913"/>
    <w:rsid w:val="00894A3A"/>
    <w:rsid w:val="0089512B"/>
    <w:rsid w:val="00895469"/>
    <w:rsid w:val="008967E3"/>
    <w:rsid w:val="00896A56"/>
    <w:rsid w:val="008973D0"/>
    <w:rsid w:val="00897B05"/>
    <w:rsid w:val="00897C9D"/>
    <w:rsid w:val="00897F00"/>
    <w:rsid w:val="008A0C32"/>
    <w:rsid w:val="008A13A5"/>
    <w:rsid w:val="008A1732"/>
    <w:rsid w:val="008A1F20"/>
    <w:rsid w:val="008A209A"/>
    <w:rsid w:val="008A22B5"/>
    <w:rsid w:val="008A23A2"/>
    <w:rsid w:val="008A24EC"/>
    <w:rsid w:val="008A285F"/>
    <w:rsid w:val="008A2A00"/>
    <w:rsid w:val="008A2D43"/>
    <w:rsid w:val="008A3040"/>
    <w:rsid w:val="008A37E5"/>
    <w:rsid w:val="008A3B08"/>
    <w:rsid w:val="008A3F8D"/>
    <w:rsid w:val="008A42B3"/>
    <w:rsid w:val="008A44D5"/>
    <w:rsid w:val="008A57E2"/>
    <w:rsid w:val="008A58D4"/>
    <w:rsid w:val="008A6095"/>
    <w:rsid w:val="008A65AE"/>
    <w:rsid w:val="008A65C9"/>
    <w:rsid w:val="008A71E4"/>
    <w:rsid w:val="008A7BFA"/>
    <w:rsid w:val="008A7EF3"/>
    <w:rsid w:val="008A7FC2"/>
    <w:rsid w:val="008B0011"/>
    <w:rsid w:val="008B0311"/>
    <w:rsid w:val="008B1684"/>
    <w:rsid w:val="008B18EC"/>
    <w:rsid w:val="008B19AB"/>
    <w:rsid w:val="008B1DF2"/>
    <w:rsid w:val="008B1F65"/>
    <w:rsid w:val="008B206E"/>
    <w:rsid w:val="008B2174"/>
    <w:rsid w:val="008B2B9D"/>
    <w:rsid w:val="008B2CD2"/>
    <w:rsid w:val="008B2CF9"/>
    <w:rsid w:val="008B2DD1"/>
    <w:rsid w:val="008B33B6"/>
    <w:rsid w:val="008B3AC6"/>
    <w:rsid w:val="008B41A5"/>
    <w:rsid w:val="008B44AE"/>
    <w:rsid w:val="008B4A1F"/>
    <w:rsid w:val="008B54D9"/>
    <w:rsid w:val="008B5798"/>
    <w:rsid w:val="008B6B2C"/>
    <w:rsid w:val="008B6F2C"/>
    <w:rsid w:val="008B7110"/>
    <w:rsid w:val="008B71C0"/>
    <w:rsid w:val="008B7205"/>
    <w:rsid w:val="008B72D9"/>
    <w:rsid w:val="008B7C43"/>
    <w:rsid w:val="008C0287"/>
    <w:rsid w:val="008C0B27"/>
    <w:rsid w:val="008C0F1A"/>
    <w:rsid w:val="008C0FB2"/>
    <w:rsid w:val="008C11E5"/>
    <w:rsid w:val="008C12B1"/>
    <w:rsid w:val="008C215F"/>
    <w:rsid w:val="008C254F"/>
    <w:rsid w:val="008C2F52"/>
    <w:rsid w:val="008C331E"/>
    <w:rsid w:val="008C3513"/>
    <w:rsid w:val="008C42CD"/>
    <w:rsid w:val="008C49B9"/>
    <w:rsid w:val="008C4A6F"/>
    <w:rsid w:val="008C4B91"/>
    <w:rsid w:val="008C4D13"/>
    <w:rsid w:val="008C5BCD"/>
    <w:rsid w:val="008C5F15"/>
    <w:rsid w:val="008C60F6"/>
    <w:rsid w:val="008C634A"/>
    <w:rsid w:val="008C6CD2"/>
    <w:rsid w:val="008C6D34"/>
    <w:rsid w:val="008C6EEA"/>
    <w:rsid w:val="008C725B"/>
    <w:rsid w:val="008C7309"/>
    <w:rsid w:val="008C73DC"/>
    <w:rsid w:val="008C755A"/>
    <w:rsid w:val="008C7639"/>
    <w:rsid w:val="008D0E88"/>
    <w:rsid w:val="008D1B28"/>
    <w:rsid w:val="008D28AF"/>
    <w:rsid w:val="008D28FF"/>
    <w:rsid w:val="008D311A"/>
    <w:rsid w:val="008D3576"/>
    <w:rsid w:val="008D359A"/>
    <w:rsid w:val="008D37D9"/>
    <w:rsid w:val="008D3893"/>
    <w:rsid w:val="008D38B4"/>
    <w:rsid w:val="008D38D7"/>
    <w:rsid w:val="008D3E0D"/>
    <w:rsid w:val="008D44EC"/>
    <w:rsid w:val="008D4617"/>
    <w:rsid w:val="008D51BC"/>
    <w:rsid w:val="008D55F0"/>
    <w:rsid w:val="008D5BEF"/>
    <w:rsid w:val="008D603D"/>
    <w:rsid w:val="008D6095"/>
    <w:rsid w:val="008D67DE"/>
    <w:rsid w:val="008D68CC"/>
    <w:rsid w:val="008D6B11"/>
    <w:rsid w:val="008D713D"/>
    <w:rsid w:val="008E00E6"/>
    <w:rsid w:val="008E0259"/>
    <w:rsid w:val="008E0295"/>
    <w:rsid w:val="008E105A"/>
    <w:rsid w:val="008E1231"/>
    <w:rsid w:val="008E1907"/>
    <w:rsid w:val="008E2744"/>
    <w:rsid w:val="008E2816"/>
    <w:rsid w:val="008E377F"/>
    <w:rsid w:val="008E4672"/>
    <w:rsid w:val="008E549A"/>
    <w:rsid w:val="008E549D"/>
    <w:rsid w:val="008E5629"/>
    <w:rsid w:val="008E5A2C"/>
    <w:rsid w:val="008E5B42"/>
    <w:rsid w:val="008E5D72"/>
    <w:rsid w:val="008E6168"/>
    <w:rsid w:val="008E6300"/>
    <w:rsid w:val="008E68DD"/>
    <w:rsid w:val="008E6E56"/>
    <w:rsid w:val="008E7790"/>
    <w:rsid w:val="008E7CC4"/>
    <w:rsid w:val="008E7FF7"/>
    <w:rsid w:val="008F06EF"/>
    <w:rsid w:val="008F18E4"/>
    <w:rsid w:val="008F191A"/>
    <w:rsid w:val="008F197F"/>
    <w:rsid w:val="008F1F75"/>
    <w:rsid w:val="008F2760"/>
    <w:rsid w:val="008F2E42"/>
    <w:rsid w:val="008F2F57"/>
    <w:rsid w:val="008F35C3"/>
    <w:rsid w:val="008F3C81"/>
    <w:rsid w:val="008F4615"/>
    <w:rsid w:val="008F524C"/>
    <w:rsid w:val="008F5697"/>
    <w:rsid w:val="008F5CCC"/>
    <w:rsid w:val="008F6308"/>
    <w:rsid w:val="008F67EC"/>
    <w:rsid w:val="008F6F80"/>
    <w:rsid w:val="008F76CC"/>
    <w:rsid w:val="008F7715"/>
    <w:rsid w:val="008F7A3C"/>
    <w:rsid w:val="009000D2"/>
    <w:rsid w:val="00900D5B"/>
    <w:rsid w:val="00901195"/>
    <w:rsid w:val="00901346"/>
    <w:rsid w:val="0090138B"/>
    <w:rsid w:val="009015FA"/>
    <w:rsid w:val="00902820"/>
    <w:rsid w:val="00902BB4"/>
    <w:rsid w:val="00902DC0"/>
    <w:rsid w:val="0090313A"/>
    <w:rsid w:val="0090324A"/>
    <w:rsid w:val="0090374D"/>
    <w:rsid w:val="009037CA"/>
    <w:rsid w:val="009037F5"/>
    <w:rsid w:val="009041C4"/>
    <w:rsid w:val="009049A5"/>
    <w:rsid w:val="00904F3D"/>
    <w:rsid w:val="0090543D"/>
    <w:rsid w:val="009057AE"/>
    <w:rsid w:val="00906189"/>
    <w:rsid w:val="009062E7"/>
    <w:rsid w:val="00906399"/>
    <w:rsid w:val="009066FB"/>
    <w:rsid w:val="00906D7F"/>
    <w:rsid w:val="009072EB"/>
    <w:rsid w:val="00907E34"/>
    <w:rsid w:val="0091184E"/>
    <w:rsid w:val="00911902"/>
    <w:rsid w:val="00911DA2"/>
    <w:rsid w:val="00912041"/>
    <w:rsid w:val="0091243A"/>
    <w:rsid w:val="00912A76"/>
    <w:rsid w:val="00913370"/>
    <w:rsid w:val="00914761"/>
    <w:rsid w:val="009147DE"/>
    <w:rsid w:val="00914A53"/>
    <w:rsid w:val="00914BF5"/>
    <w:rsid w:val="00914DAD"/>
    <w:rsid w:val="00914F7B"/>
    <w:rsid w:val="00915572"/>
    <w:rsid w:val="009157CA"/>
    <w:rsid w:val="00915AB3"/>
    <w:rsid w:val="00916000"/>
    <w:rsid w:val="00916127"/>
    <w:rsid w:val="0091663A"/>
    <w:rsid w:val="0091688B"/>
    <w:rsid w:val="009177C7"/>
    <w:rsid w:val="009179B3"/>
    <w:rsid w:val="00920252"/>
    <w:rsid w:val="00920B37"/>
    <w:rsid w:val="009212E3"/>
    <w:rsid w:val="009214C4"/>
    <w:rsid w:val="0092151B"/>
    <w:rsid w:val="00921761"/>
    <w:rsid w:val="00921AC0"/>
    <w:rsid w:val="009220A7"/>
    <w:rsid w:val="00922731"/>
    <w:rsid w:val="009229C0"/>
    <w:rsid w:val="0092334E"/>
    <w:rsid w:val="00923356"/>
    <w:rsid w:val="009236BE"/>
    <w:rsid w:val="0092379C"/>
    <w:rsid w:val="009237E6"/>
    <w:rsid w:val="00924F8D"/>
    <w:rsid w:val="009259C9"/>
    <w:rsid w:val="00926973"/>
    <w:rsid w:val="00926A67"/>
    <w:rsid w:val="00927141"/>
    <w:rsid w:val="00927284"/>
    <w:rsid w:val="009274F0"/>
    <w:rsid w:val="00927CEB"/>
    <w:rsid w:val="00927E1C"/>
    <w:rsid w:val="00930009"/>
    <w:rsid w:val="0093092D"/>
    <w:rsid w:val="00930DD7"/>
    <w:rsid w:val="00930FA8"/>
    <w:rsid w:val="00931066"/>
    <w:rsid w:val="00931370"/>
    <w:rsid w:val="00931830"/>
    <w:rsid w:val="00931841"/>
    <w:rsid w:val="0093204D"/>
    <w:rsid w:val="00932F9C"/>
    <w:rsid w:val="00933346"/>
    <w:rsid w:val="00933C2E"/>
    <w:rsid w:val="00933CDF"/>
    <w:rsid w:val="00934161"/>
    <w:rsid w:val="009348A7"/>
    <w:rsid w:val="00934ABC"/>
    <w:rsid w:val="00934DB7"/>
    <w:rsid w:val="00934EFE"/>
    <w:rsid w:val="009352D3"/>
    <w:rsid w:val="009361F6"/>
    <w:rsid w:val="0093638D"/>
    <w:rsid w:val="00937107"/>
    <w:rsid w:val="0093734A"/>
    <w:rsid w:val="00937743"/>
    <w:rsid w:val="00937958"/>
    <w:rsid w:val="00937A3F"/>
    <w:rsid w:val="00937FA2"/>
    <w:rsid w:val="00941082"/>
    <w:rsid w:val="00942078"/>
    <w:rsid w:val="0094218E"/>
    <w:rsid w:val="009425D2"/>
    <w:rsid w:val="00942A70"/>
    <w:rsid w:val="0094301E"/>
    <w:rsid w:val="00943FCE"/>
    <w:rsid w:val="0094457F"/>
    <w:rsid w:val="00944E03"/>
    <w:rsid w:val="009451F4"/>
    <w:rsid w:val="0094563E"/>
    <w:rsid w:val="00945D28"/>
    <w:rsid w:val="00945E4B"/>
    <w:rsid w:val="0094611C"/>
    <w:rsid w:val="00946288"/>
    <w:rsid w:val="009464B4"/>
    <w:rsid w:val="009468EE"/>
    <w:rsid w:val="0094736E"/>
    <w:rsid w:val="00947523"/>
    <w:rsid w:val="00947A6D"/>
    <w:rsid w:val="0095079E"/>
    <w:rsid w:val="009508B2"/>
    <w:rsid w:val="00950A3C"/>
    <w:rsid w:val="00950A45"/>
    <w:rsid w:val="00950F49"/>
    <w:rsid w:val="0095160C"/>
    <w:rsid w:val="009516E1"/>
    <w:rsid w:val="00951803"/>
    <w:rsid w:val="009519CB"/>
    <w:rsid w:val="00952140"/>
    <w:rsid w:val="0095240F"/>
    <w:rsid w:val="00952A2E"/>
    <w:rsid w:val="0095480A"/>
    <w:rsid w:val="00954E15"/>
    <w:rsid w:val="00954F83"/>
    <w:rsid w:val="009553B8"/>
    <w:rsid w:val="00955AF5"/>
    <w:rsid w:val="00955F54"/>
    <w:rsid w:val="009568F7"/>
    <w:rsid w:val="009569B1"/>
    <w:rsid w:val="009579BB"/>
    <w:rsid w:val="009605F3"/>
    <w:rsid w:val="00960AAB"/>
    <w:rsid w:val="00960B1E"/>
    <w:rsid w:val="00960CB1"/>
    <w:rsid w:val="00960E3C"/>
    <w:rsid w:val="00961102"/>
    <w:rsid w:val="00961112"/>
    <w:rsid w:val="0096140D"/>
    <w:rsid w:val="00961843"/>
    <w:rsid w:val="00961A5D"/>
    <w:rsid w:val="00961EBD"/>
    <w:rsid w:val="00961F94"/>
    <w:rsid w:val="00962060"/>
    <w:rsid w:val="00963F71"/>
    <w:rsid w:val="00964560"/>
    <w:rsid w:val="00964EFB"/>
    <w:rsid w:val="009652EE"/>
    <w:rsid w:val="009658B1"/>
    <w:rsid w:val="009659D7"/>
    <w:rsid w:val="00965F5E"/>
    <w:rsid w:val="00966601"/>
    <w:rsid w:val="00966640"/>
    <w:rsid w:val="00966792"/>
    <w:rsid w:val="009668D6"/>
    <w:rsid w:val="00966E1B"/>
    <w:rsid w:val="009674A8"/>
    <w:rsid w:val="009679A9"/>
    <w:rsid w:val="00970778"/>
    <w:rsid w:val="009707B4"/>
    <w:rsid w:val="00971C33"/>
    <w:rsid w:val="00971C79"/>
    <w:rsid w:val="00972058"/>
    <w:rsid w:val="0097240A"/>
    <w:rsid w:val="009741FD"/>
    <w:rsid w:val="009745C3"/>
    <w:rsid w:val="00974677"/>
    <w:rsid w:val="00974728"/>
    <w:rsid w:val="0097488C"/>
    <w:rsid w:val="00974DE5"/>
    <w:rsid w:val="00974F33"/>
    <w:rsid w:val="00975178"/>
    <w:rsid w:val="009755C8"/>
    <w:rsid w:val="00975FC5"/>
    <w:rsid w:val="00976B4C"/>
    <w:rsid w:val="00976BC5"/>
    <w:rsid w:val="00976EBB"/>
    <w:rsid w:val="0097710B"/>
    <w:rsid w:val="00977605"/>
    <w:rsid w:val="00977897"/>
    <w:rsid w:val="009779E0"/>
    <w:rsid w:val="00977FE2"/>
    <w:rsid w:val="00980D93"/>
    <w:rsid w:val="00981BA6"/>
    <w:rsid w:val="009822FF"/>
    <w:rsid w:val="009833EE"/>
    <w:rsid w:val="00984172"/>
    <w:rsid w:val="009844CD"/>
    <w:rsid w:val="00984508"/>
    <w:rsid w:val="00984744"/>
    <w:rsid w:val="00984CEC"/>
    <w:rsid w:val="00984F9E"/>
    <w:rsid w:val="00985B28"/>
    <w:rsid w:val="00985C9B"/>
    <w:rsid w:val="00985E88"/>
    <w:rsid w:val="0098610B"/>
    <w:rsid w:val="009862D5"/>
    <w:rsid w:val="00986554"/>
    <w:rsid w:val="00986F9A"/>
    <w:rsid w:val="00986FFD"/>
    <w:rsid w:val="009873DE"/>
    <w:rsid w:val="00987E9C"/>
    <w:rsid w:val="009900E1"/>
    <w:rsid w:val="009905E4"/>
    <w:rsid w:val="00990DAB"/>
    <w:rsid w:val="00991094"/>
    <w:rsid w:val="009911B9"/>
    <w:rsid w:val="009917AD"/>
    <w:rsid w:val="00991EC3"/>
    <w:rsid w:val="00991F11"/>
    <w:rsid w:val="00992315"/>
    <w:rsid w:val="00992386"/>
    <w:rsid w:val="00992AB3"/>
    <w:rsid w:val="00992C14"/>
    <w:rsid w:val="00992C3A"/>
    <w:rsid w:val="0099325D"/>
    <w:rsid w:val="0099335D"/>
    <w:rsid w:val="00993494"/>
    <w:rsid w:val="009936BD"/>
    <w:rsid w:val="00993E99"/>
    <w:rsid w:val="00993F87"/>
    <w:rsid w:val="00994761"/>
    <w:rsid w:val="0099676F"/>
    <w:rsid w:val="00996DA8"/>
    <w:rsid w:val="00996E56"/>
    <w:rsid w:val="00997689"/>
    <w:rsid w:val="009979DC"/>
    <w:rsid w:val="009A0189"/>
    <w:rsid w:val="009A0991"/>
    <w:rsid w:val="009A0E76"/>
    <w:rsid w:val="009A1075"/>
    <w:rsid w:val="009A1446"/>
    <w:rsid w:val="009A1C3F"/>
    <w:rsid w:val="009A21A6"/>
    <w:rsid w:val="009A2773"/>
    <w:rsid w:val="009A2DEB"/>
    <w:rsid w:val="009A2EDD"/>
    <w:rsid w:val="009A448F"/>
    <w:rsid w:val="009A55D8"/>
    <w:rsid w:val="009A5793"/>
    <w:rsid w:val="009A5911"/>
    <w:rsid w:val="009A5AD0"/>
    <w:rsid w:val="009A659C"/>
    <w:rsid w:val="009A6F95"/>
    <w:rsid w:val="009A7602"/>
    <w:rsid w:val="009B054C"/>
    <w:rsid w:val="009B13E8"/>
    <w:rsid w:val="009B1C10"/>
    <w:rsid w:val="009B22A8"/>
    <w:rsid w:val="009B26CB"/>
    <w:rsid w:val="009B2754"/>
    <w:rsid w:val="009B3211"/>
    <w:rsid w:val="009B3C4C"/>
    <w:rsid w:val="009B3DEC"/>
    <w:rsid w:val="009B483A"/>
    <w:rsid w:val="009B4E4B"/>
    <w:rsid w:val="009B5068"/>
    <w:rsid w:val="009B55FD"/>
    <w:rsid w:val="009B5A2B"/>
    <w:rsid w:val="009B638E"/>
    <w:rsid w:val="009B7035"/>
    <w:rsid w:val="009B77F2"/>
    <w:rsid w:val="009B7A49"/>
    <w:rsid w:val="009B7C23"/>
    <w:rsid w:val="009B7D75"/>
    <w:rsid w:val="009C011D"/>
    <w:rsid w:val="009C0C24"/>
    <w:rsid w:val="009C0C34"/>
    <w:rsid w:val="009C27DD"/>
    <w:rsid w:val="009C28D2"/>
    <w:rsid w:val="009C39B9"/>
    <w:rsid w:val="009C39F2"/>
    <w:rsid w:val="009C3AC9"/>
    <w:rsid w:val="009C3FA0"/>
    <w:rsid w:val="009C4636"/>
    <w:rsid w:val="009C4745"/>
    <w:rsid w:val="009C4B8C"/>
    <w:rsid w:val="009C4D7B"/>
    <w:rsid w:val="009C4EF1"/>
    <w:rsid w:val="009C556D"/>
    <w:rsid w:val="009C59E2"/>
    <w:rsid w:val="009C5B20"/>
    <w:rsid w:val="009C5CA5"/>
    <w:rsid w:val="009C603F"/>
    <w:rsid w:val="009C6669"/>
    <w:rsid w:val="009C6859"/>
    <w:rsid w:val="009C7635"/>
    <w:rsid w:val="009C7680"/>
    <w:rsid w:val="009C7758"/>
    <w:rsid w:val="009C7F54"/>
    <w:rsid w:val="009D0191"/>
    <w:rsid w:val="009D0606"/>
    <w:rsid w:val="009D07E3"/>
    <w:rsid w:val="009D27EC"/>
    <w:rsid w:val="009D29B9"/>
    <w:rsid w:val="009D2AB1"/>
    <w:rsid w:val="009D3119"/>
    <w:rsid w:val="009D31F2"/>
    <w:rsid w:val="009D3C39"/>
    <w:rsid w:val="009D3D0D"/>
    <w:rsid w:val="009D3ED7"/>
    <w:rsid w:val="009D420D"/>
    <w:rsid w:val="009D44E6"/>
    <w:rsid w:val="009D4AB3"/>
    <w:rsid w:val="009D4C79"/>
    <w:rsid w:val="009D5EA3"/>
    <w:rsid w:val="009D5FE9"/>
    <w:rsid w:val="009D646F"/>
    <w:rsid w:val="009D7698"/>
    <w:rsid w:val="009D7A21"/>
    <w:rsid w:val="009D7B29"/>
    <w:rsid w:val="009D7C9F"/>
    <w:rsid w:val="009E0037"/>
    <w:rsid w:val="009E2078"/>
    <w:rsid w:val="009E2157"/>
    <w:rsid w:val="009E2D21"/>
    <w:rsid w:val="009E2E2D"/>
    <w:rsid w:val="009E4082"/>
    <w:rsid w:val="009E45DB"/>
    <w:rsid w:val="009E4B5D"/>
    <w:rsid w:val="009E4FB4"/>
    <w:rsid w:val="009E5482"/>
    <w:rsid w:val="009E5692"/>
    <w:rsid w:val="009E5B18"/>
    <w:rsid w:val="009E5D67"/>
    <w:rsid w:val="009E5EA3"/>
    <w:rsid w:val="009E610E"/>
    <w:rsid w:val="009E6565"/>
    <w:rsid w:val="009E6996"/>
    <w:rsid w:val="009E6BA7"/>
    <w:rsid w:val="009E7F4B"/>
    <w:rsid w:val="009F1087"/>
    <w:rsid w:val="009F1093"/>
    <w:rsid w:val="009F1482"/>
    <w:rsid w:val="009F196F"/>
    <w:rsid w:val="009F2CE6"/>
    <w:rsid w:val="009F2E4C"/>
    <w:rsid w:val="009F365D"/>
    <w:rsid w:val="009F3828"/>
    <w:rsid w:val="009F3CF5"/>
    <w:rsid w:val="009F40B7"/>
    <w:rsid w:val="009F530A"/>
    <w:rsid w:val="009F5D7B"/>
    <w:rsid w:val="009F6FFA"/>
    <w:rsid w:val="009F7335"/>
    <w:rsid w:val="00A002A5"/>
    <w:rsid w:val="00A0048E"/>
    <w:rsid w:val="00A006ED"/>
    <w:rsid w:val="00A00828"/>
    <w:rsid w:val="00A008B7"/>
    <w:rsid w:val="00A0170B"/>
    <w:rsid w:val="00A01E96"/>
    <w:rsid w:val="00A030D0"/>
    <w:rsid w:val="00A037D7"/>
    <w:rsid w:val="00A03872"/>
    <w:rsid w:val="00A0394C"/>
    <w:rsid w:val="00A03A98"/>
    <w:rsid w:val="00A03B96"/>
    <w:rsid w:val="00A03E71"/>
    <w:rsid w:val="00A03F3E"/>
    <w:rsid w:val="00A04975"/>
    <w:rsid w:val="00A04F5A"/>
    <w:rsid w:val="00A06B3B"/>
    <w:rsid w:val="00A06CD4"/>
    <w:rsid w:val="00A070A0"/>
    <w:rsid w:val="00A076FF"/>
    <w:rsid w:val="00A07786"/>
    <w:rsid w:val="00A100D6"/>
    <w:rsid w:val="00A10193"/>
    <w:rsid w:val="00A10CD9"/>
    <w:rsid w:val="00A10F12"/>
    <w:rsid w:val="00A10F85"/>
    <w:rsid w:val="00A11239"/>
    <w:rsid w:val="00A11843"/>
    <w:rsid w:val="00A11B7F"/>
    <w:rsid w:val="00A12559"/>
    <w:rsid w:val="00A12CD2"/>
    <w:rsid w:val="00A134CF"/>
    <w:rsid w:val="00A138F7"/>
    <w:rsid w:val="00A1390F"/>
    <w:rsid w:val="00A13F32"/>
    <w:rsid w:val="00A1401D"/>
    <w:rsid w:val="00A14175"/>
    <w:rsid w:val="00A14F46"/>
    <w:rsid w:val="00A1529A"/>
    <w:rsid w:val="00A1642B"/>
    <w:rsid w:val="00A1663A"/>
    <w:rsid w:val="00A16C82"/>
    <w:rsid w:val="00A1706C"/>
    <w:rsid w:val="00A17E31"/>
    <w:rsid w:val="00A2008A"/>
    <w:rsid w:val="00A202CB"/>
    <w:rsid w:val="00A20E67"/>
    <w:rsid w:val="00A21919"/>
    <w:rsid w:val="00A21F35"/>
    <w:rsid w:val="00A225F1"/>
    <w:rsid w:val="00A22ADE"/>
    <w:rsid w:val="00A22B98"/>
    <w:rsid w:val="00A22D03"/>
    <w:rsid w:val="00A23605"/>
    <w:rsid w:val="00A238D8"/>
    <w:rsid w:val="00A2405A"/>
    <w:rsid w:val="00A2429E"/>
    <w:rsid w:val="00A24400"/>
    <w:rsid w:val="00A25261"/>
    <w:rsid w:val="00A255C4"/>
    <w:rsid w:val="00A25998"/>
    <w:rsid w:val="00A26D3D"/>
    <w:rsid w:val="00A26F96"/>
    <w:rsid w:val="00A3023E"/>
    <w:rsid w:val="00A30E9B"/>
    <w:rsid w:val="00A32677"/>
    <w:rsid w:val="00A33509"/>
    <w:rsid w:val="00A33C54"/>
    <w:rsid w:val="00A33D0C"/>
    <w:rsid w:val="00A33F74"/>
    <w:rsid w:val="00A33FF6"/>
    <w:rsid w:val="00A347C4"/>
    <w:rsid w:val="00A35220"/>
    <w:rsid w:val="00A359BD"/>
    <w:rsid w:val="00A35C72"/>
    <w:rsid w:val="00A35E2F"/>
    <w:rsid w:val="00A35E66"/>
    <w:rsid w:val="00A35ED6"/>
    <w:rsid w:val="00A3605A"/>
    <w:rsid w:val="00A36C93"/>
    <w:rsid w:val="00A36F7C"/>
    <w:rsid w:val="00A3702E"/>
    <w:rsid w:val="00A37859"/>
    <w:rsid w:val="00A4004C"/>
    <w:rsid w:val="00A405C3"/>
    <w:rsid w:val="00A4089C"/>
    <w:rsid w:val="00A408A2"/>
    <w:rsid w:val="00A4102E"/>
    <w:rsid w:val="00A410A9"/>
    <w:rsid w:val="00A414AC"/>
    <w:rsid w:val="00A415B6"/>
    <w:rsid w:val="00A415D9"/>
    <w:rsid w:val="00A42C2A"/>
    <w:rsid w:val="00A42F80"/>
    <w:rsid w:val="00A43079"/>
    <w:rsid w:val="00A43DAF"/>
    <w:rsid w:val="00A44404"/>
    <w:rsid w:val="00A4497F"/>
    <w:rsid w:val="00A460BD"/>
    <w:rsid w:val="00A4676D"/>
    <w:rsid w:val="00A47A34"/>
    <w:rsid w:val="00A47EAD"/>
    <w:rsid w:val="00A5060A"/>
    <w:rsid w:val="00A506B4"/>
    <w:rsid w:val="00A5096D"/>
    <w:rsid w:val="00A50E25"/>
    <w:rsid w:val="00A51867"/>
    <w:rsid w:val="00A523AF"/>
    <w:rsid w:val="00A53622"/>
    <w:rsid w:val="00A53BB7"/>
    <w:rsid w:val="00A53CD1"/>
    <w:rsid w:val="00A5491B"/>
    <w:rsid w:val="00A54A8E"/>
    <w:rsid w:val="00A54F1E"/>
    <w:rsid w:val="00A550E5"/>
    <w:rsid w:val="00A556DF"/>
    <w:rsid w:val="00A55DB6"/>
    <w:rsid w:val="00A55EFC"/>
    <w:rsid w:val="00A568BF"/>
    <w:rsid w:val="00A56D16"/>
    <w:rsid w:val="00A575B8"/>
    <w:rsid w:val="00A5762B"/>
    <w:rsid w:val="00A57909"/>
    <w:rsid w:val="00A579D8"/>
    <w:rsid w:val="00A57A20"/>
    <w:rsid w:val="00A57F57"/>
    <w:rsid w:val="00A60BF9"/>
    <w:rsid w:val="00A60D78"/>
    <w:rsid w:val="00A6113D"/>
    <w:rsid w:val="00A61B5D"/>
    <w:rsid w:val="00A61F3C"/>
    <w:rsid w:val="00A62943"/>
    <w:rsid w:val="00A62B01"/>
    <w:rsid w:val="00A6361F"/>
    <w:rsid w:val="00A63E23"/>
    <w:rsid w:val="00A647C8"/>
    <w:rsid w:val="00A64A49"/>
    <w:rsid w:val="00A64BC5"/>
    <w:rsid w:val="00A655AB"/>
    <w:rsid w:val="00A6563E"/>
    <w:rsid w:val="00A65672"/>
    <w:rsid w:val="00A65CCF"/>
    <w:rsid w:val="00A66118"/>
    <w:rsid w:val="00A66BA3"/>
    <w:rsid w:val="00A6729C"/>
    <w:rsid w:val="00A7036D"/>
    <w:rsid w:val="00A719E8"/>
    <w:rsid w:val="00A71B29"/>
    <w:rsid w:val="00A71E5E"/>
    <w:rsid w:val="00A72099"/>
    <w:rsid w:val="00A720F1"/>
    <w:rsid w:val="00A72624"/>
    <w:rsid w:val="00A72792"/>
    <w:rsid w:val="00A72B1E"/>
    <w:rsid w:val="00A72CB3"/>
    <w:rsid w:val="00A72F86"/>
    <w:rsid w:val="00A730B8"/>
    <w:rsid w:val="00A737A6"/>
    <w:rsid w:val="00A73E78"/>
    <w:rsid w:val="00A7492C"/>
    <w:rsid w:val="00A74A22"/>
    <w:rsid w:val="00A75748"/>
    <w:rsid w:val="00A760CD"/>
    <w:rsid w:val="00A7618A"/>
    <w:rsid w:val="00A76460"/>
    <w:rsid w:val="00A76F6B"/>
    <w:rsid w:val="00A77FE3"/>
    <w:rsid w:val="00A80134"/>
    <w:rsid w:val="00A80AEE"/>
    <w:rsid w:val="00A80B80"/>
    <w:rsid w:val="00A81153"/>
    <w:rsid w:val="00A8126C"/>
    <w:rsid w:val="00A8142C"/>
    <w:rsid w:val="00A814EF"/>
    <w:rsid w:val="00A8197E"/>
    <w:rsid w:val="00A81BFA"/>
    <w:rsid w:val="00A81E17"/>
    <w:rsid w:val="00A825B6"/>
    <w:rsid w:val="00A82CD2"/>
    <w:rsid w:val="00A82FD1"/>
    <w:rsid w:val="00A83D17"/>
    <w:rsid w:val="00A84D17"/>
    <w:rsid w:val="00A85107"/>
    <w:rsid w:val="00A851BE"/>
    <w:rsid w:val="00A854F4"/>
    <w:rsid w:val="00A85FBB"/>
    <w:rsid w:val="00A867A8"/>
    <w:rsid w:val="00A86912"/>
    <w:rsid w:val="00A86D2F"/>
    <w:rsid w:val="00A86E13"/>
    <w:rsid w:val="00A86E6C"/>
    <w:rsid w:val="00A876E4"/>
    <w:rsid w:val="00A8781B"/>
    <w:rsid w:val="00A87CA6"/>
    <w:rsid w:val="00A90DA8"/>
    <w:rsid w:val="00A90DB9"/>
    <w:rsid w:val="00A91301"/>
    <w:rsid w:val="00A9139F"/>
    <w:rsid w:val="00A91759"/>
    <w:rsid w:val="00A91F1C"/>
    <w:rsid w:val="00A9218A"/>
    <w:rsid w:val="00A92328"/>
    <w:rsid w:val="00A929F4"/>
    <w:rsid w:val="00A92A10"/>
    <w:rsid w:val="00A93AF2"/>
    <w:rsid w:val="00A93B8F"/>
    <w:rsid w:val="00A94677"/>
    <w:rsid w:val="00A9493E"/>
    <w:rsid w:val="00A95974"/>
    <w:rsid w:val="00A968A5"/>
    <w:rsid w:val="00A96A7B"/>
    <w:rsid w:val="00A96BD0"/>
    <w:rsid w:val="00A97347"/>
    <w:rsid w:val="00A97406"/>
    <w:rsid w:val="00A97A92"/>
    <w:rsid w:val="00A97DA8"/>
    <w:rsid w:val="00AA01E1"/>
    <w:rsid w:val="00AA0445"/>
    <w:rsid w:val="00AA0662"/>
    <w:rsid w:val="00AA120C"/>
    <w:rsid w:val="00AA167C"/>
    <w:rsid w:val="00AA186A"/>
    <w:rsid w:val="00AA1998"/>
    <w:rsid w:val="00AA1BA0"/>
    <w:rsid w:val="00AA298B"/>
    <w:rsid w:val="00AA2C9D"/>
    <w:rsid w:val="00AA2EF1"/>
    <w:rsid w:val="00AA32E0"/>
    <w:rsid w:val="00AA341A"/>
    <w:rsid w:val="00AA345C"/>
    <w:rsid w:val="00AA375A"/>
    <w:rsid w:val="00AA38AE"/>
    <w:rsid w:val="00AA398F"/>
    <w:rsid w:val="00AA3A52"/>
    <w:rsid w:val="00AA3C51"/>
    <w:rsid w:val="00AA5357"/>
    <w:rsid w:val="00AA5D3E"/>
    <w:rsid w:val="00AA64B2"/>
    <w:rsid w:val="00AA656C"/>
    <w:rsid w:val="00AA65DC"/>
    <w:rsid w:val="00AA6714"/>
    <w:rsid w:val="00AA6E52"/>
    <w:rsid w:val="00AA77FB"/>
    <w:rsid w:val="00AA7811"/>
    <w:rsid w:val="00AA7F41"/>
    <w:rsid w:val="00AB043B"/>
    <w:rsid w:val="00AB0CD2"/>
    <w:rsid w:val="00AB1701"/>
    <w:rsid w:val="00AB187A"/>
    <w:rsid w:val="00AB1BF0"/>
    <w:rsid w:val="00AB1D98"/>
    <w:rsid w:val="00AB1DFB"/>
    <w:rsid w:val="00AB2177"/>
    <w:rsid w:val="00AB2325"/>
    <w:rsid w:val="00AB26D5"/>
    <w:rsid w:val="00AB2A97"/>
    <w:rsid w:val="00AB2C4B"/>
    <w:rsid w:val="00AB3225"/>
    <w:rsid w:val="00AB33A5"/>
    <w:rsid w:val="00AB3E40"/>
    <w:rsid w:val="00AB3EB3"/>
    <w:rsid w:val="00AB4151"/>
    <w:rsid w:val="00AB4B09"/>
    <w:rsid w:val="00AB4CD8"/>
    <w:rsid w:val="00AB5A3E"/>
    <w:rsid w:val="00AB5C27"/>
    <w:rsid w:val="00AB5FF8"/>
    <w:rsid w:val="00AB632E"/>
    <w:rsid w:val="00AB6CA4"/>
    <w:rsid w:val="00AB7125"/>
    <w:rsid w:val="00AB7161"/>
    <w:rsid w:val="00AB759B"/>
    <w:rsid w:val="00AB77DF"/>
    <w:rsid w:val="00AB7968"/>
    <w:rsid w:val="00AB7A10"/>
    <w:rsid w:val="00AB7E97"/>
    <w:rsid w:val="00AB7EF9"/>
    <w:rsid w:val="00AC0416"/>
    <w:rsid w:val="00AC0B71"/>
    <w:rsid w:val="00AC1EE8"/>
    <w:rsid w:val="00AC2D75"/>
    <w:rsid w:val="00AC2F5F"/>
    <w:rsid w:val="00AC437F"/>
    <w:rsid w:val="00AC4605"/>
    <w:rsid w:val="00AC4924"/>
    <w:rsid w:val="00AC4ACD"/>
    <w:rsid w:val="00AC5644"/>
    <w:rsid w:val="00AC6B9B"/>
    <w:rsid w:val="00AC7DD8"/>
    <w:rsid w:val="00AD0858"/>
    <w:rsid w:val="00AD0B37"/>
    <w:rsid w:val="00AD111B"/>
    <w:rsid w:val="00AD17CC"/>
    <w:rsid w:val="00AD1B27"/>
    <w:rsid w:val="00AD1DC0"/>
    <w:rsid w:val="00AD1ED5"/>
    <w:rsid w:val="00AD1FBD"/>
    <w:rsid w:val="00AD246A"/>
    <w:rsid w:val="00AD26D6"/>
    <w:rsid w:val="00AD289F"/>
    <w:rsid w:val="00AD29BF"/>
    <w:rsid w:val="00AD2DEA"/>
    <w:rsid w:val="00AD45BC"/>
    <w:rsid w:val="00AD45BD"/>
    <w:rsid w:val="00AD4B61"/>
    <w:rsid w:val="00AD4EE8"/>
    <w:rsid w:val="00AD5170"/>
    <w:rsid w:val="00AD661E"/>
    <w:rsid w:val="00AD67F0"/>
    <w:rsid w:val="00AD6B3D"/>
    <w:rsid w:val="00AD720E"/>
    <w:rsid w:val="00AD7382"/>
    <w:rsid w:val="00AD7963"/>
    <w:rsid w:val="00AD7D4F"/>
    <w:rsid w:val="00AE05C2"/>
    <w:rsid w:val="00AE103B"/>
    <w:rsid w:val="00AE1457"/>
    <w:rsid w:val="00AE1874"/>
    <w:rsid w:val="00AE2826"/>
    <w:rsid w:val="00AE2B9F"/>
    <w:rsid w:val="00AE2FA9"/>
    <w:rsid w:val="00AE3606"/>
    <w:rsid w:val="00AE4540"/>
    <w:rsid w:val="00AE4EF1"/>
    <w:rsid w:val="00AE5A94"/>
    <w:rsid w:val="00AE5B20"/>
    <w:rsid w:val="00AE5B99"/>
    <w:rsid w:val="00AE6152"/>
    <w:rsid w:val="00AE64B3"/>
    <w:rsid w:val="00AE663D"/>
    <w:rsid w:val="00AE6711"/>
    <w:rsid w:val="00AE68B0"/>
    <w:rsid w:val="00AE6D2D"/>
    <w:rsid w:val="00AE6F78"/>
    <w:rsid w:val="00AE7A71"/>
    <w:rsid w:val="00AE7B04"/>
    <w:rsid w:val="00AF02ED"/>
    <w:rsid w:val="00AF0700"/>
    <w:rsid w:val="00AF088F"/>
    <w:rsid w:val="00AF0E62"/>
    <w:rsid w:val="00AF1068"/>
    <w:rsid w:val="00AF19EE"/>
    <w:rsid w:val="00AF29F5"/>
    <w:rsid w:val="00AF3272"/>
    <w:rsid w:val="00AF34EE"/>
    <w:rsid w:val="00AF3515"/>
    <w:rsid w:val="00AF428F"/>
    <w:rsid w:val="00AF4CA3"/>
    <w:rsid w:val="00AF5CD8"/>
    <w:rsid w:val="00AF5E83"/>
    <w:rsid w:val="00AF6BB5"/>
    <w:rsid w:val="00AF6FBF"/>
    <w:rsid w:val="00AF7027"/>
    <w:rsid w:val="00AF74A5"/>
    <w:rsid w:val="00AF7C4F"/>
    <w:rsid w:val="00B0031D"/>
    <w:rsid w:val="00B00D5E"/>
    <w:rsid w:val="00B00F90"/>
    <w:rsid w:val="00B01273"/>
    <w:rsid w:val="00B01DB3"/>
    <w:rsid w:val="00B02B0B"/>
    <w:rsid w:val="00B02E4D"/>
    <w:rsid w:val="00B03C54"/>
    <w:rsid w:val="00B0472A"/>
    <w:rsid w:val="00B04D24"/>
    <w:rsid w:val="00B04D75"/>
    <w:rsid w:val="00B05672"/>
    <w:rsid w:val="00B05679"/>
    <w:rsid w:val="00B056C9"/>
    <w:rsid w:val="00B05BC9"/>
    <w:rsid w:val="00B06937"/>
    <w:rsid w:val="00B06A09"/>
    <w:rsid w:val="00B06C36"/>
    <w:rsid w:val="00B06D4D"/>
    <w:rsid w:val="00B073C6"/>
    <w:rsid w:val="00B077C4"/>
    <w:rsid w:val="00B07881"/>
    <w:rsid w:val="00B0789D"/>
    <w:rsid w:val="00B07EB4"/>
    <w:rsid w:val="00B10004"/>
    <w:rsid w:val="00B1002F"/>
    <w:rsid w:val="00B10BB1"/>
    <w:rsid w:val="00B1206D"/>
    <w:rsid w:val="00B124EF"/>
    <w:rsid w:val="00B12AD1"/>
    <w:rsid w:val="00B1309D"/>
    <w:rsid w:val="00B13A63"/>
    <w:rsid w:val="00B13DFD"/>
    <w:rsid w:val="00B13E8D"/>
    <w:rsid w:val="00B140A7"/>
    <w:rsid w:val="00B140DF"/>
    <w:rsid w:val="00B1418A"/>
    <w:rsid w:val="00B141DE"/>
    <w:rsid w:val="00B1428D"/>
    <w:rsid w:val="00B14D56"/>
    <w:rsid w:val="00B14F11"/>
    <w:rsid w:val="00B15A9C"/>
    <w:rsid w:val="00B15BC1"/>
    <w:rsid w:val="00B15BCD"/>
    <w:rsid w:val="00B16A5E"/>
    <w:rsid w:val="00B1760B"/>
    <w:rsid w:val="00B1777B"/>
    <w:rsid w:val="00B178FD"/>
    <w:rsid w:val="00B2045D"/>
    <w:rsid w:val="00B20573"/>
    <w:rsid w:val="00B208A6"/>
    <w:rsid w:val="00B2091B"/>
    <w:rsid w:val="00B20BA5"/>
    <w:rsid w:val="00B21862"/>
    <w:rsid w:val="00B21EA2"/>
    <w:rsid w:val="00B2264A"/>
    <w:rsid w:val="00B22A32"/>
    <w:rsid w:val="00B22B23"/>
    <w:rsid w:val="00B22CFC"/>
    <w:rsid w:val="00B22E31"/>
    <w:rsid w:val="00B234C6"/>
    <w:rsid w:val="00B23842"/>
    <w:rsid w:val="00B23FD0"/>
    <w:rsid w:val="00B24A7C"/>
    <w:rsid w:val="00B24C21"/>
    <w:rsid w:val="00B24CFB"/>
    <w:rsid w:val="00B24DB4"/>
    <w:rsid w:val="00B253CB"/>
    <w:rsid w:val="00B25CE1"/>
    <w:rsid w:val="00B25ED4"/>
    <w:rsid w:val="00B26264"/>
    <w:rsid w:val="00B2796B"/>
    <w:rsid w:val="00B27B1D"/>
    <w:rsid w:val="00B27C1C"/>
    <w:rsid w:val="00B30792"/>
    <w:rsid w:val="00B30B43"/>
    <w:rsid w:val="00B31421"/>
    <w:rsid w:val="00B31DE5"/>
    <w:rsid w:val="00B32427"/>
    <w:rsid w:val="00B32E2B"/>
    <w:rsid w:val="00B33668"/>
    <w:rsid w:val="00B33BBB"/>
    <w:rsid w:val="00B33E1B"/>
    <w:rsid w:val="00B34088"/>
    <w:rsid w:val="00B34117"/>
    <w:rsid w:val="00B349F0"/>
    <w:rsid w:val="00B34B7C"/>
    <w:rsid w:val="00B3502B"/>
    <w:rsid w:val="00B355C6"/>
    <w:rsid w:val="00B359D7"/>
    <w:rsid w:val="00B36EB7"/>
    <w:rsid w:val="00B3748B"/>
    <w:rsid w:val="00B37A10"/>
    <w:rsid w:val="00B4011A"/>
    <w:rsid w:val="00B40288"/>
    <w:rsid w:val="00B4061A"/>
    <w:rsid w:val="00B40748"/>
    <w:rsid w:val="00B4097B"/>
    <w:rsid w:val="00B40A77"/>
    <w:rsid w:val="00B40CF4"/>
    <w:rsid w:val="00B40D8A"/>
    <w:rsid w:val="00B40DBF"/>
    <w:rsid w:val="00B412AB"/>
    <w:rsid w:val="00B41D2F"/>
    <w:rsid w:val="00B41D58"/>
    <w:rsid w:val="00B420A6"/>
    <w:rsid w:val="00B4227E"/>
    <w:rsid w:val="00B424BD"/>
    <w:rsid w:val="00B427D2"/>
    <w:rsid w:val="00B42C2B"/>
    <w:rsid w:val="00B435D3"/>
    <w:rsid w:val="00B438EE"/>
    <w:rsid w:val="00B43D84"/>
    <w:rsid w:val="00B444B2"/>
    <w:rsid w:val="00B447B5"/>
    <w:rsid w:val="00B45143"/>
    <w:rsid w:val="00B4516D"/>
    <w:rsid w:val="00B45C45"/>
    <w:rsid w:val="00B467C3"/>
    <w:rsid w:val="00B46EB2"/>
    <w:rsid w:val="00B471BA"/>
    <w:rsid w:val="00B47246"/>
    <w:rsid w:val="00B476B6"/>
    <w:rsid w:val="00B47722"/>
    <w:rsid w:val="00B47D39"/>
    <w:rsid w:val="00B500E5"/>
    <w:rsid w:val="00B50555"/>
    <w:rsid w:val="00B508B0"/>
    <w:rsid w:val="00B50E3D"/>
    <w:rsid w:val="00B50F68"/>
    <w:rsid w:val="00B5138F"/>
    <w:rsid w:val="00B516F8"/>
    <w:rsid w:val="00B519F2"/>
    <w:rsid w:val="00B51B2F"/>
    <w:rsid w:val="00B51C55"/>
    <w:rsid w:val="00B51F5F"/>
    <w:rsid w:val="00B52B95"/>
    <w:rsid w:val="00B530D5"/>
    <w:rsid w:val="00B535F5"/>
    <w:rsid w:val="00B5380B"/>
    <w:rsid w:val="00B5473A"/>
    <w:rsid w:val="00B551F7"/>
    <w:rsid w:val="00B558E8"/>
    <w:rsid w:val="00B561D2"/>
    <w:rsid w:val="00B56282"/>
    <w:rsid w:val="00B5635F"/>
    <w:rsid w:val="00B56974"/>
    <w:rsid w:val="00B56AF6"/>
    <w:rsid w:val="00B5706E"/>
    <w:rsid w:val="00B573AA"/>
    <w:rsid w:val="00B573C5"/>
    <w:rsid w:val="00B57683"/>
    <w:rsid w:val="00B57CD4"/>
    <w:rsid w:val="00B60470"/>
    <w:rsid w:val="00B60572"/>
    <w:rsid w:val="00B60BB5"/>
    <w:rsid w:val="00B6129C"/>
    <w:rsid w:val="00B61328"/>
    <w:rsid w:val="00B61498"/>
    <w:rsid w:val="00B6153D"/>
    <w:rsid w:val="00B615C0"/>
    <w:rsid w:val="00B61964"/>
    <w:rsid w:val="00B6197F"/>
    <w:rsid w:val="00B61FC8"/>
    <w:rsid w:val="00B6201D"/>
    <w:rsid w:val="00B6280F"/>
    <w:rsid w:val="00B628EA"/>
    <w:rsid w:val="00B63C0D"/>
    <w:rsid w:val="00B64E1E"/>
    <w:rsid w:val="00B65348"/>
    <w:rsid w:val="00B65370"/>
    <w:rsid w:val="00B65C40"/>
    <w:rsid w:val="00B65E70"/>
    <w:rsid w:val="00B660C9"/>
    <w:rsid w:val="00B6629E"/>
    <w:rsid w:val="00B668C4"/>
    <w:rsid w:val="00B67CF3"/>
    <w:rsid w:val="00B70832"/>
    <w:rsid w:val="00B708A4"/>
    <w:rsid w:val="00B70A18"/>
    <w:rsid w:val="00B70CAE"/>
    <w:rsid w:val="00B712C9"/>
    <w:rsid w:val="00B71CE9"/>
    <w:rsid w:val="00B71DC0"/>
    <w:rsid w:val="00B71EF1"/>
    <w:rsid w:val="00B72190"/>
    <w:rsid w:val="00B722E4"/>
    <w:rsid w:val="00B724DB"/>
    <w:rsid w:val="00B72E4E"/>
    <w:rsid w:val="00B72F5E"/>
    <w:rsid w:val="00B73541"/>
    <w:rsid w:val="00B735B9"/>
    <w:rsid w:val="00B73864"/>
    <w:rsid w:val="00B74116"/>
    <w:rsid w:val="00B7470E"/>
    <w:rsid w:val="00B75015"/>
    <w:rsid w:val="00B750B1"/>
    <w:rsid w:val="00B75604"/>
    <w:rsid w:val="00B7574E"/>
    <w:rsid w:val="00B75827"/>
    <w:rsid w:val="00B759A9"/>
    <w:rsid w:val="00B76FEE"/>
    <w:rsid w:val="00B77C2B"/>
    <w:rsid w:val="00B80221"/>
    <w:rsid w:val="00B802AC"/>
    <w:rsid w:val="00B80439"/>
    <w:rsid w:val="00B805A5"/>
    <w:rsid w:val="00B8073B"/>
    <w:rsid w:val="00B81450"/>
    <w:rsid w:val="00B81A44"/>
    <w:rsid w:val="00B81DD6"/>
    <w:rsid w:val="00B8229D"/>
    <w:rsid w:val="00B82380"/>
    <w:rsid w:val="00B83E52"/>
    <w:rsid w:val="00B83F10"/>
    <w:rsid w:val="00B83F2A"/>
    <w:rsid w:val="00B84301"/>
    <w:rsid w:val="00B8481C"/>
    <w:rsid w:val="00B84830"/>
    <w:rsid w:val="00B84E84"/>
    <w:rsid w:val="00B84F42"/>
    <w:rsid w:val="00B85391"/>
    <w:rsid w:val="00B85743"/>
    <w:rsid w:val="00B85DE9"/>
    <w:rsid w:val="00B85F52"/>
    <w:rsid w:val="00B86918"/>
    <w:rsid w:val="00B86BEE"/>
    <w:rsid w:val="00B8770D"/>
    <w:rsid w:val="00B90140"/>
    <w:rsid w:val="00B9069B"/>
    <w:rsid w:val="00B90D1B"/>
    <w:rsid w:val="00B90D2F"/>
    <w:rsid w:val="00B90ECB"/>
    <w:rsid w:val="00B90FA8"/>
    <w:rsid w:val="00B91B0A"/>
    <w:rsid w:val="00B91EE2"/>
    <w:rsid w:val="00B92168"/>
    <w:rsid w:val="00B927FA"/>
    <w:rsid w:val="00B92BE5"/>
    <w:rsid w:val="00B92C55"/>
    <w:rsid w:val="00B9307D"/>
    <w:rsid w:val="00B9351F"/>
    <w:rsid w:val="00B9368B"/>
    <w:rsid w:val="00B94612"/>
    <w:rsid w:val="00B948CE"/>
    <w:rsid w:val="00B9546C"/>
    <w:rsid w:val="00B95616"/>
    <w:rsid w:val="00B95B3E"/>
    <w:rsid w:val="00B95EA4"/>
    <w:rsid w:val="00B96C23"/>
    <w:rsid w:val="00B96EDC"/>
    <w:rsid w:val="00B97392"/>
    <w:rsid w:val="00B97C2E"/>
    <w:rsid w:val="00BA1096"/>
    <w:rsid w:val="00BA1457"/>
    <w:rsid w:val="00BA18B2"/>
    <w:rsid w:val="00BA1D61"/>
    <w:rsid w:val="00BA28A2"/>
    <w:rsid w:val="00BA35F2"/>
    <w:rsid w:val="00BA3BDF"/>
    <w:rsid w:val="00BA515B"/>
    <w:rsid w:val="00BA6665"/>
    <w:rsid w:val="00BA6B01"/>
    <w:rsid w:val="00BA6B0D"/>
    <w:rsid w:val="00BA6C81"/>
    <w:rsid w:val="00BA73E8"/>
    <w:rsid w:val="00BA7833"/>
    <w:rsid w:val="00BA7B51"/>
    <w:rsid w:val="00BB0017"/>
    <w:rsid w:val="00BB0E85"/>
    <w:rsid w:val="00BB189B"/>
    <w:rsid w:val="00BB1E8F"/>
    <w:rsid w:val="00BB2412"/>
    <w:rsid w:val="00BB26A9"/>
    <w:rsid w:val="00BB29BC"/>
    <w:rsid w:val="00BB4358"/>
    <w:rsid w:val="00BB5631"/>
    <w:rsid w:val="00BB5E1D"/>
    <w:rsid w:val="00BB692E"/>
    <w:rsid w:val="00BB6D3F"/>
    <w:rsid w:val="00BB703D"/>
    <w:rsid w:val="00BB70A6"/>
    <w:rsid w:val="00BB76D3"/>
    <w:rsid w:val="00BB76F3"/>
    <w:rsid w:val="00BB773C"/>
    <w:rsid w:val="00BB775B"/>
    <w:rsid w:val="00BC0714"/>
    <w:rsid w:val="00BC094C"/>
    <w:rsid w:val="00BC0FD3"/>
    <w:rsid w:val="00BC11CA"/>
    <w:rsid w:val="00BC144A"/>
    <w:rsid w:val="00BC2440"/>
    <w:rsid w:val="00BC2DD1"/>
    <w:rsid w:val="00BC2E6E"/>
    <w:rsid w:val="00BC2F2D"/>
    <w:rsid w:val="00BC319D"/>
    <w:rsid w:val="00BC39FF"/>
    <w:rsid w:val="00BC3ACB"/>
    <w:rsid w:val="00BC41F3"/>
    <w:rsid w:val="00BC449C"/>
    <w:rsid w:val="00BC486F"/>
    <w:rsid w:val="00BC4C5E"/>
    <w:rsid w:val="00BC58CC"/>
    <w:rsid w:val="00BC5997"/>
    <w:rsid w:val="00BC6790"/>
    <w:rsid w:val="00BC68F1"/>
    <w:rsid w:val="00BC691A"/>
    <w:rsid w:val="00BC7E8F"/>
    <w:rsid w:val="00BD0069"/>
    <w:rsid w:val="00BD0498"/>
    <w:rsid w:val="00BD0EDE"/>
    <w:rsid w:val="00BD11B8"/>
    <w:rsid w:val="00BD1469"/>
    <w:rsid w:val="00BD14A1"/>
    <w:rsid w:val="00BD16B1"/>
    <w:rsid w:val="00BD194D"/>
    <w:rsid w:val="00BD1A30"/>
    <w:rsid w:val="00BD1B5D"/>
    <w:rsid w:val="00BD2B5D"/>
    <w:rsid w:val="00BD2DAC"/>
    <w:rsid w:val="00BD30DA"/>
    <w:rsid w:val="00BD363A"/>
    <w:rsid w:val="00BD3AAC"/>
    <w:rsid w:val="00BD3DAD"/>
    <w:rsid w:val="00BD3E3F"/>
    <w:rsid w:val="00BD419A"/>
    <w:rsid w:val="00BD4CE8"/>
    <w:rsid w:val="00BD5737"/>
    <w:rsid w:val="00BD5978"/>
    <w:rsid w:val="00BD61FE"/>
    <w:rsid w:val="00BD72C8"/>
    <w:rsid w:val="00BD75BE"/>
    <w:rsid w:val="00BE0684"/>
    <w:rsid w:val="00BE100C"/>
    <w:rsid w:val="00BE1D7D"/>
    <w:rsid w:val="00BE1DB6"/>
    <w:rsid w:val="00BE2193"/>
    <w:rsid w:val="00BE2347"/>
    <w:rsid w:val="00BE237F"/>
    <w:rsid w:val="00BE2433"/>
    <w:rsid w:val="00BE2E2A"/>
    <w:rsid w:val="00BE3480"/>
    <w:rsid w:val="00BE3D82"/>
    <w:rsid w:val="00BE3F19"/>
    <w:rsid w:val="00BE4063"/>
    <w:rsid w:val="00BE4C6F"/>
    <w:rsid w:val="00BE5541"/>
    <w:rsid w:val="00BE56E2"/>
    <w:rsid w:val="00BE580D"/>
    <w:rsid w:val="00BE5842"/>
    <w:rsid w:val="00BE5B04"/>
    <w:rsid w:val="00BE6762"/>
    <w:rsid w:val="00BE6C1F"/>
    <w:rsid w:val="00BE740B"/>
    <w:rsid w:val="00BF0AEB"/>
    <w:rsid w:val="00BF0D11"/>
    <w:rsid w:val="00BF1A87"/>
    <w:rsid w:val="00BF1C0C"/>
    <w:rsid w:val="00BF23AD"/>
    <w:rsid w:val="00BF2740"/>
    <w:rsid w:val="00BF35DE"/>
    <w:rsid w:val="00BF4A9E"/>
    <w:rsid w:val="00BF4FD9"/>
    <w:rsid w:val="00BF5C30"/>
    <w:rsid w:val="00BF5F1B"/>
    <w:rsid w:val="00BF5F25"/>
    <w:rsid w:val="00BF6A34"/>
    <w:rsid w:val="00BF6B23"/>
    <w:rsid w:val="00BF7873"/>
    <w:rsid w:val="00BF7DCC"/>
    <w:rsid w:val="00C00312"/>
    <w:rsid w:val="00C00387"/>
    <w:rsid w:val="00C00524"/>
    <w:rsid w:val="00C0062A"/>
    <w:rsid w:val="00C01697"/>
    <w:rsid w:val="00C01ACC"/>
    <w:rsid w:val="00C01B7F"/>
    <w:rsid w:val="00C02B34"/>
    <w:rsid w:val="00C0390B"/>
    <w:rsid w:val="00C03FA0"/>
    <w:rsid w:val="00C04A95"/>
    <w:rsid w:val="00C0553D"/>
    <w:rsid w:val="00C0560C"/>
    <w:rsid w:val="00C058F6"/>
    <w:rsid w:val="00C05CD0"/>
    <w:rsid w:val="00C0626A"/>
    <w:rsid w:val="00C06926"/>
    <w:rsid w:val="00C06DD7"/>
    <w:rsid w:val="00C07169"/>
    <w:rsid w:val="00C10430"/>
    <w:rsid w:val="00C11322"/>
    <w:rsid w:val="00C113F1"/>
    <w:rsid w:val="00C11AB1"/>
    <w:rsid w:val="00C11D72"/>
    <w:rsid w:val="00C11E1B"/>
    <w:rsid w:val="00C11FA6"/>
    <w:rsid w:val="00C12196"/>
    <w:rsid w:val="00C12278"/>
    <w:rsid w:val="00C124FD"/>
    <w:rsid w:val="00C1260B"/>
    <w:rsid w:val="00C12691"/>
    <w:rsid w:val="00C12F76"/>
    <w:rsid w:val="00C13D52"/>
    <w:rsid w:val="00C14750"/>
    <w:rsid w:val="00C14881"/>
    <w:rsid w:val="00C14959"/>
    <w:rsid w:val="00C14976"/>
    <w:rsid w:val="00C149EB"/>
    <w:rsid w:val="00C152D4"/>
    <w:rsid w:val="00C153A4"/>
    <w:rsid w:val="00C15BBF"/>
    <w:rsid w:val="00C15DFB"/>
    <w:rsid w:val="00C15EB5"/>
    <w:rsid w:val="00C1625B"/>
    <w:rsid w:val="00C17735"/>
    <w:rsid w:val="00C20204"/>
    <w:rsid w:val="00C207FE"/>
    <w:rsid w:val="00C2095E"/>
    <w:rsid w:val="00C20A06"/>
    <w:rsid w:val="00C212E5"/>
    <w:rsid w:val="00C21511"/>
    <w:rsid w:val="00C218C8"/>
    <w:rsid w:val="00C22293"/>
    <w:rsid w:val="00C226BA"/>
    <w:rsid w:val="00C22B2D"/>
    <w:rsid w:val="00C22EBF"/>
    <w:rsid w:val="00C22F7C"/>
    <w:rsid w:val="00C23165"/>
    <w:rsid w:val="00C23373"/>
    <w:rsid w:val="00C2352D"/>
    <w:rsid w:val="00C23891"/>
    <w:rsid w:val="00C245DE"/>
    <w:rsid w:val="00C2470D"/>
    <w:rsid w:val="00C2492D"/>
    <w:rsid w:val="00C24E17"/>
    <w:rsid w:val="00C25346"/>
    <w:rsid w:val="00C25E83"/>
    <w:rsid w:val="00C25EF0"/>
    <w:rsid w:val="00C27709"/>
    <w:rsid w:val="00C27D3C"/>
    <w:rsid w:val="00C27FBE"/>
    <w:rsid w:val="00C3015C"/>
    <w:rsid w:val="00C3028B"/>
    <w:rsid w:val="00C3086E"/>
    <w:rsid w:val="00C30D00"/>
    <w:rsid w:val="00C313C2"/>
    <w:rsid w:val="00C317AB"/>
    <w:rsid w:val="00C31922"/>
    <w:rsid w:val="00C31B9E"/>
    <w:rsid w:val="00C31F6A"/>
    <w:rsid w:val="00C333B4"/>
    <w:rsid w:val="00C339D6"/>
    <w:rsid w:val="00C339D8"/>
    <w:rsid w:val="00C33D52"/>
    <w:rsid w:val="00C3415E"/>
    <w:rsid w:val="00C34600"/>
    <w:rsid w:val="00C3461B"/>
    <w:rsid w:val="00C34A9D"/>
    <w:rsid w:val="00C356D8"/>
    <w:rsid w:val="00C35CAB"/>
    <w:rsid w:val="00C35DC9"/>
    <w:rsid w:val="00C3652A"/>
    <w:rsid w:val="00C368CF"/>
    <w:rsid w:val="00C36AFD"/>
    <w:rsid w:val="00C36D8C"/>
    <w:rsid w:val="00C370EA"/>
    <w:rsid w:val="00C37B6F"/>
    <w:rsid w:val="00C37EDD"/>
    <w:rsid w:val="00C404DF"/>
    <w:rsid w:val="00C40618"/>
    <w:rsid w:val="00C4085D"/>
    <w:rsid w:val="00C41093"/>
    <w:rsid w:val="00C412F7"/>
    <w:rsid w:val="00C41626"/>
    <w:rsid w:val="00C4183E"/>
    <w:rsid w:val="00C41A89"/>
    <w:rsid w:val="00C41C15"/>
    <w:rsid w:val="00C41D7D"/>
    <w:rsid w:val="00C42085"/>
    <w:rsid w:val="00C426F3"/>
    <w:rsid w:val="00C42B71"/>
    <w:rsid w:val="00C44004"/>
    <w:rsid w:val="00C44349"/>
    <w:rsid w:val="00C44418"/>
    <w:rsid w:val="00C4452A"/>
    <w:rsid w:val="00C456D8"/>
    <w:rsid w:val="00C4577B"/>
    <w:rsid w:val="00C45901"/>
    <w:rsid w:val="00C45C13"/>
    <w:rsid w:val="00C45F56"/>
    <w:rsid w:val="00C46392"/>
    <w:rsid w:val="00C46F5B"/>
    <w:rsid w:val="00C4701B"/>
    <w:rsid w:val="00C47149"/>
    <w:rsid w:val="00C47197"/>
    <w:rsid w:val="00C47365"/>
    <w:rsid w:val="00C473AC"/>
    <w:rsid w:val="00C4776F"/>
    <w:rsid w:val="00C512EE"/>
    <w:rsid w:val="00C51477"/>
    <w:rsid w:val="00C516DD"/>
    <w:rsid w:val="00C52E1F"/>
    <w:rsid w:val="00C535AB"/>
    <w:rsid w:val="00C53790"/>
    <w:rsid w:val="00C544AB"/>
    <w:rsid w:val="00C544FA"/>
    <w:rsid w:val="00C54CD1"/>
    <w:rsid w:val="00C55197"/>
    <w:rsid w:val="00C551E4"/>
    <w:rsid w:val="00C552BE"/>
    <w:rsid w:val="00C552F6"/>
    <w:rsid w:val="00C55ADF"/>
    <w:rsid w:val="00C55BEB"/>
    <w:rsid w:val="00C56538"/>
    <w:rsid w:val="00C5686D"/>
    <w:rsid w:val="00C5758B"/>
    <w:rsid w:val="00C6006E"/>
    <w:rsid w:val="00C6087D"/>
    <w:rsid w:val="00C60B27"/>
    <w:rsid w:val="00C62711"/>
    <w:rsid w:val="00C639DB"/>
    <w:rsid w:val="00C641FD"/>
    <w:rsid w:val="00C644DF"/>
    <w:rsid w:val="00C64583"/>
    <w:rsid w:val="00C66160"/>
    <w:rsid w:val="00C6668E"/>
    <w:rsid w:val="00C67450"/>
    <w:rsid w:val="00C67601"/>
    <w:rsid w:val="00C67A01"/>
    <w:rsid w:val="00C70E54"/>
    <w:rsid w:val="00C7139D"/>
    <w:rsid w:val="00C71881"/>
    <w:rsid w:val="00C721CB"/>
    <w:rsid w:val="00C7265F"/>
    <w:rsid w:val="00C72A83"/>
    <w:rsid w:val="00C73E1B"/>
    <w:rsid w:val="00C74194"/>
    <w:rsid w:val="00C74D11"/>
    <w:rsid w:val="00C74D29"/>
    <w:rsid w:val="00C7543C"/>
    <w:rsid w:val="00C75B2C"/>
    <w:rsid w:val="00C75E13"/>
    <w:rsid w:val="00C76954"/>
    <w:rsid w:val="00C7720D"/>
    <w:rsid w:val="00C7730F"/>
    <w:rsid w:val="00C7762E"/>
    <w:rsid w:val="00C77C93"/>
    <w:rsid w:val="00C77D99"/>
    <w:rsid w:val="00C8021D"/>
    <w:rsid w:val="00C805B5"/>
    <w:rsid w:val="00C80ACA"/>
    <w:rsid w:val="00C80C0A"/>
    <w:rsid w:val="00C80CA7"/>
    <w:rsid w:val="00C81442"/>
    <w:rsid w:val="00C815C6"/>
    <w:rsid w:val="00C81836"/>
    <w:rsid w:val="00C81900"/>
    <w:rsid w:val="00C81B70"/>
    <w:rsid w:val="00C81B85"/>
    <w:rsid w:val="00C81DD0"/>
    <w:rsid w:val="00C822E4"/>
    <w:rsid w:val="00C82A30"/>
    <w:rsid w:val="00C82AC2"/>
    <w:rsid w:val="00C83189"/>
    <w:rsid w:val="00C83A01"/>
    <w:rsid w:val="00C83F1D"/>
    <w:rsid w:val="00C84142"/>
    <w:rsid w:val="00C84B75"/>
    <w:rsid w:val="00C85A08"/>
    <w:rsid w:val="00C85DDE"/>
    <w:rsid w:val="00C86069"/>
    <w:rsid w:val="00C860A5"/>
    <w:rsid w:val="00C863C3"/>
    <w:rsid w:val="00C86F19"/>
    <w:rsid w:val="00C90798"/>
    <w:rsid w:val="00C90889"/>
    <w:rsid w:val="00C908D9"/>
    <w:rsid w:val="00C91245"/>
    <w:rsid w:val="00C92867"/>
    <w:rsid w:val="00C93969"/>
    <w:rsid w:val="00C944B9"/>
    <w:rsid w:val="00C94DA3"/>
    <w:rsid w:val="00C952D5"/>
    <w:rsid w:val="00C953F3"/>
    <w:rsid w:val="00C9541D"/>
    <w:rsid w:val="00C956E6"/>
    <w:rsid w:val="00C95D54"/>
    <w:rsid w:val="00C9612D"/>
    <w:rsid w:val="00C962A7"/>
    <w:rsid w:val="00C963B7"/>
    <w:rsid w:val="00C96496"/>
    <w:rsid w:val="00C96B16"/>
    <w:rsid w:val="00C96E96"/>
    <w:rsid w:val="00C96EE3"/>
    <w:rsid w:val="00C9771C"/>
    <w:rsid w:val="00CA0B4E"/>
    <w:rsid w:val="00CA0D3E"/>
    <w:rsid w:val="00CA10B0"/>
    <w:rsid w:val="00CA278A"/>
    <w:rsid w:val="00CA2ABD"/>
    <w:rsid w:val="00CA354B"/>
    <w:rsid w:val="00CA35AE"/>
    <w:rsid w:val="00CA3F18"/>
    <w:rsid w:val="00CA4052"/>
    <w:rsid w:val="00CA40F7"/>
    <w:rsid w:val="00CA4791"/>
    <w:rsid w:val="00CA4A95"/>
    <w:rsid w:val="00CA4BBA"/>
    <w:rsid w:val="00CA4EE1"/>
    <w:rsid w:val="00CA596E"/>
    <w:rsid w:val="00CA5D1D"/>
    <w:rsid w:val="00CA6F7F"/>
    <w:rsid w:val="00CA73CE"/>
    <w:rsid w:val="00CA764A"/>
    <w:rsid w:val="00CA7811"/>
    <w:rsid w:val="00CA7867"/>
    <w:rsid w:val="00CA7A47"/>
    <w:rsid w:val="00CB0380"/>
    <w:rsid w:val="00CB058C"/>
    <w:rsid w:val="00CB0842"/>
    <w:rsid w:val="00CB0B85"/>
    <w:rsid w:val="00CB19B9"/>
    <w:rsid w:val="00CB1C26"/>
    <w:rsid w:val="00CB1D38"/>
    <w:rsid w:val="00CB1DCD"/>
    <w:rsid w:val="00CB27E6"/>
    <w:rsid w:val="00CB2D50"/>
    <w:rsid w:val="00CB33CE"/>
    <w:rsid w:val="00CB3D93"/>
    <w:rsid w:val="00CB4E1D"/>
    <w:rsid w:val="00CB4F09"/>
    <w:rsid w:val="00CB553E"/>
    <w:rsid w:val="00CB56A6"/>
    <w:rsid w:val="00CB57E8"/>
    <w:rsid w:val="00CB5EE1"/>
    <w:rsid w:val="00CB6CE5"/>
    <w:rsid w:val="00CB6F17"/>
    <w:rsid w:val="00CB7706"/>
    <w:rsid w:val="00CB7E56"/>
    <w:rsid w:val="00CC0079"/>
    <w:rsid w:val="00CC0537"/>
    <w:rsid w:val="00CC1159"/>
    <w:rsid w:val="00CC14AB"/>
    <w:rsid w:val="00CC1B4D"/>
    <w:rsid w:val="00CC1D5A"/>
    <w:rsid w:val="00CC1E97"/>
    <w:rsid w:val="00CC2040"/>
    <w:rsid w:val="00CC2436"/>
    <w:rsid w:val="00CC2C6C"/>
    <w:rsid w:val="00CC2F1A"/>
    <w:rsid w:val="00CC373B"/>
    <w:rsid w:val="00CC380A"/>
    <w:rsid w:val="00CC4207"/>
    <w:rsid w:val="00CC4507"/>
    <w:rsid w:val="00CC4C16"/>
    <w:rsid w:val="00CC4D28"/>
    <w:rsid w:val="00CC51E7"/>
    <w:rsid w:val="00CC5EE5"/>
    <w:rsid w:val="00CC6285"/>
    <w:rsid w:val="00CC6396"/>
    <w:rsid w:val="00CC694E"/>
    <w:rsid w:val="00CC6C49"/>
    <w:rsid w:val="00CC74E2"/>
    <w:rsid w:val="00CC7784"/>
    <w:rsid w:val="00CC7963"/>
    <w:rsid w:val="00CC7A12"/>
    <w:rsid w:val="00CD00A0"/>
    <w:rsid w:val="00CD01B5"/>
    <w:rsid w:val="00CD0526"/>
    <w:rsid w:val="00CD0D24"/>
    <w:rsid w:val="00CD10E2"/>
    <w:rsid w:val="00CD1125"/>
    <w:rsid w:val="00CD118D"/>
    <w:rsid w:val="00CD2424"/>
    <w:rsid w:val="00CD27D5"/>
    <w:rsid w:val="00CD3A74"/>
    <w:rsid w:val="00CD41E7"/>
    <w:rsid w:val="00CD589E"/>
    <w:rsid w:val="00CD58DD"/>
    <w:rsid w:val="00CD5AA4"/>
    <w:rsid w:val="00CD5FDC"/>
    <w:rsid w:val="00CD68B2"/>
    <w:rsid w:val="00CD6AF4"/>
    <w:rsid w:val="00CD6D01"/>
    <w:rsid w:val="00CE0414"/>
    <w:rsid w:val="00CE04F0"/>
    <w:rsid w:val="00CE0558"/>
    <w:rsid w:val="00CE13BB"/>
    <w:rsid w:val="00CE18CC"/>
    <w:rsid w:val="00CE2E27"/>
    <w:rsid w:val="00CE2F6A"/>
    <w:rsid w:val="00CE378D"/>
    <w:rsid w:val="00CE3939"/>
    <w:rsid w:val="00CE39BE"/>
    <w:rsid w:val="00CE4138"/>
    <w:rsid w:val="00CE471B"/>
    <w:rsid w:val="00CE56D6"/>
    <w:rsid w:val="00CE5994"/>
    <w:rsid w:val="00CE5B27"/>
    <w:rsid w:val="00CE5E91"/>
    <w:rsid w:val="00CE62BE"/>
    <w:rsid w:val="00CE64D3"/>
    <w:rsid w:val="00CE688E"/>
    <w:rsid w:val="00CE7212"/>
    <w:rsid w:val="00CE79DA"/>
    <w:rsid w:val="00CF0059"/>
    <w:rsid w:val="00CF0683"/>
    <w:rsid w:val="00CF06D2"/>
    <w:rsid w:val="00CF09DF"/>
    <w:rsid w:val="00CF09F1"/>
    <w:rsid w:val="00CF0A78"/>
    <w:rsid w:val="00CF12B4"/>
    <w:rsid w:val="00CF181E"/>
    <w:rsid w:val="00CF1B25"/>
    <w:rsid w:val="00CF28A0"/>
    <w:rsid w:val="00CF4205"/>
    <w:rsid w:val="00CF496A"/>
    <w:rsid w:val="00CF50AA"/>
    <w:rsid w:val="00CF54E4"/>
    <w:rsid w:val="00CF621A"/>
    <w:rsid w:val="00CF640A"/>
    <w:rsid w:val="00CF6FFB"/>
    <w:rsid w:val="00CF7289"/>
    <w:rsid w:val="00CF734F"/>
    <w:rsid w:val="00CF77ED"/>
    <w:rsid w:val="00CF7931"/>
    <w:rsid w:val="00CF7E4F"/>
    <w:rsid w:val="00CF7F88"/>
    <w:rsid w:val="00D000EC"/>
    <w:rsid w:val="00D0081A"/>
    <w:rsid w:val="00D00858"/>
    <w:rsid w:val="00D00A73"/>
    <w:rsid w:val="00D00B71"/>
    <w:rsid w:val="00D00D84"/>
    <w:rsid w:val="00D00EC8"/>
    <w:rsid w:val="00D00EEB"/>
    <w:rsid w:val="00D0162F"/>
    <w:rsid w:val="00D018D3"/>
    <w:rsid w:val="00D019C0"/>
    <w:rsid w:val="00D020A1"/>
    <w:rsid w:val="00D02B1F"/>
    <w:rsid w:val="00D02E20"/>
    <w:rsid w:val="00D03429"/>
    <w:rsid w:val="00D03817"/>
    <w:rsid w:val="00D0413A"/>
    <w:rsid w:val="00D04268"/>
    <w:rsid w:val="00D04898"/>
    <w:rsid w:val="00D04F2D"/>
    <w:rsid w:val="00D062BF"/>
    <w:rsid w:val="00D06932"/>
    <w:rsid w:val="00D06B24"/>
    <w:rsid w:val="00D07117"/>
    <w:rsid w:val="00D075F0"/>
    <w:rsid w:val="00D07EA0"/>
    <w:rsid w:val="00D1066D"/>
    <w:rsid w:val="00D10A2A"/>
    <w:rsid w:val="00D10B12"/>
    <w:rsid w:val="00D10B40"/>
    <w:rsid w:val="00D10CEA"/>
    <w:rsid w:val="00D11236"/>
    <w:rsid w:val="00D11979"/>
    <w:rsid w:val="00D12122"/>
    <w:rsid w:val="00D12920"/>
    <w:rsid w:val="00D12CD5"/>
    <w:rsid w:val="00D131FA"/>
    <w:rsid w:val="00D1358D"/>
    <w:rsid w:val="00D139C1"/>
    <w:rsid w:val="00D14000"/>
    <w:rsid w:val="00D142BA"/>
    <w:rsid w:val="00D146F6"/>
    <w:rsid w:val="00D149F3"/>
    <w:rsid w:val="00D14BE8"/>
    <w:rsid w:val="00D151CC"/>
    <w:rsid w:val="00D15ECE"/>
    <w:rsid w:val="00D15FB0"/>
    <w:rsid w:val="00D16354"/>
    <w:rsid w:val="00D1667B"/>
    <w:rsid w:val="00D17E96"/>
    <w:rsid w:val="00D20A8A"/>
    <w:rsid w:val="00D2114B"/>
    <w:rsid w:val="00D2159F"/>
    <w:rsid w:val="00D217DF"/>
    <w:rsid w:val="00D2197F"/>
    <w:rsid w:val="00D21E01"/>
    <w:rsid w:val="00D22096"/>
    <w:rsid w:val="00D22674"/>
    <w:rsid w:val="00D228C5"/>
    <w:rsid w:val="00D23B86"/>
    <w:rsid w:val="00D246DA"/>
    <w:rsid w:val="00D24CE7"/>
    <w:rsid w:val="00D24EA2"/>
    <w:rsid w:val="00D2507C"/>
    <w:rsid w:val="00D252F0"/>
    <w:rsid w:val="00D257C1"/>
    <w:rsid w:val="00D25EBA"/>
    <w:rsid w:val="00D26077"/>
    <w:rsid w:val="00D2628D"/>
    <w:rsid w:val="00D26F95"/>
    <w:rsid w:val="00D276B2"/>
    <w:rsid w:val="00D27885"/>
    <w:rsid w:val="00D3035F"/>
    <w:rsid w:val="00D30582"/>
    <w:rsid w:val="00D30720"/>
    <w:rsid w:val="00D30D33"/>
    <w:rsid w:val="00D311FB"/>
    <w:rsid w:val="00D312DC"/>
    <w:rsid w:val="00D317CB"/>
    <w:rsid w:val="00D31C73"/>
    <w:rsid w:val="00D31EB0"/>
    <w:rsid w:val="00D32309"/>
    <w:rsid w:val="00D32BE0"/>
    <w:rsid w:val="00D33391"/>
    <w:rsid w:val="00D33912"/>
    <w:rsid w:val="00D33A44"/>
    <w:rsid w:val="00D33AB8"/>
    <w:rsid w:val="00D33FB6"/>
    <w:rsid w:val="00D342D4"/>
    <w:rsid w:val="00D34634"/>
    <w:rsid w:val="00D347BE"/>
    <w:rsid w:val="00D34E0D"/>
    <w:rsid w:val="00D34F53"/>
    <w:rsid w:val="00D3514C"/>
    <w:rsid w:val="00D354AC"/>
    <w:rsid w:val="00D36513"/>
    <w:rsid w:val="00D36587"/>
    <w:rsid w:val="00D3716B"/>
    <w:rsid w:val="00D3744E"/>
    <w:rsid w:val="00D379F8"/>
    <w:rsid w:val="00D37E4D"/>
    <w:rsid w:val="00D37F5C"/>
    <w:rsid w:val="00D37FBC"/>
    <w:rsid w:val="00D4064E"/>
    <w:rsid w:val="00D40BC7"/>
    <w:rsid w:val="00D40C22"/>
    <w:rsid w:val="00D40D1E"/>
    <w:rsid w:val="00D40E6E"/>
    <w:rsid w:val="00D41852"/>
    <w:rsid w:val="00D41970"/>
    <w:rsid w:val="00D41988"/>
    <w:rsid w:val="00D41A75"/>
    <w:rsid w:val="00D41D4A"/>
    <w:rsid w:val="00D427C2"/>
    <w:rsid w:val="00D43749"/>
    <w:rsid w:val="00D4375E"/>
    <w:rsid w:val="00D43DFD"/>
    <w:rsid w:val="00D44F95"/>
    <w:rsid w:val="00D4667A"/>
    <w:rsid w:val="00D46699"/>
    <w:rsid w:val="00D46799"/>
    <w:rsid w:val="00D4690C"/>
    <w:rsid w:val="00D46AC9"/>
    <w:rsid w:val="00D46D14"/>
    <w:rsid w:val="00D46E1A"/>
    <w:rsid w:val="00D4755A"/>
    <w:rsid w:val="00D47E3F"/>
    <w:rsid w:val="00D51120"/>
    <w:rsid w:val="00D51414"/>
    <w:rsid w:val="00D5171A"/>
    <w:rsid w:val="00D51921"/>
    <w:rsid w:val="00D51CAC"/>
    <w:rsid w:val="00D5249D"/>
    <w:rsid w:val="00D53C32"/>
    <w:rsid w:val="00D54996"/>
    <w:rsid w:val="00D54F6D"/>
    <w:rsid w:val="00D55159"/>
    <w:rsid w:val="00D55C26"/>
    <w:rsid w:val="00D5642A"/>
    <w:rsid w:val="00D5685D"/>
    <w:rsid w:val="00D56A3A"/>
    <w:rsid w:val="00D56B0B"/>
    <w:rsid w:val="00D56B34"/>
    <w:rsid w:val="00D56D23"/>
    <w:rsid w:val="00D572AD"/>
    <w:rsid w:val="00D5793D"/>
    <w:rsid w:val="00D579F6"/>
    <w:rsid w:val="00D57BA6"/>
    <w:rsid w:val="00D57E24"/>
    <w:rsid w:val="00D60F2B"/>
    <w:rsid w:val="00D60F8D"/>
    <w:rsid w:val="00D62064"/>
    <w:rsid w:val="00D625D6"/>
    <w:rsid w:val="00D62691"/>
    <w:rsid w:val="00D62753"/>
    <w:rsid w:val="00D62BD3"/>
    <w:rsid w:val="00D633B8"/>
    <w:rsid w:val="00D63B73"/>
    <w:rsid w:val="00D63C04"/>
    <w:rsid w:val="00D643A8"/>
    <w:rsid w:val="00D64442"/>
    <w:rsid w:val="00D64781"/>
    <w:rsid w:val="00D6486E"/>
    <w:rsid w:val="00D64888"/>
    <w:rsid w:val="00D64C0D"/>
    <w:rsid w:val="00D64D6E"/>
    <w:rsid w:val="00D65A80"/>
    <w:rsid w:val="00D65F05"/>
    <w:rsid w:val="00D661F4"/>
    <w:rsid w:val="00D663E2"/>
    <w:rsid w:val="00D67B44"/>
    <w:rsid w:val="00D7020C"/>
    <w:rsid w:val="00D70502"/>
    <w:rsid w:val="00D71B94"/>
    <w:rsid w:val="00D7212A"/>
    <w:rsid w:val="00D72568"/>
    <w:rsid w:val="00D7268B"/>
    <w:rsid w:val="00D735E7"/>
    <w:rsid w:val="00D7386F"/>
    <w:rsid w:val="00D73C81"/>
    <w:rsid w:val="00D73E79"/>
    <w:rsid w:val="00D744A2"/>
    <w:rsid w:val="00D746B9"/>
    <w:rsid w:val="00D74A1E"/>
    <w:rsid w:val="00D74F28"/>
    <w:rsid w:val="00D755F6"/>
    <w:rsid w:val="00D757F0"/>
    <w:rsid w:val="00D75A0C"/>
    <w:rsid w:val="00D7623E"/>
    <w:rsid w:val="00D76471"/>
    <w:rsid w:val="00D768B0"/>
    <w:rsid w:val="00D77CFF"/>
    <w:rsid w:val="00D80541"/>
    <w:rsid w:val="00D80B90"/>
    <w:rsid w:val="00D813DC"/>
    <w:rsid w:val="00D824DB"/>
    <w:rsid w:val="00D83057"/>
    <w:rsid w:val="00D83348"/>
    <w:rsid w:val="00D847D4"/>
    <w:rsid w:val="00D84948"/>
    <w:rsid w:val="00D84AB0"/>
    <w:rsid w:val="00D84AE4"/>
    <w:rsid w:val="00D850E3"/>
    <w:rsid w:val="00D8518F"/>
    <w:rsid w:val="00D857AB"/>
    <w:rsid w:val="00D8623F"/>
    <w:rsid w:val="00D86B88"/>
    <w:rsid w:val="00D86E27"/>
    <w:rsid w:val="00D8744E"/>
    <w:rsid w:val="00D87A47"/>
    <w:rsid w:val="00D90330"/>
    <w:rsid w:val="00D9096E"/>
    <w:rsid w:val="00D909F6"/>
    <w:rsid w:val="00D90BE7"/>
    <w:rsid w:val="00D9116A"/>
    <w:rsid w:val="00D91BFB"/>
    <w:rsid w:val="00D92114"/>
    <w:rsid w:val="00D924E7"/>
    <w:rsid w:val="00D926A9"/>
    <w:rsid w:val="00D92A02"/>
    <w:rsid w:val="00D92AF8"/>
    <w:rsid w:val="00D92CCA"/>
    <w:rsid w:val="00D935C1"/>
    <w:rsid w:val="00D93927"/>
    <w:rsid w:val="00D94148"/>
    <w:rsid w:val="00D944E4"/>
    <w:rsid w:val="00D946EA"/>
    <w:rsid w:val="00D95283"/>
    <w:rsid w:val="00D95BE5"/>
    <w:rsid w:val="00D95CAE"/>
    <w:rsid w:val="00D96439"/>
    <w:rsid w:val="00D96697"/>
    <w:rsid w:val="00D96E53"/>
    <w:rsid w:val="00D9720A"/>
    <w:rsid w:val="00D9767B"/>
    <w:rsid w:val="00D97EF0"/>
    <w:rsid w:val="00DA03AB"/>
    <w:rsid w:val="00DA0BBE"/>
    <w:rsid w:val="00DA106F"/>
    <w:rsid w:val="00DA12CF"/>
    <w:rsid w:val="00DA1339"/>
    <w:rsid w:val="00DA28E6"/>
    <w:rsid w:val="00DA295D"/>
    <w:rsid w:val="00DA2C20"/>
    <w:rsid w:val="00DA2F6F"/>
    <w:rsid w:val="00DA337A"/>
    <w:rsid w:val="00DA382A"/>
    <w:rsid w:val="00DA477B"/>
    <w:rsid w:val="00DA4820"/>
    <w:rsid w:val="00DA59C7"/>
    <w:rsid w:val="00DA61B4"/>
    <w:rsid w:val="00DA657C"/>
    <w:rsid w:val="00DA6E08"/>
    <w:rsid w:val="00DA769D"/>
    <w:rsid w:val="00DA7E3A"/>
    <w:rsid w:val="00DB0074"/>
    <w:rsid w:val="00DB011D"/>
    <w:rsid w:val="00DB0428"/>
    <w:rsid w:val="00DB090E"/>
    <w:rsid w:val="00DB1E82"/>
    <w:rsid w:val="00DB207D"/>
    <w:rsid w:val="00DB2231"/>
    <w:rsid w:val="00DB22BA"/>
    <w:rsid w:val="00DB27E1"/>
    <w:rsid w:val="00DB2BAD"/>
    <w:rsid w:val="00DB34AB"/>
    <w:rsid w:val="00DB396D"/>
    <w:rsid w:val="00DB3BA5"/>
    <w:rsid w:val="00DB454C"/>
    <w:rsid w:val="00DB4862"/>
    <w:rsid w:val="00DB4D60"/>
    <w:rsid w:val="00DB50E9"/>
    <w:rsid w:val="00DB5F64"/>
    <w:rsid w:val="00DB62D2"/>
    <w:rsid w:val="00DB6555"/>
    <w:rsid w:val="00DB683E"/>
    <w:rsid w:val="00DB706D"/>
    <w:rsid w:val="00DB73D7"/>
    <w:rsid w:val="00DB7552"/>
    <w:rsid w:val="00DB7576"/>
    <w:rsid w:val="00DB7F70"/>
    <w:rsid w:val="00DC07B8"/>
    <w:rsid w:val="00DC08AE"/>
    <w:rsid w:val="00DC1418"/>
    <w:rsid w:val="00DC18C5"/>
    <w:rsid w:val="00DC1B63"/>
    <w:rsid w:val="00DC1B7E"/>
    <w:rsid w:val="00DC1C14"/>
    <w:rsid w:val="00DC1DAC"/>
    <w:rsid w:val="00DC22F1"/>
    <w:rsid w:val="00DC278E"/>
    <w:rsid w:val="00DC2FE2"/>
    <w:rsid w:val="00DC350A"/>
    <w:rsid w:val="00DC3635"/>
    <w:rsid w:val="00DC39B7"/>
    <w:rsid w:val="00DC4284"/>
    <w:rsid w:val="00DC4371"/>
    <w:rsid w:val="00DC4C5C"/>
    <w:rsid w:val="00DC4CFC"/>
    <w:rsid w:val="00DC542C"/>
    <w:rsid w:val="00DC57C6"/>
    <w:rsid w:val="00DC5D05"/>
    <w:rsid w:val="00DC695B"/>
    <w:rsid w:val="00DC73BE"/>
    <w:rsid w:val="00DC7576"/>
    <w:rsid w:val="00DC7DBF"/>
    <w:rsid w:val="00DD09CA"/>
    <w:rsid w:val="00DD0E02"/>
    <w:rsid w:val="00DD0F72"/>
    <w:rsid w:val="00DD10AC"/>
    <w:rsid w:val="00DD11DD"/>
    <w:rsid w:val="00DD12EA"/>
    <w:rsid w:val="00DD14D1"/>
    <w:rsid w:val="00DD179D"/>
    <w:rsid w:val="00DD2231"/>
    <w:rsid w:val="00DD2263"/>
    <w:rsid w:val="00DD2432"/>
    <w:rsid w:val="00DD2904"/>
    <w:rsid w:val="00DD299A"/>
    <w:rsid w:val="00DD2BE3"/>
    <w:rsid w:val="00DD30DD"/>
    <w:rsid w:val="00DD4699"/>
    <w:rsid w:val="00DD529C"/>
    <w:rsid w:val="00DD553E"/>
    <w:rsid w:val="00DD555A"/>
    <w:rsid w:val="00DD5EDA"/>
    <w:rsid w:val="00DD64A2"/>
    <w:rsid w:val="00DD71C6"/>
    <w:rsid w:val="00DE0095"/>
    <w:rsid w:val="00DE0329"/>
    <w:rsid w:val="00DE1922"/>
    <w:rsid w:val="00DE1E81"/>
    <w:rsid w:val="00DE3015"/>
    <w:rsid w:val="00DE31AD"/>
    <w:rsid w:val="00DE3219"/>
    <w:rsid w:val="00DE329C"/>
    <w:rsid w:val="00DE36C1"/>
    <w:rsid w:val="00DE3741"/>
    <w:rsid w:val="00DE3A70"/>
    <w:rsid w:val="00DE40D1"/>
    <w:rsid w:val="00DE46BE"/>
    <w:rsid w:val="00DE49E2"/>
    <w:rsid w:val="00DE4C9E"/>
    <w:rsid w:val="00DE5A1F"/>
    <w:rsid w:val="00DE5E66"/>
    <w:rsid w:val="00DE6267"/>
    <w:rsid w:val="00DE6A8A"/>
    <w:rsid w:val="00DE6B8D"/>
    <w:rsid w:val="00DE6DC4"/>
    <w:rsid w:val="00DE7410"/>
    <w:rsid w:val="00DE7B3C"/>
    <w:rsid w:val="00DE7BED"/>
    <w:rsid w:val="00DF0706"/>
    <w:rsid w:val="00DF0BD7"/>
    <w:rsid w:val="00DF15AB"/>
    <w:rsid w:val="00DF15C5"/>
    <w:rsid w:val="00DF18A1"/>
    <w:rsid w:val="00DF218A"/>
    <w:rsid w:val="00DF25E7"/>
    <w:rsid w:val="00DF2AAB"/>
    <w:rsid w:val="00DF2E1D"/>
    <w:rsid w:val="00DF33A3"/>
    <w:rsid w:val="00DF3AC7"/>
    <w:rsid w:val="00DF4B84"/>
    <w:rsid w:val="00DF52D9"/>
    <w:rsid w:val="00DF57FD"/>
    <w:rsid w:val="00DF5AAF"/>
    <w:rsid w:val="00DF5B94"/>
    <w:rsid w:val="00DF603E"/>
    <w:rsid w:val="00DF6155"/>
    <w:rsid w:val="00DF6921"/>
    <w:rsid w:val="00DF749C"/>
    <w:rsid w:val="00DF76A5"/>
    <w:rsid w:val="00DF7B4E"/>
    <w:rsid w:val="00DF7D0B"/>
    <w:rsid w:val="00DF7D6B"/>
    <w:rsid w:val="00E001C4"/>
    <w:rsid w:val="00E0077F"/>
    <w:rsid w:val="00E0113A"/>
    <w:rsid w:val="00E015DA"/>
    <w:rsid w:val="00E01717"/>
    <w:rsid w:val="00E01991"/>
    <w:rsid w:val="00E01C17"/>
    <w:rsid w:val="00E01DCA"/>
    <w:rsid w:val="00E02235"/>
    <w:rsid w:val="00E027BE"/>
    <w:rsid w:val="00E03063"/>
    <w:rsid w:val="00E0364D"/>
    <w:rsid w:val="00E03900"/>
    <w:rsid w:val="00E04284"/>
    <w:rsid w:val="00E042D3"/>
    <w:rsid w:val="00E045BA"/>
    <w:rsid w:val="00E0469E"/>
    <w:rsid w:val="00E048CD"/>
    <w:rsid w:val="00E053CD"/>
    <w:rsid w:val="00E05509"/>
    <w:rsid w:val="00E05E25"/>
    <w:rsid w:val="00E06309"/>
    <w:rsid w:val="00E0634D"/>
    <w:rsid w:val="00E06BB4"/>
    <w:rsid w:val="00E06D17"/>
    <w:rsid w:val="00E06E60"/>
    <w:rsid w:val="00E07132"/>
    <w:rsid w:val="00E07B4E"/>
    <w:rsid w:val="00E114D9"/>
    <w:rsid w:val="00E11989"/>
    <w:rsid w:val="00E11E5E"/>
    <w:rsid w:val="00E12074"/>
    <w:rsid w:val="00E130E3"/>
    <w:rsid w:val="00E13288"/>
    <w:rsid w:val="00E145FC"/>
    <w:rsid w:val="00E14E80"/>
    <w:rsid w:val="00E14EAD"/>
    <w:rsid w:val="00E14ECD"/>
    <w:rsid w:val="00E14EDD"/>
    <w:rsid w:val="00E14F01"/>
    <w:rsid w:val="00E150C5"/>
    <w:rsid w:val="00E151E5"/>
    <w:rsid w:val="00E15F44"/>
    <w:rsid w:val="00E1613F"/>
    <w:rsid w:val="00E1621A"/>
    <w:rsid w:val="00E1655A"/>
    <w:rsid w:val="00E1661C"/>
    <w:rsid w:val="00E16C74"/>
    <w:rsid w:val="00E17384"/>
    <w:rsid w:val="00E20222"/>
    <w:rsid w:val="00E20463"/>
    <w:rsid w:val="00E207E5"/>
    <w:rsid w:val="00E20D8F"/>
    <w:rsid w:val="00E21397"/>
    <w:rsid w:val="00E21D7A"/>
    <w:rsid w:val="00E22368"/>
    <w:rsid w:val="00E2272E"/>
    <w:rsid w:val="00E22EFB"/>
    <w:rsid w:val="00E230DE"/>
    <w:rsid w:val="00E23A27"/>
    <w:rsid w:val="00E2403F"/>
    <w:rsid w:val="00E2482C"/>
    <w:rsid w:val="00E2498F"/>
    <w:rsid w:val="00E24C0D"/>
    <w:rsid w:val="00E24E67"/>
    <w:rsid w:val="00E2653C"/>
    <w:rsid w:val="00E267D8"/>
    <w:rsid w:val="00E2686A"/>
    <w:rsid w:val="00E26FA2"/>
    <w:rsid w:val="00E27523"/>
    <w:rsid w:val="00E279B3"/>
    <w:rsid w:val="00E27E71"/>
    <w:rsid w:val="00E3008E"/>
    <w:rsid w:val="00E30F1C"/>
    <w:rsid w:val="00E31958"/>
    <w:rsid w:val="00E31C3E"/>
    <w:rsid w:val="00E31FDF"/>
    <w:rsid w:val="00E32065"/>
    <w:rsid w:val="00E32470"/>
    <w:rsid w:val="00E32A40"/>
    <w:rsid w:val="00E32FBA"/>
    <w:rsid w:val="00E33761"/>
    <w:rsid w:val="00E3384C"/>
    <w:rsid w:val="00E33877"/>
    <w:rsid w:val="00E33EE3"/>
    <w:rsid w:val="00E343C6"/>
    <w:rsid w:val="00E34C07"/>
    <w:rsid w:val="00E34F55"/>
    <w:rsid w:val="00E351C6"/>
    <w:rsid w:val="00E3533E"/>
    <w:rsid w:val="00E35B55"/>
    <w:rsid w:val="00E35F53"/>
    <w:rsid w:val="00E3635B"/>
    <w:rsid w:val="00E36478"/>
    <w:rsid w:val="00E36553"/>
    <w:rsid w:val="00E36A87"/>
    <w:rsid w:val="00E40333"/>
    <w:rsid w:val="00E4060E"/>
    <w:rsid w:val="00E40AD5"/>
    <w:rsid w:val="00E40C68"/>
    <w:rsid w:val="00E411D9"/>
    <w:rsid w:val="00E41484"/>
    <w:rsid w:val="00E41644"/>
    <w:rsid w:val="00E41BEF"/>
    <w:rsid w:val="00E41C6D"/>
    <w:rsid w:val="00E4217D"/>
    <w:rsid w:val="00E421F0"/>
    <w:rsid w:val="00E42436"/>
    <w:rsid w:val="00E43687"/>
    <w:rsid w:val="00E43B37"/>
    <w:rsid w:val="00E43F12"/>
    <w:rsid w:val="00E44004"/>
    <w:rsid w:val="00E44269"/>
    <w:rsid w:val="00E447CB"/>
    <w:rsid w:val="00E44B96"/>
    <w:rsid w:val="00E44E8F"/>
    <w:rsid w:val="00E46712"/>
    <w:rsid w:val="00E46B2B"/>
    <w:rsid w:val="00E46F7A"/>
    <w:rsid w:val="00E471AF"/>
    <w:rsid w:val="00E472B9"/>
    <w:rsid w:val="00E4777B"/>
    <w:rsid w:val="00E479F6"/>
    <w:rsid w:val="00E50064"/>
    <w:rsid w:val="00E5032E"/>
    <w:rsid w:val="00E5041E"/>
    <w:rsid w:val="00E50640"/>
    <w:rsid w:val="00E50C15"/>
    <w:rsid w:val="00E50E60"/>
    <w:rsid w:val="00E50F6E"/>
    <w:rsid w:val="00E512D3"/>
    <w:rsid w:val="00E512D8"/>
    <w:rsid w:val="00E5199E"/>
    <w:rsid w:val="00E51A1B"/>
    <w:rsid w:val="00E51A47"/>
    <w:rsid w:val="00E5207B"/>
    <w:rsid w:val="00E522C2"/>
    <w:rsid w:val="00E524B2"/>
    <w:rsid w:val="00E524EC"/>
    <w:rsid w:val="00E527A5"/>
    <w:rsid w:val="00E5287D"/>
    <w:rsid w:val="00E52CE8"/>
    <w:rsid w:val="00E535E3"/>
    <w:rsid w:val="00E53803"/>
    <w:rsid w:val="00E54086"/>
    <w:rsid w:val="00E54343"/>
    <w:rsid w:val="00E544BC"/>
    <w:rsid w:val="00E547DE"/>
    <w:rsid w:val="00E54C50"/>
    <w:rsid w:val="00E54DEA"/>
    <w:rsid w:val="00E54E29"/>
    <w:rsid w:val="00E554C4"/>
    <w:rsid w:val="00E554F8"/>
    <w:rsid w:val="00E55BD0"/>
    <w:rsid w:val="00E55DB2"/>
    <w:rsid w:val="00E565DD"/>
    <w:rsid w:val="00E56688"/>
    <w:rsid w:val="00E567AA"/>
    <w:rsid w:val="00E569CB"/>
    <w:rsid w:val="00E57381"/>
    <w:rsid w:val="00E57951"/>
    <w:rsid w:val="00E57993"/>
    <w:rsid w:val="00E606AF"/>
    <w:rsid w:val="00E60720"/>
    <w:rsid w:val="00E60A7E"/>
    <w:rsid w:val="00E60B9C"/>
    <w:rsid w:val="00E60C02"/>
    <w:rsid w:val="00E60CCF"/>
    <w:rsid w:val="00E61053"/>
    <w:rsid w:val="00E611EC"/>
    <w:rsid w:val="00E61A59"/>
    <w:rsid w:val="00E6207B"/>
    <w:rsid w:val="00E621B3"/>
    <w:rsid w:val="00E62280"/>
    <w:rsid w:val="00E62428"/>
    <w:rsid w:val="00E6263B"/>
    <w:rsid w:val="00E62C37"/>
    <w:rsid w:val="00E62EFC"/>
    <w:rsid w:val="00E63CD3"/>
    <w:rsid w:val="00E641A4"/>
    <w:rsid w:val="00E64489"/>
    <w:rsid w:val="00E64778"/>
    <w:rsid w:val="00E65941"/>
    <w:rsid w:val="00E65969"/>
    <w:rsid w:val="00E659B7"/>
    <w:rsid w:val="00E65B5C"/>
    <w:rsid w:val="00E65BD4"/>
    <w:rsid w:val="00E65E84"/>
    <w:rsid w:val="00E6691E"/>
    <w:rsid w:val="00E66933"/>
    <w:rsid w:val="00E678E6"/>
    <w:rsid w:val="00E7005E"/>
    <w:rsid w:val="00E701D9"/>
    <w:rsid w:val="00E703E4"/>
    <w:rsid w:val="00E70DD7"/>
    <w:rsid w:val="00E70EAE"/>
    <w:rsid w:val="00E70F09"/>
    <w:rsid w:val="00E70F2D"/>
    <w:rsid w:val="00E71C59"/>
    <w:rsid w:val="00E72292"/>
    <w:rsid w:val="00E730DA"/>
    <w:rsid w:val="00E732FE"/>
    <w:rsid w:val="00E73415"/>
    <w:rsid w:val="00E73994"/>
    <w:rsid w:val="00E744BE"/>
    <w:rsid w:val="00E74DB8"/>
    <w:rsid w:val="00E75F2C"/>
    <w:rsid w:val="00E7664B"/>
    <w:rsid w:val="00E76B15"/>
    <w:rsid w:val="00E77032"/>
    <w:rsid w:val="00E77302"/>
    <w:rsid w:val="00E77B33"/>
    <w:rsid w:val="00E77B79"/>
    <w:rsid w:val="00E77DE5"/>
    <w:rsid w:val="00E802A9"/>
    <w:rsid w:val="00E8046F"/>
    <w:rsid w:val="00E8047A"/>
    <w:rsid w:val="00E80E06"/>
    <w:rsid w:val="00E80E5B"/>
    <w:rsid w:val="00E82AE7"/>
    <w:rsid w:val="00E8349C"/>
    <w:rsid w:val="00E83694"/>
    <w:rsid w:val="00E83710"/>
    <w:rsid w:val="00E83B46"/>
    <w:rsid w:val="00E83E56"/>
    <w:rsid w:val="00E84A26"/>
    <w:rsid w:val="00E8534D"/>
    <w:rsid w:val="00E85612"/>
    <w:rsid w:val="00E85807"/>
    <w:rsid w:val="00E859FC"/>
    <w:rsid w:val="00E85EEA"/>
    <w:rsid w:val="00E8602B"/>
    <w:rsid w:val="00E8709B"/>
    <w:rsid w:val="00E870DF"/>
    <w:rsid w:val="00E87569"/>
    <w:rsid w:val="00E903B2"/>
    <w:rsid w:val="00E90428"/>
    <w:rsid w:val="00E905C1"/>
    <w:rsid w:val="00E910FF"/>
    <w:rsid w:val="00E911B1"/>
    <w:rsid w:val="00E91682"/>
    <w:rsid w:val="00E91F7C"/>
    <w:rsid w:val="00E92043"/>
    <w:rsid w:val="00E92122"/>
    <w:rsid w:val="00E92C3E"/>
    <w:rsid w:val="00E930A0"/>
    <w:rsid w:val="00E935EC"/>
    <w:rsid w:val="00E93B7B"/>
    <w:rsid w:val="00E93BE9"/>
    <w:rsid w:val="00E93E5C"/>
    <w:rsid w:val="00E93E78"/>
    <w:rsid w:val="00E946EE"/>
    <w:rsid w:val="00E94764"/>
    <w:rsid w:val="00E949A6"/>
    <w:rsid w:val="00E94A24"/>
    <w:rsid w:val="00E94CF4"/>
    <w:rsid w:val="00E9559E"/>
    <w:rsid w:val="00E957CA"/>
    <w:rsid w:val="00E957F7"/>
    <w:rsid w:val="00E95E2B"/>
    <w:rsid w:val="00E96C31"/>
    <w:rsid w:val="00E96FDD"/>
    <w:rsid w:val="00EA019E"/>
    <w:rsid w:val="00EA0389"/>
    <w:rsid w:val="00EA118E"/>
    <w:rsid w:val="00EA1228"/>
    <w:rsid w:val="00EA1564"/>
    <w:rsid w:val="00EA1974"/>
    <w:rsid w:val="00EA1FDC"/>
    <w:rsid w:val="00EA2297"/>
    <w:rsid w:val="00EA22C5"/>
    <w:rsid w:val="00EA2338"/>
    <w:rsid w:val="00EA2A17"/>
    <w:rsid w:val="00EA337D"/>
    <w:rsid w:val="00EA431E"/>
    <w:rsid w:val="00EA461C"/>
    <w:rsid w:val="00EA4695"/>
    <w:rsid w:val="00EA4F34"/>
    <w:rsid w:val="00EA4FBB"/>
    <w:rsid w:val="00EA5307"/>
    <w:rsid w:val="00EA574F"/>
    <w:rsid w:val="00EA5B92"/>
    <w:rsid w:val="00EA6606"/>
    <w:rsid w:val="00EA6FF8"/>
    <w:rsid w:val="00EA72A8"/>
    <w:rsid w:val="00EA76F4"/>
    <w:rsid w:val="00EB10A4"/>
    <w:rsid w:val="00EB1104"/>
    <w:rsid w:val="00EB11D4"/>
    <w:rsid w:val="00EB14F3"/>
    <w:rsid w:val="00EB17D1"/>
    <w:rsid w:val="00EB17D8"/>
    <w:rsid w:val="00EB191F"/>
    <w:rsid w:val="00EB2542"/>
    <w:rsid w:val="00EB28F6"/>
    <w:rsid w:val="00EB292E"/>
    <w:rsid w:val="00EB3A54"/>
    <w:rsid w:val="00EB3AD0"/>
    <w:rsid w:val="00EB3E54"/>
    <w:rsid w:val="00EB4084"/>
    <w:rsid w:val="00EB40BF"/>
    <w:rsid w:val="00EB40F4"/>
    <w:rsid w:val="00EB41EF"/>
    <w:rsid w:val="00EB5120"/>
    <w:rsid w:val="00EB52D3"/>
    <w:rsid w:val="00EB5696"/>
    <w:rsid w:val="00EB56A6"/>
    <w:rsid w:val="00EB5F92"/>
    <w:rsid w:val="00EB6B49"/>
    <w:rsid w:val="00EB6C81"/>
    <w:rsid w:val="00EB75CD"/>
    <w:rsid w:val="00EB76CF"/>
    <w:rsid w:val="00EB7911"/>
    <w:rsid w:val="00EB79E8"/>
    <w:rsid w:val="00EB7BDD"/>
    <w:rsid w:val="00EC0321"/>
    <w:rsid w:val="00EC078F"/>
    <w:rsid w:val="00EC0B65"/>
    <w:rsid w:val="00EC0E2D"/>
    <w:rsid w:val="00EC0F73"/>
    <w:rsid w:val="00EC1394"/>
    <w:rsid w:val="00EC1BB9"/>
    <w:rsid w:val="00EC273B"/>
    <w:rsid w:val="00EC2B75"/>
    <w:rsid w:val="00EC336A"/>
    <w:rsid w:val="00EC35B6"/>
    <w:rsid w:val="00EC35D7"/>
    <w:rsid w:val="00EC3E4F"/>
    <w:rsid w:val="00EC3F59"/>
    <w:rsid w:val="00EC45DD"/>
    <w:rsid w:val="00EC4AF3"/>
    <w:rsid w:val="00EC4E4A"/>
    <w:rsid w:val="00EC4EDF"/>
    <w:rsid w:val="00EC4FBB"/>
    <w:rsid w:val="00EC53C7"/>
    <w:rsid w:val="00EC5D90"/>
    <w:rsid w:val="00EC5E69"/>
    <w:rsid w:val="00EC609B"/>
    <w:rsid w:val="00EC6A68"/>
    <w:rsid w:val="00EC6FD6"/>
    <w:rsid w:val="00EC70B2"/>
    <w:rsid w:val="00ED041A"/>
    <w:rsid w:val="00ED0467"/>
    <w:rsid w:val="00ED065E"/>
    <w:rsid w:val="00ED12D8"/>
    <w:rsid w:val="00ED1A01"/>
    <w:rsid w:val="00ED275C"/>
    <w:rsid w:val="00ED2905"/>
    <w:rsid w:val="00ED2D2C"/>
    <w:rsid w:val="00ED2DCD"/>
    <w:rsid w:val="00ED35E3"/>
    <w:rsid w:val="00ED37B1"/>
    <w:rsid w:val="00ED3A1C"/>
    <w:rsid w:val="00ED4663"/>
    <w:rsid w:val="00ED4881"/>
    <w:rsid w:val="00ED493E"/>
    <w:rsid w:val="00ED56B4"/>
    <w:rsid w:val="00ED69D4"/>
    <w:rsid w:val="00ED6A42"/>
    <w:rsid w:val="00ED6F87"/>
    <w:rsid w:val="00ED7221"/>
    <w:rsid w:val="00EE087B"/>
    <w:rsid w:val="00EE0FAD"/>
    <w:rsid w:val="00EE10B9"/>
    <w:rsid w:val="00EE1D0A"/>
    <w:rsid w:val="00EE26BD"/>
    <w:rsid w:val="00EE2AB8"/>
    <w:rsid w:val="00EE2BDD"/>
    <w:rsid w:val="00EE2EAD"/>
    <w:rsid w:val="00EE2FEA"/>
    <w:rsid w:val="00EE3575"/>
    <w:rsid w:val="00EE48C5"/>
    <w:rsid w:val="00EE5523"/>
    <w:rsid w:val="00EE6213"/>
    <w:rsid w:val="00EE633B"/>
    <w:rsid w:val="00EE65AA"/>
    <w:rsid w:val="00EE6630"/>
    <w:rsid w:val="00EE6750"/>
    <w:rsid w:val="00EE6C62"/>
    <w:rsid w:val="00EE7836"/>
    <w:rsid w:val="00EE7C75"/>
    <w:rsid w:val="00EF03E5"/>
    <w:rsid w:val="00EF154E"/>
    <w:rsid w:val="00EF176E"/>
    <w:rsid w:val="00EF1AAC"/>
    <w:rsid w:val="00EF20B1"/>
    <w:rsid w:val="00EF3825"/>
    <w:rsid w:val="00EF40F0"/>
    <w:rsid w:val="00EF41FE"/>
    <w:rsid w:val="00EF4350"/>
    <w:rsid w:val="00EF43C9"/>
    <w:rsid w:val="00EF479E"/>
    <w:rsid w:val="00EF4997"/>
    <w:rsid w:val="00EF49F0"/>
    <w:rsid w:val="00EF4AFF"/>
    <w:rsid w:val="00EF54C4"/>
    <w:rsid w:val="00EF5719"/>
    <w:rsid w:val="00EF5C43"/>
    <w:rsid w:val="00EF66A9"/>
    <w:rsid w:val="00EF6A23"/>
    <w:rsid w:val="00EF6DCB"/>
    <w:rsid w:val="00EF6E6D"/>
    <w:rsid w:val="00EF7309"/>
    <w:rsid w:val="00EF754D"/>
    <w:rsid w:val="00EF7E4D"/>
    <w:rsid w:val="00F00043"/>
    <w:rsid w:val="00F0084D"/>
    <w:rsid w:val="00F009CF"/>
    <w:rsid w:val="00F017BC"/>
    <w:rsid w:val="00F01A4F"/>
    <w:rsid w:val="00F01A95"/>
    <w:rsid w:val="00F01B90"/>
    <w:rsid w:val="00F0233D"/>
    <w:rsid w:val="00F02710"/>
    <w:rsid w:val="00F02A7D"/>
    <w:rsid w:val="00F033FF"/>
    <w:rsid w:val="00F04B02"/>
    <w:rsid w:val="00F04EAD"/>
    <w:rsid w:val="00F056C0"/>
    <w:rsid w:val="00F05708"/>
    <w:rsid w:val="00F05CAB"/>
    <w:rsid w:val="00F05DD7"/>
    <w:rsid w:val="00F06057"/>
    <w:rsid w:val="00F0696C"/>
    <w:rsid w:val="00F06DDB"/>
    <w:rsid w:val="00F06E40"/>
    <w:rsid w:val="00F06E4F"/>
    <w:rsid w:val="00F07837"/>
    <w:rsid w:val="00F10800"/>
    <w:rsid w:val="00F10EAF"/>
    <w:rsid w:val="00F11016"/>
    <w:rsid w:val="00F111E5"/>
    <w:rsid w:val="00F1122D"/>
    <w:rsid w:val="00F1169E"/>
    <w:rsid w:val="00F11A5B"/>
    <w:rsid w:val="00F11B45"/>
    <w:rsid w:val="00F12234"/>
    <w:rsid w:val="00F1269A"/>
    <w:rsid w:val="00F12864"/>
    <w:rsid w:val="00F12B28"/>
    <w:rsid w:val="00F13126"/>
    <w:rsid w:val="00F131D6"/>
    <w:rsid w:val="00F13363"/>
    <w:rsid w:val="00F133C0"/>
    <w:rsid w:val="00F139C4"/>
    <w:rsid w:val="00F140A1"/>
    <w:rsid w:val="00F14334"/>
    <w:rsid w:val="00F145A0"/>
    <w:rsid w:val="00F14C83"/>
    <w:rsid w:val="00F157B4"/>
    <w:rsid w:val="00F15D65"/>
    <w:rsid w:val="00F16560"/>
    <w:rsid w:val="00F16B58"/>
    <w:rsid w:val="00F16B9E"/>
    <w:rsid w:val="00F16EF1"/>
    <w:rsid w:val="00F16F64"/>
    <w:rsid w:val="00F17019"/>
    <w:rsid w:val="00F17126"/>
    <w:rsid w:val="00F17463"/>
    <w:rsid w:val="00F17E10"/>
    <w:rsid w:val="00F200C6"/>
    <w:rsid w:val="00F2010E"/>
    <w:rsid w:val="00F20162"/>
    <w:rsid w:val="00F20339"/>
    <w:rsid w:val="00F2097F"/>
    <w:rsid w:val="00F20B44"/>
    <w:rsid w:val="00F20CBA"/>
    <w:rsid w:val="00F21172"/>
    <w:rsid w:val="00F21D45"/>
    <w:rsid w:val="00F220A1"/>
    <w:rsid w:val="00F2296F"/>
    <w:rsid w:val="00F22BD7"/>
    <w:rsid w:val="00F22CC1"/>
    <w:rsid w:val="00F22F3A"/>
    <w:rsid w:val="00F235D5"/>
    <w:rsid w:val="00F239EC"/>
    <w:rsid w:val="00F24750"/>
    <w:rsid w:val="00F24D3C"/>
    <w:rsid w:val="00F25128"/>
    <w:rsid w:val="00F2551B"/>
    <w:rsid w:val="00F25B65"/>
    <w:rsid w:val="00F25CAE"/>
    <w:rsid w:val="00F268E8"/>
    <w:rsid w:val="00F26B6E"/>
    <w:rsid w:val="00F26EAC"/>
    <w:rsid w:val="00F276F9"/>
    <w:rsid w:val="00F27C78"/>
    <w:rsid w:val="00F27E0B"/>
    <w:rsid w:val="00F30079"/>
    <w:rsid w:val="00F30D45"/>
    <w:rsid w:val="00F31AA5"/>
    <w:rsid w:val="00F31C8C"/>
    <w:rsid w:val="00F31EF1"/>
    <w:rsid w:val="00F3257B"/>
    <w:rsid w:val="00F325E6"/>
    <w:rsid w:val="00F32A21"/>
    <w:rsid w:val="00F32B1A"/>
    <w:rsid w:val="00F335D8"/>
    <w:rsid w:val="00F338DA"/>
    <w:rsid w:val="00F33F6A"/>
    <w:rsid w:val="00F34006"/>
    <w:rsid w:val="00F34B78"/>
    <w:rsid w:val="00F34CB6"/>
    <w:rsid w:val="00F35237"/>
    <w:rsid w:val="00F3553F"/>
    <w:rsid w:val="00F36606"/>
    <w:rsid w:val="00F36869"/>
    <w:rsid w:val="00F36D62"/>
    <w:rsid w:val="00F37215"/>
    <w:rsid w:val="00F3771B"/>
    <w:rsid w:val="00F377FE"/>
    <w:rsid w:val="00F40078"/>
    <w:rsid w:val="00F40373"/>
    <w:rsid w:val="00F40436"/>
    <w:rsid w:val="00F4093B"/>
    <w:rsid w:val="00F4097A"/>
    <w:rsid w:val="00F40CDB"/>
    <w:rsid w:val="00F411C2"/>
    <w:rsid w:val="00F413FD"/>
    <w:rsid w:val="00F4142E"/>
    <w:rsid w:val="00F414C4"/>
    <w:rsid w:val="00F420C0"/>
    <w:rsid w:val="00F42592"/>
    <w:rsid w:val="00F4266A"/>
    <w:rsid w:val="00F43698"/>
    <w:rsid w:val="00F43889"/>
    <w:rsid w:val="00F43CE5"/>
    <w:rsid w:val="00F4461F"/>
    <w:rsid w:val="00F447BF"/>
    <w:rsid w:val="00F45401"/>
    <w:rsid w:val="00F45CAC"/>
    <w:rsid w:val="00F464B4"/>
    <w:rsid w:val="00F468E9"/>
    <w:rsid w:val="00F46B2C"/>
    <w:rsid w:val="00F47590"/>
    <w:rsid w:val="00F47653"/>
    <w:rsid w:val="00F47657"/>
    <w:rsid w:val="00F47A96"/>
    <w:rsid w:val="00F500A5"/>
    <w:rsid w:val="00F50468"/>
    <w:rsid w:val="00F50747"/>
    <w:rsid w:val="00F50D6B"/>
    <w:rsid w:val="00F50E34"/>
    <w:rsid w:val="00F51115"/>
    <w:rsid w:val="00F5189E"/>
    <w:rsid w:val="00F52755"/>
    <w:rsid w:val="00F52CC4"/>
    <w:rsid w:val="00F53662"/>
    <w:rsid w:val="00F53792"/>
    <w:rsid w:val="00F53954"/>
    <w:rsid w:val="00F53A5D"/>
    <w:rsid w:val="00F5401A"/>
    <w:rsid w:val="00F540A4"/>
    <w:rsid w:val="00F545B3"/>
    <w:rsid w:val="00F54793"/>
    <w:rsid w:val="00F54F9E"/>
    <w:rsid w:val="00F5579E"/>
    <w:rsid w:val="00F55E02"/>
    <w:rsid w:val="00F563EC"/>
    <w:rsid w:val="00F5704D"/>
    <w:rsid w:val="00F5705E"/>
    <w:rsid w:val="00F574C8"/>
    <w:rsid w:val="00F57668"/>
    <w:rsid w:val="00F57B0E"/>
    <w:rsid w:val="00F57CD4"/>
    <w:rsid w:val="00F57FF7"/>
    <w:rsid w:val="00F62062"/>
    <w:rsid w:val="00F621DB"/>
    <w:rsid w:val="00F6279D"/>
    <w:rsid w:val="00F6327D"/>
    <w:rsid w:val="00F633E7"/>
    <w:rsid w:val="00F63454"/>
    <w:rsid w:val="00F6370D"/>
    <w:rsid w:val="00F6378D"/>
    <w:rsid w:val="00F63E65"/>
    <w:rsid w:val="00F64B3F"/>
    <w:rsid w:val="00F6566B"/>
    <w:rsid w:val="00F65913"/>
    <w:rsid w:val="00F65AC7"/>
    <w:rsid w:val="00F660CA"/>
    <w:rsid w:val="00F67435"/>
    <w:rsid w:val="00F70846"/>
    <w:rsid w:val="00F70F2B"/>
    <w:rsid w:val="00F71803"/>
    <w:rsid w:val="00F72093"/>
    <w:rsid w:val="00F7235C"/>
    <w:rsid w:val="00F72676"/>
    <w:rsid w:val="00F738FC"/>
    <w:rsid w:val="00F7392E"/>
    <w:rsid w:val="00F73DB0"/>
    <w:rsid w:val="00F73DF8"/>
    <w:rsid w:val="00F74256"/>
    <w:rsid w:val="00F7474C"/>
    <w:rsid w:val="00F74B74"/>
    <w:rsid w:val="00F74EF4"/>
    <w:rsid w:val="00F751D4"/>
    <w:rsid w:val="00F75EEA"/>
    <w:rsid w:val="00F7638B"/>
    <w:rsid w:val="00F7672D"/>
    <w:rsid w:val="00F77319"/>
    <w:rsid w:val="00F77A06"/>
    <w:rsid w:val="00F77A08"/>
    <w:rsid w:val="00F77EB4"/>
    <w:rsid w:val="00F80979"/>
    <w:rsid w:val="00F81018"/>
    <w:rsid w:val="00F811AC"/>
    <w:rsid w:val="00F81F10"/>
    <w:rsid w:val="00F8218D"/>
    <w:rsid w:val="00F82BEB"/>
    <w:rsid w:val="00F82CC7"/>
    <w:rsid w:val="00F82D0C"/>
    <w:rsid w:val="00F83259"/>
    <w:rsid w:val="00F8462B"/>
    <w:rsid w:val="00F84849"/>
    <w:rsid w:val="00F84C03"/>
    <w:rsid w:val="00F8509D"/>
    <w:rsid w:val="00F85746"/>
    <w:rsid w:val="00F85E81"/>
    <w:rsid w:val="00F8647A"/>
    <w:rsid w:val="00F86682"/>
    <w:rsid w:val="00F86FF9"/>
    <w:rsid w:val="00F87153"/>
    <w:rsid w:val="00F8715F"/>
    <w:rsid w:val="00F873E8"/>
    <w:rsid w:val="00F87519"/>
    <w:rsid w:val="00F87695"/>
    <w:rsid w:val="00F87C6E"/>
    <w:rsid w:val="00F90992"/>
    <w:rsid w:val="00F90DA4"/>
    <w:rsid w:val="00F90F25"/>
    <w:rsid w:val="00F9111C"/>
    <w:rsid w:val="00F91929"/>
    <w:rsid w:val="00F927EF"/>
    <w:rsid w:val="00F942F6"/>
    <w:rsid w:val="00F94EC0"/>
    <w:rsid w:val="00F95DEF"/>
    <w:rsid w:val="00F95E02"/>
    <w:rsid w:val="00F95E9C"/>
    <w:rsid w:val="00F960D9"/>
    <w:rsid w:val="00F97174"/>
    <w:rsid w:val="00F97AF0"/>
    <w:rsid w:val="00F97F32"/>
    <w:rsid w:val="00FA0010"/>
    <w:rsid w:val="00FA00E1"/>
    <w:rsid w:val="00FA015F"/>
    <w:rsid w:val="00FA0AFB"/>
    <w:rsid w:val="00FA129A"/>
    <w:rsid w:val="00FA13E2"/>
    <w:rsid w:val="00FA193D"/>
    <w:rsid w:val="00FA1FE6"/>
    <w:rsid w:val="00FA23D3"/>
    <w:rsid w:val="00FA240C"/>
    <w:rsid w:val="00FA26A4"/>
    <w:rsid w:val="00FA39AD"/>
    <w:rsid w:val="00FA40A9"/>
    <w:rsid w:val="00FA4241"/>
    <w:rsid w:val="00FA4388"/>
    <w:rsid w:val="00FA4DCB"/>
    <w:rsid w:val="00FA517B"/>
    <w:rsid w:val="00FA52B6"/>
    <w:rsid w:val="00FA5C4A"/>
    <w:rsid w:val="00FA60CD"/>
    <w:rsid w:val="00FA6217"/>
    <w:rsid w:val="00FA650B"/>
    <w:rsid w:val="00FA6B39"/>
    <w:rsid w:val="00FA6C8A"/>
    <w:rsid w:val="00FA6D15"/>
    <w:rsid w:val="00FA6F7F"/>
    <w:rsid w:val="00FA75D3"/>
    <w:rsid w:val="00FA76C7"/>
    <w:rsid w:val="00FB067F"/>
    <w:rsid w:val="00FB0D9B"/>
    <w:rsid w:val="00FB10B0"/>
    <w:rsid w:val="00FB1140"/>
    <w:rsid w:val="00FB135D"/>
    <w:rsid w:val="00FB1F4E"/>
    <w:rsid w:val="00FB2513"/>
    <w:rsid w:val="00FB2BBB"/>
    <w:rsid w:val="00FB3A0D"/>
    <w:rsid w:val="00FB3B10"/>
    <w:rsid w:val="00FB3D71"/>
    <w:rsid w:val="00FB4CB0"/>
    <w:rsid w:val="00FB56F1"/>
    <w:rsid w:val="00FB6219"/>
    <w:rsid w:val="00FB67B0"/>
    <w:rsid w:val="00FB6A26"/>
    <w:rsid w:val="00FB7265"/>
    <w:rsid w:val="00FB761A"/>
    <w:rsid w:val="00FB778D"/>
    <w:rsid w:val="00FB788C"/>
    <w:rsid w:val="00FB7922"/>
    <w:rsid w:val="00FB7942"/>
    <w:rsid w:val="00FC034C"/>
    <w:rsid w:val="00FC042A"/>
    <w:rsid w:val="00FC08CF"/>
    <w:rsid w:val="00FC0CE8"/>
    <w:rsid w:val="00FC120F"/>
    <w:rsid w:val="00FC12AD"/>
    <w:rsid w:val="00FC1F70"/>
    <w:rsid w:val="00FC2075"/>
    <w:rsid w:val="00FC210D"/>
    <w:rsid w:val="00FC2520"/>
    <w:rsid w:val="00FC2CE9"/>
    <w:rsid w:val="00FC2FE0"/>
    <w:rsid w:val="00FC31A5"/>
    <w:rsid w:val="00FC3705"/>
    <w:rsid w:val="00FC3A19"/>
    <w:rsid w:val="00FC419C"/>
    <w:rsid w:val="00FC4A66"/>
    <w:rsid w:val="00FC4B9C"/>
    <w:rsid w:val="00FC4D83"/>
    <w:rsid w:val="00FC5932"/>
    <w:rsid w:val="00FC5F2C"/>
    <w:rsid w:val="00FC6877"/>
    <w:rsid w:val="00FC6AD7"/>
    <w:rsid w:val="00FC710E"/>
    <w:rsid w:val="00FC7659"/>
    <w:rsid w:val="00FC76E3"/>
    <w:rsid w:val="00FC7B4A"/>
    <w:rsid w:val="00FC7D8C"/>
    <w:rsid w:val="00FD013C"/>
    <w:rsid w:val="00FD0835"/>
    <w:rsid w:val="00FD0BB0"/>
    <w:rsid w:val="00FD10A7"/>
    <w:rsid w:val="00FD1EA8"/>
    <w:rsid w:val="00FD20BC"/>
    <w:rsid w:val="00FD2345"/>
    <w:rsid w:val="00FD2F1B"/>
    <w:rsid w:val="00FD3167"/>
    <w:rsid w:val="00FD334B"/>
    <w:rsid w:val="00FD3CF3"/>
    <w:rsid w:val="00FD52BB"/>
    <w:rsid w:val="00FD534E"/>
    <w:rsid w:val="00FD535F"/>
    <w:rsid w:val="00FD69B0"/>
    <w:rsid w:val="00FD6E41"/>
    <w:rsid w:val="00FD6F22"/>
    <w:rsid w:val="00FD6FFD"/>
    <w:rsid w:val="00FD77D1"/>
    <w:rsid w:val="00FD7A71"/>
    <w:rsid w:val="00FE0837"/>
    <w:rsid w:val="00FE0BA4"/>
    <w:rsid w:val="00FE19C9"/>
    <w:rsid w:val="00FE210B"/>
    <w:rsid w:val="00FE212E"/>
    <w:rsid w:val="00FE22B1"/>
    <w:rsid w:val="00FE24D3"/>
    <w:rsid w:val="00FE27AE"/>
    <w:rsid w:val="00FE2965"/>
    <w:rsid w:val="00FE3580"/>
    <w:rsid w:val="00FE3790"/>
    <w:rsid w:val="00FE3B56"/>
    <w:rsid w:val="00FE4FA3"/>
    <w:rsid w:val="00FE5250"/>
    <w:rsid w:val="00FE5887"/>
    <w:rsid w:val="00FE5A7A"/>
    <w:rsid w:val="00FE5FAC"/>
    <w:rsid w:val="00FE6059"/>
    <w:rsid w:val="00FE6158"/>
    <w:rsid w:val="00FE621A"/>
    <w:rsid w:val="00FE640B"/>
    <w:rsid w:val="00FE66F5"/>
    <w:rsid w:val="00FE7676"/>
    <w:rsid w:val="00FE7A95"/>
    <w:rsid w:val="00FE7CA2"/>
    <w:rsid w:val="00FE7DF6"/>
    <w:rsid w:val="00FF1048"/>
    <w:rsid w:val="00FF1C8C"/>
    <w:rsid w:val="00FF1F54"/>
    <w:rsid w:val="00FF2AF7"/>
    <w:rsid w:val="00FF2FEB"/>
    <w:rsid w:val="00FF30EB"/>
    <w:rsid w:val="00FF36E3"/>
    <w:rsid w:val="00FF3759"/>
    <w:rsid w:val="00FF43F0"/>
    <w:rsid w:val="00FF566F"/>
    <w:rsid w:val="00FF5BB4"/>
    <w:rsid w:val="00FF6046"/>
    <w:rsid w:val="00FF681C"/>
    <w:rsid w:val="00FF69D6"/>
    <w:rsid w:val="00FF78BE"/>
    <w:rsid w:val="00FF7990"/>
    <w:rsid w:val="00FF7F21"/>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5573039"/>
  <w15:chartTrackingRefBased/>
  <w15:docId w15:val="{199EC6F2-C3DB-4881-AF86-EE7DC611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94"/>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C45C13"/>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AA167C"/>
    <w:pPr>
      <w:keepNext/>
      <w:spacing w:line="300" w:lineRule="exact"/>
      <w:jc w:val="both"/>
      <w:outlineLvl w:val="1"/>
    </w:pPr>
    <w:rPr>
      <w:rFonts w:ascii="Trebuchet MS" w:hAnsi="Trebuchet MS"/>
      <w:b/>
      <w:bCs/>
      <w:i/>
      <w:iCs/>
      <w:sz w:val="22"/>
      <w:u w:val="single"/>
      <w:lang w:val="en-GB"/>
    </w:rPr>
  </w:style>
  <w:style w:type="paragraph" w:styleId="Heading3">
    <w:name w:val="heading 3"/>
    <w:basedOn w:val="Normal"/>
    <w:next w:val="Normal"/>
    <w:link w:val="Heading3Char"/>
    <w:unhideWhenUsed/>
    <w:qFormat/>
    <w:rsid w:val="0084617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AA167C"/>
    <w:pPr>
      <w:keepNext/>
      <w:outlineLvl w:val="3"/>
    </w:pPr>
    <w:rPr>
      <w:b/>
      <w:bCs/>
      <w:lang w:val="en-GB"/>
    </w:rPr>
  </w:style>
  <w:style w:type="paragraph" w:styleId="Heading9">
    <w:name w:val="heading 9"/>
    <w:basedOn w:val="Normal"/>
    <w:next w:val="Normal"/>
    <w:link w:val="Heading9Char"/>
    <w:qFormat/>
    <w:rsid w:val="00DE7410"/>
    <w:pPr>
      <w:keepNext/>
      <w:tabs>
        <w:tab w:val="left" w:pos="216"/>
        <w:tab w:val="left" w:pos="432"/>
        <w:tab w:val="left" w:pos="648"/>
        <w:tab w:val="left" w:pos="864"/>
        <w:tab w:val="left" w:pos="1080"/>
        <w:tab w:val="left" w:pos="1296"/>
        <w:tab w:val="left" w:pos="1512"/>
        <w:tab w:val="left" w:pos="1728"/>
        <w:tab w:val="left" w:pos="1944"/>
      </w:tabs>
      <w:suppressAutoHyphens/>
      <w:spacing w:line="220" w:lineRule="exact"/>
      <w:ind w:left="144" w:hanging="144"/>
      <w:outlineLvl w:val="8"/>
    </w:pPr>
    <w:rPr>
      <w:bCs/>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A167C"/>
    <w:rPr>
      <w:rFonts w:ascii="Trebuchet MS" w:eastAsia="Times New Roman" w:hAnsi="Trebuchet MS" w:cs="Times New Roman"/>
      <w:b/>
      <w:bCs/>
      <w:i/>
      <w:iCs/>
      <w:szCs w:val="24"/>
      <w:u w:val="single"/>
      <w:lang w:val="en-GB"/>
    </w:rPr>
  </w:style>
  <w:style w:type="character" w:customStyle="1" w:styleId="Heading4Char">
    <w:name w:val="Heading 4 Char"/>
    <w:link w:val="Heading4"/>
    <w:rsid w:val="00AA167C"/>
    <w:rPr>
      <w:rFonts w:ascii="Times New Roman" w:eastAsia="Times New Roman" w:hAnsi="Times New Roman" w:cs="Times New Roman"/>
      <w:b/>
      <w:bCs/>
      <w:sz w:val="24"/>
      <w:szCs w:val="24"/>
      <w:lang w:val="en-GB"/>
    </w:rPr>
  </w:style>
  <w:style w:type="character" w:styleId="Hyperlink">
    <w:name w:val="Hyperlink"/>
    <w:rsid w:val="00AA167C"/>
    <w:rPr>
      <w:color w:val="0000FF"/>
      <w:u w:val="single"/>
    </w:rPr>
  </w:style>
  <w:style w:type="paragraph" w:styleId="Header">
    <w:name w:val="header"/>
    <w:basedOn w:val="Normal"/>
    <w:link w:val="HeaderChar"/>
    <w:rsid w:val="00AA167C"/>
    <w:pPr>
      <w:tabs>
        <w:tab w:val="center" w:pos="4153"/>
        <w:tab w:val="right" w:pos="8306"/>
      </w:tabs>
    </w:pPr>
  </w:style>
  <w:style w:type="character" w:customStyle="1" w:styleId="HeaderChar">
    <w:name w:val="Header Char"/>
    <w:link w:val="Header"/>
    <w:rsid w:val="00AA16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167C"/>
    <w:pPr>
      <w:tabs>
        <w:tab w:val="center" w:pos="4513"/>
        <w:tab w:val="right" w:pos="9026"/>
      </w:tabs>
    </w:pPr>
  </w:style>
  <w:style w:type="character" w:customStyle="1" w:styleId="FooterChar">
    <w:name w:val="Footer Char"/>
    <w:link w:val="Footer"/>
    <w:uiPriority w:val="99"/>
    <w:rsid w:val="00AA167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F1169E"/>
    <w:rPr>
      <w:rFonts w:ascii="Tahoma" w:hAnsi="Tahoma" w:cs="Tahoma"/>
      <w:sz w:val="16"/>
      <w:szCs w:val="16"/>
    </w:rPr>
  </w:style>
  <w:style w:type="character" w:customStyle="1" w:styleId="BalloonTextChar">
    <w:name w:val="Balloon Text Char"/>
    <w:link w:val="BalloonText"/>
    <w:uiPriority w:val="99"/>
    <w:semiHidden/>
    <w:rsid w:val="00F1169E"/>
    <w:rPr>
      <w:rFonts w:ascii="Tahoma" w:eastAsia="Times New Roman" w:hAnsi="Tahoma" w:cs="Tahoma"/>
      <w:sz w:val="16"/>
      <w:szCs w:val="16"/>
      <w:lang w:eastAsia="en-US"/>
    </w:rPr>
  </w:style>
  <w:style w:type="character" w:customStyle="1" w:styleId="Heading3Char">
    <w:name w:val="Heading 3 Char"/>
    <w:link w:val="Heading3"/>
    <w:uiPriority w:val="9"/>
    <w:rsid w:val="0084617D"/>
    <w:rPr>
      <w:rFonts w:ascii="Cambria" w:eastAsia="Times New Roman" w:hAnsi="Cambria" w:cs="Times New Roman"/>
      <w:b/>
      <w:bCs/>
      <w:sz w:val="26"/>
      <w:szCs w:val="26"/>
      <w:lang w:eastAsia="en-US"/>
    </w:rPr>
  </w:style>
  <w:style w:type="character" w:styleId="Emphasis">
    <w:name w:val="Emphasis"/>
    <w:uiPriority w:val="20"/>
    <w:qFormat/>
    <w:rsid w:val="00942078"/>
    <w:rPr>
      <w:i/>
      <w:iCs/>
    </w:rPr>
  </w:style>
  <w:style w:type="character" w:customStyle="1" w:styleId="Heading9Char">
    <w:name w:val="Heading 9 Char"/>
    <w:link w:val="Heading9"/>
    <w:rsid w:val="00DE7410"/>
    <w:rPr>
      <w:rFonts w:ascii="Times New Roman" w:eastAsia="Times New Roman" w:hAnsi="Times New Roman"/>
      <w:bCs/>
      <w:iCs/>
      <w:lang w:val="en-US" w:eastAsia="en-US"/>
    </w:rPr>
  </w:style>
  <w:style w:type="paragraph" w:styleId="EnvelopeAddress">
    <w:name w:val="envelope address"/>
    <w:basedOn w:val="Normal"/>
    <w:rsid w:val="00DE7410"/>
    <w:pPr>
      <w:framePr w:w="7920" w:h="1980" w:hRule="exact" w:hSpace="180" w:wrap="auto" w:hAnchor="page" w:xAlign="center" w:yAlign="bottom"/>
      <w:ind w:left="2880"/>
    </w:pPr>
    <w:rPr>
      <w:rFonts w:cs="Arial"/>
    </w:rPr>
  </w:style>
  <w:style w:type="paragraph" w:styleId="EnvelopeReturn">
    <w:name w:val="envelope return"/>
    <w:basedOn w:val="Normal"/>
    <w:rsid w:val="00DE7410"/>
    <w:rPr>
      <w:rFonts w:cs="Arial"/>
      <w:sz w:val="20"/>
      <w:szCs w:val="20"/>
    </w:rPr>
  </w:style>
  <w:style w:type="paragraph" w:customStyle="1" w:styleId="CG-Title-Center-Bold">
    <w:name w:val="CG-Title-Center-Bold"/>
    <w:aliases w:val="t1"/>
    <w:basedOn w:val="Normal"/>
    <w:next w:val="Normal"/>
    <w:rsid w:val="00DE7410"/>
    <w:pPr>
      <w:keepNext/>
      <w:spacing w:after="240"/>
      <w:jc w:val="center"/>
    </w:pPr>
    <w:rPr>
      <w:b/>
      <w:sz w:val="32"/>
      <w:szCs w:val="20"/>
      <w:lang w:val="en-US"/>
    </w:rPr>
  </w:style>
  <w:style w:type="paragraph" w:customStyle="1" w:styleId="CG-Title-Center">
    <w:name w:val="CG-Title-Center"/>
    <w:aliases w:val="t5"/>
    <w:basedOn w:val="Normal"/>
    <w:next w:val="Normal"/>
    <w:rsid w:val="00DE7410"/>
    <w:pPr>
      <w:keepNext/>
      <w:spacing w:after="240"/>
      <w:jc w:val="center"/>
    </w:pPr>
    <w:rPr>
      <w:szCs w:val="20"/>
      <w:lang w:val="en-US"/>
    </w:rPr>
  </w:style>
  <w:style w:type="paragraph" w:customStyle="1" w:styleId="Outline3L1">
    <w:name w:val="Outline3_L1"/>
    <w:basedOn w:val="Normal"/>
    <w:next w:val="Normal"/>
    <w:rsid w:val="00DE7410"/>
    <w:pPr>
      <w:keepNext/>
      <w:numPr>
        <w:numId w:val="1"/>
      </w:numPr>
      <w:spacing w:after="240"/>
      <w:outlineLvl w:val="0"/>
    </w:pPr>
    <w:rPr>
      <w:szCs w:val="20"/>
      <w:lang w:val="en-US"/>
    </w:rPr>
  </w:style>
  <w:style w:type="paragraph" w:customStyle="1" w:styleId="Outline3L2">
    <w:name w:val="Outline3_L2"/>
    <w:basedOn w:val="Outline3L1"/>
    <w:next w:val="Normal"/>
    <w:rsid w:val="00DE7410"/>
    <w:pPr>
      <w:numPr>
        <w:ilvl w:val="1"/>
      </w:numPr>
      <w:outlineLvl w:val="1"/>
    </w:pPr>
  </w:style>
  <w:style w:type="paragraph" w:customStyle="1" w:styleId="Outline3L3">
    <w:name w:val="Outline3_L3"/>
    <w:basedOn w:val="Outline3L2"/>
    <w:next w:val="Normal"/>
    <w:rsid w:val="00DE7410"/>
    <w:pPr>
      <w:numPr>
        <w:ilvl w:val="2"/>
      </w:numPr>
      <w:outlineLvl w:val="2"/>
    </w:pPr>
  </w:style>
  <w:style w:type="paragraph" w:customStyle="1" w:styleId="Outline3L4">
    <w:name w:val="Outline3_L4"/>
    <w:basedOn w:val="Outline3L3"/>
    <w:next w:val="Normal"/>
    <w:rsid w:val="00DE7410"/>
    <w:pPr>
      <w:keepNext w:val="0"/>
      <w:numPr>
        <w:ilvl w:val="3"/>
      </w:numPr>
      <w:outlineLvl w:val="3"/>
    </w:pPr>
  </w:style>
  <w:style w:type="paragraph" w:customStyle="1" w:styleId="Outline3L5">
    <w:name w:val="Outline3_L5"/>
    <w:basedOn w:val="Outline3L4"/>
    <w:next w:val="Normal"/>
    <w:rsid w:val="00DE7410"/>
    <w:pPr>
      <w:numPr>
        <w:ilvl w:val="4"/>
      </w:numPr>
      <w:outlineLvl w:val="4"/>
    </w:pPr>
  </w:style>
  <w:style w:type="paragraph" w:customStyle="1" w:styleId="TableFN">
    <w:name w:val="TableFN"/>
    <w:aliases w:val="tfn"/>
    <w:basedOn w:val="Normal"/>
    <w:rsid w:val="00DE7410"/>
    <w:pPr>
      <w:spacing w:after="240"/>
    </w:pPr>
    <w:rPr>
      <w:sz w:val="18"/>
      <w:szCs w:val="20"/>
      <w:lang w:val="en-US"/>
    </w:rPr>
  </w:style>
  <w:style w:type="paragraph" w:styleId="Title">
    <w:name w:val="Title"/>
    <w:basedOn w:val="Normal"/>
    <w:link w:val="TitleChar"/>
    <w:qFormat/>
    <w:rsid w:val="00DE7410"/>
    <w:pPr>
      <w:ind w:right="983"/>
      <w:jc w:val="center"/>
    </w:pPr>
    <w:rPr>
      <w:b/>
      <w:szCs w:val="20"/>
      <w:lang w:val="en-GB"/>
    </w:rPr>
  </w:style>
  <w:style w:type="character" w:customStyle="1" w:styleId="TitleChar">
    <w:name w:val="Title Char"/>
    <w:link w:val="Title"/>
    <w:rsid w:val="00DE7410"/>
    <w:rPr>
      <w:rFonts w:ascii="Times New Roman" w:eastAsia="Times New Roman" w:hAnsi="Times New Roman"/>
      <w:b/>
      <w:sz w:val="24"/>
      <w:lang w:val="en-GB" w:eastAsia="en-US"/>
    </w:rPr>
  </w:style>
  <w:style w:type="paragraph" w:styleId="BodyText3">
    <w:name w:val="Body Text 3"/>
    <w:basedOn w:val="Normal"/>
    <w:link w:val="BodyText3Char"/>
    <w:rsid w:val="00DE7410"/>
    <w:rPr>
      <w:b/>
      <w:szCs w:val="20"/>
      <w:lang w:val="en-GB"/>
    </w:rPr>
  </w:style>
  <w:style w:type="character" w:customStyle="1" w:styleId="BodyText3Char">
    <w:name w:val="Body Text 3 Char"/>
    <w:link w:val="BodyText3"/>
    <w:rsid w:val="00DE7410"/>
    <w:rPr>
      <w:rFonts w:ascii="Times New Roman" w:eastAsia="Times New Roman" w:hAnsi="Times New Roman"/>
      <w:b/>
      <w:sz w:val="24"/>
      <w:lang w:val="en-GB" w:eastAsia="en-US"/>
    </w:rPr>
  </w:style>
  <w:style w:type="paragraph" w:customStyle="1" w:styleId="CG-SingleSp05">
    <w:name w:val="CG-Single Sp 0.5"/>
    <w:aliases w:val="s2,!Body Text .5(J),!Body Text .5s2(J),Normal + Interstate-RegularCondensed,9 pt"/>
    <w:basedOn w:val="Normal"/>
    <w:rsid w:val="00DE7410"/>
    <w:pPr>
      <w:spacing w:after="240"/>
      <w:ind w:firstLine="720"/>
      <w:jc w:val="both"/>
    </w:pPr>
    <w:rPr>
      <w:rFonts w:eastAsia="MS Mincho"/>
      <w:sz w:val="22"/>
      <w:szCs w:val="20"/>
      <w:lang w:val="en-US"/>
    </w:rPr>
  </w:style>
  <w:style w:type="character" w:styleId="PageNumber">
    <w:name w:val="page number"/>
    <w:basedOn w:val="DefaultParagraphFont"/>
    <w:rsid w:val="00DE7410"/>
  </w:style>
  <w:style w:type="table" w:styleId="TableGrid">
    <w:name w:val="Table Grid"/>
    <w:basedOn w:val="TableNormal"/>
    <w:uiPriority w:val="39"/>
    <w:rsid w:val="00DE74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G-SingleSp05s2">
    <w:name w:val="CG-Single Sp 0.5.s2"/>
    <w:basedOn w:val="Normal"/>
    <w:rsid w:val="00DE7410"/>
    <w:pPr>
      <w:spacing w:after="240"/>
      <w:ind w:firstLine="720"/>
      <w:jc w:val="both"/>
    </w:pPr>
    <w:rPr>
      <w:snapToGrid w:val="0"/>
      <w:sz w:val="22"/>
      <w:szCs w:val="20"/>
    </w:rPr>
  </w:style>
  <w:style w:type="character" w:styleId="CommentReference">
    <w:name w:val="annotation reference"/>
    <w:semiHidden/>
    <w:rsid w:val="00DE7410"/>
    <w:rPr>
      <w:sz w:val="16"/>
      <w:szCs w:val="16"/>
    </w:rPr>
  </w:style>
  <w:style w:type="paragraph" w:styleId="CommentText">
    <w:name w:val="annotation text"/>
    <w:basedOn w:val="Normal"/>
    <w:link w:val="CommentTextChar"/>
    <w:semiHidden/>
    <w:rsid w:val="00DE7410"/>
    <w:rPr>
      <w:sz w:val="20"/>
      <w:szCs w:val="20"/>
    </w:rPr>
  </w:style>
  <w:style w:type="character" w:customStyle="1" w:styleId="CommentTextChar">
    <w:name w:val="Comment Text Char"/>
    <w:link w:val="CommentText"/>
    <w:semiHidden/>
    <w:rsid w:val="00DE7410"/>
    <w:rPr>
      <w:rFonts w:ascii="Times New Roman" w:eastAsia="Times New Roman" w:hAnsi="Times New Roman"/>
      <w:lang w:eastAsia="en-US"/>
    </w:rPr>
  </w:style>
  <w:style w:type="paragraph" w:styleId="CommentSubject">
    <w:name w:val="annotation subject"/>
    <w:basedOn w:val="CommentText"/>
    <w:next w:val="CommentText"/>
    <w:link w:val="CommentSubjectChar"/>
    <w:semiHidden/>
    <w:rsid w:val="00DE7410"/>
    <w:rPr>
      <w:b/>
      <w:bCs/>
    </w:rPr>
  </w:style>
  <w:style w:type="character" w:customStyle="1" w:styleId="CommentSubjectChar">
    <w:name w:val="Comment Subject Char"/>
    <w:link w:val="CommentSubject"/>
    <w:semiHidden/>
    <w:rsid w:val="00DE7410"/>
    <w:rPr>
      <w:rFonts w:ascii="Times New Roman" w:eastAsia="Times New Roman" w:hAnsi="Times New Roman"/>
      <w:b/>
      <w:bCs/>
      <w:lang w:eastAsia="en-US"/>
    </w:rPr>
  </w:style>
  <w:style w:type="paragraph" w:customStyle="1" w:styleId="S2">
    <w:name w:val="S2"/>
    <w:basedOn w:val="CG-SingleSp05"/>
    <w:link w:val="S2Char"/>
    <w:rsid w:val="00DE7410"/>
    <w:pPr>
      <w:spacing w:after="120"/>
      <w:ind w:right="144" w:firstLine="432"/>
    </w:pPr>
    <w:rPr>
      <w:rFonts w:eastAsia="Times New Roman"/>
    </w:rPr>
  </w:style>
  <w:style w:type="character" w:customStyle="1" w:styleId="S2Char">
    <w:name w:val="S2 Char"/>
    <w:link w:val="S2"/>
    <w:rsid w:val="00DE7410"/>
    <w:rPr>
      <w:rFonts w:ascii="Times New Roman" w:eastAsia="Times New Roman" w:hAnsi="Times New Roman"/>
      <w:sz w:val="22"/>
      <w:lang w:val="en-US" w:eastAsia="en-US"/>
    </w:rPr>
  </w:style>
  <w:style w:type="paragraph" w:customStyle="1" w:styleId="Text1bullet">
    <w:name w:val="Text 1 bullet"/>
    <w:basedOn w:val="Normal"/>
    <w:rsid w:val="00DE7410"/>
    <w:pPr>
      <w:overflowPunct w:val="0"/>
      <w:autoSpaceDE w:val="0"/>
      <w:autoSpaceDN w:val="0"/>
      <w:adjustRightInd w:val="0"/>
      <w:spacing w:before="100"/>
      <w:ind w:left="440" w:right="300" w:hanging="440"/>
      <w:jc w:val="both"/>
      <w:textAlignment w:val="baseline"/>
    </w:pPr>
    <w:rPr>
      <w:rFonts w:ascii="Times" w:hAnsi="Times"/>
      <w:sz w:val="20"/>
      <w:szCs w:val="20"/>
      <w:lang w:val="en-GB"/>
    </w:rPr>
  </w:style>
  <w:style w:type="paragraph" w:styleId="NormalWeb">
    <w:name w:val="Normal (Web)"/>
    <w:basedOn w:val="Normal"/>
    <w:uiPriority w:val="99"/>
    <w:rsid w:val="00DE7410"/>
    <w:pPr>
      <w:spacing w:before="100" w:beforeAutospacing="1" w:after="100" w:afterAutospacing="1"/>
    </w:pPr>
    <w:rPr>
      <w:lang w:val="en-US"/>
    </w:rPr>
  </w:style>
  <w:style w:type="paragraph" w:styleId="ListParagraph">
    <w:name w:val="List Paragraph"/>
    <w:basedOn w:val="Normal"/>
    <w:uiPriority w:val="34"/>
    <w:qFormat/>
    <w:rsid w:val="00DE7410"/>
    <w:pPr>
      <w:ind w:left="720"/>
    </w:pPr>
  </w:style>
  <w:style w:type="paragraph" w:customStyle="1" w:styleId="CG-Bullet">
    <w:name w:val="CG-Bullet"/>
    <w:aliases w:val="b1"/>
    <w:basedOn w:val="Normal"/>
    <w:rsid w:val="00DE7410"/>
    <w:pPr>
      <w:numPr>
        <w:numId w:val="2"/>
      </w:numPr>
      <w:spacing w:after="240"/>
      <w:jc w:val="both"/>
    </w:pPr>
    <w:rPr>
      <w:rFonts w:eastAsia="MS Mincho"/>
      <w:sz w:val="22"/>
      <w:szCs w:val="22"/>
      <w:lang w:val="en-US"/>
    </w:rPr>
  </w:style>
  <w:style w:type="paragraph" w:customStyle="1" w:styleId="Default">
    <w:name w:val="Default"/>
    <w:uiPriority w:val="99"/>
    <w:rsid w:val="00DE7410"/>
    <w:pPr>
      <w:autoSpaceDE w:val="0"/>
      <w:autoSpaceDN w:val="0"/>
      <w:adjustRightInd w:val="0"/>
    </w:pPr>
    <w:rPr>
      <w:rFonts w:ascii="Trebuchet MS" w:eastAsia="Times New Roman" w:hAnsi="Trebuchet MS" w:cs="Trebuchet MS"/>
      <w:color w:val="000000"/>
      <w:sz w:val="24"/>
      <w:szCs w:val="24"/>
    </w:rPr>
  </w:style>
  <w:style w:type="paragraph" w:customStyle="1" w:styleId="Pa2">
    <w:name w:val="Pa2"/>
    <w:basedOn w:val="Default"/>
    <w:next w:val="Default"/>
    <w:uiPriority w:val="99"/>
    <w:rsid w:val="00DE7410"/>
    <w:pPr>
      <w:spacing w:line="191" w:lineRule="atLeast"/>
    </w:pPr>
    <w:rPr>
      <w:rFonts w:ascii="Univers LT Std 45 Light" w:hAnsi="Univers LT Std 45 Light" w:cs="Times New Roman"/>
      <w:color w:val="auto"/>
    </w:rPr>
  </w:style>
  <w:style w:type="paragraph" w:styleId="Revision">
    <w:name w:val="Revision"/>
    <w:hidden/>
    <w:uiPriority w:val="99"/>
    <w:semiHidden/>
    <w:rsid w:val="00DE7410"/>
    <w:rPr>
      <w:rFonts w:ascii="Times New Roman" w:eastAsia="Times New Roman" w:hAnsi="Times New Roman"/>
      <w:sz w:val="24"/>
      <w:szCs w:val="24"/>
      <w:lang w:eastAsia="en-US"/>
    </w:rPr>
  </w:style>
  <w:style w:type="paragraph" w:styleId="NoSpacing">
    <w:name w:val="No Spacing"/>
    <w:uiPriority w:val="1"/>
    <w:qFormat/>
    <w:rsid w:val="00D7268B"/>
    <w:pPr>
      <w:suppressAutoHyphens/>
      <w:autoSpaceDN w:val="0"/>
    </w:pPr>
    <w:rPr>
      <w:sz w:val="22"/>
      <w:szCs w:val="22"/>
      <w:lang w:eastAsia="en-US"/>
    </w:rPr>
  </w:style>
  <w:style w:type="paragraph" w:customStyle="1" w:styleId="CG-SingleSp1">
    <w:name w:val="CG-Single Sp 1"/>
    <w:aliases w:val="s3"/>
    <w:basedOn w:val="Normal"/>
    <w:rsid w:val="009C3AC9"/>
    <w:pPr>
      <w:spacing w:after="240"/>
      <w:ind w:firstLine="1440"/>
    </w:pPr>
    <w:rPr>
      <w:rFonts w:eastAsia="MS Mincho"/>
      <w:lang w:val="en-US"/>
    </w:rPr>
  </w:style>
  <w:style w:type="paragraph" w:customStyle="1" w:styleId="CG-SingleSp">
    <w:name w:val="CG-Single Sp"/>
    <w:aliases w:val="s1"/>
    <w:basedOn w:val="Normal"/>
    <w:rsid w:val="009C3AC9"/>
    <w:pPr>
      <w:spacing w:after="240"/>
    </w:pPr>
    <w:rPr>
      <w:rFonts w:eastAsia="MS Mincho"/>
      <w:sz w:val="22"/>
      <w:szCs w:val="22"/>
      <w:lang w:val="en-US"/>
    </w:rPr>
  </w:style>
  <w:style w:type="paragraph" w:customStyle="1" w:styleId="CG-Title-Left-Bold">
    <w:name w:val="CG-Title-Left-Bold"/>
    <w:aliases w:val="t3"/>
    <w:basedOn w:val="Normal"/>
    <w:next w:val="CG-SingleSp1"/>
    <w:rsid w:val="009C3AC9"/>
    <w:pPr>
      <w:keepNext/>
      <w:spacing w:after="240"/>
    </w:pPr>
    <w:rPr>
      <w:rFonts w:eastAsia="MS Mincho"/>
      <w:b/>
      <w:bCs/>
      <w:sz w:val="22"/>
      <w:szCs w:val="22"/>
      <w:lang w:val="en-US"/>
    </w:rPr>
  </w:style>
  <w:style w:type="character" w:customStyle="1" w:styleId="r">
    <w:name w:val="r"/>
    <w:basedOn w:val="DefaultParagraphFont"/>
    <w:rsid w:val="0035558E"/>
  </w:style>
  <w:style w:type="character" w:customStyle="1" w:styleId="cf">
    <w:name w:val="cf"/>
    <w:basedOn w:val="DefaultParagraphFont"/>
    <w:rsid w:val="000A5A8F"/>
  </w:style>
  <w:style w:type="paragraph" w:customStyle="1" w:styleId="-Body-text">
    <w:name w:val="- Body - text"/>
    <w:basedOn w:val="Normal"/>
    <w:link w:val="-Body-textChar1"/>
    <w:uiPriority w:val="99"/>
    <w:rsid w:val="00D735E7"/>
    <w:pPr>
      <w:widowControl w:val="0"/>
      <w:tabs>
        <w:tab w:val="left" w:pos="340"/>
      </w:tabs>
      <w:suppressAutoHyphens/>
      <w:autoSpaceDE w:val="0"/>
      <w:autoSpaceDN w:val="0"/>
      <w:adjustRightInd w:val="0"/>
      <w:spacing w:after="120" w:line="288" w:lineRule="auto"/>
      <w:textAlignment w:val="center"/>
    </w:pPr>
    <w:rPr>
      <w:rFonts w:ascii="Arial" w:hAnsi="Arial" w:cs="Arial"/>
      <w:color w:val="000000"/>
      <w:sz w:val="17"/>
      <w:szCs w:val="17"/>
      <w:lang w:val="en-GB" w:eastAsia="en-GB"/>
    </w:rPr>
  </w:style>
  <w:style w:type="paragraph" w:customStyle="1" w:styleId="FSHeadingStyle2">
    <w:name w:val="FS Heading Style 2"/>
    <w:basedOn w:val="Normal"/>
    <w:link w:val="FSHeadingStyle2Char"/>
    <w:qFormat/>
    <w:rsid w:val="00D735E7"/>
    <w:pPr>
      <w:keepLines/>
      <w:widowControl w:val="0"/>
      <w:suppressAutoHyphens/>
      <w:autoSpaceDE w:val="0"/>
      <w:autoSpaceDN w:val="0"/>
      <w:adjustRightInd w:val="0"/>
      <w:spacing w:after="120" w:line="280" w:lineRule="atLeast"/>
      <w:textAlignment w:val="center"/>
    </w:pPr>
    <w:rPr>
      <w:rFonts w:ascii="Arial" w:hAnsi="Arial" w:cs="Arial"/>
      <w:bCs/>
      <w:color w:val="000000"/>
      <w:sz w:val="28"/>
      <w:szCs w:val="28"/>
      <w:lang w:val="en-GB" w:eastAsia="en-GB"/>
    </w:rPr>
  </w:style>
  <w:style w:type="paragraph" w:customStyle="1" w:styleId="FSHeadingStyle1">
    <w:name w:val="FS Heading Style 1"/>
    <w:basedOn w:val="Normal"/>
    <w:link w:val="FSHeadingStyle1Char"/>
    <w:qFormat/>
    <w:rsid w:val="00D735E7"/>
    <w:pPr>
      <w:keepLines/>
      <w:pageBreakBefore/>
      <w:widowControl w:val="0"/>
      <w:suppressAutoHyphens/>
      <w:autoSpaceDE w:val="0"/>
      <w:autoSpaceDN w:val="0"/>
      <w:adjustRightInd w:val="0"/>
      <w:spacing w:before="360" w:after="120" w:line="280" w:lineRule="atLeast"/>
      <w:textAlignment w:val="center"/>
    </w:pPr>
    <w:rPr>
      <w:rFonts w:ascii="Arial" w:hAnsi="Arial" w:cs="Arial"/>
      <w:b/>
      <w:bCs/>
      <w:color w:val="002060"/>
      <w:sz w:val="36"/>
      <w:szCs w:val="36"/>
      <w:lang w:val="en-GB" w:eastAsia="en-GB"/>
    </w:rPr>
  </w:style>
  <w:style w:type="character" w:customStyle="1" w:styleId="FSHeadingStyle2Char">
    <w:name w:val="FS Heading Style 2 Char"/>
    <w:link w:val="FSHeadingStyle2"/>
    <w:rsid w:val="00D735E7"/>
    <w:rPr>
      <w:rFonts w:ascii="Arial" w:eastAsia="Times New Roman" w:hAnsi="Arial" w:cs="Arial"/>
      <w:bCs/>
      <w:color w:val="000000"/>
      <w:sz w:val="28"/>
      <w:szCs w:val="28"/>
      <w:lang w:val="en-GB" w:eastAsia="en-GB"/>
    </w:rPr>
  </w:style>
  <w:style w:type="character" w:customStyle="1" w:styleId="FSHeadingStyle1Char">
    <w:name w:val="FS Heading Style 1 Char"/>
    <w:link w:val="FSHeadingStyle1"/>
    <w:rsid w:val="00D735E7"/>
    <w:rPr>
      <w:rFonts w:ascii="Arial" w:eastAsia="Times New Roman" w:hAnsi="Arial" w:cs="Arial"/>
      <w:b/>
      <w:bCs/>
      <w:color w:val="002060"/>
      <w:sz w:val="36"/>
      <w:szCs w:val="36"/>
      <w:lang w:val="en-GB" w:eastAsia="en-GB"/>
    </w:rPr>
  </w:style>
  <w:style w:type="paragraph" w:customStyle="1" w:styleId="FSBodyStyle1">
    <w:name w:val="FS Body Style 1"/>
    <w:basedOn w:val="-Body-text"/>
    <w:link w:val="FSBodyStyle1Char"/>
    <w:qFormat/>
    <w:rsid w:val="00D735E7"/>
    <w:pPr>
      <w:spacing w:before="120"/>
    </w:pPr>
  </w:style>
  <w:style w:type="character" w:customStyle="1" w:styleId="-Body-textChar1">
    <w:name w:val="- Body - text Char1"/>
    <w:link w:val="-Body-text"/>
    <w:uiPriority w:val="99"/>
    <w:rsid w:val="00D735E7"/>
    <w:rPr>
      <w:rFonts w:ascii="Arial" w:eastAsia="Times New Roman" w:hAnsi="Arial" w:cs="Arial"/>
      <w:color w:val="000000"/>
      <w:sz w:val="17"/>
      <w:szCs w:val="17"/>
      <w:lang w:val="en-GB" w:eastAsia="en-GB"/>
    </w:rPr>
  </w:style>
  <w:style w:type="character" w:customStyle="1" w:styleId="FSBodyStyle1Char">
    <w:name w:val="FS Body Style 1 Char"/>
    <w:link w:val="FSBodyStyle1"/>
    <w:rsid w:val="00D735E7"/>
    <w:rPr>
      <w:rFonts w:ascii="Arial" w:eastAsia="Times New Roman" w:hAnsi="Arial" w:cs="Arial"/>
      <w:color w:val="000000"/>
      <w:sz w:val="17"/>
      <w:szCs w:val="17"/>
      <w:lang w:val="en-GB" w:eastAsia="en-GB"/>
    </w:rPr>
  </w:style>
  <w:style w:type="paragraph" w:customStyle="1" w:styleId="Pa20">
    <w:name w:val="Pa20"/>
    <w:basedOn w:val="Normal"/>
    <w:uiPriority w:val="99"/>
    <w:rsid w:val="00065D64"/>
    <w:pPr>
      <w:autoSpaceDE w:val="0"/>
      <w:autoSpaceDN w:val="0"/>
      <w:spacing w:line="191" w:lineRule="atLeast"/>
    </w:pPr>
    <w:rPr>
      <w:rFonts w:ascii="Univers LT Std 45 Light" w:eastAsia="Calibri" w:hAnsi="Univers LT Std 45 Light"/>
    </w:rPr>
  </w:style>
  <w:style w:type="paragraph" w:customStyle="1" w:styleId="Sub-header">
    <w:name w:val="Sub-header"/>
    <w:basedOn w:val="Normal"/>
    <w:next w:val="Normal"/>
    <w:uiPriority w:val="3"/>
    <w:qFormat/>
    <w:rsid w:val="00110181"/>
    <w:rPr>
      <w:rFonts w:ascii="Arial" w:eastAsia="Calibri" w:hAnsi="Arial"/>
      <w:i/>
      <w:sz w:val="20"/>
      <w:szCs w:val="22"/>
    </w:rPr>
  </w:style>
  <w:style w:type="character" w:customStyle="1" w:styleId="Heading1Char">
    <w:name w:val="Heading 1 Char"/>
    <w:link w:val="Heading1"/>
    <w:uiPriority w:val="9"/>
    <w:rsid w:val="00C45C13"/>
    <w:rPr>
      <w:rFonts w:ascii="Calibri Light" w:eastAsia="Times New Roman" w:hAnsi="Calibri Light" w:cs="Times New Roman"/>
      <w:b/>
      <w:bCs/>
      <w:kern w:val="32"/>
      <w:sz w:val="32"/>
      <w:szCs w:val="32"/>
      <w:lang w:eastAsia="en-US"/>
    </w:rPr>
  </w:style>
  <w:style w:type="character" w:styleId="FollowedHyperlink">
    <w:name w:val="FollowedHyperlink"/>
    <w:uiPriority w:val="99"/>
    <w:semiHidden/>
    <w:unhideWhenUsed/>
    <w:rsid w:val="00DF6155"/>
    <w:rPr>
      <w:color w:val="954F72"/>
      <w:u w:val="single"/>
    </w:rPr>
  </w:style>
  <w:style w:type="paragraph" w:styleId="BodyText">
    <w:name w:val="Body Text"/>
    <w:basedOn w:val="Normal"/>
    <w:link w:val="BodyTextChar"/>
    <w:uiPriority w:val="99"/>
    <w:semiHidden/>
    <w:unhideWhenUsed/>
    <w:rsid w:val="00A66BA3"/>
    <w:pPr>
      <w:spacing w:after="120"/>
    </w:pPr>
  </w:style>
  <w:style w:type="character" w:customStyle="1" w:styleId="BodyTextChar">
    <w:name w:val="Body Text Char"/>
    <w:link w:val="BodyText"/>
    <w:uiPriority w:val="99"/>
    <w:semiHidden/>
    <w:rsid w:val="00A66BA3"/>
    <w:rPr>
      <w:rFonts w:ascii="Times New Roman" w:eastAsia="Times New Roman" w:hAnsi="Times New Roman"/>
      <w:sz w:val="24"/>
      <w:szCs w:val="24"/>
      <w:lang w:eastAsia="en-US"/>
    </w:rPr>
  </w:style>
  <w:style w:type="paragraph" w:styleId="BodyTextFirstIndent">
    <w:name w:val="Body Text First Indent"/>
    <w:basedOn w:val="BodyText"/>
    <w:link w:val="BodyTextFirstIndentChar"/>
    <w:uiPriority w:val="99"/>
    <w:unhideWhenUsed/>
    <w:rsid w:val="00A66BA3"/>
    <w:pPr>
      <w:ind w:firstLine="210"/>
    </w:pPr>
  </w:style>
  <w:style w:type="character" w:customStyle="1" w:styleId="BodyTextFirstIndentChar">
    <w:name w:val="Body Text First Indent Char"/>
    <w:basedOn w:val="BodyTextChar"/>
    <w:link w:val="BodyTextFirstIndent"/>
    <w:uiPriority w:val="99"/>
    <w:rsid w:val="00A66BA3"/>
    <w:rPr>
      <w:rFonts w:ascii="Times New Roman" w:eastAsia="Times New Roman" w:hAnsi="Times New Roman"/>
      <w:sz w:val="24"/>
      <w:szCs w:val="24"/>
      <w:lang w:eastAsia="en-US"/>
    </w:rPr>
  </w:style>
  <w:style w:type="character" w:styleId="UnresolvedMention">
    <w:name w:val="Unresolved Mention"/>
    <w:uiPriority w:val="99"/>
    <w:semiHidden/>
    <w:unhideWhenUsed/>
    <w:rsid w:val="004C58D6"/>
    <w:rPr>
      <w:color w:val="605E5C"/>
      <w:shd w:val="clear" w:color="auto" w:fill="E1DFDD"/>
    </w:rPr>
  </w:style>
  <w:style w:type="paragraph" w:styleId="ListBullet2">
    <w:name w:val="List Bullet 2"/>
    <w:basedOn w:val="Normal"/>
    <w:uiPriority w:val="13"/>
    <w:qFormat/>
    <w:rsid w:val="008B41A5"/>
    <w:pPr>
      <w:numPr>
        <w:ilvl w:val="1"/>
        <w:numId w:val="13"/>
      </w:numPr>
      <w:tabs>
        <w:tab w:val="num" w:pos="1133"/>
      </w:tabs>
      <w:spacing w:after="240"/>
      <w:ind w:left="1133" w:hanging="566"/>
      <w:contextualSpacing/>
    </w:pPr>
    <w:rPr>
      <w:rFonts w:ascii="Georgia" w:eastAsia="Georgia" w:hAnsi="Georgia" w:cs="Georgia"/>
      <w:sz w:val="20"/>
      <w:szCs w:val="20"/>
      <w:lang w:val="en-GB" w:eastAsia="en-GB"/>
    </w:rPr>
  </w:style>
  <w:style w:type="paragraph" w:styleId="ListBullet3">
    <w:name w:val="List Bullet 3"/>
    <w:basedOn w:val="Normal"/>
    <w:uiPriority w:val="13"/>
    <w:qFormat/>
    <w:rsid w:val="008B41A5"/>
    <w:pPr>
      <w:numPr>
        <w:ilvl w:val="2"/>
        <w:numId w:val="13"/>
      </w:numPr>
      <w:tabs>
        <w:tab w:val="num" w:pos="1700"/>
      </w:tabs>
      <w:spacing w:after="240"/>
      <w:ind w:left="1700" w:hanging="566"/>
      <w:contextualSpacing/>
    </w:pPr>
    <w:rPr>
      <w:rFonts w:ascii="Georgia" w:eastAsia="Georgia" w:hAnsi="Georgia" w:cs="Georgia"/>
      <w:sz w:val="20"/>
      <w:szCs w:val="20"/>
      <w:lang w:val="en-GB" w:eastAsia="en-GB"/>
    </w:rPr>
  </w:style>
  <w:style w:type="paragraph" w:styleId="ListBullet4">
    <w:name w:val="List Bullet 4"/>
    <w:basedOn w:val="Normal"/>
    <w:uiPriority w:val="13"/>
    <w:rsid w:val="008B41A5"/>
    <w:pPr>
      <w:numPr>
        <w:ilvl w:val="3"/>
        <w:numId w:val="13"/>
      </w:numPr>
      <w:tabs>
        <w:tab w:val="num" w:pos="2267"/>
      </w:tabs>
      <w:spacing w:after="240"/>
      <w:ind w:left="2267" w:hanging="566"/>
      <w:contextualSpacing/>
    </w:pPr>
    <w:rPr>
      <w:rFonts w:ascii="Georgia" w:eastAsia="Georgia" w:hAnsi="Georgia" w:cs="Georgia"/>
      <w:sz w:val="20"/>
      <w:szCs w:val="20"/>
      <w:lang w:val="en-GB" w:eastAsia="en-GB"/>
    </w:rPr>
  </w:style>
  <w:style w:type="paragraph" w:styleId="ListBullet5">
    <w:name w:val="List Bullet 5"/>
    <w:basedOn w:val="Normal"/>
    <w:uiPriority w:val="13"/>
    <w:rsid w:val="008B41A5"/>
    <w:pPr>
      <w:numPr>
        <w:ilvl w:val="4"/>
        <w:numId w:val="13"/>
      </w:numPr>
      <w:tabs>
        <w:tab w:val="num" w:pos="2834"/>
      </w:tabs>
      <w:spacing w:after="240"/>
      <w:ind w:left="2834" w:hanging="566"/>
      <w:contextualSpacing/>
    </w:pPr>
    <w:rPr>
      <w:rFonts w:ascii="Georgia" w:eastAsia="Georgia" w:hAnsi="Georgia" w:cs="Georgia"/>
      <w:sz w:val="20"/>
      <w:szCs w:val="20"/>
      <w:lang w:val="en-GB" w:eastAsia="en-GB"/>
    </w:rPr>
  </w:style>
  <w:style w:type="table" w:customStyle="1" w:styleId="TableGrid1">
    <w:name w:val="Table Grid1"/>
    <w:basedOn w:val="TableNormal"/>
    <w:next w:val="TableGrid"/>
    <w:uiPriority w:val="39"/>
    <w:rsid w:val="00DB75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720">
      <w:bodyDiv w:val="1"/>
      <w:marLeft w:val="0"/>
      <w:marRight w:val="0"/>
      <w:marTop w:val="0"/>
      <w:marBottom w:val="0"/>
      <w:divBdr>
        <w:top w:val="none" w:sz="0" w:space="0" w:color="auto"/>
        <w:left w:val="none" w:sz="0" w:space="0" w:color="auto"/>
        <w:bottom w:val="none" w:sz="0" w:space="0" w:color="auto"/>
        <w:right w:val="none" w:sz="0" w:space="0" w:color="auto"/>
      </w:divBdr>
    </w:div>
    <w:div w:id="21244416">
      <w:bodyDiv w:val="1"/>
      <w:marLeft w:val="0"/>
      <w:marRight w:val="0"/>
      <w:marTop w:val="0"/>
      <w:marBottom w:val="0"/>
      <w:divBdr>
        <w:top w:val="none" w:sz="0" w:space="0" w:color="auto"/>
        <w:left w:val="none" w:sz="0" w:space="0" w:color="auto"/>
        <w:bottom w:val="none" w:sz="0" w:space="0" w:color="auto"/>
        <w:right w:val="none" w:sz="0" w:space="0" w:color="auto"/>
      </w:divBdr>
    </w:div>
    <w:div w:id="43263593">
      <w:bodyDiv w:val="1"/>
      <w:marLeft w:val="0"/>
      <w:marRight w:val="0"/>
      <w:marTop w:val="0"/>
      <w:marBottom w:val="0"/>
      <w:divBdr>
        <w:top w:val="none" w:sz="0" w:space="0" w:color="auto"/>
        <w:left w:val="none" w:sz="0" w:space="0" w:color="auto"/>
        <w:bottom w:val="none" w:sz="0" w:space="0" w:color="auto"/>
        <w:right w:val="none" w:sz="0" w:space="0" w:color="auto"/>
      </w:divBdr>
    </w:div>
    <w:div w:id="55513981">
      <w:bodyDiv w:val="1"/>
      <w:marLeft w:val="0"/>
      <w:marRight w:val="0"/>
      <w:marTop w:val="0"/>
      <w:marBottom w:val="0"/>
      <w:divBdr>
        <w:top w:val="none" w:sz="0" w:space="0" w:color="auto"/>
        <w:left w:val="none" w:sz="0" w:space="0" w:color="auto"/>
        <w:bottom w:val="none" w:sz="0" w:space="0" w:color="auto"/>
        <w:right w:val="none" w:sz="0" w:space="0" w:color="auto"/>
      </w:divBdr>
    </w:div>
    <w:div w:id="69810834">
      <w:bodyDiv w:val="1"/>
      <w:marLeft w:val="0"/>
      <w:marRight w:val="0"/>
      <w:marTop w:val="0"/>
      <w:marBottom w:val="0"/>
      <w:divBdr>
        <w:top w:val="none" w:sz="0" w:space="0" w:color="auto"/>
        <w:left w:val="none" w:sz="0" w:space="0" w:color="auto"/>
        <w:bottom w:val="none" w:sz="0" w:space="0" w:color="auto"/>
        <w:right w:val="none" w:sz="0" w:space="0" w:color="auto"/>
      </w:divBdr>
    </w:div>
    <w:div w:id="70010784">
      <w:bodyDiv w:val="1"/>
      <w:marLeft w:val="0"/>
      <w:marRight w:val="0"/>
      <w:marTop w:val="0"/>
      <w:marBottom w:val="0"/>
      <w:divBdr>
        <w:top w:val="none" w:sz="0" w:space="0" w:color="auto"/>
        <w:left w:val="none" w:sz="0" w:space="0" w:color="auto"/>
        <w:bottom w:val="none" w:sz="0" w:space="0" w:color="auto"/>
        <w:right w:val="none" w:sz="0" w:space="0" w:color="auto"/>
      </w:divBdr>
    </w:div>
    <w:div w:id="84766603">
      <w:bodyDiv w:val="1"/>
      <w:marLeft w:val="0"/>
      <w:marRight w:val="0"/>
      <w:marTop w:val="0"/>
      <w:marBottom w:val="0"/>
      <w:divBdr>
        <w:top w:val="none" w:sz="0" w:space="0" w:color="auto"/>
        <w:left w:val="none" w:sz="0" w:space="0" w:color="auto"/>
        <w:bottom w:val="none" w:sz="0" w:space="0" w:color="auto"/>
        <w:right w:val="none" w:sz="0" w:space="0" w:color="auto"/>
      </w:divBdr>
    </w:div>
    <w:div w:id="90975303">
      <w:bodyDiv w:val="1"/>
      <w:marLeft w:val="0"/>
      <w:marRight w:val="0"/>
      <w:marTop w:val="0"/>
      <w:marBottom w:val="0"/>
      <w:divBdr>
        <w:top w:val="none" w:sz="0" w:space="0" w:color="auto"/>
        <w:left w:val="none" w:sz="0" w:space="0" w:color="auto"/>
        <w:bottom w:val="none" w:sz="0" w:space="0" w:color="auto"/>
        <w:right w:val="none" w:sz="0" w:space="0" w:color="auto"/>
      </w:divBdr>
    </w:div>
    <w:div w:id="127938800">
      <w:bodyDiv w:val="1"/>
      <w:marLeft w:val="0"/>
      <w:marRight w:val="0"/>
      <w:marTop w:val="0"/>
      <w:marBottom w:val="0"/>
      <w:divBdr>
        <w:top w:val="none" w:sz="0" w:space="0" w:color="auto"/>
        <w:left w:val="none" w:sz="0" w:space="0" w:color="auto"/>
        <w:bottom w:val="none" w:sz="0" w:space="0" w:color="auto"/>
        <w:right w:val="none" w:sz="0" w:space="0" w:color="auto"/>
      </w:divBdr>
    </w:div>
    <w:div w:id="179130823">
      <w:bodyDiv w:val="1"/>
      <w:marLeft w:val="0"/>
      <w:marRight w:val="0"/>
      <w:marTop w:val="0"/>
      <w:marBottom w:val="0"/>
      <w:divBdr>
        <w:top w:val="none" w:sz="0" w:space="0" w:color="auto"/>
        <w:left w:val="none" w:sz="0" w:space="0" w:color="auto"/>
        <w:bottom w:val="none" w:sz="0" w:space="0" w:color="auto"/>
        <w:right w:val="none" w:sz="0" w:space="0" w:color="auto"/>
      </w:divBdr>
    </w:div>
    <w:div w:id="238173479">
      <w:bodyDiv w:val="1"/>
      <w:marLeft w:val="0"/>
      <w:marRight w:val="0"/>
      <w:marTop w:val="0"/>
      <w:marBottom w:val="0"/>
      <w:divBdr>
        <w:top w:val="none" w:sz="0" w:space="0" w:color="auto"/>
        <w:left w:val="none" w:sz="0" w:space="0" w:color="auto"/>
        <w:bottom w:val="none" w:sz="0" w:space="0" w:color="auto"/>
        <w:right w:val="none" w:sz="0" w:space="0" w:color="auto"/>
      </w:divBdr>
    </w:div>
    <w:div w:id="248470810">
      <w:bodyDiv w:val="1"/>
      <w:marLeft w:val="0"/>
      <w:marRight w:val="0"/>
      <w:marTop w:val="0"/>
      <w:marBottom w:val="0"/>
      <w:divBdr>
        <w:top w:val="none" w:sz="0" w:space="0" w:color="auto"/>
        <w:left w:val="none" w:sz="0" w:space="0" w:color="auto"/>
        <w:bottom w:val="none" w:sz="0" w:space="0" w:color="auto"/>
        <w:right w:val="none" w:sz="0" w:space="0" w:color="auto"/>
      </w:divBdr>
    </w:div>
    <w:div w:id="251472704">
      <w:bodyDiv w:val="1"/>
      <w:marLeft w:val="0"/>
      <w:marRight w:val="0"/>
      <w:marTop w:val="0"/>
      <w:marBottom w:val="0"/>
      <w:divBdr>
        <w:top w:val="none" w:sz="0" w:space="0" w:color="auto"/>
        <w:left w:val="none" w:sz="0" w:space="0" w:color="auto"/>
        <w:bottom w:val="none" w:sz="0" w:space="0" w:color="auto"/>
        <w:right w:val="none" w:sz="0" w:space="0" w:color="auto"/>
      </w:divBdr>
    </w:div>
    <w:div w:id="255941001">
      <w:bodyDiv w:val="1"/>
      <w:marLeft w:val="0"/>
      <w:marRight w:val="0"/>
      <w:marTop w:val="0"/>
      <w:marBottom w:val="0"/>
      <w:divBdr>
        <w:top w:val="none" w:sz="0" w:space="0" w:color="auto"/>
        <w:left w:val="none" w:sz="0" w:space="0" w:color="auto"/>
        <w:bottom w:val="none" w:sz="0" w:space="0" w:color="auto"/>
        <w:right w:val="none" w:sz="0" w:space="0" w:color="auto"/>
      </w:divBdr>
    </w:div>
    <w:div w:id="304547055">
      <w:bodyDiv w:val="1"/>
      <w:marLeft w:val="0"/>
      <w:marRight w:val="0"/>
      <w:marTop w:val="0"/>
      <w:marBottom w:val="0"/>
      <w:divBdr>
        <w:top w:val="none" w:sz="0" w:space="0" w:color="auto"/>
        <w:left w:val="none" w:sz="0" w:space="0" w:color="auto"/>
        <w:bottom w:val="none" w:sz="0" w:space="0" w:color="auto"/>
        <w:right w:val="none" w:sz="0" w:space="0" w:color="auto"/>
      </w:divBdr>
    </w:div>
    <w:div w:id="326129841">
      <w:bodyDiv w:val="1"/>
      <w:marLeft w:val="0"/>
      <w:marRight w:val="0"/>
      <w:marTop w:val="0"/>
      <w:marBottom w:val="0"/>
      <w:divBdr>
        <w:top w:val="none" w:sz="0" w:space="0" w:color="auto"/>
        <w:left w:val="none" w:sz="0" w:space="0" w:color="auto"/>
        <w:bottom w:val="none" w:sz="0" w:space="0" w:color="auto"/>
        <w:right w:val="none" w:sz="0" w:space="0" w:color="auto"/>
      </w:divBdr>
    </w:div>
    <w:div w:id="332491830">
      <w:bodyDiv w:val="1"/>
      <w:marLeft w:val="0"/>
      <w:marRight w:val="0"/>
      <w:marTop w:val="0"/>
      <w:marBottom w:val="0"/>
      <w:divBdr>
        <w:top w:val="none" w:sz="0" w:space="0" w:color="auto"/>
        <w:left w:val="none" w:sz="0" w:space="0" w:color="auto"/>
        <w:bottom w:val="none" w:sz="0" w:space="0" w:color="auto"/>
        <w:right w:val="none" w:sz="0" w:space="0" w:color="auto"/>
      </w:divBdr>
    </w:div>
    <w:div w:id="333609419">
      <w:bodyDiv w:val="1"/>
      <w:marLeft w:val="0"/>
      <w:marRight w:val="0"/>
      <w:marTop w:val="0"/>
      <w:marBottom w:val="0"/>
      <w:divBdr>
        <w:top w:val="none" w:sz="0" w:space="0" w:color="auto"/>
        <w:left w:val="none" w:sz="0" w:space="0" w:color="auto"/>
        <w:bottom w:val="none" w:sz="0" w:space="0" w:color="auto"/>
        <w:right w:val="none" w:sz="0" w:space="0" w:color="auto"/>
      </w:divBdr>
    </w:div>
    <w:div w:id="433672385">
      <w:bodyDiv w:val="1"/>
      <w:marLeft w:val="0"/>
      <w:marRight w:val="0"/>
      <w:marTop w:val="0"/>
      <w:marBottom w:val="0"/>
      <w:divBdr>
        <w:top w:val="none" w:sz="0" w:space="0" w:color="auto"/>
        <w:left w:val="none" w:sz="0" w:space="0" w:color="auto"/>
        <w:bottom w:val="none" w:sz="0" w:space="0" w:color="auto"/>
        <w:right w:val="none" w:sz="0" w:space="0" w:color="auto"/>
      </w:divBdr>
    </w:div>
    <w:div w:id="436603275">
      <w:bodyDiv w:val="1"/>
      <w:marLeft w:val="0"/>
      <w:marRight w:val="0"/>
      <w:marTop w:val="0"/>
      <w:marBottom w:val="0"/>
      <w:divBdr>
        <w:top w:val="none" w:sz="0" w:space="0" w:color="auto"/>
        <w:left w:val="none" w:sz="0" w:space="0" w:color="auto"/>
        <w:bottom w:val="none" w:sz="0" w:space="0" w:color="auto"/>
        <w:right w:val="none" w:sz="0" w:space="0" w:color="auto"/>
      </w:divBdr>
    </w:div>
    <w:div w:id="494564936">
      <w:bodyDiv w:val="1"/>
      <w:marLeft w:val="0"/>
      <w:marRight w:val="0"/>
      <w:marTop w:val="0"/>
      <w:marBottom w:val="0"/>
      <w:divBdr>
        <w:top w:val="none" w:sz="0" w:space="0" w:color="auto"/>
        <w:left w:val="none" w:sz="0" w:space="0" w:color="auto"/>
        <w:bottom w:val="none" w:sz="0" w:space="0" w:color="auto"/>
        <w:right w:val="none" w:sz="0" w:space="0" w:color="auto"/>
      </w:divBdr>
    </w:div>
    <w:div w:id="532305764">
      <w:bodyDiv w:val="1"/>
      <w:marLeft w:val="0"/>
      <w:marRight w:val="0"/>
      <w:marTop w:val="0"/>
      <w:marBottom w:val="0"/>
      <w:divBdr>
        <w:top w:val="none" w:sz="0" w:space="0" w:color="auto"/>
        <w:left w:val="none" w:sz="0" w:space="0" w:color="auto"/>
        <w:bottom w:val="none" w:sz="0" w:space="0" w:color="auto"/>
        <w:right w:val="none" w:sz="0" w:space="0" w:color="auto"/>
      </w:divBdr>
    </w:div>
    <w:div w:id="582031071">
      <w:bodyDiv w:val="1"/>
      <w:marLeft w:val="0"/>
      <w:marRight w:val="0"/>
      <w:marTop w:val="0"/>
      <w:marBottom w:val="0"/>
      <w:divBdr>
        <w:top w:val="none" w:sz="0" w:space="0" w:color="auto"/>
        <w:left w:val="none" w:sz="0" w:space="0" w:color="auto"/>
        <w:bottom w:val="none" w:sz="0" w:space="0" w:color="auto"/>
        <w:right w:val="none" w:sz="0" w:space="0" w:color="auto"/>
      </w:divBdr>
    </w:div>
    <w:div w:id="613371018">
      <w:bodyDiv w:val="1"/>
      <w:marLeft w:val="0"/>
      <w:marRight w:val="0"/>
      <w:marTop w:val="0"/>
      <w:marBottom w:val="0"/>
      <w:divBdr>
        <w:top w:val="none" w:sz="0" w:space="0" w:color="auto"/>
        <w:left w:val="none" w:sz="0" w:space="0" w:color="auto"/>
        <w:bottom w:val="none" w:sz="0" w:space="0" w:color="auto"/>
        <w:right w:val="none" w:sz="0" w:space="0" w:color="auto"/>
      </w:divBdr>
    </w:div>
    <w:div w:id="689910600">
      <w:bodyDiv w:val="1"/>
      <w:marLeft w:val="0"/>
      <w:marRight w:val="0"/>
      <w:marTop w:val="0"/>
      <w:marBottom w:val="0"/>
      <w:divBdr>
        <w:top w:val="none" w:sz="0" w:space="0" w:color="auto"/>
        <w:left w:val="none" w:sz="0" w:space="0" w:color="auto"/>
        <w:bottom w:val="none" w:sz="0" w:space="0" w:color="auto"/>
        <w:right w:val="none" w:sz="0" w:space="0" w:color="auto"/>
      </w:divBdr>
    </w:div>
    <w:div w:id="692193619">
      <w:bodyDiv w:val="1"/>
      <w:marLeft w:val="0"/>
      <w:marRight w:val="0"/>
      <w:marTop w:val="0"/>
      <w:marBottom w:val="0"/>
      <w:divBdr>
        <w:top w:val="none" w:sz="0" w:space="0" w:color="auto"/>
        <w:left w:val="none" w:sz="0" w:space="0" w:color="auto"/>
        <w:bottom w:val="none" w:sz="0" w:space="0" w:color="auto"/>
        <w:right w:val="none" w:sz="0" w:space="0" w:color="auto"/>
      </w:divBdr>
    </w:div>
    <w:div w:id="695468639">
      <w:bodyDiv w:val="1"/>
      <w:marLeft w:val="0"/>
      <w:marRight w:val="0"/>
      <w:marTop w:val="0"/>
      <w:marBottom w:val="0"/>
      <w:divBdr>
        <w:top w:val="none" w:sz="0" w:space="0" w:color="auto"/>
        <w:left w:val="none" w:sz="0" w:space="0" w:color="auto"/>
        <w:bottom w:val="none" w:sz="0" w:space="0" w:color="auto"/>
        <w:right w:val="none" w:sz="0" w:space="0" w:color="auto"/>
      </w:divBdr>
    </w:div>
    <w:div w:id="736049469">
      <w:bodyDiv w:val="1"/>
      <w:marLeft w:val="0"/>
      <w:marRight w:val="0"/>
      <w:marTop w:val="0"/>
      <w:marBottom w:val="0"/>
      <w:divBdr>
        <w:top w:val="none" w:sz="0" w:space="0" w:color="auto"/>
        <w:left w:val="none" w:sz="0" w:space="0" w:color="auto"/>
        <w:bottom w:val="none" w:sz="0" w:space="0" w:color="auto"/>
        <w:right w:val="none" w:sz="0" w:space="0" w:color="auto"/>
      </w:divBdr>
    </w:div>
    <w:div w:id="761687596">
      <w:bodyDiv w:val="1"/>
      <w:marLeft w:val="0"/>
      <w:marRight w:val="0"/>
      <w:marTop w:val="0"/>
      <w:marBottom w:val="0"/>
      <w:divBdr>
        <w:top w:val="none" w:sz="0" w:space="0" w:color="auto"/>
        <w:left w:val="none" w:sz="0" w:space="0" w:color="auto"/>
        <w:bottom w:val="none" w:sz="0" w:space="0" w:color="auto"/>
        <w:right w:val="none" w:sz="0" w:space="0" w:color="auto"/>
      </w:divBdr>
    </w:div>
    <w:div w:id="764572208">
      <w:bodyDiv w:val="1"/>
      <w:marLeft w:val="0"/>
      <w:marRight w:val="0"/>
      <w:marTop w:val="0"/>
      <w:marBottom w:val="0"/>
      <w:divBdr>
        <w:top w:val="none" w:sz="0" w:space="0" w:color="auto"/>
        <w:left w:val="none" w:sz="0" w:space="0" w:color="auto"/>
        <w:bottom w:val="none" w:sz="0" w:space="0" w:color="auto"/>
        <w:right w:val="none" w:sz="0" w:space="0" w:color="auto"/>
      </w:divBdr>
    </w:div>
    <w:div w:id="786504113">
      <w:bodyDiv w:val="1"/>
      <w:marLeft w:val="0"/>
      <w:marRight w:val="0"/>
      <w:marTop w:val="0"/>
      <w:marBottom w:val="0"/>
      <w:divBdr>
        <w:top w:val="none" w:sz="0" w:space="0" w:color="auto"/>
        <w:left w:val="none" w:sz="0" w:space="0" w:color="auto"/>
        <w:bottom w:val="none" w:sz="0" w:space="0" w:color="auto"/>
        <w:right w:val="none" w:sz="0" w:space="0" w:color="auto"/>
      </w:divBdr>
    </w:div>
    <w:div w:id="849877168">
      <w:bodyDiv w:val="1"/>
      <w:marLeft w:val="0"/>
      <w:marRight w:val="0"/>
      <w:marTop w:val="0"/>
      <w:marBottom w:val="0"/>
      <w:divBdr>
        <w:top w:val="none" w:sz="0" w:space="0" w:color="auto"/>
        <w:left w:val="none" w:sz="0" w:space="0" w:color="auto"/>
        <w:bottom w:val="none" w:sz="0" w:space="0" w:color="auto"/>
        <w:right w:val="none" w:sz="0" w:space="0" w:color="auto"/>
      </w:divBdr>
    </w:div>
    <w:div w:id="867989473">
      <w:bodyDiv w:val="1"/>
      <w:marLeft w:val="0"/>
      <w:marRight w:val="0"/>
      <w:marTop w:val="0"/>
      <w:marBottom w:val="0"/>
      <w:divBdr>
        <w:top w:val="none" w:sz="0" w:space="0" w:color="auto"/>
        <w:left w:val="none" w:sz="0" w:space="0" w:color="auto"/>
        <w:bottom w:val="none" w:sz="0" w:space="0" w:color="auto"/>
        <w:right w:val="none" w:sz="0" w:space="0" w:color="auto"/>
      </w:divBdr>
    </w:div>
    <w:div w:id="874543736">
      <w:bodyDiv w:val="1"/>
      <w:marLeft w:val="0"/>
      <w:marRight w:val="0"/>
      <w:marTop w:val="0"/>
      <w:marBottom w:val="0"/>
      <w:divBdr>
        <w:top w:val="none" w:sz="0" w:space="0" w:color="auto"/>
        <w:left w:val="none" w:sz="0" w:space="0" w:color="auto"/>
        <w:bottom w:val="none" w:sz="0" w:space="0" w:color="auto"/>
        <w:right w:val="none" w:sz="0" w:space="0" w:color="auto"/>
      </w:divBdr>
    </w:div>
    <w:div w:id="912737593">
      <w:bodyDiv w:val="1"/>
      <w:marLeft w:val="0"/>
      <w:marRight w:val="0"/>
      <w:marTop w:val="0"/>
      <w:marBottom w:val="0"/>
      <w:divBdr>
        <w:top w:val="none" w:sz="0" w:space="0" w:color="auto"/>
        <w:left w:val="none" w:sz="0" w:space="0" w:color="auto"/>
        <w:bottom w:val="none" w:sz="0" w:space="0" w:color="auto"/>
        <w:right w:val="none" w:sz="0" w:space="0" w:color="auto"/>
      </w:divBdr>
    </w:div>
    <w:div w:id="977875697">
      <w:bodyDiv w:val="1"/>
      <w:marLeft w:val="0"/>
      <w:marRight w:val="0"/>
      <w:marTop w:val="0"/>
      <w:marBottom w:val="0"/>
      <w:divBdr>
        <w:top w:val="none" w:sz="0" w:space="0" w:color="auto"/>
        <w:left w:val="none" w:sz="0" w:space="0" w:color="auto"/>
        <w:bottom w:val="none" w:sz="0" w:space="0" w:color="auto"/>
        <w:right w:val="none" w:sz="0" w:space="0" w:color="auto"/>
      </w:divBdr>
    </w:div>
    <w:div w:id="982077963">
      <w:bodyDiv w:val="1"/>
      <w:marLeft w:val="0"/>
      <w:marRight w:val="0"/>
      <w:marTop w:val="0"/>
      <w:marBottom w:val="0"/>
      <w:divBdr>
        <w:top w:val="none" w:sz="0" w:space="0" w:color="auto"/>
        <w:left w:val="none" w:sz="0" w:space="0" w:color="auto"/>
        <w:bottom w:val="none" w:sz="0" w:space="0" w:color="auto"/>
        <w:right w:val="none" w:sz="0" w:space="0" w:color="auto"/>
      </w:divBdr>
    </w:div>
    <w:div w:id="1024087777">
      <w:bodyDiv w:val="1"/>
      <w:marLeft w:val="0"/>
      <w:marRight w:val="0"/>
      <w:marTop w:val="0"/>
      <w:marBottom w:val="0"/>
      <w:divBdr>
        <w:top w:val="none" w:sz="0" w:space="0" w:color="auto"/>
        <w:left w:val="none" w:sz="0" w:space="0" w:color="auto"/>
        <w:bottom w:val="none" w:sz="0" w:space="0" w:color="auto"/>
        <w:right w:val="none" w:sz="0" w:space="0" w:color="auto"/>
      </w:divBdr>
    </w:div>
    <w:div w:id="1061371862">
      <w:bodyDiv w:val="1"/>
      <w:marLeft w:val="0"/>
      <w:marRight w:val="0"/>
      <w:marTop w:val="0"/>
      <w:marBottom w:val="0"/>
      <w:divBdr>
        <w:top w:val="none" w:sz="0" w:space="0" w:color="auto"/>
        <w:left w:val="none" w:sz="0" w:space="0" w:color="auto"/>
        <w:bottom w:val="none" w:sz="0" w:space="0" w:color="auto"/>
        <w:right w:val="none" w:sz="0" w:space="0" w:color="auto"/>
      </w:divBdr>
    </w:div>
    <w:div w:id="1075126367">
      <w:bodyDiv w:val="1"/>
      <w:marLeft w:val="0"/>
      <w:marRight w:val="0"/>
      <w:marTop w:val="0"/>
      <w:marBottom w:val="0"/>
      <w:divBdr>
        <w:top w:val="none" w:sz="0" w:space="0" w:color="auto"/>
        <w:left w:val="none" w:sz="0" w:space="0" w:color="auto"/>
        <w:bottom w:val="none" w:sz="0" w:space="0" w:color="auto"/>
        <w:right w:val="none" w:sz="0" w:space="0" w:color="auto"/>
      </w:divBdr>
    </w:div>
    <w:div w:id="1098676203">
      <w:bodyDiv w:val="1"/>
      <w:marLeft w:val="0"/>
      <w:marRight w:val="0"/>
      <w:marTop w:val="0"/>
      <w:marBottom w:val="0"/>
      <w:divBdr>
        <w:top w:val="none" w:sz="0" w:space="0" w:color="auto"/>
        <w:left w:val="none" w:sz="0" w:space="0" w:color="auto"/>
        <w:bottom w:val="none" w:sz="0" w:space="0" w:color="auto"/>
        <w:right w:val="none" w:sz="0" w:space="0" w:color="auto"/>
      </w:divBdr>
    </w:div>
    <w:div w:id="1152791899">
      <w:bodyDiv w:val="1"/>
      <w:marLeft w:val="0"/>
      <w:marRight w:val="0"/>
      <w:marTop w:val="0"/>
      <w:marBottom w:val="0"/>
      <w:divBdr>
        <w:top w:val="none" w:sz="0" w:space="0" w:color="auto"/>
        <w:left w:val="none" w:sz="0" w:space="0" w:color="auto"/>
        <w:bottom w:val="none" w:sz="0" w:space="0" w:color="auto"/>
        <w:right w:val="none" w:sz="0" w:space="0" w:color="auto"/>
      </w:divBdr>
    </w:div>
    <w:div w:id="1221094056">
      <w:bodyDiv w:val="1"/>
      <w:marLeft w:val="0"/>
      <w:marRight w:val="0"/>
      <w:marTop w:val="0"/>
      <w:marBottom w:val="0"/>
      <w:divBdr>
        <w:top w:val="none" w:sz="0" w:space="0" w:color="auto"/>
        <w:left w:val="none" w:sz="0" w:space="0" w:color="auto"/>
        <w:bottom w:val="none" w:sz="0" w:space="0" w:color="auto"/>
        <w:right w:val="none" w:sz="0" w:space="0" w:color="auto"/>
      </w:divBdr>
    </w:div>
    <w:div w:id="1258126827">
      <w:bodyDiv w:val="1"/>
      <w:marLeft w:val="0"/>
      <w:marRight w:val="0"/>
      <w:marTop w:val="0"/>
      <w:marBottom w:val="0"/>
      <w:divBdr>
        <w:top w:val="none" w:sz="0" w:space="0" w:color="auto"/>
        <w:left w:val="none" w:sz="0" w:space="0" w:color="auto"/>
        <w:bottom w:val="none" w:sz="0" w:space="0" w:color="auto"/>
        <w:right w:val="none" w:sz="0" w:space="0" w:color="auto"/>
      </w:divBdr>
    </w:div>
    <w:div w:id="1295023625">
      <w:bodyDiv w:val="1"/>
      <w:marLeft w:val="0"/>
      <w:marRight w:val="0"/>
      <w:marTop w:val="0"/>
      <w:marBottom w:val="0"/>
      <w:divBdr>
        <w:top w:val="none" w:sz="0" w:space="0" w:color="auto"/>
        <w:left w:val="none" w:sz="0" w:space="0" w:color="auto"/>
        <w:bottom w:val="none" w:sz="0" w:space="0" w:color="auto"/>
        <w:right w:val="none" w:sz="0" w:space="0" w:color="auto"/>
      </w:divBdr>
    </w:div>
    <w:div w:id="1316448736">
      <w:bodyDiv w:val="1"/>
      <w:marLeft w:val="0"/>
      <w:marRight w:val="0"/>
      <w:marTop w:val="0"/>
      <w:marBottom w:val="0"/>
      <w:divBdr>
        <w:top w:val="none" w:sz="0" w:space="0" w:color="auto"/>
        <w:left w:val="none" w:sz="0" w:space="0" w:color="auto"/>
        <w:bottom w:val="none" w:sz="0" w:space="0" w:color="auto"/>
        <w:right w:val="none" w:sz="0" w:space="0" w:color="auto"/>
      </w:divBdr>
    </w:div>
    <w:div w:id="1342973393">
      <w:bodyDiv w:val="1"/>
      <w:marLeft w:val="0"/>
      <w:marRight w:val="0"/>
      <w:marTop w:val="0"/>
      <w:marBottom w:val="0"/>
      <w:divBdr>
        <w:top w:val="none" w:sz="0" w:space="0" w:color="auto"/>
        <w:left w:val="none" w:sz="0" w:space="0" w:color="auto"/>
        <w:bottom w:val="none" w:sz="0" w:space="0" w:color="auto"/>
        <w:right w:val="none" w:sz="0" w:space="0" w:color="auto"/>
      </w:divBdr>
    </w:div>
    <w:div w:id="1350062761">
      <w:bodyDiv w:val="1"/>
      <w:marLeft w:val="0"/>
      <w:marRight w:val="0"/>
      <w:marTop w:val="0"/>
      <w:marBottom w:val="0"/>
      <w:divBdr>
        <w:top w:val="none" w:sz="0" w:space="0" w:color="auto"/>
        <w:left w:val="none" w:sz="0" w:space="0" w:color="auto"/>
        <w:bottom w:val="none" w:sz="0" w:space="0" w:color="auto"/>
        <w:right w:val="none" w:sz="0" w:space="0" w:color="auto"/>
      </w:divBdr>
    </w:div>
    <w:div w:id="1567107598">
      <w:bodyDiv w:val="1"/>
      <w:marLeft w:val="0"/>
      <w:marRight w:val="0"/>
      <w:marTop w:val="0"/>
      <w:marBottom w:val="0"/>
      <w:divBdr>
        <w:top w:val="none" w:sz="0" w:space="0" w:color="auto"/>
        <w:left w:val="none" w:sz="0" w:space="0" w:color="auto"/>
        <w:bottom w:val="none" w:sz="0" w:space="0" w:color="auto"/>
        <w:right w:val="none" w:sz="0" w:space="0" w:color="auto"/>
      </w:divBdr>
    </w:div>
    <w:div w:id="1606039039">
      <w:bodyDiv w:val="1"/>
      <w:marLeft w:val="0"/>
      <w:marRight w:val="0"/>
      <w:marTop w:val="0"/>
      <w:marBottom w:val="0"/>
      <w:divBdr>
        <w:top w:val="none" w:sz="0" w:space="0" w:color="auto"/>
        <w:left w:val="none" w:sz="0" w:space="0" w:color="auto"/>
        <w:bottom w:val="none" w:sz="0" w:space="0" w:color="auto"/>
        <w:right w:val="none" w:sz="0" w:space="0" w:color="auto"/>
      </w:divBdr>
    </w:div>
    <w:div w:id="1654601347">
      <w:bodyDiv w:val="1"/>
      <w:marLeft w:val="0"/>
      <w:marRight w:val="0"/>
      <w:marTop w:val="0"/>
      <w:marBottom w:val="0"/>
      <w:divBdr>
        <w:top w:val="none" w:sz="0" w:space="0" w:color="auto"/>
        <w:left w:val="none" w:sz="0" w:space="0" w:color="auto"/>
        <w:bottom w:val="none" w:sz="0" w:space="0" w:color="auto"/>
        <w:right w:val="none" w:sz="0" w:space="0" w:color="auto"/>
      </w:divBdr>
    </w:div>
    <w:div w:id="1700428246">
      <w:bodyDiv w:val="1"/>
      <w:marLeft w:val="0"/>
      <w:marRight w:val="0"/>
      <w:marTop w:val="0"/>
      <w:marBottom w:val="0"/>
      <w:divBdr>
        <w:top w:val="none" w:sz="0" w:space="0" w:color="auto"/>
        <w:left w:val="none" w:sz="0" w:space="0" w:color="auto"/>
        <w:bottom w:val="none" w:sz="0" w:space="0" w:color="auto"/>
        <w:right w:val="none" w:sz="0" w:space="0" w:color="auto"/>
      </w:divBdr>
    </w:div>
    <w:div w:id="1745834351">
      <w:bodyDiv w:val="1"/>
      <w:marLeft w:val="0"/>
      <w:marRight w:val="0"/>
      <w:marTop w:val="0"/>
      <w:marBottom w:val="0"/>
      <w:divBdr>
        <w:top w:val="none" w:sz="0" w:space="0" w:color="auto"/>
        <w:left w:val="none" w:sz="0" w:space="0" w:color="auto"/>
        <w:bottom w:val="none" w:sz="0" w:space="0" w:color="auto"/>
        <w:right w:val="none" w:sz="0" w:space="0" w:color="auto"/>
      </w:divBdr>
    </w:div>
    <w:div w:id="1750929270">
      <w:bodyDiv w:val="1"/>
      <w:marLeft w:val="0"/>
      <w:marRight w:val="0"/>
      <w:marTop w:val="0"/>
      <w:marBottom w:val="0"/>
      <w:divBdr>
        <w:top w:val="none" w:sz="0" w:space="0" w:color="auto"/>
        <w:left w:val="none" w:sz="0" w:space="0" w:color="auto"/>
        <w:bottom w:val="none" w:sz="0" w:space="0" w:color="auto"/>
        <w:right w:val="none" w:sz="0" w:space="0" w:color="auto"/>
      </w:divBdr>
    </w:div>
    <w:div w:id="1772819334">
      <w:bodyDiv w:val="1"/>
      <w:marLeft w:val="0"/>
      <w:marRight w:val="0"/>
      <w:marTop w:val="0"/>
      <w:marBottom w:val="0"/>
      <w:divBdr>
        <w:top w:val="none" w:sz="0" w:space="0" w:color="auto"/>
        <w:left w:val="none" w:sz="0" w:space="0" w:color="auto"/>
        <w:bottom w:val="none" w:sz="0" w:space="0" w:color="auto"/>
        <w:right w:val="none" w:sz="0" w:space="0" w:color="auto"/>
      </w:divBdr>
    </w:div>
    <w:div w:id="1784110531">
      <w:bodyDiv w:val="1"/>
      <w:marLeft w:val="0"/>
      <w:marRight w:val="0"/>
      <w:marTop w:val="0"/>
      <w:marBottom w:val="0"/>
      <w:divBdr>
        <w:top w:val="none" w:sz="0" w:space="0" w:color="auto"/>
        <w:left w:val="none" w:sz="0" w:space="0" w:color="auto"/>
        <w:bottom w:val="none" w:sz="0" w:space="0" w:color="auto"/>
        <w:right w:val="none" w:sz="0" w:space="0" w:color="auto"/>
      </w:divBdr>
    </w:div>
    <w:div w:id="1846746480">
      <w:bodyDiv w:val="1"/>
      <w:marLeft w:val="0"/>
      <w:marRight w:val="0"/>
      <w:marTop w:val="0"/>
      <w:marBottom w:val="0"/>
      <w:divBdr>
        <w:top w:val="none" w:sz="0" w:space="0" w:color="auto"/>
        <w:left w:val="none" w:sz="0" w:space="0" w:color="auto"/>
        <w:bottom w:val="none" w:sz="0" w:space="0" w:color="auto"/>
        <w:right w:val="none" w:sz="0" w:space="0" w:color="auto"/>
      </w:divBdr>
    </w:div>
    <w:div w:id="1883442980">
      <w:bodyDiv w:val="1"/>
      <w:marLeft w:val="0"/>
      <w:marRight w:val="0"/>
      <w:marTop w:val="0"/>
      <w:marBottom w:val="0"/>
      <w:divBdr>
        <w:top w:val="none" w:sz="0" w:space="0" w:color="auto"/>
        <w:left w:val="none" w:sz="0" w:space="0" w:color="auto"/>
        <w:bottom w:val="none" w:sz="0" w:space="0" w:color="auto"/>
        <w:right w:val="none" w:sz="0" w:space="0" w:color="auto"/>
      </w:divBdr>
    </w:div>
    <w:div w:id="1956984535">
      <w:bodyDiv w:val="1"/>
      <w:marLeft w:val="0"/>
      <w:marRight w:val="0"/>
      <w:marTop w:val="0"/>
      <w:marBottom w:val="0"/>
      <w:divBdr>
        <w:top w:val="none" w:sz="0" w:space="0" w:color="auto"/>
        <w:left w:val="none" w:sz="0" w:space="0" w:color="auto"/>
        <w:bottom w:val="none" w:sz="0" w:space="0" w:color="auto"/>
        <w:right w:val="none" w:sz="0" w:space="0" w:color="auto"/>
      </w:divBdr>
    </w:div>
    <w:div w:id="1966426697">
      <w:bodyDiv w:val="1"/>
      <w:marLeft w:val="0"/>
      <w:marRight w:val="0"/>
      <w:marTop w:val="0"/>
      <w:marBottom w:val="0"/>
      <w:divBdr>
        <w:top w:val="none" w:sz="0" w:space="0" w:color="auto"/>
        <w:left w:val="none" w:sz="0" w:space="0" w:color="auto"/>
        <w:bottom w:val="none" w:sz="0" w:space="0" w:color="auto"/>
        <w:right w:val="none" w:sz="0" w:space="0" w:color="auto"/>
      </w:divBdr>
    </w:div>
    <w:div w:id="1982270561">
      <w:bodyDiv w:val="1"/>
      <w:marLeft w:val="0"/>
      <w:marRight w:val="0"/>
      <w:marTop w:val="0"/>
      <w:marBottom w:val="0"/>
      <w:divBdr>
        <w:top w:val="none" w:sz="0" w:space="0" w:color="auto"/>
        <w:left w:val="none" w:sz="0" w:space="0" w:color="auto"/>
        <w:bottom w:val="none" w:sz="0" w:space="0" w:color="auto"/>
        <w:right w:val="none" w:sz="0" w:space="0" w:color="auto"/>
      </w:divBdr>
    </w:div>
    <w:div w:id="2040663126">
      <w:bodyDiv w:val="1"/>
      <w:marLeft w:val="0"/>
      <w:marRight w:val="0"/>
      <w:marTop w:val="0"/>
      <w:marBottom w:val="0"/>
      <w:divBdr>
        <w:top w:val="none" w:sz="0" w:space="0" w:color="auto"/>
        <w:left w:val="none" w:sz="0" w:space="0" w:color="auto"/>
        <w:bottom w:val="none" w:sz="0" w:space="0" w:color="auto"/>
        <w:right w:val="none" w:sz="0" w:space="0" w:color="auto"/>
      </w:divBdr>
    </w:div>
    <w:div w:id="2078938939">
      <w:bodyDiv w:val="1"/>
      <w:marLeft w:val="0"/>
      <w:marRight w:val="0"/>
      <w:marTop w:val="0"/>
      <w:marBottom w:val="0"/>
      <w:divBdr>
        <w:top w:val="none" w:sz="0" w:space="0" w:color="auto"/>
        <w:left w:val="none" w:sz="0" w:space="0" w:color="auto"/>
        <w:bottom w:val="none" w:sz="0" w:space="0" w:color="auto"/>
        <w:right w:val="none" w:sz="0" w:space="0" w:color="auto"/>
      </w:divBdr>
    </w:div>
    <w:div w:id="2083403291">
      <w:bodyDiv w:val="1"/>
      <w:marLeft w:val="0"/>
      <w:marRight w:val="0"/>
      <w:marTop w:val="0"/>
      <w:marBottom w:val="0"/>
      <w:divBdr>
        <w:top w:val="none" w:sz="0" w:space="0" w:color="auto"/>
        <w:left w:val="none" w:sz="0" w:space="0" w:color="auto"/>
        <w:bottom w:val="none" w:sz="0" w:space="0" w:color="auto"/>
        <w:right w:val="none" w:sz="0" w:space="0" w:color="auto"/>
      </w:divBdr>
    </w:div>
    <w:div w:id="2086411274">
      <w:bodyDiv w:val="1"/>
      <w:marLeft w:val="0"/>
      <w:marRight w:val="0"/>
      <w:marTop w:val="0"/>
      <w:marBottom w:val="0"/>
      <w:divBdr>
        <w:top w:val="none" w:sz="0" w:space="0" w:color="auto"/>
        <w:left w:val="none" w:sz="0" w:space="0" w:color="auto"/>
        <w:bottom w:val="none" w:sz="0" w:space="0" w:color="auto"/>
        <w:right w:val="none" w:sz="0" w:space="0" w:color="auto"/>
      </w:divBdr>
    </w:div>
    <w:div w:id="2094662681">
      <w:bodyDiv w:val="1"/>
      <w:marLeft w:val="0"/>
      <w:marRight w:val="0"/>
      <w:marTop w:val="0"/>
      <w:marBottom w:val="0"/>
      <w:divBdr>
        <w:top w:val="none" w:sz="0" w:space="0" w:color="auto"/>
        <w:left w:val="none" w:sz="0" w:space="0" w:color="auto"/>
        <w:bottom w:val="none" w:sz="0" w:space="0" w:color="auto"/>
        <w:right w:val="none" w:sz="0" w:space="0" w:color="auto"/>
      </w:divBdr>
    </w:div>
    <w:div w:id="2094862106">
      <w:bodyDiv w:val="1"/>
      <w:marLeft w:val="0"/>
      <w:marRight w:val="0"/>
      <w:marTop w:val="0"/>
      <w:marBottom w:val="0"/>
      <w:divBdr>
        <w:top w:val="none" w:sz="0" w:space="0" w:color="auto"/>
        <w:left w:val="none" w:sz="0" w:space="0" w:color="auto"/>
        <w:bottom w:val="none" w:sz="0" w:space="0" w:color="auto"/>
        <w:right w:val="none" w:sz="0" w:space="0" w:color="auto"/>
      </w:divBdr>
    </w:div>
    <w:div w:id="2114933027">
      <w:bodyDiv w:val="1"/>
      <w:marLeft w:val="0"/>
      <w:marRight w:val="0"/>
      <w:marTop w:val="0"/>
      <w:marBottom w:val="0"/>
      <w:divBdr>
        <w:top w:val="none" w:sz="0" w:space="0" w:color="auto"/>
        <w:left w:val="none" w:sz="0" w:space="0" w:color="auto"/>
        <w:bottom w:val="none" w:sz="0" w:space="0" w:color="auto"/>
        <w:right w:val="none" w:sz="0" w:space="0" w:color="auto"/>
      </w:divBdr>
    </w:div>
    <w:div w:id="2119055815">
      <w:bodyDiv w:val="1"/>
      <w:marLeft w:val="0"/>
      <w:marRight w:val="0"/>
      <w:marTop w:val="0"/>
      <w:marBottom w:val="0"/>
      <w:divBdr>
        <w:top w:val="none" w:sz="0" w:space="0" w:color="auto"/>
        <w:left w:val="none" w:sz="0" w:space="0" w:color="auto"/>
        <w:bottom w:val="none" w:sz="0" w:space="0" w:color="auto"/>
        <w:right w:val="none" w:sz="0" w:space="0" w:color="auto"/>
      </w:divBdr>
    </w:div>
    <w:div w:id="2120369842">
      <w:bodyDiv w:val="1"/>
      <w:marLeft w:val="0"/>
      <w:marRight w:val="0"/>
      <w:marTop w:val="0"/>
      <w:marBottom w:val="0"/>
      <w:divBdr>
        <w:top w:val="none" w:sz="0" w:space="0" w:color="auto"/>
        <w:left w:val="none" w:sz="0" w:space="0" w:color="auto"/>
        <w:bottom w:val="none" w:sz="0" w:space="0" w:color="auto"/>
        <w:right w:val="none" w:sz="0" w:space="0" w:color="auto"/>
      </w:divBdr>
    </w:div>
    <w:div w:id="213066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ryanai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2023-11-03T17:20:14+00:00</DateReceived>
    <TaxCatchAll xmlns="801a3cf6-255d-4ff5-98fe-b4415afa84b5" xsi:nil="true"/>
  </documentManagement>
</p:properties>
</file>

<file path=customXml/itemProps1.xml><?xml version="1.0" encoding="utf-8"?>
<ds:datastoreItem xmlns:ds="http://schemas.openxmlformats.org/officeDocument/2006/customXml" ds:itemID="{E63BA75E-3F42-4C6C-8F02-D093415BAB05}"/>
</file>

<file path=customXml/itemProps2.xml><?xml version="1.0" encoding="utf-8"?>
<ds:datastoreItem xmlns:ds="http://schemas.openxmlformats.org/officeDocument/2006/customXml" ds:itemID="{3EEF2DD3-6C8F-48E9-AAAC-5956443F43F8}">
  <ds:schemaRefs>
    <ds:schemaRef ds:uri="http://schemas.openxmlformats.org/officeDocument/2006/bibliography"/>
  </ds:schemaRefs>
</ds:datastoreItem>
</file>

<file path=customXml/itemProps3.xml><?xml version="1.0" encoding="utf-8"?>
<ds:datastoreItem xmlns:ds="http://schemas.openxmlformats.org/officeDocument/2006/customXml" ds:itemID="{19ACB7EF-CFD7-493D-9B4A-D9452638CE7C}">
  <ds:schemaRefs>
    <ds:schemaRef ds:uri="http://schemas.microsoft.com/sharepoint/v3/contenttype/forms"/>
  </ds:schemaRefs>
</ds:datastoreItem>
</file>

<file path=customXml/itemProps4.xml><?xml version="1.0" encoding="utf-8"?>
<ds:datastoreItem xmlns:ds="http://schemas.openxmlformats.org/officeDocument/2006/customXml" ds:itemID="{985893C9-817D-4FAF-BD32-A68548CB7276}"/>
</file>

<file path=docProps/app.xml><?xml version="1.0" encoding="utf-8"?>
<Properties xmlns="http://schemas.openxmlformats.org/officeDocument/2006/extended-properties" xmlns:vt="http://schemas.openxmlformats.org/officeDocument/2006/docPropsVTypes">
  <Template>Normal</Template>
  <TotalTime>0</TotalTime>
  <Pages>28</Pages>
  <Words>10596</Words>
  <Characters>60401</Characters>
  <Application>Microsoft Office Word</Application>
  <DocSecurity>2</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Ryanair Limited</Company>
  <LinksUpToDate>false</LinksUpToDate>
  <CharactersWithSpaces>70856</CharactersWithSpaces>
  <SharedDoc>false</SharedDoc>
  <HLinks>
    <vt:vector size="6" baseType="variant">
      <vt:variant>
        <vt:i4>2424943</vt:i4>
      </vt:variant>
      <vt:variant>
        <vt:i4>0</vt:i4>
      </vt:variant>
      <vt:variant>
        <vt:i4>0</vt:i4>
      </vt:variant>
      <vt:variant>
        <vt:i4>5</vt:i4>
      </vt:variant>
      <vt:variant>
        <vt:lpwstr>http://www.ryanair.com/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obriens</dc:creator>
  <cp:keywords/>
  <cp:lastModifiedBy>Cian Doherty</cp:lastModifiedBy>
  <cp:revision>2</cp:revision>
  <cp:lastPrinted>2023-10-24T14:24:00Z</cp:lastPrinted>
  <dcterms:created xsi:type="dcterms:W3CDTF">2023-11-03T17:11:00Z</dcterms:created>
  <dcterms:modified xsi:type="dcterms:W3CDTF">2023-11-03T17:11:00Z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